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342265</wp:posOffset>
            </wp:positionV>
            <wp:extent cx="7201535" cy="9487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1535" cy="9487535"/>
                    </a:xfrm>
                    <a:prstGeom prst="rect">
                      <a:avLst/>
                    </a:prstGeom>
                    <a:noFill/>
                  </pic:spPr>
                </pic:pic>
              </a:graphicData>
            </a:graphic>
          </wp:anchor>
        </w:drawing>
      </w:r>
    </w:p>
    <w:p>
      <w:pPr>
        <w:spacing w:after="0"/>
        <w:rPr>
          <w:sz w:val="20"/>
          <w:szCs w:val="20"/>
          <w:color w:val="auto"/>
        </w:rPr>
      </w:pPr>
      <w:r>
        <w:rPr>
          <w:rFonts w:ascii="Arial" w:cs="Arial" w:eastAsia="Arial" w:hAnsi="Arial"/>
          <w:sz w:val="228"/>
          <w:szCs w:val="228"/>
          <w:b w:val="1"/>
          <w:bCs w:val="1"/>
          <w:color w:val="FFFFFF"/>
        </w:rPr>
        <w:t xml:space="preserve">2023 </w:t>
      </w:r>
      <w:r>
        <w:rPr>
          <w:rFonts w:ascii="Arial" w:cs="Arial" w:eastAsia="Arial" w:hAnsi="Arial"/>
          <w:sz w:val="36"/>
          <w:szCs w:val="36"/>
          <w:color w:val="FFFFFF"/>
        </w:rPr>
        <w:t>Annual Report</w:t>
      </w:r>
    </w:p>
    <w:p>
      <w:pPr>
        <w:spacing w:after="0" w:line="20" w:lineRule="exact"/>
        <w:rPr>
          <w:sz w:val="24"/>
          <w:szCs w:val="24"/>
          <w:color w:val="auto"/>
        </w:rPr>
      </w:pPr>
    </w:p>
    <w:p>
      <w:pPr>
        <w:sectPr>
          <w:pgSz w:w="11880" w:h="15480" w:orient="portrait"/>
          <w:cols w:equalWidth="0" w:num="1">
            <w:col w:w="9380"/>
          </w:cols>
          <w:pgMar w:left="106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0"/>
        </w:trPr>
        <w:tc>
          <w:tcPr>
            <w:tcW w:w="747" w:type="dxa"/>
            <w:vAlign w:val="bottom"/>
            <w:textDirection w:val="btLr"/>
          </w:tcPr>
          <w:p>
            <w:pPr>
              <w:spacing w:after="0"/>
              <w:rPr>
                <w:sz w:val="20"/>
                <w:szCs w:val="20"/>
                <w:color w:val="auto"/>
              </w:rPr>
            </w:pPr>
            <w:r>
              <w:rPr>
                <w:rFonts w:ascii="Arial" w:cs="Arial" w:eastAsia="Arial" w:hAnsi="Arial"/>
                <w:sz w:val="65"/>
                <w:szCs w:val="65"/>
                <w:b w:val="1"/>
                <w:bCs w:val="1"/>
                <w:color w:val="FFFFFF"/>
              </w:rPr>
              <w:t>ƍƋƍƎ</w:t>
            </w: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400" w:lineRule="exact"/>
        <w:rPr>
          <w:sz w:val="20"/>
          <w:szCs w:val="20"/>
          <w:color w:val="auto"/>
        </w:rPr>
      </w:pPr>
      <w:r>
        <w:rPr>
          <w:rFonts w:ascii="PMingLiU" w:cs="PMingLiU" w:eastAsia="PMingLiU" w:hAnsi="PMingLiU"/>
          <w:sz w:val="33"/>
          <w:szCs w:val="33"/>
          <w:color w:val="003F9A"/>
        </w:rPr>
        <w:t/>
      </w:r>
      <w:r>
        <w:rPr>
          <w:rFonts w:ascii="Arial" w:cs="Arial" w:eastAsia="Arial" w:hAnsi="Arial"/>
          <w:sz w:val="33"/>
          <w:szCs w:val="33"/>
          <w:color w:val="003F9A"/>
        </w:rPr>
        <w:t>ú</w:t>
      </w:r>
      <w:r>
        <w:rPr>
          <w:rFonts w:ascii="PMingLiU" w:cs="PMingLiU" w:eastAsia="PMingLiU" w:hAnsi="PMingLiU"/>
          <w:sz w:val="33"/>
          <w:szCs w:val="33"/>
          <w:color w:val="003F9A"/>
        </w:rPr>
        <w:t></w:t>
      </w:r>
      <w:r>
        <w:rPr>
          <w:rFonts w:ascii="Arial" w:cs="Arial" w:eastAsia="Arial" w:hAnsi="Arial"/>
          <w:sz w:val="33"/>
          <w:szCs w:val="33"/>
          <w:color w:val="003F9A"/>
        </w:rPr>
        <w:t>½½</w:t>
      </w:r>
      <w:r>
        <w:rPr>
          <w:rFonts w:ascii="PMingLiU" w:cs="PMingLiU" w:eastAsia="PMingLiU" w:hAnsi="PMingLiU"/>
          <w:sz w:val="33"/>
          <w:szCs w:val="33"/>
          <w:color w:val="003F9A"/>
        </w:rPr>
        <w:t></w:t>
      </w:r>
      <w:r>
        <w:rPr>
          <w:rFonts w:ascii="Arial" w:cs="Arial" w:eastAsia="Arial" w:hAnsi="Arial"/>
          <w:sz w:val="33"/>
          <w:szCs w:val="33"/>
          <w:color w:val="003F9A"/>
        </w:rPr>
        <w:t>Ä</w:t>
      </w:r>
      <w:r>
        <w:rPr>
          <w:rFonts w:ascii="PMingLiU" w:cs="PMingLiU" w:eastAsia="PMingLiU" w:hAnsi="PMingLiU"/>
          <w:sz w:val="33"/>
          <w:szCs w:val="33"/>
          <w:color w:val="003F9A"/>
        </w:rPr>
        <w:t></w:t>
      </w:r>
      <w:r>
        <w:rPr>
          <w:rFonts w:ascii="Arial" w:cs="Arial" w:eastAsia="Arial" w:hAnsi="Arial"/>
          <w:sz w:val="33"/>
          <w:szCs w:val="33"/>
          <w:color w:val="003F9A"/>
        </w:rPr>
        <w:t xml:space="preserve"> «Ä </w:t>
      </w:r>
      <w:r>
        <w:rPr>
          <w:rFonts w:ascii="PMingLiU" w:cs="PMingLiU" w:eastAsia="PMingLiU" w:hAnsi="PMingLiU"/>
          <w:sz w:val="33"/>
          <w:szCs w:val="33"/>
          <w:color w:val="003F9A"/>
        </w:rPr>
        <w:t></w:t>
      </w:r>
      <w:r>
        <w:rPr>
          <w:rFonts w:ascii="Arial" w:cs="Arial" w:eastAsia="Arial" w:hAnsi="Arial"/>
          <w:sz w:val="33"/>
          <w:szCs w:val="33"/>
          <w:color w:val="003F9A"/>
        </w:rPr>
        <w:t>ú</w:t>
      </w:r>
      <w:r>
        <w:rPr>
          <w:rFonts w:ascii="PMingLiU" w:cs="PMingLiU" w:eastAsia="PMingLiU" w:hAnsi="PMingLiU"/>
          <w:sz w:val="33"/>
          <w:szCs w:val="33"/>
          <w:color w:val="003F9A"/>
        </w:rPr>
        <w:t></w:t>
      </w:r>
      <w:r>
        <w:rPr>
          <w:rFonts w:ascii="Arial" w:cs="Arial" w:eastAsia="Arial" w:hAnsi="Arial"/>
          <w:sz w:val="33"/>
          <w:szCs w:val="33"/>
          <w:color w:val="003F9A"/>
        </w:rPr>
        <w:t>éä«ËÄ ǥ û</w:t>
      </w:r>
      <w:r>
        <w:rPr>
          <w:rFonts w:ascii="PMingLiU" w:cs="PMingLiU" w:eastAsia="PMingLiU" w:hAnsi="PMingLiU"/>
          <w:sz w:val="33"/>
          <w:szCs w:val="33"/>
          <w:color w:val="003F9A"/>
        </w:rPr>
        <w:t></w:t>
      </w:r>
      <w:r>
        <w:rPr>
          <w:rFonts w:ascii="Arial" w:cs="Arial" w:eastAsia="Arial" w:hAnsi="Arial"/>
          <w:sz w:val="33"/>
          <w:szCs w:val="33"/>
          <w:color w:val="003F9A"/>
        </w:rPr>
        <w:t>Ù «Ä Ù</w:t>
      </w:r>
      <w:r>
        <w:rPr>
          <w:rFonts w:ascii="PMingLiU" w:cs="PMingLiU" w:eastAsia="PMingLiU" w:hAnsi="PMingLiU"/>
          <w:sz w:val="33"/>
          <w:szCs w:val="33"/>
          <w:color w:val="003F9A"/>
        </w:rPr>
        <w:t></w:t>
      </w:r>
      <w:r>
        <w:rPr>
          <w:rFonts w:ascii="Arial" w:cs="Arial" w:eastAsia="Arial" w:hAnsi="Arial"/>
          <w:sz w:val="33"/>
          <w:szCs w:val="33"/>
          <w:color w:val="003F9A"/>
        </w:rPr>
        <w:t>ô«</w:t>
      </w:r>
      <w:r>
        <w:rPr>
          <w:rFonts w:ascii="PMingLiU" w:cs="PMingLiU" w:eastAsia="PMingLiU" w:hAnsi="PMingLiU"/>
          <w:sz w:val="33"/>
          <w:szCs w:val="33"/>
          <w:color w:val="003F9A"/>
        </w:rPr>
        <w:t></w:t>
      </w:r>
      <w:r>
        <w:rPr>
          <w:rFonts w:ascii="Arial" w:cs="Arial" w:eastAsia="Arial" w:hAnsi="Arial"/>
          <w:sz w:val="33"/>
          <w:szCs w:val="33"/>
          <w:color w:val="003F9A"/>
        </w:rPr>
        <w:t>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-703580</wp:posOffset>
            </wp:positionV>
            <wp:extent cx="6629400" cy="4827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9400" cy="4827905"/>
                    </a:xfrm>
                    <a:prstGeom prst="rect">
                      <a:avLst/>
                    </a:prstGeom>
                    <a:noFill/>
                  </pic:spPr>
                </pic:pic>
              </a:graphicData>
            </a:graphic>
          </wp:anchor>
        </w:drawing>
      </w:r>
    </w:p>
    <w:p>
      <w:pPr>
        <w:spacing w:after="0" w:line="382" w:lineRule="exact"/>
        <w:rPr>
          <w:sz w:val="20"/>
          <w:szCs w:val="20"/>
          <w:color w:val="auto"/>
        </w:rPr>
      </w:pPr>
    </w:p>
    <w:p>
      <w:pPr>
        <w:spacing w:after="0" w:line="340" w:lineRule="exact"/>
        <w:rPr>
          <w:sz w:val="20"/>
          <w:szCs w:val="20"/>
          <w:color w:val="auto"/>
        </w:rPr>
      </w:pPr>
      <w:r>
        <w:rPr>
          <w:rFonts w:ascii="Arial" w:cs="Arial" w:eastAsia="Arial" w:hAnsi="Arial"/>
          <w:sz w:val="28"/>
          <w:szCs w:val="28"/>
          <w:b w:val="1"/>
          <w:bCs w:val="1"/>
          <w:color w:val="FFFFFF"/>
        </w:rPr>
        <w:t>$«Ä</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Ä</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 xml:space="preserve">½ </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Ä</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 xml:space="preserve"> ËÖ</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Ù</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ä«Ä£ Ö</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Ù¢ËÙÃ</w:t>
      </w:r>
      <w:r>
        <w:rPr>
          <w:rFonts w:ascii="PMingLiU" w:cs="PMingLiU" w:eastAsia="PMingLiU" w:hAnsi="PMingLiU"/>
          <w:sz w:val="28"/>
          <w:szCs w:val="28"/>
          <w:b w:val="1"/>
          <w:bCs w:val="1"/>
          <w:color w:val="FFFFFF"/>
        </w:rPr>
        <w:t></w:t>
      </w:r>
      <w:r>
        <w:rPr>
          <w:rFonts w:ascii="Arial" w:cs="Arial" w:eastAsia="Arial" w:hAnsi="Arial"/>
          <w:sz w:val="28"/>
          <w:szCs w:val="28"/>
          <w:b w:val="1"/>
          <w:bCs w:val="1"/>
          <w:color w:val="FFFFFF"/>
        </w:rPr>
        <w:t>Ä</w:t>
      </w:r>
      <w:r>
        <w:rPr>
          <w:rFonts w:ascii="PMingLiU" w:cs="PMingLiU" w:eastAsia="PMingLiU" w:hAnsi="PMingLiU"/>
          <w:sz w:val="28"/>
          <w:szCs w:val="28"/>
          <w:b w:val="1"/>
          <w:bCs w:val="1"/>
          <w:color w:val="FFFFFF"/>
        </w:rPr>
        <w:t></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900"/>
        </w:trPr>
        <w:tc>
          <w:tcPr>
            <w:tcW w:w="2760" w:type="dxa"/>
            <w:vAlign w:val="bottom"/>
            <w:tcBorders>
              <w:top w:val="single" w:sz="8" w:color="CCCCCC"/>
              <w:left w:val="single" w:sz="8" w:color="CCCCCC"/>
              <w:right w:val="single" w:sz="8" w:color="CCCCCC"/>
            </w:tcBorders>
          </w:tcPr>
          <w:p>
            <w:pPr>
              <w:jc w:val="center"/>
              <w:spacing w:after="0" w:line="899" w:lineRule="exact"/>
              <w:rPr>
                <w:sz w:val="20"/>
                <w:szCs w:val="20"/>
                <w:color w:val="auto"/>
              </w:rPr>
            </w:pPr>
            <w:r>
              <w:rPr>
                <w:rFonts w:ascii="Arial" w:cs="Arial" w:eastAsia="Arial" w:hAnsi="Arial"/>
                <w:sz w:val="91"/>
                <w:szCs w:val="91"/>
                <w:color w:val="FFFFFF"/>
                <w:vertAlign w:val="superscript"/>
              </w:rPr>
              <w:t>ǵ</w:t>
            </w:r>
            <w:r>
              <w:rPr>
                <w:rFonts w:ascii="Arial" w:cs="Arial" w:eastAsia="Arial" w:hAnsi="Arial"/>
                <w:sz w:val="79"/>
                <w:szCs w:val="79"/>
                <w:color w:val="FFFFFF"/>
              </w:rPr>
              <w:t>ƎƑ</w:t>
            </w:r>
            <w:r>
              <w:rPr>
                <w:rFonts w:ascii="PMingLiU" w:cs="PMingLiU" w:eastAsia="PMingLiU" w:hAnsi="PMingLiU"/>
                <w:sz w:val="62"/>
                <w:szCs w:val="62"/>
                <w:color w:val="FFFFFF"/>
              </w:rPr>
              <w:t/>
            </w:r>
          </w:p>
        </w:tc>
        <w:tc>
          <w:tcPr>
            <w:tcW w:w="100" w:type="dxa"/>
            <w:vAlign w:val="bottom"/>
            <w:tcBorders>
              <w:right w:val="single" w:sz="8" w:color="CCCCCC"/>
            </w:tcBorders>
          </w:tcPr>
          <w:p>
            <w:pPr>
              <w:spacing w:after="0"/>
              <w:rPr>
                <w:sz w:val="24"/>
                <w:szCs w:val="24"/>
                <w:color w:val="auto"/>
              </w:rPr>
            </w:pPr>
          </w:p>
        </w:tc>
        <w:tc>
          <w:tcPr>
            <w:tcW w:w="2740" w:type="dxa"/>
            <w:vAlign w:val="bottom"/>
            <w:tcBorders>
              <w:top w:val="single" w:sz="8" w:color="CCCCCC"/>
              <w:right w:val="single" w:sz="8" w:color="CCCCCC"/>
            </w:tcBorders>
          </w:tcPr>
          <w:p>
            <w:pPr>
              <w:jc w:val="center"/>
              <w:spacing w:after="0" w:line="899" w:lineRule="exact"/>
              <w:rPr>
                <w:sz w:val="20"/>
                <w:szCs w:val="20"/>
                <w:color w:val="auto"/>
              </w:rPr>
            </w:pPr>
            <w:r>
              <w:rPr>
                <w:rFonts w:ascii="Arial" w:cs="Arial" w:eastAsia="Arial" w:hAnsi="Arial"/>
                <w:sz w:val="91"/>
                <w:szCs w:val="91"/>
                <w:color w:val="FFFFFF"/>
                <w:vertAlign w:val="superscript"/>
              </w:rPr>
              <w:t>ǵ</w:t>
            </w:r>
            <w:r>
              <w:rPr>
                <w:rFonts w:ascii="Arial" w:cs="Arial" w:eastAsia="Arial" w:hAnsi="Arial"/>
                <w:sz w:val="79"/>
                <w:szCs w:val="79"/>
                <w:color w:val="FFFFFF"/>
              </w:rPr>
              <w:t>ƐƐ</w:t>
            </w:r>
            <w:r>
              <w:rPr>
                <w:rFonts w:ascii="PMingLiU" w:cs="PMingLiU" w:eastAsia="PMingLiU" w:hAnsi="PMingLiU"/>
                <w:sz w:val="62"/>
                <w:szCs w:val="62"/>
                <w:color w:val="FFFFFF"/>
              </w:rPr>
              <w:t/>
            </w:r>
          </w:p>
        </w:tc>
      </w:tr>
      <w:tr>
        <w:trPr>
          <w:trHeight w:val="202"/>
        </w:trPr>
        <w:tc>
          <w:tcPr>
            <w:tcW w:w="2760" w:type="dxa"/>
            <w:vAlign w:val="bottom"/>
            <w:tcBorders>
              <w:left w:val="single" w:sz="8" w:color="CCCCCC"/>
              <w:right w:val="single" w:sz="8" w:color="CCCCCC"/>
            </w:tcBorders>
          </w:tcPr>
          <w:p>
            <w:pPr>
              <w:jc w:val="center"/>
              <w:ind w:right="756"/>
              <w:spacing w:after="0" w:line="202" w:lineRule="exact"/>
              <w:rPr>
                <w:sz w:val="20"/>
                <w:szCs w:val="20"/>
                <w:color w:val="auto"/>
              </w:rPr>
            </w:pP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ÙÄ«Ä£Ý</w:t>
            </w:r>
          </w:p>
        </w:tc>
        <w:tc>
          <w:tcPr>
            <w:tcW w:w="100" w:type="dxa"/>
            <w:vAlign w:val="bottom"/>
            <w:tcBorders>
              <w:right w:val="single" w:sz="8" w:color="CCCCCC"/>
            </w:tcBorders>
          </w:tcPr>
          <w:p>
            <w:pPr>
              <w:spacing w:after="0"/>
              <w:rPr>
                <w:sz w:val="17"/>
                <w:szCs w:val="17"/>
                <w:color w:val="auto"/>
              </w:rPr>
            </w:pPr>
          </w:p>
        </w:tc>
        <w:tc>
          <w:tcPr>
            <w:tcW w:w="2740" w:type="dxa"/>
            <w:vAlign w:val="bottom"/>
            <w:tcBorders>
              <w:right w:val="single" w:sz="8" w:color="CCCCCC"/>
            </w:tcBorders>
          </w:tcPr>
          <w:p>
            <w:pPr>
              <w:jc w:val="center"/>
              <w:spacing w:after="0" w:line="202" w:lineRule="exact"/>
              <w:rPr>
                <w:sz w:val="20"/>
                <w:szCs w:val="20"/>
                <w:color w:val="auto"/>
              </w:rPr>
            </w:pPr>
            <w:r>
              <w:rPr>
                <w:rFonts w:ascii="PMingLiU" w:cs="PMingLiU" w:eastAsia="PMingLiU" w:hAnsi="PMingLiU"/>
                <w:sz w:val="19"/>
                <w:szCs w:val="19"/>
                <w:b w:val="1"/>
                <w:bCs w:val="1"/>
                <w:color w:val="FFFFFF"/>
                <w:w w:val="92"/>
              </w:rPr>
              <w:t></w:t>
            </w:r>
            <w:r>
              <w:rPr>
                <w:rFonts w:ascii="Arial" w:cs="Arial" w:eastAsia="Arial" w:hAnsi="Arial"/>
                <w:sz w:val="19"/>
                <w:szCs w:val="19"/>
                <w:b w:val="1"/>
                <w:bCs w:val="1"/>
                <w:color w:val="FFFFFF"/>
                <w:w w:val="92"/>
              </w:rPr>
              <w:t>Ý¨ ¢½Ëõ</w:t>
            </w:r>
          </w:p>
        </w:tc>
      </w:tr>
      <w:tr>
        <w:trPr>
          <w:trHeight w:val="231"/>
        </w:trPr>
        <w:tc>
          <w:tcPr>
            <w:tcW w:w="2760" w:type="dxa"/>
            <w:vAlign w:val="bottom"/>
            <w:tcBorders>
              <w:left w:val="single" w:sz="8" w:color="CCCCCC"/>
              <w:right w:val="single" w:sz="8" w:color="CCCCCC"/>
            </w:tcBorders>
          </w:tcPr>
          <w:p>
            <w:pPr>
              <w:spacing w:after="0"/>
              <w:rPr>
                <w:sz w:val="20"/>
                <w:szCs w:val="20"/>
                <w:color w:val="auto"/>
              </w:rPr>
            </w:pPr>
          </w:p>
        </w:tc>
        <w:tc>
          <w:tcPr>
            <w:tcW w:w="100" w:type="dxa"/>
            <w:vAlign w:val="bottom"/>
            <w:tcBorders>
              <w:right w:val="single" w:sz="8" w:color="CCCCCC"/>
            </w:tcBorders>
          </w:tcPr>
          <w:p>
            <w:pPr>
              <w:spacing w:after="0"/>
              <w:rPr>
                <w:sz w:val="20"/>
                <w:szCs w:val="20"/>
                <w:color w:val="auto"/>
              </w:rPr>
            </w:pPr>
          </w:p>
        </w:tc>
        <w:tc>
          <w:tcPr>
            <w:tcW w:w="2740" w:type="dxa"/>
            <w:vAlign w:val="bottom"/>
            <w:tcBorders>
              <w:right w:val="single" w:sz="8" w:color="CCCCCC"/>
            </w:tcBorders>
          </w:tcPr>
          <w:p>
            <w:pPr>
              <w:jc w:val="center"/>
              <w:spacing w:after="0" w:line="231" w:lineRule="exact"/>
              <w:rPr>
                <w:sz w:val="20"/>
                <w:szCs w:val="20"/>
                <w:color w:val="auto"/>
              </w:rPr>
            </w:pPr>
            <w:r>
              <w:rPr>
                <w:rFonts w:ascii="Arial" w:cs="Arial" w:eastAsia="Arial" w:hAnsi="Arial"/>
                <w:sz w:val="19"/>
                <w:szCs w:val="19"/>
                <w:b w:val="1"/>
                <w:bCs w:val="1"/>
                <w:color w:val="FFFFFF"/>
                <w:w w:val="77"/>
              </w:rPr>
              <w:t>¢ÙËÃ ËÖ</w:t>
            </w:r>
            <w:r>
              <w:rPr>
                <w:rFonts w:ascii="PMingLiU" w:cs="PMingLiU" w:eastAsia="PMingLiU" w:hAnsi="PMingLiU"/>
                <w:sz w:val="19"/>
                <w:szCs w:val="19"/>
                <w:b w:val="1"/>
                <w:bCs w:val="1"/>
                <w:color w:val="FFFFFF"/>
                <w:w w:val="77"/>
              </w:rPr>
              <w:t></w:t>
            </w:r>
            <w:r>
              <w:rPr>
                <w:rFonts w:ascii="Arial" w:cs="Arial" w:eastAsia="Arial" w:hAnsi="Arial"/>
                <w:sz w:val="19"/>
                <w:szCs w:val="19"/>
                <w:b w:val="1"/>
                <w:bCs w:val="1"/>
                <w:color w:val="FFFFFF"/>
                <w:w w:val="77"/>
              </w:rPr>
              <w:t>Ù</w:t>
            </w:r>
            <w:r>
              <w:rPr>
                <w:rFonts w:ascii="PMingLiU" w:cs="PMingLiU" w:eastAsia="PMingLiU" w:hAnsi="PMingLiU"/>
                <w:sz w:val="19"/>
                <w:szCs w:val="19"/>
                <w:b w:val="1"/>
                <w:bCs w:val="1"/>
                <w:color w:val="FFFFFF"/>
                <w:w w:val="77"/>
              </w:rPr>
              <w:t></w:t>
            </w:r>
            <w:r>
              <w:rPr>
                <w:rFonts w:ascii="Arial" w:cs="Arial" w:eastAsia="Arial" w:hAnsi="Arial"/>
                <w:sz w:val="19"/>
                <w:szCs w:val="19"/>
                <w:b w:val="1"/>
                <w:bCs w:val="1"/>
                <w:color w:val="FFFFFF"/>
                <w:w w:val="77"/>
              </w:rPr>
              <w:t>ä«ËÄÝ</w:t>
            </w:r>
          </w:p>
        </w:tc>
      </w:tr>
      <w:tr>
        <w:trPr>
          <w:trHeight w:val="119"/>
        </w:trPr>
        <w:tc>
          <w:tcPr>
            <w:tcW w:w="2760" w:type="dxa"/>
            <w:vAlign w:val="bottom"/>
            <w:tcBorders>
              <w:left w:val="single" w:sz="8" w:color="CCCCCC"/>
              <w:bottom w:val="single" w:sz="8" w:color="CCCCCC"/>
              <w:right w:val="single" w:sz="8" w:color="CCCCCC"/>
            </w:tcBorders>
          </w:tcPr>
          <w:p>
            <w:pPr>
              <w:spacing w:after="0"/>
              <w:rPr>
                <w:sz w:val="10"/>
                <w:szCs w:val="10"/>
                <w:color w:val="auto"/>
              </w:rPr>
            </w:pPr>
          </w:p>
        </w:tc>
        <w:tc>
          <w:tcPr>
            <w:tcW w:w="100" w:type="dxa"/>
            <w:vAlign w:val="bottom"/>
            <w:tcBorders>
              <w:right w:val="single" w:sz="8" w:color="CCCCCC"/>
            </w:tcBorders>
          </w:tcPr>
          <w:p>
            <w:pPr>
              <w:spacing w:after="0"/>
              <w:rPr>
                <w:sz w:val="10"/>
                <w:szCs w:val="10"/>
                <w:color w:val="auto"/>
              </w:rPr>
            </w:pPr>
          </w:p>
        </w:tc>
        <w:tc>
          <w:tcPr>
            <w:tcW w:w="2740" w:type="dxa"/>
            <w:vAlign w:val="bottom"/>
            <w:tcBorders>
              <w:bottom w:val="single" w:sz="8" w:color="CCCCCC"/>
              <w:right w:val="single" w:sz="8" w:color="CCCCCC"/>
            </w:tcBorders>
          </w:tcPr>
          <w:p>
            <w:pPr>
              <w:spacing w:after="0"/>
              <w:rPr>
                <w:sz w:val="10"/>
                <w:szCs w:val="10"/>
                <w:color w:val="auto"/>
              </w:rPr>
            </w:pPr>
          </w:p>
        </w:tc>
      </w:tr>
    </w:tbl>
    <w:p>
      <w:pPr>
        <w:spacing w:after="0" w:line="1" w:lineRule="exact"/>
        <w:rPr>
          <w:sz w:val="20"/>
          <w:szCs w:val="20"/>
          <w:color w:val="auto"/>
        </w:rPr>
      </w:pPr>
    </w:p>
    <w:p>
      <w:pPr>
        <w:sectPr>
          <w:pgSz w:w="11880" w:h="15480" w:orient="portrait"/>
          <w:cols w:equalWidth="0" w:num="2">
            <w:col w:w="747" w:space="323"/>
            <w:col w:w="8920"/>
          </w:cols>
          <w:pgMar w:left="749" w:top="360" w:right="1140" w:bottom="0" w:gutter="0" w:footer="0" w:header="0"/>
        </w:sectPr>
      </w:pPr>
    </w:p>
    <w:p>
      <w:pPr>
        <w:ind w:left="1631"/>
        <w:spacing w:after="0" w:line="1030" w:lineRule="exact"/>
        <w:rPr>
          <w:sz w:val="20"/>
          <w:szCs w:val="20"/>
          <w:color w:val="auto"/>
        </w:rPr>
      </w:pPr>
      <w:r>
        <w:rPr>
          <w:rFonts w:ascii="Arial" w:cs="Arial" w:eastAsia="Arial" w:hAnsi="Arial"/>
          <w:sz w:val="91"/>
          <w:szCs w:val="91"/>
          <w:color w:val="FFFFFF"/>
          <w:vertAlign w:val="superscript"/>
        </w:rPr>
        <w:t>ǵ</w:t>
      </w:r>
      <w:r>
        <w:rPr>
          <w:rFonts w:ascii="Arial" w:cs="Arial" w:eastAsia="Arial" w:hAnsi="Arial"/>
          <w:sz w:val="79"/>
          <w:szCs w:val="79"/>
          <w:color w:val="FFFFFF"/>
        </w:rPr>
        <w:t>Ɣǔƒ</w:t>
      </w:r>
      <w:r>
        <w:rPr>
          <w:rFonts w:ascii="PMingLiU" w:cs="PMingLiU" w:eastAsia="PMingLiU" w:hAnsi="PMingLiU"/>
          <w:sz w:val="62"/>
          <w:szCs w:val="62"/>
          <w:color w:val="FFFFFF"/>
        </w:rPr>
        <w:t/>
      </w:r>
    </w:p>
    <w:p>
      <w:pPr>
        <w:spacing w:after="0" w:line="3" w:lineRule="exact"/>
        <w:rPr>
          <w:sz w:val="20"/>
          <w:szCs w:val="20"/>
          <w:color w:val="auto"/>
        </w:rPr>
      </w:pPr>
    </w:p>
    <w:p>
      <w:pPr>
        <w:jc w:val="center"/>
        <w:ind w:left="1511"/>
        <w:spacing w:after="0" w:line="182" w:lineRule="exact"/>
        <w:rPr>
          <w:sz w:val="20"/>
          <w:szCs w:val="20"/>
          <w:color w:val="auto"/>
        </w:rPr>
      </w:pPr>
      <w:r>
        <w:rPr>
          <w:rFonts w:ascii="Arial" w:cs="Arial" w:eastAsia="Arial" w:hAnsi="Arial"/>
          <w:sz w:val="15"/>
          <w:szCs w:val="15"/>
          <w:b w:val="1"/>
          <w:bCs w:val="1"/>
          <w:color w:val="FFFFFF"/>
        </w:rPr>
        <w:t>ÝäÙé</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äéÙ</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 xml:space="preserve">½ </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ËÝä Ý</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ô«Ä£Ý</w:t>
      </w:r>
    </w:p>
    <w:p>
      <w:pPr>
        <w:jc w:val="center"/>
        <w:ind w:left="1511"/>
        <w:spacing w:after="0"/>
        <w:rPr>
          <w:sz w:val="20"/>
          <w:szCs w:val="20"/>
          <w:color w:val="auto"/>
        </w:rPr>
      </w:pPr>
      <w:r>
        <w:rPr>
          <w:rFonts w:ascii="Arial" w:cs="Arial" w:eastAsia="Arial" w:hAnsi="Arial"/>
          <w:sz w:val="19"/>
          <w:szCs w:val="19"/>
          <w:b w:val="1"/>
          <w:bCs w:val="1"/>
          <w:color w:val="FFFFFF"/>
        </w:rPr>
        <w:t>ôÝǔ ƍƋƌƔ</w:t>
      </w:r>
      <w:r>
        <w:rPr>
          <w:rFonts w:ascii="Arial" w:cs="Arial" w:eastAsia="Arial" w:hAnsi="Arial"/>
          <w:sz w:val="22"/>
          <w:szCs w:val="22"/>
          <w:b w:val="1"/>
          <w:bCs w:val="1"/>
          <w:color w:val="FFFFFF"/>
          <w:vertAlign w:val="superscript"/>
        </w:rPr>
        <w:t>ƌ</w:t>
      </w:r>
    </w:p>
    <w:p>
      <w:pPr>
        <w:spacing w:after="0" w:line="83" w:lineRule="exact"/>
        <w:rPr>
          <w:sz w:val="20"/>
          <w:szCs w:val="20"/>
          <w:color w:val="auto"/>
        </w:rPr>
      </w:pPr>
    </w:p>
    <w:p>
      <w:pPr>
        <w:jc w:val="center"/>
        <w:ind w:left="1511"/>
        <w:spacing w:after="0" w:line="1047" w:lineRule="exact"/>
        <w:rPr>
          <w:sz w:val="20"/>
          <w:szCs w:val="20"/>
          <w:color w:val="auto"/>
        </w:rPr>
      </w:pPr>
      <w:r>
        <w:rPr>
          <w:rFonts w:ascii="Arial" w:cs="Arial" w:eastAsia="Arial" w:hAnsi="Arial"/>
          <w:sz w:val="91"/>
          <w:szCs w:val="91"/>
          <w:color w:val="FFFFFF"/>
          <w:vertAlign w:val="superscript"/>
        </w:rPr>
        <w:t>ȃǵ</w:t>
      </w:r>
      <w:r>
        <w:rPr>
          <w:rFonts w:ascii="Arial" w:cs="Arial" w:eastAsia="Arial" w:hAnsi="Arial"/>
          <w:sz w:val="79"/>
          <w:szCs w:val="79"/>
          <w:color w:val="FFFFFF"/>
        </w:rPr>
        <w:t>Ǝƍ</w:t>
      </w:r>
      <w:r>
        <w:rPr>
          <w:rFonts w:ascii="PMingLiU" w:cs="PMingLiU" w:eastAsia="PMingLiU" w:hAnsi="PMingLiU"/>
          <w:sz w:val="62"/>
          <w:szCs w:val="62"/>
          <w:color w:val="FFFFFF"/>
        </w:rPr>
        <w:t/>
      </w:r>
    </w:p>
    <w:p>
      <w:pPr>
        <w:ind w:left="1951"/>
        <w:spacing w:after="0" w:line="193" w:lineRule="exact"/>
        <w:rPr>
          <w:sz w:val="20"/>
          <w:szCs w:val="20"/>
          <w:color w:val="auto"/>
        </w:rPr>
      </w:pPr>
      <w:r>
        <w:rPr>
          <w:rFonts w:ascii="Arial" w:cs="Arial" w:eastAsia="Arial" w:hAnsi="Arial"/>
          <w:sz w:val="19"/>
          <w:szCs w:val="19"/>
          <w:b w:val="1"/>
          <w:bCs w:val="1"/>
          <w:color w:val="FFFFFF"/>
        </w:rPr>
        <w:t>Ý¨</w:t>
      </w: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Ù</w:t>
      </w: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¨Ë½</w:t>
      </w: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Ù</w:t>
      </w:r>
    </w:p>
    <w:p>
      <w:pPr>
        <w:ind w:left="1911"/>
        <w:spacing w:after="0" w:line="200" w:lineRule="exact"/>
        <w:rPr>
          <w:sz w:val="20"/>
          <w:szCs w:val="20"/>
          <w:color w:val="auto"/>
        </w:rPr>
      </w:pP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«ÝäÙ«</w:t>
      </w: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éä«ËÄÝ</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3500"/>
        <w:spacing w:after="0" w:line="910" w:lineRule="exact"/>
        <w:rPr>
          <w:sz w:val="20"/>
          <w:szCs w:val="20"/>
          <w:color w:val="auto"/>
        </w:rPr>
      </w:pPr>
      <w:r>
        <w:rPr>
          <w:rFonts w:ascii="Arial" w:cs="Arial" w:eastAsia="Arial" w:hAnsi="Arial"/>
          <w:sz w:val="79"/>
          <w:szCs w:val="79"/>
          <w:color w:val="FFFFFF"/>
        </w:rPr>
        <w:t>ƌƐ</w:t>
      </w:r>
      <w:r>
        <w:rPr>
          <w:rFonts w:ascii="Arial Unicode MS" w:cs="Arial Unicode MS" w:eastAsia="Arial Unicode MS" w:hAnsi="Arial Unicode MS"/>
          <w:sz w:val="62"/>
          <w:szCs w:val="62"/>
          <w:color w:val="FFFFFF"/>
        </w:rPr>
        <w:t>Ȑ</w:t>
      </w:r>
    </w:p>
    <w:p>
      <w:pPr>
        <w:jc w:val="center"/>
        <w:ind w:right="3500"/>
        <w:spacing w:after="0" w:line="193" w:lineRule="exact"/>
        <w:rPr>
          <w:sz w:val="20"/>
          <w:szCs w:val="20"/>
          <w:color w:val="auto"/>
        </w:rPr>
      </w:pPr>
      <w:r>
        <w:rPr>
          <w:rFonts w:ascii="Arial" w:cs="Arial" w:eastAsia="Arial" w:hAnsi="Arial"/>
          <w:sz w:val="17"/>
          <w:szCs w:val="17"/>
          <w:b w:val="1"/>
          <w:bCs w:val="1"/>
          <w:color w:val="FFFFFF"/>
        </w:rPr>
        <w:t>Ù</w:t>
      </w:r>
      <w:r>
        <w:rPr>
          <w:rFonts w:ascii="PMingLiU" w:cs="PMingLiU" w:eastAsia="PMingLiU" w:hAnsi="PMingLiU"/>
          <w:sz w:val="17"/>
          <w:szCs w:val="17"/>
          <w:b w:val="1"/>
          <w:bCs w:val="1"/>
          <w:color w:val="FFFFFF"/>
        </w:rPr>
        <w:t></w:t>
      </w:r>
      <w:r>
        <w:rPr>
          <w:rFonts w:ascii="Arial" w:cs="Arial" w:eastAsia="Arial" w:hAnsi="Arial"/>
          <w:sz w:val="17"/>
          <w:szCs w:val="17"/>
          <w:b w:val="1"/>
          <w:bCs w:val="1"/>
          <w:color w:val="FFFFFF"/>
        </w:rPr>
        <w:t xml:space="preserve">äéÙÄ ËÄ </w:t>
      </w:r>
      <w:r>
        <w:rPr>
          <w:rFonts w:ascii="PMingLiU" w:cs="PMingLiU" w:eastAsia="PMingLiU" w:hAnsi="PMingLiU"/>
          <w:sz w:val="17"/>
          <w:szCs w:val="17"/>
          <w:b w:val="1"/>
          <w:bCs w:val="1"/>
          <w:color w:val="FFFFFF"/>
        </w:rPr>
        <w:t></w:t>
      </w:r>
      <w:r>
        <w:rPr>
          <w:rFonts w:ascii="Arial" w:cs="Arial" w:eastAsia="Arial" w:hAnsi="Arial"/>
          <w:sz w:val="17"/>
          <w:szCs w:val="17"/>
          <w:b w:val="1"/>
          <w:bCs w:val="1"/>
          <w:color w:val="FFFFFF"/>
        </w:rPr>
        <w:t>ô</w:t>
      </w:r>
      <w:r>
        <w:rPr>
          <w:rFonts w:ascii="PMingLiU" w:cs="PMingLiU" w:eastAsia="PMingLiU" w:hAnsi="PMingLiU"/>
          <w:sz w:val="17"/>
          <w:szCs w:val="17"/>
          <w:b w:val="1"/>
          <w:bCs w:val="1"/>
          <w:color w:val="FFFFFF"/>
        </w:rPr>
        <w:t></w:t>
      </w:r>
      <w:r>
        <w:rPr>
          <w:rFonts w:ascii="Arial" w:cs="Arial" w:eastAsia="Arial" w:hAnsi="Arial"/>
          <w:sz w:val="17"/>
          <w:szCs w:val="17"/>
          <w:b w:val="1"/>
          <w:bCs w:val="1"/>
          <w:color w:val="FFFFFF"/>
        </w:rPr>
        <w:t>Ù</w:t>
      </w:r>
      <w:r>
        <w:rPr>
          <w:rFonts w:ascii="PMingLiU" w:cs="PMingLiU" w:eastAsia="PMingLiU" w:hAnsi="PMingLiU"/>
          <w:sz w:val="17"/>
          <w:szCs w:val="17"/>
          <w:b w:val="1"/>
          <w:bCs w:val="1"/>
          <w:color w:val="FFFFFF"/>
        </w:rPr>
        <w:t></w:t>
      </w:r>
      <w:r>
        <w:rPr>
          <w:rFonts w:ascii="Arial" w:cs="Arial" w:eastAsia="Arial" w:hAnsi="Arial"/>
          <w:sz w:val="17"/>
          <w:szCs w:val="17"/>
          <w:b w:val="1"/>
          <w:bCs w:val="1"/>
          <w:color w:val="FFFFFF"/>
        </w:rPr>
        <w:t>£</w:t>
      </w:r>
      <w:r>
        <w:rPr>
          <w:rFonts w:ascii="PMingLiU" w:cs="PMingLiU" w:eastAsia="PMingLiU" w:hAnsi="PMingLiU"/>
          <w:sz w:val="17"/>
          <w:szCs w:val="17"/>
          <w:b w:val="1"/>
          <w:bCs w:val="1"/>
          <w:color w:val="FFFFFF"/>
        </w:rPr>
        <w:t> </w:t>
      </w:r>
      <w:r>
        <w:rPr>
          <w:rFonts w:ascii="Arial" w:cs="Arial" w:eastAsia="Arial" w:hAnsi="Arial"/>
          <w:sz w:val="17"/>
          <w:szCs w:val="17"/>
          <w:b w:val="1"/>
          <w:bCs w:val="1"/>
          <w:color w:val="FFFFFF"/>
        </w:rPr>
        <w:t>Ö«ä</w:t>
      </w:r>
      <w:r>
        <w:rPr>
          <w:rFonts w:ascii="PMingLiU" w:cs="PMingLiU" w:eastAsia="PMingLiU" w:hAnsi="PMingLiU"/>
          <w:sz w:val="17"/>
          <w:szCs w:val="17"/>
          <w:b w:val="1"/>
          <w:bCs w:val="1"/>
          <w:color w:val="FFFFFF"/>
        </w:rPr>
        <w:t></w:t>
      </w:r>
      <w:r>
        <w:rPr>
          <w:rFonts w:ascii="Arial" w:cs="Arial" w:eastAsia="Arial" w:hAnsi="Arial"/>
          <w:sz w:val="17"/>
          <w:szCs w:val="17"/>
          <w:b w:val="1"/>
          <w:bCs w:val="1"/>
          <w:color w:val="FFFFFF"/>
        </w:rPr>
        <w:t>½</w:t>
      </w:r>
    </w:p>
    <w:p>
      <w:pPr>
        <w:jc w:val="center"/>
        <w:ind w:right="3500"/>
        <w:spacing w:after="0" w:line="201" w:lineRule="exact"/>
        <w:rPr>
          <w:sz w:val="20"/>
          <w:szCs w:val="20"/>
          <w:color w:val="auto"/>
        </w:rPr>
      </w:pP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ÃÖ½Ëû</w:t>
      </w: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 xml:space="preserve"> ǡWI</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Ǣ</w:t>
      </w:r>
    </w:p>
    <w:p>
      <w:pPr>
        <w:spacing w:after="0" w:line="243" w:lineRule="exact"/>
        <w:rPr>
          <w:sz w:val="20"/>
          <w:szCs w:val="20"/>
          <w:color w:val="auto"/>
        </w:rPr>
      </w:pPr>
    </w:p>
    <w:p>
      <w:pPr>
        <w:jc w:val="center"/>
        <w:ind w:right="3520"/>
        <w:spacing w:after="0" w:line="910" w:lineRule="exact"/>
        <w:rPr>
          <w:sz w:val="20"/>
          <w:szCs w:val="20"/>
          <w:color w:val="auto"/>
        </w:rPr>
      </w:pPr>
      <w:r>
        <w:rPr>
          <w:rFonts w:ascii="Arial" w:cs="Arial" w:eastAsia="Arial" w:hAnsi="Arial"/>
          <w:sz w:val="79"/>
          <w:szCs w:val="79"/>
          <w:color w:val="FFFFFF"/>
        </w:rPr>
        <w:t>ƌƐ</w:t>
      </w:r>
      <w:r>
        <w:rPr>
          <w:rFonts w:ascii="Arial Unicode MS" w:cs="Arial Unicode MS" w:eastAsia="Arial Unicode MS" w:hAnsi="Arial Unicode MS"/>
          <w:sz w:val="62"/>
          <w:szCs w:val="62"/>
          <w:color w:val="FFFFFF"/>
        </w:rPr>
        <w:t>Ȑ</w:t>
      </w:r>
    </w:p>
    <w:p>
      <w:pPr>
        <w:jc w:val="center"/>
        <w:ind w:right="3520"/>
        <w:spacing w:after="0" w:line="182" w:lineRule="exact"/>
        <w:rPr>
          <w:sz w:val="20"/>
          <w:szCs w:val="20"/>
          <w:color w:val="auto"/>
        </w:rPr>
      </w:pP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ÄÄé</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½«Ā</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 xml:space="preserve"> äËä</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½ Ý¨</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Ù</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¨Ë½</w:t>
      </w:r>
      <w:r>
        <w:rPr>
          <w:rFonts w:ascii="PMingLiU" w:cs="PMingLiU" w:eastAsia="PMingLiU" w:hAnsi="PMingLiU"/>
          <w:sz w:val="15"/>
          <w:szCs w:val="15"/>
          <w:b w:val="1"/>
          <w:bCs w:val="1"/>
          <w:color w:val="FFFFFF"/>
        </w:rPr>
        <w:t></w:t>
      </w:r>
      <w:r>
        <w:rPr>
          <w:rFonts w:ascii="Arial" w:cs="Arial" w:eastAsia="Arial" w:hAnsi="Arial"/>
          <w:sz w:val="15"/>
          <w:szCs w:val="15"/>
          <w:b w:val="1"/>
          <w:bCs w:val="1"/>
          <w:color w:val="FFFFFF"/>
        </w:rPr>
        <w:t>Ù</w:t>
      </w:r>
    </w:p>
    <w:p>
      <w:pPr>
        <w:jc w:val="center"/>
        <w:ind w:right="3520"/>
        <w:spacing w:after="0" w:line="212" w:lineRule="exact"/>
        <w:rPr>
          <w:sz w:val="20"/>
          <w:szCs w:val="20"/>
          <w:color w:val="auto"/>
        </w:rPr>
      </w:pPr>
      <w:r>
        <w:rPr>
          <w:rFonts w:ascii="Arial" w:cs="Arial" w:eastAsia="Arial" w:hAnsi="Arial"/>
          <w:sz w:val="19"/>
          <w:szCs w:val="19"/>
          <w:b w:val="1"/>
          <w:bCs w:val="1"/>
          <w:color w:val="FFFFFF"/>
        </w:rPr>
        <w:t>Ù</w:t>
      </w: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äéÙÄ Ý«Ä</w:t>
      </w:r>
      <w:r>
        <w:rPr>
          <w:rFonts w:ascii="PMingLiU" w:cs="PMingLiU" w:eastAsia="PMingLiU" w:hAnsi="PMingLiU"/>
          <w:sz w:val="19"/>
          <w:szCs w:val="19"/>
          <w:b w:val="1"/>
          <w:bCs w:val="1"/>
          <w:color w:val="FFFFFF"/>
        </w:rPr>
        <w:t></w:t>
      </w:r>
      <w:r>
        <w:rPr>
          <w:rFonts w:ascii="Arial" w:cs="Arial" w:eastAsia="Arial" w:hAnsi="Arial"/>
          <w:sz w:val="19"/>
          <w:szCs w:val="19"/>
          <w:b w:val="1"/>
          <w:bCs w:val="1"/>
          <w:color w:val="FFFFFF"/>
        </w:rPr>
        <w:t xml:space="preserve"> ƍƋƌƔ</w:t>
      </w:r>
    </w:p>
    <w:p>
      <w:pPr>
        <w:spacing w:after="0" w:line="205" w:lineRule="exact"/>
        <w:rPr>
          <w:sz w:val="20"/>
          <w:szCs w:val="20"/>
          <w:color w:val="auto"/>
        </w:rPr>
      </w:pPr>
    </w:p>
    <w:p>
      <w:pPr>
        <w:sectPr>
          <w:pgSz w:w="11880" w:h="15480" w:orient="portrait"/>
          <w:cols w:equalWidth="0" w:num="2">
            <w:col w:w="3371" w:space="720"/>
            <w:col w:w="5900"/>
          </w:cols>
          <w:pgMar w:left="749" w:top="360" w:right="1140" w:bottom="0" w:gutter="0" w:footer="0" w:header="0"/>
          <w:type w:val="continuous"/>
        </w:sectPr>
      </w:pPr>
    </w:p>
    <w:p>
      <w:pPr>
        <w:spacing w:after="0" w:line="168" w:lineRule="exact"/>
        <w:rPr>
          <w:sz w:val="20"/>
          <w:szCs w:val="20"/>
          <w:color w:val="auto"/>
        </w:rPr>
      </w:pPr>
    </w:p>
    <w:tbl>
      <w:tblPr>
        <w:tblLayout w:type="fixed"/>
        <w:tblInd w:w="371" w:type="dxa"/>
        <w:tblCellMar>
          <w:top w:w="0" w:type="dxa"/>
          <w:left w:w="0" w:type="dxa"/>
          <w:bottom w:w="0" w:type="dxa"/>
          <w:right w:w="0" w:type="dxa"/>
        </w:tblCellMar>
      </w:tblPr>
      <w:tr>
        <w:trPr>
          <w:trHeight w:val="218"/>
        </w:trPr>
        <w:tc>
          <w:tcPr>
            <w:tcW w:w="1020" w:type="dxa"/>
            <w:vAlign w:val="bottom"/>
            <w:vMerge w:val="restart"/>
          </w:tcPr>
          <w:p>
            <w:pPr>
              <w:jc w:val="right"/>
              <w:spacing w:after="0" w:line="388" w:lineRule="exact"/>
              <w:rPr>
                <w:sz w:val="20"/>
                <w:szCs w:val="20"/>
                <w:color w:val="auto"/>
              </w:rPr>
            </w:pPr>
            <w:r>
              <w:rPr>
                <w:rFonts w:ascii="Arial" w:cs="Arial" w:eastAsia="Arial" w:hAnsi="Arial"/>
                <w:sz w:val="32"/>
                <w:szCs w:val="32"/>
                <w:color w:val="FFFFFF"/>
                <w:w w:val="94"/>
              </w:rPr>
              <w:t>[</w:t>
            </w:r>
            <w:r>
              <w:rPr>
                <w:rFonts w:ascii="PMingLiU" w:cs="PMingLiU" w:eastAsia="PMingLiU" w:hAnsi="PMingLiU"/>
                <w:sz w:val="32"/>
                <w:szCs w:val="32"/>
                <w:color w:val="FFFFFF"/>
                <w:w w:val="94"/>
              </w:rPr>
              <w:t></w:t>
            </w:r>
            <w:r>
              <w:rPr>
                <w:rFonts w:ascii="Arial" w:cs="Arial" w:eastAsia="Arial" w:hAnsi="Arial"/>
                <w:sz w:val="32"/>
                <w:szCs w:val="32"/>
                <w:color w:val="FFFFFF"/>
                <w:w w:val="94"/>
              </w:rPr>
              <w:t>¢</w:t>
            </w:r>
            <w:r>
              <w:rPr>
                <w:rFonts w:ascii="PMingLiU" w:cs="PMingLiU" w:eastAsia="PMingLiU" w:hAnsi="PMingLiU"/>
                <w:sz w:val="32"/>
                <w:szCs w:val="32"/>
                <w:color w:val="FFFFFF"/>
                <w:w w:val="94"/>
              </w:rPr>
              <w:t></w:t>
            </w:r>
            <w:r>
              <w:rPr>
                <w:rFonts w:ascii="Arial" w:cs="Arial" w:eastAsia="Arial" w:hAnsi="Arial"/>
                <w:sz w:val="32"/>
                <w:szCs w:val="32"/>
                <w:color w:val="FFFFFF"/>
                <w:w w:val="94"/>
              </w:rPr>
              <w:t>äû</w:t>
            </w:r>
          </w:p>
        </w:tc>
        <w:tc>
          <w:tcPr>
            <w:tcW w:w="8060" w:type="dxa"/>
            <w:vAlign w:val="bottom"/>
          </w:tcPr>
          <w:p>
            <w:pPr>
              <w:ind w:left="140"/>
              <w:spacing w:after="0" w:line="219" w:lineRule="exact"/>
              <w:rPr>
                <w:sz w:val="20"/>
                <w:szCs w:val="20"/>
                <w:color w:val="auto"/>
              </w:rPr>
            </w:pPr>
            <w:r>
              <w:rPr>
                <w:rFonts w:ascii="Arial" w:cs="Arial" w:eastAsia="Arial" w:hAnsi="Arial"/>
                <w:sz w:val="18"/>
                <w:szCs w:val="18"/>
                <w:color w:val="FFFFFF"/>
                <w:w w:val="94"/>
              </w:rPr>
              <w:t>$ËÙ Ã</w:t>
            </w:r>
            <w:r>
              <w:rPr>
                <w:rFonts w:ascii="PMingLiU" w:cs="PMingLiU" w:eastAsia="PMingLiU" w:hAnsi="PMingLiU"/>
                <w:sz w:val="18"/>
                <w:szCs w:val="18"/>
                <w:color w:val="FFFFFF"/>
                <w:w w:val="94"/>
              </w:rPr>
              <w:t></w:t>
            </w:r>
            <w:r>
              <w:rPr>
                <w:rFonts w:ascii="Arial" w:cs="Arial" w:eastAsia="Arial" w:hAnsi="Arial"/>
                <w:sz w:val="18"/>
                <w:szCs w:val="18"/>
                <w:color w:val="FFFFFF"/>
                <w:w w:val="94"/>
              </w:rPr>
              <w:t>Äû û</w:t>
            </w:r>
            <w:r>
              <w:rPr>
                <w:rFonts w:ascii="PMingLiU" w:cs="PMingLiU" w:eastAsia="PMingLiU" w:hAnsi="PMingLiU"/>
                <w:sz w:val="18"/>
                <w:szCs w:val="18"/>
                <w:color w:val="FFFFFF"/>
                <w:w w:val="94"/>
              </w:rPr>
              <w:t></w:t>
            </w:r>
            <w:r>
              <w:rPr>
                <w:rFonts w:ascii="Arial" w:cs="Arial" w:eastAsia="Arial" w:hAnsi="Arial"/>
                <w:sz w:val="18"/>
                <w:szCs w:val="18"/>
                <w:color w:val="FFFFFF"/>
                <w:w w:val="94"/>
              </w:rPr>
              <w:t>ÙÝǏ õ</w:t>
            </w:r>
            <w:r>
              <w:rPr>
                <w:rFonts w:ascii="PMingLiU" w:cs="PMingLiU" w:eastAsia="PMingLiU" w:hAnsi="PMingLiU"/>
                <w:sz w:val="18"/>
                <w:szCs w:val="18"/>
                <w:color w:val="FFFFFF"/>
                <w:w w:val="94"/>
              </w:rPr>
              <w:t></w:t>
            </w:r>
            <w:r>
              <w:rPr>
                <w:rFonts w:ascii="Arial" w:cs="Arial" w:eastAsia="Arial" w:hAnsi="Arial"/>
                <w:sz w:val="18"/>
                <w:szCs w:val="18"/>
                <w:color w:val="FFFFFF"/>
                <w:w w:val="94"/>
              </w:rPr>
              <w:t>ǯô</w:t>
            </w:r>
            <w:r>
              <w:rPr>
                <w:rFonts w:ascii="PMingLiU" w:cs="PMingLiU" w:eastAsia="PMingLiU" w:hAnsi="PMingLiU"/>
                <w:sz w:val="18"/>
                <w:szCs w:val="18"/>
                <w:color w:val="FFFFFF"/>
                <w:w w:val="94"/>
              </w:rPr>
              <w:t> </w:t>
            </w:r>
            <w:r>
              <w:rPr>
                <w:rFonts w:ascii="Arial" w:cs="Arial" w:eastAsia="Arial" w:hAnsi="Arial"/>
                <w:sz w:val="18"/>
                <w:szCs w:val="18"/>
                <w:color w:val="FFFFFF"/>
                <w:w w:val="94"/>
              </w:rPr>
              <w:t>ú</w:t>
            </w:r>
            <w:r>
              <w:rPr>
                <w:rFonts w:ascii="PMingLiU" w:cs="PMingLiU" w:eastAsia="PMingLiU" w:hAnsi="PMingLiU"/>
                <w:sz w:val="18"/>
                <w:szCs w:val="18"/>
                <w:color w:val="FFFFFF"/>
                <w:w w:val="94"/>
              </w:rPr>
              <w:t></w:t>
            </w:r>
            <w:r>
              <w:rPr>
                <w:rFonts w:ascii="Arial" w:cs="Arial" w:eastAsia="Arial" w:hAnsi="Arial"/>
                <w:sz w:val="18"/>
                <w:szCs w:val="18"/>
                <w:color w:val="FFFFFF"/>
                <w:w w:val="94"/>
              </w:rPr>
              <w:t xml:space="preserve"> «Ä</w:t>
            </w:r>
            <w:r>
              <w:rPr>
                <w:rFonts w:ascii="PMingLiU" w:cs="PMingLiU" w:eastAsia="PMingLiU" w:hAnsi="PMingLiU"/>
                <w:sz w:val="18"/>
                <w:szCs w:val="18"/>
                <w:color w:val="FFFFFF"/>
                <w:w w:val="94"/>
              </w:rPr>
              <w:t></w:t>
            </w:r>
            <w:r>
              <w:rPr>
                <w:rFonts w:ascii="Arial" w:cs="Arial" w:eastAsia="Arial" w:hAnsi="Arial"/>
                <w:sz w:val="18"/>
                <w:szCs w:val="18"/>
                <w:color w:val="FFFFFF"/>
                <w:w w:val="94"/>
              </w:rPr>
              <w:t xml:space="preserve">éÝäÙû </w:t>
            </w:r>
            <w:r>
              <w:rPr>
                <w:rFonts w:ascii="PMingLiU" w:cs="PMingLiU" w:eastAsia="PMingLiU" w:hAnsi="PMingLiU"/>
                <w:sz w:val="18"/>
                <w:szCs w:val="18"/>
                <w:color w:val="FFFFFF"/>
                <w:w w:val="94"/>
              </w:rPr>
              <w:t></w:t>
            </w:r>
            <w:r>
              <w:rPr>
                <w:rFonts w:ascii="Arial" w:cs="Arial" w:eastAsia="Arial" w:hAnsi="Arial"/>
                <w:sz w:val="18"/>
                <w:szCs w:val="18"/>
                <w:color w:val="FFFFFF"/>
                <w:w w:val="94"/>
              </w:rPr>
              <w:t>Ä</w:t>
            </w:r>
            <w:r>
              <w:rPr>
                <w:rFonts w:ascii="PMingLiU" w:cs="PMingLiU" w:eastAsia="PMingLiU" w:hAnsi="PMingLiU"/>
                <w:sz w:val="18"/>
                <w:szCs w:val="18"/>
                <w:color w:val="FFFFFF"/>
                <w:w w:val="94"/>
              </w:rPr>
              <w:t></w:t>
            </w:r>
            <w:r>
              <w:rPr>
                <w:rFonts w:ascii="Arial" w:cs="Arial" w:eastAsia="Arial" w:hAnsi="Arial"/>
                <w:sz w:val="18"/>
                <w:szCs w:val="18"/>
                <w:color w:val="FFFFFF"/>
                <w:w w:val="94"/>
              </w:rPr>
              <w:t>¨Ã</w:t>
            </w:r>
            <w:r>
              <w:rPr>
                <w:rFonts w:ascii="PMingLiU" w:cs="PMingLiU" w:eastAsia="PMingLiU" w:hAnsi="PMingLiU"/>
                <w:sz w:val="18"/>
                <w:szCs w:val="18"/>
                <w:color w:val="FFFFFF"/>
                <w:w w:val="94"/>
              </w:rPr>
              <w:t></w:t>
            </w:r>
            <w:r>
              <w:rPr>
                <w:rFonts w:ascii="Arial" w:cs="Arial" w:eastAsia="Arial" w:hAnsi="Arial"/>
                <w:sz w:val="18"/>
                <w:szCs w:val="18"/>
                <w:color w:val="FFFFFF"/>
                <w:w w:val="94"/>
              </w:rPr>
              <w:t>ÙºÝ ¢ËÙ õËÙºÖ½</w:t>
            </w:r>
            <w:r>
              <w:rPr>
                <w:rFonts w:ascii="PMingLiU" w:cs="PMingLiU" w:eastAsia="PMingLiU" w:hAnsi="PMingLiU"/>
                <w:sz w:val="18"/>
                <w:szCs w:val="18"/>
                <w:color w:val="FFFFFF"/>
                <w:w w:val="94"/>
              </w:rPr>
              <w:t></w:t>
            </w:r>
            <w:r>
              <w:rPr>
                <w:rFonts w:ascii="Arial" w:cs="Arial" w:eastAsia="Arial" w:hAnsi="Arial"/>
                <w:sz w:val="18"/>
                <w:szCs w:val="18"/>
                <w:color w:val="FFFFFF"/>
                <w:w w:val="94"/>
              </w:rPr>
              <w:t xml:space="preserve"> Ý</w:t>
            </w:r>
            <w:r>
              <w:rPr>
                <w:rFonts w:ascii="PMingLiU" w:cs="PMingLiU" w:eastAsia="PMingLiU" w:hAnsi="PMingLiU"/>
                <w:sz w:val="18"/>
                <w:szCs w:val="18"/>
                <w:color w:val="FFFFFF"/>
                <w:w w:val="94"/>
              </w:rPr>
              <w:t></w:t>
            </w:r>
            <w:r>
              <w:rPr>
                <w:rFonts w:ascii="Arial" w:cs="Arial" w:eastAsia="Arial" w:hAnsi="Arial"/>
                <w:sz w:val="18"/>
                <w:szCs w:val="18"/>
                <w:color w:val="FFFFFF"/>
                <w:w w:val="94"/>
              </w:rPr>
              <w:t>¢</w:t>
            </w:r>
            <w:r>
              <w:rPr>
                <w:rFonts w:ascii="PMingLiU" w:cs="PMingLiU" w:eastAsia="PMingLiU" w:hAnsi="PMingLiU"/>
                <w:sz w:val="18"/>
                <w:szCs w:val="18"/>
                <w:color w:val="FFFFFF"/>
                <w:w w:val="94"/>
              </w:rPr>
              <w:t></w:t>
            </w:r>
            <w:r>
              <w:rPr>
                <w:rFonts w:ascii="Arial" w:cs="Arial" w:eastAsia="Arial" w:hAnsi="Arial"/>
                <w:sz w:val="18"/>
                <w:szCs w:val="18"/>
                <w:color w:val="FFFFFF"/>
                <w:w w:val="94"/>
              </w:rPr>
              <w:t>äûǏ ¨</w:t>
            </w:r>
            <w:r>
              <w:rPr>
                <w:rFonts w:ascii="PMingLiU" w:cs="PMingLiU" w:eastAsia="PMingLiU" w:hAnsi="PMingLiU"/>
                <w:sz w:val="18"/>
                <w:szCs w:val="18"/>
                <w:color w:val="FFFFFF"/>
                <w:w w:val="94"/>
              </w:rPr>
              <w:t></w:t>
            </w:r>
            <w:r>
              <w:rPr>
                <w:rFonts w:ascii="Arial" w:cs="Arial" w:eastAsia="Arial" w:hAnsi="Arial"/>
                <w:sz w:val="18"/>
                <w:szCs w:val="18"/>
                <w:color w:val="FFFFFF"/>
                <w:w w:val="94"/>
              </w:rPr>
              <w:t>ô«Ä£ Ù</w:t>
            </w:r>
            <w:r>
              <w:rPr>
                <w:rFonts w:ascii="PMingLiU" w:cs="PMingLiU" w:eastAsia="PMingLiU" w:hAnsi="PMingLiU"/>
                <w:sz w:val="18"/>
                <w:szCs w:val="18"/>
                <w:color w:val="FFFFFF"/>
                <w:w w:val="94"/>
              </w:rPr>
              <w:t></w:t>
            </w:r>
            <w:r>
              <w:rPr>
                <w:rFonts w:ascii="Arial" w:cs="Arial" w:eastAsia="Arial" w:hAnsi="Arial"/>
                <w:sz w:val="18"/>
                <w:szCs w:val="18"/>
                <w:color w:val="FFFFFF"/>
                <w:w w:val="94"/>
              </w:rPr>
              <w:t>é</w:t>
            </w:r>
            <w:r>
              <w:rPr>
                <w:rFonts w:ascii="PMingLiU" w:cs="PMingLiU" w:eastAsia="PMingLiU" w:hAnsi="PMingLiU"/>
                <w:sz w:val="18"/>
                <w:szCs w:val="18"/>
                <w:color w:val="FFFFFF"/>
                <w:w w:val="94"/>
              </w:rPr>
              <w:t></w:t>
            </w:r>
            <w:r>
              <w:rPr>
                <w:rFonts w:ascii="Arial" w:cs="Arial" w:eastAsia="Arial" w:hAnsi="Arial"/>
                <w:sz w:val="18"/>
                <w:szCs w:val="18"/>
                <w:color w:val="FFFFFF"/>
                <w:w w:val="94"/>
              </w:rPr>
              <w:t xml:space="preserve"> ËéÙ «Ä·éÙû</w:t>
            </w:r>
          </w:p>
        </w:tc>
        <w:tc>
          <w:tcPr>
            <w:tcW w:w="0" w:type="dxa"/>
            <w:vAlign w:val="bottom"/>
          </w:tcPr>
          <w:p>
            <w:pPr>
              <w:spacing w:after="0"/>
              <w:rPr>
                <w:sz w:val="1"/>
                <w:szCs w:val="1"/>
                <w:color w:val="auto"/>
              </w:rPr>
            </w:pPr>
          </w:p>
        </w:tc>
      </w:tr>
      <w:tr>
        <w:trPr>
          <w:trHeight w:val="258"/>
        </w:trPr>
        <w:tc>
          <w:tcPr>
            <w:tcW w:w="1020" w:type="dxa"/>
            <w:vAlign w:val="bottom"/>
            <w:vMerge w:val="continue"/>
          </w:tcPr>
          <w:p>
            <w:pPr>
              <w:spacing w:after="0"/>
              <w:rPr>
                <w:sz w:val="22"/>
                <w:szCs w:val="22"/>
                <w:color w:val="auto"/>
              </w:rPr>
            </w:pPr>
          </w:p>
        </w:tc>
        <w:tc>
          <w:tcPr>
            <w:tcW w:w="8060" w:type="dxa"/>
            <w:vAlign w:val="bottom"/>
          </w:tcPr>
          <w:p>
            <w:pPr>
              <w:ind w:left="140"/>
              <w:spacing w:after="0" w:line="230" w:lineRule="exact"/>
              <w:rPr>
                <w:sz w:val="20"/>
                <w:szCs w:val="20"/>
                <w:color w:val="auto"/>
              </w:rPr>
            </w:pPr>
            <w:r>
              <w:rPr>
                <w:rFonts w:ascii="Arial" w:cs="Arial" w:eastAsia="Arial" w:hAnsi="Arial"/>
                <w:sz w:val="18"/>
                <w:szCs w:val="18"/>
                <w:color w:val="FFFFFF"/>
                <w:w w:val="86"/>
              </w:rPr>
              <w:t>Ù</w:t>
            </w:r>
            <w:r>
              <w:rPr>
                <w:rFonts w:ascii="PMingLiU" w:cs="PMingLiU" w:eastAsia="PMingLiU" w:hAnsi="PMingLiU"/>
                <w:sz w:val="18"/>
                <w:szCs w:val="18"/>
                <w:color w:val="FFFFFF"/>
                <w:w w:val="86"/>
              </w:rPr>
              <w:t></w:t>
            </w:r>
            <w:r>
              <w:rPr>
                <w:rFonts w:ascii="Arial" w:cs="Arial" w:eastAsia="Arial" w:hAnsi="Arial"/>
                <w:sz w:val="18"/>
                <w:szCs w:val="18"/>
                <w:color w:val="FFFFFF"/>
                <w:w w:val="86"/>
              </w:rPr>
              <w:t>ä</w:t>
            </w:r>
            <w:r>
              <w:rPr>
                <w:rFonts w:ascii="PMingLiU" w:cs="PMingLiU" w:eastAsia="PMingLiU" w:hAnsi="PMingLiU"/>
                <w:sz w:val="18"/>
                <w:szCs w:val="18"/>
                <w:color w:val="FFFFFF"/>
                <w:w w:val="86"/>
              </w:rPr>
              <w:t> </w:t>
            </w:r>
            <w:r>
              <w:rPr>
                <w:rFonts w:ascii="Arial" w:cs="Arial" w:eastAsia="Arial" w:hAnsi="Arial"/>
                <w:sz w:val="18"/>
                <w:szCs w:val="18"/>
                <w:color w:val="FFFFFF"/>
                <w:w w:val="86"/>
              </w:rPr>
              <w:t>û ƎƎȐ Ý«Ä</w:t>
            </w:r>
            <w:r>
              <w:rPr>
                <w:rFonts w:ascii="PMingLiU" w:cs="PMingLiU" w:eastAsia="PMingLiU" w:hAnsi="PMingLiU"/>
                <w:sz w:val="18"/>
                <w:szCs w:val="18"/>
                <w:color w:val="FFFFFF"/>
                <w:w w:val="86"/>
              </w:rPr>
              <w:t></w:t>
            </w:r>
            <w:r>
              <w:rPr>
                <w:rFonts w:ascii="Arial" w:cs="Arial" w:eastAsia="Arial" w:hAnsi="Arial"/>
                <w:sz w:val="18"/>
                <w:szCs w:val="18"/>
                <w:color w:val="FFFFFF"/>
                <w:w w:val="86"/>
              </w:rPr>
              <w:t xml:space="preserve"> ƍƋƌƑǔ</w:t>
            </w:r>
            <w:r>
              <w:rPr>
                <w:rFonts w:ascii="Arial" w:cs="Arial" w:eastAsia="Arial" w:hAnsi="Arial"/>
                <w:sz w:val="20"/>
                <w:szCs w:val="20"/>
                <w:color w:val="FFFFFF"/>
                <w:w w:val="86"/>
                <w:vertAlign w:val="superscript"/>
              </w:rPr>
              <w:t>ƍ</w:t>
            </w:r>
            <w:r>
              <w:rPr>
                <w:rFonts w:ascii="Arial" w:cs="Arial" w:eastAsia="Arial" w:hAnsi="Arial"/>
                <w:sz w:val="18"/>
                <w:szCs w:val="18"/>
                <w:color w:val="FFFFFF"/>
                <w:w w:val="86"/>
              </w:rPr>
              <w:t xml:space="preserve"> </w:t>
            </w:r>
            <w:r>
              <w:rPr>
                <w:rFonts w:ascii="PMingLiU" w:cs="PMingLiU" w:eastAsia="PMingLiU" w:hAnsi="PMingLiU"/>
                <w:sz w:val="18"/>
                <w:szCs w:val="18"/>
                <w:color w:val="FFFFFF"/>
                <w:w w:val="86"/>
              </w:rPr>
              <w:t/>
            </w:r>
            <w:r>
              <w:rPr>
                <w:rFonts w:ascii="Arial" w:cs="Arial" w:eastAsia="Arial" w:hAnsi="Arial"/>
                <w:sz w:val="18"/>
                <w:szCs w:val="18"/>
                <w:color w:val="FFFFFF"/>
                <w:w w:val="86"/>
              </w:rPr>
              <w:t>éä õ</w:t>
            </w:r>
            <w:r>
              <w:rPr>
                <w:rFonts w:ascii="PMingLiU" w:cs="PMingLiU" w:eastAsia="PMingLiU" w:hAnsi="PMingLiU"/>
                <w:sz w:val="18"/>
                <w:szCs w:val="18"/>
                <w:color w:val="FFFFFF"/>
                <w:w w:val="86"/>
              </w:rPr>
              <w:t></w:t>
            </w:r>
            <w:r>
              <w:rPr>
                <w:rFonts w:ascii="Arial" w:cs="Arial" w:eastAsia="Arial" w:hAnsi="Arial"/>
                <w:sz w:val="18"/>
                <w:szCs w:val="18"/>
                <w:color w:val="FFFFFF"/>
                <w:w w:val="86"/>
              </w:rPr>
              <w:t>ǯÙ</w:t>
            </w:r>
            <w:r>
              <w:rPr>
                <w:rFonts w:ascii="PMingLiU" w:cs="PMingLiU" w:eastAsia="PMingLiU" w:hAnsi="PMingLiU"/>
                <w:sz w:val="18"/>
                <w:szCs w:val="18"/>
                <w:color w:val="FFFFFF"/>
                <w:w w:val="86"/>
              </w:rPr>
              <w:t></w:t>
            </w:r>
            <w:r>
              <w:rPr>
                <w:rFonts w:ascii="Arial" w:cs="Arial" w:eastAsia="Arial" w:hAnsi="Arial"/>
                <w:sz w:val="18"/>
                <w:szCs w:val="18"/>
                <w:color w:val="FFFFFF"/>
                <w:w w:val="86"/>
              </w:rPr>
              <w:t xml:space="preserve"> ÄËä Ý</w:t>
            </w:r>
            <w:r>
              <w:rPr>
                <w:rFonts w:ascii="PMingLiU" w:cs="PMingLiU" w:eastAsia="PMingLiU" w:hAnsi="PMingLiU"/>
                <w:sz w:val="18"/>
                <w:szCs w:val="18"/>
                <w:color w:val="FFFFFF"/>
                <w:w w:val="86"/>
              </w:rPr>
              <w:t></w:t>
            </w:r>
            <w:r>
              <w:rPr>
                <w:rFonts w:ascii="Arial" w:cs="Arial" w:eastAsia="Arial" w:hAnsi="Arial"/>
                <w:sz w:val="18"/>
                <w:szCs w:val="18"/>
                <w:color w:val="FFFFFF"/>
                <w:w w:val="86"/>
              </w:rPr>
              <w:t>ä«Ý¢«</w:t>
            </w:r>
            <w:r>
              <w:rPr>
                <w:rFonts w:ascii="PMingLiU" w:cs="PMingLiU" w:eastAsia="PMingLiU" w:hAnsi="PMingLiU"/>
                <w:sz w:val="18"/>
                <w:szCs w:val="18"/>
                <w:color w:val="FFFFFF"/>
                <w:w w:val="86"/>
              </w:rPr>
              <w:t> </w:t>
            </w:r>
            <w:r>
              <w:rPr>
                <w:rFonts w:ascii="Arial" w:cs="Arial" w:eastAsia="Arial" w:hAnsi="Arial"/>
                <w:sz w:val="18"/>
                <w:szCs w:val="18"/>
                <w:color w:val="FFFFFF"/>
                <w:w w:val="86"/>
              </w:rPr>
              <w:t>Ä</w:t>
            </w:r>
            <w:r>
              <w:rPr>
                <w:rFonts w:ascii="PMingLiU" w:cs="PMingLiU" w:eastAsia="PMingLiU" w:hAnsi="PMingLiU"/>
                <w:sz w:val="18"/>
                <w:szCs w:val="18"/>
                <w:color w:val="FFFFFF"/>
                <w:w w:val="86"/>
              </w:rPr>
              <w:t></w:t>
            </w:r>
            <w:r>
              <w:rPr>
                <w:rFonts w:ascii="Arial" w:cs="Arial" w:eastAsia="Arial" w:hAnsi="Arial"/>
                <w:sz w:val="18"/>
                <w:szCs w:val="18"/>
                <w:color w:val="FFFFFF"/>
                <w:w w:val="86"/>
              </w:rPr>
              <w:t xml:space="preserve"> õËÄǯä </w:t>
            </w:r>
            <w:r>
              <w:rPr>
                <w:rFonts w:ascii="PMingLiU" w:cs="PMingLiU" w:eastAsia="PMingLiU" w:hAnsi="PMingLiU"/>
                <w:sz w:val="18"/>
                <w:szCs w:val="18"/>
                <w:color w:val="FFFFFF"/>
                <w:w w:val="86"/>
              </w:rPr>
              <w:t></w:t>
            </w:r>
            <w:r>
              <w:rPr>
                <w:rFonts w:ascii="Arial" w:cs="Arial" w:eastAsia="Arial" w:hAnsi="Arial"/>
                <w:sz w:val="18"/>
                <w:szCs w:val="18"/>
                <w:color w:val="FFFFFF"/>
                <w:w w:val="86"/>
              </w:rPr>
              <w:t xml:space="preserve"> éÄä«½ õ</w:t>
            </w:r>
            <w:r>
              <w:rPr>
                <w:rFonts w:ascii="PMingLiU" w:cs="PMingLiU" w:eastAsia="PMingLiU" w:hAnsi="PMingLiU"/>
                <w:sz w:val="18"/>
                <w:szCs w:val="18"/>
                <w:color w:val="FFFFFF"/>
                <w:w w:val="86"/>
              </w:rPr>
              <w:t> </w:t>
            </w:r>
            <w:r>
              <w:rPr>
                <w:rFonts w:ascii="Arial" w:cs="Arial" w:eastAsia="Arial" w:hAnsi="Arial"/>
                <w:sz w:val="18"/>
                <w:szCs w:val="18"/>
                <w:color w:val="FFFFFF"/>
                <w:w w:val="86"/>
              </w:rPr>
              <w:t>½«Ã«Ä</w:t>
            </w:r>
            <w:r>
              <w:rPr>
                <w:rFonts w:ascii="PMingLiU" w:cs="PMingLiU" w:eastAsia="PMingLiU" w:hAnsi="PMingLiU"/>
                <w:sz w:val="18"/>
                <w:szCs w:val="18"/>
                <w:color w:val="FFFFFF"/>
                <w:w w:val="86"/>
              </w:rPr>
              <w:t></w:t>
            </w:r>
            <w:r>
              <w:rPr>
                <w:rFonts w:ascii="Arial" w:cs="Arial" w:eastAsia="Arial" w:hAnsi="Arial"/>
                <w:sz w:val="18"/>
                <w:szCs w:val="18"/>
                <w:color w:val="FFFFFF"/>
                <w:w w:val="86"/>
              </w:rPr>
              <w:t>ä</w:t>
            </w:r>
            <w:r>
              <w:rPr>
                <w:rFonts w:ascii="PMingLiU" w:cs="PMingLiU" w:eastAsia="PMingLiU" w:hAnsi="PMingLiU"/>
                <w:sz w:val="18"/>
                <w:szCs w:val="18"/>
                <w:color w:val="FFFFFF"/>
                <w:w w:val="86"/>
              </w:rPr>
              <w:t> </w:t>
            </w:r>
            <w:r>
              <w:rPr>
                <w:rFonts w:ascii="Arial" w:cs="Arial" w:eastAsia="Arial" w:hAnsi="Arial"/>
                <w:sz w:val="18"/>
                <w:szCs w:val="18"/>
                <w:color w:val="FFFFFF"/>
                <w:w w:val="86"/>
              </w:rPr>
              <w:t>½½ Ý</w:t>
            </w:r>
            <w:r>
              <w:rPr>
                <w:rFonts w:ascii="PMingLiU" w:cs="PMingLiU" w:eastAsia="PMingLiU" w:hAnsi="PMingLiU"/>
                <w:sz w:val="18"/>
                <w:szCs w:val="18"/>
                <w:color w:val="FFFFFF"/>
                <w:w w:val="86"/>
              </w:rPr>
              <w:t></w:t>
            </w:r>
            <w:r>
              <w:rPr>
                <w:rFonts w:ascii="Arial" w:cs="Arial" w:eastAsia="Arial" w:hAnsi="Arial"/>
                <w:sz w:val="18"/>
                <w:szCs w:val="18"/>
                <w:color w:val="FFFFFF"/>
                <w:w w:val="86"/>
              </w:rPr>
              <w:t>Ù«ËéÝ «Ä·éÙ«</w:t>
            </w:r>
            <w:r>
              <w:rPr>
                <w:rFonts w:ascii="PMingLiU" w:cs="PMingLiU" w:eastAsia="PMingLiU" w:hAnsi="PMingLiU"/>
                <w:sz w:val="18"/>
                <w:szCs w:val="18"/>
                <w:color w:val="FFFFFF"/>
                <w:w w:val="86"/>
              </w:rPr>
              <w:t></w:t>
            </w:r>
            <w:r>
              <w:rPr>
                <w:rFonts w:ascii="Arial" w:cs="Arial" w:eastAsia="Arial" w:hAnsi="Arial"/>
                <w:sz w:val="18"/>
                <w:szCs w:val="18"/>
                <w:color w:val="FFFFFF"/>
                <w:w w:val="86"/>
              </w:rPr>
              <w:t>Ýǔ</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111"/>
        <w:spacing w:after="0" w:line="340" w:lineRule="exact"/>
        <w:rPr>
          <w:sz w:val="20"/>
          <w:szCs w:val="20"/>
          <w:color w:val="auto"/>
        </w:rPr>
      </w:pPr>
      <w:r>
        <w:rPr>
          <w:rFonts w:ascii="Arial" w:cs="Arial" w:eastAsia="Arial" w:hAnsi="Arial"/>
          <w:sz w:val="28"/>
          <w:szCs w:val="28"/>
          <w:color w:val="003F9A"/>
        </w:rPr>
        <w:t>sËÙº«Ä£ äË ÝË½ô</w:t>
      </w:r>
      <w:r>
        <w:rPr>
          <w:rFonts w:ascii="PMingLiU" w:cs="PMingLiU" w:eastAsia="PMingLiU" w:hAnsi="PMingLiU"/>
          <w:sz w:val="28"/>
          <w:szCs w:val="28"/>
          <w:color w:val="003F9A"/>
        </w:rPr>
        <w:t></w:t>
      </w:r>
      <w:r>
        <w:rPr>
          <w:rFonts w:ascii="Arial" w:cs="Arial" w:eastAsia="Arial" w:hAnsi="Arial"/>
          <w:sz w:val="28"/>
          <w:szCs w:val="28"/>
          <w:color w:val="003F9A"/>
        </w:rPr>
        <w:t xml:space="preserve"> ä¨</w:t>
      </w:r>
      <w:r>
        <w:rPr>
          <w:rFonts w:ascii="PMingLiU" w:cs="PMingLiU" w:eastAsia="PMingLiU" w:hAnsi="PMingLiU"/>
          <w:sz w:val="28"/>
          <w:szCs w:val="28"/>
          <w:color w:val="003F9A"/>
        </w:rPr>
        <w:t></w:t>
      </w:r>
      <w:r>
        <w:rPr>
          <w:rFonts w:ascii="Arial" w:cs="Arial" w:eastAsia="Arial" w:hAnsi="Arial"/>
          <w:sz w:val="28"/>
          <w:szCs w:val="28"/>
          <w:color w:val="003F9A"/>
        </w:rPr>
        <w:t xml:space="preserve"> </w:t>
      </w:r>
      <w:r>
        <w:rPr>
          <w:rFonts w:ascii="Arial" w:cs="Arial" w:eastAsia="Arial" w:hAnsi="Arial"/>
          <w:sz w:val="28"/>
          <w:szCs w:val="28"/>
          <w:b w:val="1"/>
          <w:bCs w:val="1"/>
          <w:i w:val="1"/>
          <w:iCs w:val="1"/>
          <w:color w:val="003F9A"/>
        </w:rPr>
        <w:t>Ǭ Ä ǭ</w:t>
      </w:r>
      <w:r>
        <w:rPr>
          <w:rFonts w:ascii="Arial" w:cs="Arial" w:eastAsia="Arial" w:hAnsi="Arial"/>
          <w:sz w:val="28"/>
          <w:szCs w:val="28"/>
          <w:color w:val="003F9A"/>
        </w:rPr>
        <w:t xml:space="preserve"> </w:t>
      </w:r>
      <w:r>
        <w:rPr>
          <w:rFonts w:ascii="PMingLiU" w:cs="PMingLiU" w:eastAsia="PMingLiU" w:hAnsi="PMingLiU"/>
          <w:sz w:val="28"/>
          <w:szCs w:val="28"/>
          <w:color w:val="003F9A"/>
        </w:rPr>
        <w:t></w:t>
      </w:r>
      <w:r>
        <w:rPr>
          <w:rFonts w:ascii="Arial" w:cs="Arial" w:eastAsia="Arial" w:hAnsi="Arial"/>
          <w:sz w:val="28"/>
          <w:szCs w:val="28"/>
          <w:color w:val="003F9A"/>
        </w:rPr>
        <w:t>Øé</w:t>
      </w:r>
      <w:r>
        <w:rPr>
          <w:rFonts w:ascii="PMingLiU" w:cs="PMingLiU" w:eastAsia="PMingLiU" w:hAnsi="PMingLiU"/>
          <w:sz w:val="28"/>
          <w:szCs w:val="28"/>
          <w:color w:val="003F9A"/>
        </w:rPr>
        <w:t></w:t>
      </w:r>
      <w:r>
        <w:rPr>
          <w:rFonts w:ascii="Arial" w:cs="Arial" w:eastAsia="Arial" w:hAnsi="Arial"/>
          <w:sz w:val="28"/>
          <w:szCs w:val="28"/>
          <w:color w:val="003F9A"/>
        </w:rPr>
        <w:t>ä«ËÄ</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108585</wp:posOffset>
            </wp:positionV>
            <wp:extent cx="6286500" cy="744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6500" cy="744220"/>
                    </a:xfrm>
                    <a:prstGeom prst="rect">
                      <a:avLst/>
                    </a:prstGeom>
                    <a:noFill/>
                  </pic:spPr>
                </pic:pic>
              </a:graphicData>
            </a:graphic>
          </wp:anchor>
        </w:drawing>
      </w:r>
    </w:p>
    <w:p>
      <w:pPr>
        <w:spacing w:after="0" w:line="37" w:lineRule="exact"/>
        <w:rPr>
          <w:sz w:val="20"/>
          <w:szCs w:val="20"/>
          <w:color w:val="auto"/>
        </w:rPr>
      </w:pPr>
    </w:p>
    <w:tbl>
      <w:tblPr>
        <w:tblLayout w:type="fixed"/>
        <w:tblInd w:w="1451" w:type="dxa"/>
        <w:tblCellMar>
          <w:top w:w="0" w:type="dxa"/>
          <w:left w:w="0" w:type="dxa"/>
          <w:bottom w:w="0" w:type="dxa"/>
          <w:right w:w="0" w:type="dxa"/>
        </w:tblCellMar>
      </w:tblPr>
      <w:tr>
        <w:trPr>
          <w:trHeight w:val="805"/>
        </w:trPr>
        <w:tc>
          <w:tcPr>
            <w:tcW w:w="2860" w:type="dxa"/>
            <w:vAlign w:val="bottom"/>
            <w:vMerge w:val="restart"/>
          </w:tcPr>
          <w:p>
            <w:pPr>
              <w:jc w:val="right"/>
              <w:ind w:right="600"/>
              <w:spacing w:after="0" w:line="340" w:lineRule="exact"/>
              <w:rPr>
                <w:sz w:val="20"/>
                <w:szCs w:val="20"/>
                <w:color w:val="auto"/>
              </w:rPr>
            </w:pPr>
            <w:r>
              <w:rPr>
                <w:rFonts w:ascii="Arial" w:cs="Arial" w:eastAsia="Arial" w:hAnsi="Arial"/>
                <w:sz w:val="28"/>
                <w:szCs w:val="28"/>
                <w:b w:val="1"/>
                <w:bCs w:val="1"/>
                <w:color w:val="003F9A"/>
                <w:w w:val="77"/>
              </w:rPr>
              <w:t>-Ä</w:t>
            </w:r>
            <w:r>
              <w:rPr>
                <w:rFonts w:ascii="PMingLiU" w:cs="PMingLiU" w:eastAsia="PMingLiU" w:hAnsi="PMingLiU"/>
                <w:sz w:val="28"/>
                <w:szCs w:val="28"/>
                <w:b w:val="1"/>
                <w:bCs w:val="1"/>
                <w:color w:val="003F9A"/>
                <w:w w:val="77"/>
              </w:rPr>
              <w:t></w:t>
            </w:r>
            <w:r>
              <w:rPr>
                <w:rFonts w:ascii="Arial" w:cs="Arial" w:eastAsia="Arial" w:hAnsi="Arial"/>
                <w:sz w:val="28"/>
                <w:szCs w:val="28"/>
                <w:b w:val="1"/>
                <w:bCs w:val="1"/>
                <w:color w:val="003F9A"/>
                <w:w w:val="77"/>
              </w:rPr>
              <w:t>Ù</w:t>
            </w:r>
            <w:r>
              <w:rPr>
                <w:rFonts w:ascii="PMingLiU" w:cs="PMingLiU" w:eastAsia="PMingLiU" w:hAnsi="PMingLiU"/>
                <w:sz w:val="28"/>
                <w:szCs w:val="28"/>
                <w:b w:val="1"/>
                <w:bCs w:val="1"/>
                <w:color w:val="003F9A"/>
                <w:w w:val="77"/>
              </w:rPr>
              <w:t></w:t>
            </w:r>
            <w:r>
              <w:rPr>
                <w:rFonts w:ascii="Arial" w:cs="Arial" w:eastAsia="Arial" w:hAnsi="Arial"/>
                <w:sz w:val="28"/>
                <w:szCs w:val="28"/>
                <w:b w:val="1"/>
                <w:bCs w:val="1"/>
                <w:color w:val="003F9A"/>
                <w:w w:val="77"/>
              </w:rPr>
              <w:t>Ý«Ä£ ÝéÖÖ½û</w:t>
            </w:r>
          </w:p>
        </w:tc>
        <w:tc>
          <w:tcPr>
            <w:tcW w:w="1860" w:type="dxa"/>
            <w:vAlign w:val="bottom"/>
          </w:tcPr>
          <w:p>
            <w:pPr>
              <w:ind w:left="740"/>
              <w:spacing w:after="0"/>
              <w:rPr>
                <w:sz w:val="20"/>
                <w:szCs w:val="20"/>
                <w:color w:val="auto"/>
              </w:rPr>
            </w:pPr>
            <w:r>
              <w:rPr>
                <w:rFonts w:ascii="Arial" w:cs="Arial" w:eastAsia="Arial" w:hAnsi="Arial"/>
                <w:sz w:val="70"/>
                <w:szCs w:val="70"/>
                <w:color w:val="FFFFFF"/>
              </w:rPr>
              <w:t>Ș</w:t>
            </w:r>
          </w:p>
        </w:tc>
        <w:tc>
          <w:tcPr>
            <w:tcW w:w="3080" w:type="dxa"/>
            <w:vAlign w:val="bottom"/>
            <w:vMerge w:val="restart"/>
          </w:tcPr>
          <w:p>
            <w:pPr>
              <w:ind w:left="660"/>
              <w:spacing w:after="0" w:line="340" w:lineRule="exact"/>
              <w:rPr>
                <w:sz w:val="20"/>
                <w:szCs w:val="20"/>
                <w:color w:val="auto"/>
              </w:rPr>
            </w:pPr>
            <w:r>
              <w:rPr>
                <w:rFonts w:ascii="Arial" w:cs="Arial" w:eastAsia="Arial" w:hAnsi="Arial"/>
                <w:sz w:val="28"/>
                <w:szCs w:val="28"/>
                <w:b w:val="1"/>
                <w:bCs w:val="1"/>
                <w:color w:val="003F9A"/>
                <w:w w:val="86"/>
              </w:rPr>
              <w:t>W</w:t>
            </w:r>
            <w:r>
              <w:rPr>
                <w:rFonts w:ascii="PMingLiU" w:cs="PMingLiU" w:eastAsia="PMingLiU" w:hAnsi="PMingLiU"/>
                <w:sz w:val="28"/>
                <w:szCs w:val="28"/>
                <w:b w:val="1"/>
                <w:bCs w:val="1"/>
                <w:color w:val="003F9A"/>
                <w:w w:val="86"/>
              </w:rPr>
              <w:t></w:t>
            </w:r>
            <w:r>
              <w:rPr>
                <w:rFonts w:ascii="Arial" w:cs="Arial" w:eastAsia="Arial" w:hAnsi="Arial"/>
                <w:sz w:val="28"/>
                <w:szCs w:val="28"/>
                <w:b w:val="1"/>
                <w:bCs w:val="1"/>
                <w:color w:val="003F9A"/>
                <w:w w:val="86"/>
              </w:rPr>
              <w:t>é</w:t>
            </w:r>
            <w:r>
              <w:rPr>
                <w:rFonts w:ascii="PMingLiU" w:cs="PMingLiU" w:eastAsia="PMingLiU" w:hAnsi="PMingLiU"/>
                <w:sz w:val="28"/>
                <w:szCs w:val="28"/>
                <w:b w:val="1"/>
                <w:bCs w:val="1"/>
                <w:color w:val="003F9A"/>
                <w:w w:val="86"/>
              </w:rPr>
              <w:t></w:t>
            </w:r>
            <w:r>
              <w:rPr>
                <w:rFonts w:ascii="Arial" w:cs="Arial" w:eastAsia="Arial" w:hAnsi="Arial"/>
                <w:sz w:val="28"/>
                <w:szCs w:val="28"/>
                <w:b w:val="1"/>
                <w:bCs w:val="1"/>
                <w:color w:val="003F9A"/>
                <w:w w:val="86"/>
              </w:rPr>
              <w:t xml:space="preserve">«Ä£ </w:t>
            </w:r>
            <w:r>
              <w:rPr>
                <w:rFonts w:ascii="PMingLiU" w:cs="PMingLiU" w:eastAsia="PMingLiU" w:hAnsi="PMingLiU"/>
                <w:sz w:val="28"/>
                <w:szCs w:val="28"/>
                <w:b w:val="1"/>
                <w:bCs w:val="1"/>
                <w:color w:val="003F9A"/>
                <w:w w:val="86"/>
              </w:rPr>
              <w:t></w:t>
            </w:r>
            <w:r>
              <w:rPr>
                <w:rFonts w:ascii="Arial" w:cs="Arial" w:eastAsia="Arial" w:hAnsi="Arial"/>
                <w:sz w:val="28"/>
                <w:szCs w:val="28"/>
                <w:b w:val="1"/>
                <w:bCs w:val="1"/>
                <w:color w:val="003F9A"/>
                <w:w w:val="86"/>
              </w:rPr>
              <w:t>Ã«ÝÝ«ËÄÝ</w:t>
            </w:r>
          </w:p>
        </w:tc>
        <w:tc>
          <w:tcPr>
            <w:tcW w:w="0" w:type="dxa"/>
            <w:vAlign w:val="bottom"/>
          </w:tcPr>
          <w:p>
            <w:pPr>
              <w:spacing w:after="0"/>
              <w:rPr>
                <w:sz w:val="1"/>
                <w:szCs w:val="1"/>
                <w:color w:val="auto"/>
              </w:rPr>
            </w:pPr>
          </w:p>
        </w:tc>
      </w:tr>
      <w:tr>
        <w:trPr>
          <w:trHeight w:val="74"/>
        </w:trPr>
        <w:tc>
          <w:tcPr>
            <w:tcW w:w="286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320675</wp:posOffset>
            </wp:positionV>
            <wp:extent cx="682625" cy="281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 cy="281940"/>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320675</wp:posOffset>
            </wp:positionV>
            <wp:extent cx="692150" cy="28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0" cy="28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91" w:type="dxa"/>
        <w:tblCellMar>
          <w:top w:w="0" w:type="dxa"/>
          <w:left w:w="0" w:type="dxa"/>
          <w:bottom w:w="0" w:type="dxa"/>
          <w:right w:w="0" w:type="dxa"/>
        </w:tblCellMar>
      </w:tblPr>
      <w:tr>
        <w:trPr>
          <w:trHeight w:val="218"/>
        </w:trPr>
        <w:tc>
          <w:tcPr>
            <w:tcW w:w="4580" w:type="dxa"/>
            <w:vAlign w:val="bottom"/>
          </w:tcPr>
          <w:p>
            <w:pPr>
              <w:spacing w:after="0" w:line="219" w:lineRule="exact"/>
              <w:rPr>
                <w:sz w:val="20"/>
                <w:szCs w:val="20"/>
                <w:color w:val="auto"/>
              </w:rPr>
            </w:pPr>
            <w:r>
              <w:rPr>
                <w:rFonts w:ascii="Arial" w:cs="Arial" w:eastAsia="Arial" w:hAnsi="Arial"/>
                <w:sz w:val="18"/>
                <w:szCs w:val="18"/>
                <w:color w:val="191919"/>
              </w:rPr>
              <w:t>£ÙËõä¨ ¢ÙËÃ %éû</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 </w:t>
            </w:r>
            <w:r>
              <w:rPr>
                <w:rFonts w:ascii="Arial" w:cs="Arial" w:eastAsia="Arial" w:hAnsi="Arial"/>
                <w:sz w:val="18"/>
                <w:szCs w:val="18"/>
                <w:color w:val="191919"/>
              </w:rPr>
              <w:t>Ä</w:t>
            </w:r>
            <w:r>
              <w:rPr>
                <w:rFonts w:ascii="PMingLiU" w:cs="PMingLiU" w:eastAsia="PMingLiU" w:hAnsi="PMingLiU"/>
                <w:sz w:val="18"/>
                <w:szCs w:val="18"/>
                <w:color w:val="191919"/>
              </w:rPr>
              <w:t></w:t>
            </w:r>
            <w:r>
              <w:rPr>
                <w:rFonts w:ascii="Arial" w:cs="Arial" w:eastAsia="Arial" w:hAnsi="Arial"/>
                <w:sz w:val="18"/>
                <w:szCs w:val="18"/>
                <w:color w:val="191919"/>
              </w:rPr>
              <w:t xml:space="preserve"> T</w:t>
            </w:r>
            <w:r>
              <w:rPr>
                <w:rFonts w:ascii="PMingLiU" w:cs="PMingLiU" w:eastAsia="PMingLiU" w:hAnsi="PMingLiU"/>
                <w:sz w:val="18"/>
                <w:szCs w:val="18"/>
                <w:color w:val="191919"/>
              </w:rPr>
              <w:t></w:t>
            </w:r>
            <w:r>
              <w:rPr>
                <w:rFonts w:ascii="Arial" w:cs="Arial" w:eastAsia="Arial" w:hAnsi="Arial"/>
                <w:sz w:val="18"/>
                <w:szCs w:val="18"/>
                <w:color w:val="191919"/>
              </w:rPr>
              <w:t>ÙÃ«</w:t>
            </w:r>
            <w:r>
              <w:rPr>
                <w:rFonts w:ascii="PMingLiU" w:cs="PMingLiU" w:eastAsia="PMingLiU" w:hAnsi="PMingLiU"/>
                <w:sz w:val="18"/>
                <w:szCs w:val="18"/>
                <w:color w:val="191919"/>
              </w:rPr>
              <w:t></w:t>
            </w:r>
            <w:r>
              <w:rPr>
                <w:rFonts w:ascii="Arial" w:cs="Arial" w:eastAsia="Arial" w:hAnsi="Arial"/>
                <w:sz w:val="18"/>
                <w:szCs w:val="18"/>
                <w:color w:val="191919"/>
              </w:rPr>
              <w:t>ÄǏ Ù</w:t>
            </w:r>
            <w:r>
              <w:rPr>
                <w:rFonts w:ascii="PMingLiU" w:cs="PMingLiU" w:eastAsia="PMingLiU" w:hAnsi="PMingLiU"/>
                <w:sz w:val="18"/>
                <w:szCs w:val="18"/>
                <w:color w:val="191919"/>
              </w:rPr>
              <w:t></w:t>
            </w:r>
            <w:r>
              <w:rPr>
                <w:rFonts w:ascii="Arial" w:cs="Arial" w:eastAsia="Arial" w:hAnsi="Arial"/>
                <w:sz w:val="18"/>
                <w:szCs w:val="18"/>
                <w:color w:val="191919"/>
              </w:rPr>
              <w:t>¢½</w:t>
            </w:r>
            <w:r>
              <w:rPr>
                <w:rFonts w:ascii="PMingLiU" w:cs="PMingLiU" w:eastAsia="PMingLiU" w:hAnsi="PMingLiU"/>
                <w:sz w:val="18"/>
                <w:szCs w:val="18"/>
                <w:color w:val="191919"/>
              </w:rPr>
              <w:t></w:t>
            </w:r>
            <w:r>
              <w:rPr>
                <w:rFonts w:ascii="Arial" w:cs="Arial" w:eastAsia="Arial" w:hAnsi="Arial"/>
                <w:sz w:val="18"/>
                <w:szCs w:val="18"/>
                <w:color w:val="191919"/>
              </w:rPr>
              <w:t>ä«Ä£ Ù</w:t>
            </w:r>
            <w:r>
              <w:rPr>
                <w:rFonts w:ascii="PMingLiU" w:cs="PMingLiU" w:eastAsia="PMingLiU" w:hAnsi="PMingLiU"/>
                <w:sz w:val="18"/>
                <w:szCs w:val="18"/>
                <w:color w:val="191919"/>
              </w:rPr>
              <w:t></w:t>
            </w:r>
            <w:r>
              <w:rPr>
                <w:rFonts w:ascii="Arial" w:cs="Arial" w:eastAsia="Arial" w:hAnsi="Arial"/>
                <w:sz w:val="18"/>
                <w:szCs w:val="18"/>
                <w:color w:val="191919"/>
              </w:rPr>
              <w:t>ËÙ</w:t>
            </w:r>
            <w:r>
              <w:rPr>
                <w:rFonts w:ascii="PMingLiU" w:cs="PMingLiU" w:eastAsia="PMingLiU" w:hAnsi="PMingLiU"/>
                <w:sz w:val="18"/>
                <w:szCs w:val="18"/>
                <w:color w:val="191919"/>
              </w:rPr>
              <w:t></w:t>
            </w:r>
          </w:p>
        </w:tc>
        <w:tc>
          <w:tcPr>
            <w:tcW w:w="4060" w:type="dxa"/>
            <w:vAlign w:val="bottom"/>
          </w:tcPr>
          <w:p>
            <w:pPr>
              <w:ind w:left="620"/>
              <w:spacing w:after="0" w:line="219" w:lineRule="exact"/>
              <w:rPr>
                <w:sz w:val="20"/>
                <w:szCs w:val="20"/>
                <w:color w:val="auto"/>
              </w:rPr>
            </w:pPr>
            <w:r>
              <w:rPr>
                <w:rFonts w:ascii="Arial" w:cs="Arial" w:eastAsia="Arial" w:hAnsi="Arial"/>
                <w:sz w:val="18"/>
                <w:szCs w:val="18"/>
                <w:color w:val="191919"/>
                <w:w w:val="90"/>
              </w:rPr>
              <w:t>Ù</w:t>
            </w:r>
            <w:r>
              <w:rPr>
                <w:rFonts w:ascii="PMingLiU" w:cs="PMingLiU" w:eastAsia="PMingLiU" w:hAnsi="PMingLiU"/>
                <w:sz w:val="18"/>
                <w:szCs w:val="18"/>
                <w:color w:val="191919"/>
                <w:w w:val="90"/>
              </w:rPr>
              <w:t></w:t>
            </w:r>
            <w:r>
              <w:rPr>
                <w:rFonts w:ascii="Arial" w:cs="Arial" w:eastAsia="Arial" w:hAnsi="Arial"/>
                <w:sz w:val="18"/>
                <w:szCs w:val="18"/>
                <w:color w:val="191919"/>
                <w:w w:val="90"/>
              </w:rPr>
              <w:t>é</w:t>
            </w:r>
            <w:r>
              <w:rPr>
                <w:rFonts w:ascii="PMingLiU" w:cs="PMingLiU" w:eastAsia="PMingLiU" w:hAnsi="PMingLiU"/>
                <w:sz w:val="18"/>
                <w:szCs w:val="18"/>
                <w:color w:val="191919"/>
                <w:w w:val="90"/>
              </w:rPr>
              <w:t></w:t>
            </w:r>
            <w:r>
              <w:rPr>
                <w:rFonts w:ascii="Arial" w:cs="Arial" w:eastAsia="Arial" w:hAnsi="Arial"/>
                <w:sz w:val="18"/>
                <w:szCs w:val="18"/>
                <w:color w:val="191919"/>
                <w:w w:val="90"/>
              </w:rPr>
              <w:t xml:space="preserve">ä«ËÄ «Ä </w:t>
            </w:r>
            <w:r>
              <w:rPr>
                <w:rFonts w:ascii="PMingLiU" w:cs="PMingLiU" w:eastAsia="PMingLiU" w:hAnsi="PMingLiU"/>
                <w:sz w:val="18"/>
                <w:szCs w:val="18"/>
                <w:color w:val="191919"/>
                <w:w w:val="90"/>
              </w:rPr>
              <w:t></w:t>
            </w:r>
            <w:r>
              <w:rPr>
                <w:rFonts w:ascii="Arial" w:cs="Arial" w:eastAsia="Arial" w:hAnsi="Arial"/>
                <w:sz w:val="18"/>
                <w:szCs w:val="18"/>
                <w:color w:val="191919"/>
                <w:w w:val="90"/>
              </w:rPr>
              <w:t>ËÙÖËÙ</w:t>
            </w:r>
            <w:r>
              <w:rPr>
                <w:rFonts w:ascii="PMingLiU" w:cs="PMingLiU" w:eastAsia="PMingLiU" w:hAnsi="PMingLiU"/>
                <w:sz w:val="18"/>
                <w:szCs w:val="18"/>
                <w:color w:val="191919"/>
                <w:w w:val="90"/>
              </w:rPr>
              <w:t></w:t>
            </w:r>
            <w:r>
              <w:rPr>
                <w:rFonts w:ascii="Arial" w:cs="Arial" w:eastAsia="Arial" w:hAnsi="Arial"/>
                <w:sz w:val="18"/>
                <w:szCs w:val="18"/>
                <w:color w:val="191919"/>
                <w:w w:val="90"/>
              </w:rPr>
              <w:t>ä</w:t>
            </w:r>
            <w:r>
              <w:rPr>
                <w:rFonts w:ascii="PMingLiU" w:cs="PMingLiU" w:eastAsia="PMingLiU" w:hAnsi="PMingLiU"/>
                <w:sz w:val="18"/>
                <w:szCs w:val="18"/>
                <w:color w:val="191919"/>
                <w:w w:val="90"/>
              </w:rPr>
              <w:t></w:t>
            </w:r>
            <w:r>
              <w:rPr>
                <w:rFonts w:ascii="Arial" w:cs="Arial" w:eastAsia="Arial" w:hAnsi="Arial"/>
                <w:sz w:val="18"/>
                <w:szCs w:val="18"/>
                <w:color w:val="191919"/>
                <w:w w:val="90"/>
              </w:rPr>
              <w:t>ǥõ«</w:t>
            </w:r>
            <w:r>
              <w:rPr>
                <w:rFonts w:ascii="PMingLiU" w:cs="PMingLiU" w:eastAsia="PMingLiU" w:hAnsi="PMingLiU"/>
                <w:sz w:val="18"/>
                <w:szCs w:val="18"/>
                <w:color w:val="191919"/>
                <w:w w:val="90"/>
              </w:rPr>
              <w:t></w:t>
            </w:r>
            <w:r>
              <w:rPr>
                <w:rFonts w:ascii="Arial" w:cs="Arial" w:eastAsia="Arial" w:hAnsi="Arial"/>
                <w:sz w:val="18"/>
                <w:szCs w:val="18"/>
                <w:color w:val="191919"/>
                <w:w w:val="90"/>
              </w:rPr>
              <w:t xml:space="preserve"> £Ù</w:t>
            </w:r>
            <w:r>
              <w:rPr>
                <w:rFonts w:ascii="PMingLiU" w:cs="PMingLiU" w:eastAsia="PMingLiU" w:hAnsi="PMingLiU"/>
                <w:sz w:val="18"/>
                <w:szCs w:val="18"/>
                <w:color w:val="191919"/>
                <w:w w:val="90"/>
              </w:rPr>
              <w:t></w:t>
            </w:r>
            <w:r>
              <w:rPr>
                <w:rFonts w:ascii="Arial" w:cs="Arial" w:eastAsia="Arial" w:hAnsi="Arial"/>
                <w:sz w:val="18"/>
                <w:szCs w:val="18"/>
                <w:color w:val="191919"/>
                <w:w w:val="90"/>
              </w:rPr>
              <w:t>Ä¨ËéÝ</w:t>
            </w:r>
            <w:r>
              <w:rPr>
                <w:rFonts w:ascii="PMingLiU" w:cs="PMingLiU" w:eastAsia="PMingLiU" w:hAnsi="PMingLiU"/>
                <w:sz w:val="18"/>
                <w:szCs w:val="18"/>
                <w:color w:val="191919"/>
                <w:w w:val="90"/>
              </w:rPr>
              <w:t></w:t>
            </w:r>
            <w:r>
              <w:rPr>
                <w:rFonts w:ascii="Arial" w:cs="Arial" w:eastAsia="Arial" w:hAnsi="Arial"/>
                <w:sz w:val="18"/>
                <w:szCs w:val="18"/>
                <w:color w:val="191919"/>
                <w:w w:val="90"/>
              </w:rPr>
              <w:t xml:space="preserve"> £</w:t>
            </w:r>
            <w:r>
              <w:rPr>
                <w:rFonts w:ascii="PMingLiU" w:cs="PMingLiU" w:eastAsia="PMingLiU" w:hAnsi="PMingLiU"/>
                <w:sz w:val="18"/>
                <w:szCs w:val="18"/>
                <w:color w:val="191919"/>
                <w:w w:val="90"/>
              </w:rPr>
              <w:t></w:t>
            </w:r>
            <w:r>
              <w:rPr>
                <w:rFonts w:ascii="Arial" w:cs="Arial" w:eastAsia="Arial" w:hAnsi="Arial"/>
                <w:sz w:val="18"/>
                <w:szCs w:val="18"/>
                <w:color w:val="191919"/>
                <w:w w:val="90"/>
              </w:rPr>
              <w:t>Ý</w:t>
            </w:r>
          </w:p>
        </w:tc>
      </w:tr>
      <w:tr>
        <w:trPr>
          <w:trHeight w:val="258"/>
        </w:trPr>
        <w:tc>
          <w:tcPr>
            <w:tcW w:w="4580" w:type="dxa"/>
            <w:vAlign w:val="bottom"/>
          </w:tcPr>
          <w:p>
            <w:pPr>
              <w:spacing w:after="0" w:line="219" w:lineRule="exact"/>
              <w:rPr>
                <w:sz w:val="20"/>
                <w:szCs w:val="20"/>
                <w:color w:val="auto"/>
              </w:rPr>
            </w:pPr>
            <w:r>
              <w:rPr>
                <w:rFonts w:ascii="PMingLiU" w:cs="PMingLiU" w:eastAsia="PMingLiU" w:hAnsi="PMingLiU"/>
                <w:sz w:val="18"/>
                <w:szCs w:val="18"/>
                <w:color w:val="191919"/>
              </w:rPr>
              <w:t></w:t>
            </w:r>
            <w:r>
              <w:rPr>
                <w:rFonts w:ascii="Arial" w:cs="Arial" w:eastAsia="Arial" w:hAnsi="Arial"/>
                <w:sz w:val="18"/>
                <w:szCs w:val="18"/>
                <w:color w:val="191919"/>
              </w:rPr>
              <w:t>ÄÄé</w:t>
            </w:r>
            <w:r>
              <w:rPr>
                <w:rFonts w:ascii="PMingLiU" w:cs="PMingLiU" w:eastAsia="PMingLiU" w:hAnsi="PMingLiU"/>
                <w:sz w:val="18"/>
                <w:szCs w:val="18"/>
                <w:color w:val="191919"/>
              </w:rPr>
              <w:t></w:t>
            </w:r>
            <w:r>
              <w:rPr>
                <w:rFonts w:ascii="Arial" w:cs="Arial" w:eastAsia="Arial" w:hAnsi="Arial"/>
                <w:sz w:val="18"/>
                <w:szCs w:val="18"/>
                <w:color w:val="191919"/>
              </w:rPr>
              <w:t>½ ÖÙË</w:t>
            </w:r>
            <w:r>
              <w:rPr>
                <w:rFonts w:ascii="PMingLiU" w:cs="PMingLiU" w:eastAsia="PMingLiU" w:hAnsi="PMingLiU"/>
                <w:sz w:val="18"/>
                <w:szCs w:val="18"/>
                <w:color w:val="191919"/>
              </w:rPr>
              <w:t></w:t>
            </w:r>
            <w:r>
              <w:rPr>
                <w:rFonts w:ascii="Arial" w:cs="Arial" w:eastAsia="Arial" w:hAnsi="Arial"/>
                <w:sz w:val="18"/>
                <w:szCs w:val="18"/>
                <w:color w:val="191919"/>
              </w:rPr>
              <w:t>é</w:t>
            </w:r>
            <w:r>
              <w:rPr>
                <w:rFonts w:ascii="PMingLiU" w:cs="PMingLiU" w:eastAsia="PMingLiU" w:hAnsi="PMingLiU"/>
                <w:sz w:val="18"/>
                <w:szCs w:val="18"/>
                <w:color w:val="191919"/>
              </w:rPr>
              <w:t></w:t>
            </w:r>
            <w:r>
              <w:rPr>
                <w:rFonts w:ascii="Arial" w:cs="Arial" w:eastAsia="Arial" w:hAnsi="Arial"/>
                <w:sz w:val="18"/>
                <w:szCs w:val="18"/>
                <w:color w:val="191919"/>
              </w:rPr>
              <w:t>ä«ËÄ</w:t>
            </w:r>
          </w:p>
        </w:tc>
        <w:tc>
          <w:tcPr>
            <w:tcW w:w="4060" w:type="dxa"/>
            <w:vAlign w:val="bottom"/>
          </w:tcPr>
          <w:p>
            <w:pPr>
              <w:ind w:left="620"/>
              <w:spacing w:after="0" w:line="230" w:lineRule="exact"/>
              <w:rPr>
                <w:sz w:val="20"/>
                <w:szCs w:val="20"/>
                <w:color w:val="auto"/>
              </w:rPr>
            </w:pPr>
            <w:r>
              <w:rPr>
                <w:rFonts w:ascii="PMingLiU" w:cs="PMingLiU" w:eastAsia="PMingLiU" w:hAnsi="PMingLiU"/>
                <w:sz w:val="18"/>
                <w:szCs w:val="18"/>
                <w:color w:val="191919"/>
              </w:rPr>
              <w:t></w:t>
            </w:r>
            <w:r>
              <w:rPr>
                <w:rFonts w:ascii="Arial" w:cs="Arial" w:eastAsia="Arial" w:hAnsi="Arial"/>
                <w:sz w:val="18"/>
                <w:szCs w:val="18"/>
                <w:color w:val="191919"/>
              </w:rPr>
              <w:t>Ã«ÝÝ«ËÄÝ «Ää</w:t>
            </w:r>
            <w:r>
              <w:rPr>
                <w:rFonts w:ascii="PMingLiU" w:cs="PMingLiU" w:eastAsia="PMingLiU" w:hAnsi="PMingLiU"/>
                <w:sz w:val="18"/>
                <w:szCs w:val="18"/>
                <w:color w:val="191919"/>
              </w:rPr>
              <w:t></w:t>
            </w:r>
            <w:r>
              <w:rPr>
                <w:rFonts w:ascii="Arial" w:cs="Arial" w:eastAsia="Arial" w:hAnsi="Arial"/>
                <w:sz w:val="18"/>
                <w:szCs w:val="18"/>
                <w:color w:val="191919"/>
              </w:rPr>
              <w:t>ÄÝ«äû Ý«Ä</w:t>
            </w:r>
            <w:r>
              <w:rPr>
                <w:rFonts w:ascii="PMingLiU" w:cs="PMingLiU" w:eastAsia="PMingLiU" w:hAnsi="PMingLiU"/>
                <w:sz w:val="18"/>
                <w:szCs w:val="18"/>
                <w:color w:val="191919"/>
              </w:rPr>
              <w:t></w:t>
            </w:r>
            <w:r>
              <w:rPr>
                <w:rFonts w:ascii="Arial" w:cs="Arial" w:eastAsia="Arial" w:hAnsi="Arial"/>
                <w:sz w:val="18"/>
                <w:szCs w:val="18"/>
                <w:color w:val="191919"/>
              </w:rPr>
              <w:t xml:space="preserve"> ƍƋƌƑ</w:t>
            </w:r>
            <w:r>
              <w:rPr>
                <w:rFonts w:ascii="Arial" w:cs="Arial" w:eastAsia="Arial" w:hAnsi="Arial"/>
                <w:sz w:val="20"/>
                <w:szCs w:val="20"/>
                <w:color w:val="191919"/>
                <w:vertAlign w:val="superscript"/>
              </w:rPr>
              <w:t>ƏǏƐǏƑǏƒ</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123190</wp:posOffset>
            </wp:positionV>
            <wp:extent cx="596900" cy="28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0" cy="28003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123190</wp:posOffset>
            </wp:positionV>
            <wp:extent cx="1071880" cy="280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88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91" w:type="dxa"/>
        <w:tblCellMar>
          <w:top w:w="0" w:type="dxa"/>
          <w:left w:w="0" w:type="dxa"/>
          <w:bottom w:w="0" w:type="dxa"/>
          <w:right w:w="0" w:type="dxa"/>
        </w:tblCellMar>
      </w:tblPr>
      <w:tr>
        <w:trPr>
          <w:trHeight w:val="218"/>
        </w:trPr>
        <w:tc>
          <w:tcPr>
            <w:tcW w:w="4800" w:type="dxa"/>
            <w:vAlign w:val="bottom"/>
          </w:tcPr>
          <w:p>
            <w:pPr>
              <w:spacing w:after="0" w:line="219" w:lineRule="exact"/>
              <w:rPr>
                <w:sz w:val="20"/>
                <w:szCs w:val="20"/>
                <w:color w:val="auto"/>
              </w:rPr>
            </w:pPr>
            <w:r>
              <w:rPr>
                <w:rFonts w:ascii="Arial" w:cs="Arial" w:eastAsia="Arial" w:hAnsi="Arial"/>
                <w:sz w:val="18"/>
                <w:szCs w:val="18"/>
                <w:color w:val="191919"/>
                <w:w w:val="93"/>
              </w:rPr>
              <w:t>ÖÙË</w:t>
            </w:r>
            <w:r>
              <w:rPr>
                <w:rFonts w:ascii="PMingLiU" w:cs="PMingLiU" w:eastAsia="PMingLiU" w:hAnsi="PMingLiU"/>
                <w:sz w:val="18"/>
                <w:szCs w:val="18"/>
                <w:color w:val="191919"/>
                <w:w w:val="93"/>
              </w:rPr>
              <w:t></w:t>
            </w:r>
            <w:r>
              <w:rPr>
                <w:rFonts w:ascii="Arial" w:cs="Arial" w:eastAsia="Arial" w:hAnsi="Arial"/>
                <w:sz w:val="18"/>
                <w:szCs w:val="18"/>
                <w:color w:val="191919"/>
                <w:w w:val="93"/>
              </w:rPr>
              <w:t>é</w:t>
            </w:r>
            <w:r>
              <w:rPr>
                <w:rFonts w:ascii="PMingLiU" w:cs="PMingLiU" w:eastAsia="PMingLiU" w:hAnsi="PMingLiU"/>
                <w:sz w:val="18"/>
                <w:szCs w:val="18"/>
                <w:color w:val="191919"/>
                <w:w w:val="93"/>
              </w:rPr>
              <w:t></w:t>
            </w:r>
            <w:r>
              <w:rPr>
                <w:rFonts w:ascii="Arial" w:cs="Arial" w:eastAsia="Arial" w:hAnsi="Arial"/>
                <w:sz w:val="18"/>
                <w:szCs w:val="18"/>
                <w:color w:val="191919"/>
                <w:w w:val="93"/>
              </w:rPr>
              <w:t xml:space="preserve">ä«ËÄ </w:t>
            </w:r>
            <w:r>
              <w:rPr>
                <w:rFonts w:ascii="PMingLiU" w:cs="PMingLiU" w:eastAsia="PMingLiU" w:hAnsi="PMingLiU"/>
                <w:sz w:val="18"/>
                <w:szCs w:val="18"/>
                <w:color w:val="191919"/>
                <w:w w:val="93"/>
              </w:rPr>
              <w:t></w:t>
            </w:r>
            <w:r>
              <w:rPr>
                <w:rFonts w:ascii="Arial" w:cs="Arial" w:eastAsia="Arial" w:hAnsi="Arial"/>
                <w:sz w:val="18"/>
                <w:szCs w:val="18"/>
                <w:color w:val="191919"/>
                <w:w w:val="93"/>
              </w:rPr>
              <w:t>Ö</w:t>
            </w:r>
            <w:r>
              <w:rPr>
                <w:rFonts w:ascii="PMingLiU" w:cs="PMingLiU" w:eastAsia="PMingLiU" w:hAnsi="PMingLiU"/>
                <w:sz w:val="18"/>
                <w:szCs w:val="18"/>
                <w:color w:val="191919"/>
                <w:w w:val="93"/>
              </w:rPr>
              <w:t></w:t>
            </w:r>
            <w:r>
              <w:rPr>
                <w:rFonts w:ascii="Arial" w:cs="Arial" w:eastAsia="Arial" w:hAnsi="Arial"/>
                <w:sz w:val="18"/>
                <w:szCs w:val="18"/>
                <w:color w:val="191919"/>
                <w:w w:val="93"/>
              </w:rPr>
              <w:t xml:space="preserve">«äû </w:t>
            </w:r>
            <w:r>
              <w:rPr>
                <w:rFonts w:ascii="PMingLiU" w:cs="PMingLiU" w:eastAsia="PMingLiU" w:hAnsi="PMingLiU"/>
                <w:sz w:val="18"/>
                <w:szCs w:val="18"/>
                <w:color w:val="191919"/>
                <w:w w:val="93"/>
              </w:rPr>
              <w:t></w:t>
            </w:r>
            <w:r>
              <w:rPr>
                <w:rFonts w:ascii="Arial" w:cs="Arial" w:eastAsia="Arial" w:hAnsi="Arial"/>
                <w:sz w:val="18"/>
                <w:szCs w:val="18"/>
                <w:color w:val="191919"/>
                <w:w w:val="93"/>
              </w:rPr>
              <w:t xml:space="preserve"> ¢ÙËÃ T</w:t>
            </w:r>
            <w:r>
              <w:rPr>
                <w:rFonts w:ascii="PMingLiU" w:cs="PMingLiU" w:eastAsia="PMingLiU" w:hAnsi="PMingLiU"/>
                <w:sz w:val="18"/>
                <w:szCs w:val="18"/>
                <w:color w:val="191919"/>
                <w:w w:val="93"/>
              </w:rPr>
              <w:t></w:t>
            </w:r>
            <w:r>
              <w:rPr>
                <w:rFonts w:ascii="Arial" w:cs="Arial" w:eastAsia="Arial" w:hAnsi="Arial"/>
                <w:sz w:val="18"/>
                <w:szCs w:val="18"/>
                <w:color w:val="191919"/>
                <w:w w:val="93"/>
              </w:rPr>
              <w:t>û</w:t>
            </w:r>
            <w:r>
              <w:rPr>
                <w:rFonts w:ascii="PMingLiU" w:cs="PMingLiU" w:eastAsia="PMingLiU" w:hAnsi="PMingLiU"/>
                <w:sz w:val="18"/>
                <w:szCs w:val="18"/>
                <w:color w:val="191919"/>
                <w:w w:val="93"/>
              </w:rPr>
              <w:t></w:t>
            </w:r>
            <w:r>
              <w:rPr>
                <w:rFonts w:ascii="Arial" w:cs="Arial" w:eastAsia="Arial" w:hAnsi="Arial"/>
                <w:sz w:val="18"/>
                <w:szCs w:val="18"/>
                <w:color w:val="191919"/>
                <w:w w:val="93"/>
              </w:rPr>
              <w:t>Ù</w:t>
            </w:r>
            <w:r>
              <w:rPr>
                <w:rFonts w:ascii="PMingLiU" w:cs="PMingLiU" w:eastAsia="PMingLiU" w:hAnsi="PMingLiU"/>
                <w:sz w:val="18"/>
                <w:szCs w:val="18"/>
                <w:color w:val="191919"/>
                <w:w w:val="93"/>
              </w:rPr>
              <w:t></w:t>
            </w:r>
            <w:r>
              <w:rPr>
                <w:rFonts w:ascii="Arial" w:cs="Arial" w:eastAsia="Arial" w:hAnsi="Arial"/>
                <w:sz w:val="18"/>
                <w:szCs w:val="18"/>
                <w:color w:val="191919"/>
                <w:w w:val="93"/>
              </w:rPr>
              <w:t xml:space="preserve"> Ýä</w:t>
            </w:r>
            <w:r>
              <w:rPr>
                <w:rFonts w:ascii="PMingLiU" w:cs="PMingLiU" w:eastAsia="PMingLiU" w:hAnsi="PMingLiU"/>
                <w:sz w:val="18"/>
                <w:szCs w:val="18"/>
                <w:color w:val="191919"/>
                <w:w w:val="93"/>
              </w:rPr>
              <w:t></w:t>
            </w:r>
            <w:r>
              <w:rPr>
                <w:rFonts w:ascii="Arial" w:cs="Arial" w:eastAsia="Arial" w:hAnsi="Arial"/>
                <w:sz w:val="18"/>
                <w:szCs w:val="18"/>
                <w:color w:val="191919"/>
                <w:w w:val="93"/>
              </w:rPr>
              <w:t>ÙäǥéÖ «Ä ƏVƍƎǚ</w:t>
            </w:r>
          </w:p>
        </w:tc>
        <w:tc>
          <w:tcPr>
            <w:tcW w:w="4280" w:type="dxa"/>
            <w:vAlign w:val="bottom"/>
          </w:tcPr>
          <w:p>
            <w:pPr>
              <w:ind w:left="400"/>
              <w:spacing w:after="0" w:line="219" w:lineRule="exact"/>
              <w:rPr>
                <w:sz w:val="20"/>
                <w:szCs w:val="20"/>
                <w:color w:val="auto"/>
              </w:rPr>
            </w:pPr>
            <w:r>
              <w:rPr>
                <w:rFonts w:ascii="Arial" w:cs="Arial" w:eastAsia="Arial" w:hAnsi="Arial"/>
                <w:sz w:val="18"/>
                <w:szCs w:val="18"/>
                <w:color w:val="191919"/>
                <w:w w:val="84"/>
              </w:rPr>
              <w:t>Ù</w:t>
            </w:r>
            <w:r>
              <w:rPr>
                <w:rFonts w:ascii="PMingLiU" w:cs="PMingLiU" w:eastAsia="PMingLiU" w:hAnsi="PMingLiU"/>
                <w:sz w:val="18"/>
                <w:szCs w:val="18"/>
                <w:color w:val="191919"/>
                <w:w w:val="84"/>
              </w:rPr>
              <w:t></w:t>
            </w:r>
            <w:r>
              <w:rPr>
                <w:rFonts w:ascii="Arial" w:cs="Arial" w:eastAsia="Arial" w:hAnsi="Arial"/>
                <w:sz w:val="18"/>
                <w:szCs w:val="18"/>
                <w:color w:val="191919"/>
                <w:w w:val="84"/>
              </w:rPr>
              <w:t>é</w:t>
            </w:r>
            <w:r>
              <w:rPr>
                <w:rFonts w:ascii="PMingLiU" w:cs="PMingLiU" w:eastAsia="PMingLiU" w:hAnsi="PMingLiU"/>
                <w:sz w:val="18"/>
                <w:szCs w:val="18"/>
                <w:color w:val="191919"/>
                <w:w w:val="84"/>
              </w:rPr>
              <w:t></w:t>
            </w:r>
            <w:r>
              <w:rPr>
                <w:rFonts w:ascii="Arial" w:cs="Arial" w:eastAsia="Arial" w:hAnsi="Arial"/>
                <w:sz w:val="18"/>
                <w:szCs w:val="18"/>
                <w:color w:val="191919"/>
                <w:w w:val="84"/>
              </w:rPr>
              <w:t>ä«ËÄ «Ä ËÖ</w:t>
            </w:r>
            <w:r>
              <w:rPr>
                <w:rFonts w:ascii="PMingLiU" w:cs="PMingLiU" w:eastAsia="PMingLiU" w:hAnsi="PMingLiU"/>
                <w:sz w:val="18"/>
                <w:szCs w:val="18"/>
                <w:color w:val="191919"/>
                <w:w w:val="84"/>
              </w:rPr>
              <w:t></w:t>
            </w:r>
            <w:r>
              <w:rPr>
                <w:rFonts w:ascii="Arial" w:cs="Arial" w:eastAsia="Arial" w:hAnsi="Arial"/>
                <w:sz w:val="18"/>
                <w:szCs w:val="18"/>
                <w:color w:val="191919"/>
                <w:w w:val="84"/>
              </w:rPr>
              <w:t>Ù</w:t>
            </w:r>
            <w:r>
              <w:rPr>
                <w:rFonts w:ascii="PMingLiU" w:cs="PMingLiU" w:eastAsia="PMingLiU" w:hAnsi="PMingLiU"/>
                <w:sz w:val="18"/>
                <w:szCs w:val="18"/>
                <w:color w:val="191919"/>
                <w:w w:val="84"/>
              </w:rPr>
              <w:t></w:t>
            </w:r>
            <w:r>
              <w:rPr>
                <w:rFonts w:ascii="Arial" w:cs="Arial" w:eastAsia="Arial" w:hAnsi="Arial"/>
                <w:sz w:val="18"/>
                <w:szCs w:val="18"/>
                <w:color w:val="191919"/>
                <w:w w:val="84"/>
              </w:rPr>
              <w:t>ä</w:t>
            </w:r>
            <w:r>
              <w:rPr>
                <w:rFonts w:ascii="PMingLiU" w:cs="PMingLiU" w:eastAsia="PMingLiU" w:hAnsi="PMingLiU"/>
                <w:sz w:val="18"/>
                <w:szCs w:val="18"/>
                <w:color w:val="191919"/>
                <w:w w:val="84"/>
              </w:rPr>
              <w:t></w:t>
            </w:r>
            <w:r>
              <w:rPr>
                <w:rFonts w:ascii="Arial" w:cs="Arial" w:eastAsia="Arial" w:hAnsi="Arial"/>
                <w:sz w:val="18"/>
                <w:szCs w:val="18"/>
                <w:color w:val="191919"/>
                <w:w w:val="84"/>
              </w:rPr>
              <w:t xml:space="preserve"> Ã</w:t>
            </w:r>
            <w:r>
              <w:rPr>
                <w:rFonts w:ascii="PMingLiU" w:cs="PMingLiU" w:eastAsia="PMingLiU" w:hAnsi="PMingLiU"/>
                <w:sz w:val="18"/>
                <w:szCs w:val="18"/>
                <w:color w:val="191919"/>
                <w:w w:val="84"/>
              </w:rPr>
              <w:t></w:t>
            </w:r>
            <w:r>
              <w:rPr>
                <w:rFonts w:ascii="Arial" w:cs="Arial" w:eastAsia="Arial" w:hAnsi="Arial"/>
                <w:sz w:val="18"/>
                <w:szCs w:val="18"/>
                <w:color w:val="191919"/>
                <w:w w:val="84"/>
              </w:rPr>
              <w:t>ä¨</w:t>
            </w:r>
            <w:r>
              <w:rPr>
                <w:rFonts w:ascii="PMingLiU" w:cs="PMingLiU" w:eastAsia="PMingLiU" w:hAnsi="PMingLiU"/>
                <w:sz w:val="18"/>
                <w:szCs w:val="18"/>
                <w:color w:val="191919"/>
                <w:w w:val="84"/>
              </w:rPr>
              <w:t></w:t>
            </w:r>
            <w:r>
              <w:rPr>
                <w:rFonts w:ascii="Arial" w:cs="Arial" w:eastAsia="Arial" w:hAnsi="Arial"/>
                <w:sz w:val="18"/>
                <w:szCs w:val="18"/>
                <w:color w:val="191919"/>
                <w:w w:val="84"/>
              </w:rPr>
              <w:t>Ä</w:t>
            </w:r>
            <w:r>
              <w:rPr>
                <w:rFonts w:ascii="PMingLiU" w:cs="PMingLiU" w:eastAsia="PMingLiU" w:hAnsi="PMingLiU"/>
                <w:sz w:val="18"/>
                <w:szCs w:val="18"/>
                <w:color w:val="191919"/>
                <w:w w:val="84"/>
              </w:rPr>
              <w:t> </w:t>
            </w:r>
            <w:r>
              <w:rPr>
                <w:rFonts w:ascii="Arial" w:cs="Arial" w:eastAsia="Arial" w:hAnsi="Arial"/>
                <w:sz w:val="18"/>
                <w:szCs w:val="18"/>
                <w:color w:val="191919"/>
                <w:w w:val="84"/>
              </w:rPr>
              <w:t>Ã«ÝÝ«ËÄÝ «Ää</w:t>
            </w:r>
            <w:r>
              <w:rPr>
                <w:rFonts w:ascii="PMingLiU" w:cs="PMingLiU" w:eastAsia="PMingLiU" w:hAnsi="PMingLiU"/>
                <w:sz w:val="18"/>
                <w:szCs w:val="18"/>
                <w:color w:val="191919"/>
                <w:w w:val="84"/>
              </w:rPr>
              <w:t></w:t>
            </w:r>
            <w:r>
              <w:rPr>
                <w:rFonts w:ascii="Arial" w:cs="Arial" w:eastAsia="Arial" w:hAnsi="Arial"/>
                <w:sz w:val="18"/>
                <w:szCs w:val="18"/>
                <w:color w:val="191919"/>
                <w:w w:val="84"/>
              </w:rPr>
              <w:t>ÄÝ«äû</w:t>
            </w:r>
          </w:p>
        </w:tc>
      </w:tr>
      <w:tr>
        <w:trPr>
          <w:trHeight w:val="258"/>
        </w:trPr>
        <w:tc>
          <w:tcPr>
            <w:tcW w:w="4800" w:type="dxa"/>
            <w:vAlign w:val="bottom"/>
          </w:tcPr>
          <w:p>
            <w:pPr>
              <w:spacing w:after="0" w:line="219" w:lineRule="exact"/>
              <w:rPr>
                <w:sz w:val="20"/>
                <w:szCs w:val="20"/>
                <w:color w:val="auto"/>
              </w:rPr>
            </w:pPr>
            <w:r>
              <w:rPr>
                <w:rFonts w:ascii="Arial" w:cs="Arial" w:eastAsia="Arial" w:hAnsi="Arial"/>
                <w:sz w:val="18"/>
                <w:szCs w:val="18"/>
                <w:color w:val="191919"/>
              </w:rPr>
              <w:t>ƎÙ</w:t>
            </w:r>
            <w:r>
              <w:rPr>
                <w:rFonts w:ascii="PMingLiU" w:cs="PMingLiU" w:eastAsia="PMingLiU" w:hAnsi="PMingLiU"/>
                <w:sz w:val="18"/>
                <w:szCs w:val="18"/>
                <w:color w:val="191919"/>
              </w:rPr>
              <w:t> </w:t>
            </w:r>
            <w:r>
              <w:rPr>
                <w:rFonts w:ascii="Arial" w:cs="Arial" w:eastAsia="Arial" w:hAnsi="Arial"/>
                <w:sz w:val="18"/>
                <w:szCs w:val="18"/>
                <w:color w:val="191919"/>
              </w:rPr>
              <w:t>ËÄÝ</w:t>
            </w:r>
            <w:r>
              <w:rPr>
                <w:rFonts w:ascii="PMingLiU" w:cs="PMingLiU" w:eastAsia="PMingLiU" w:hAnsi="PMingLiU"/>
                <w:sz w:val="18"/>
                <w:szCs w:val="18"/>
                <w:color w:val="191919"/>
              </w:rPr>
              <w:t></w:t>
            </w:r>
            <w:r>
              <w:rPr>
                <w:rFonts w:ascii="Arial" w:cs="Arial" w:eastAsia="Arial" w:hAnsi="Arial"/>
                <w:sz w:val="18"/>
                <w:szCs w:val="18"/>
                <w:color w:val="191919"/>
              </w:rPr>
              <w:t>éä«ô</w:t>
            </w:r>
            <w:r>
              <w:rPr>
                <w:rFonts w:ascii="PMingLiU" w:cs="PMingLiU" w:eastAsia="PMingLiU" w:hAnsi="PMingLiU"/>
                <w:sz w:val="18"/>
                <w:szCs w:val="18"/>
                <w:color w:val="191919"/>
              </w:rPr>
              <w:t></w:t>
            </w:r>
            <w:r>
              <w:rPr>
                <w:rFonts w:ascii="Arial" w:cs="Arial" w:eastAsia="Arial" w:hAnsi="Arial"/>
                <w:sz w:val="18"/>
                <w:szCs w:val="18"/>
                <w:color w:val="191919"/>
              </w:rPr>
              <w:t xml:space="preserve"> $T[I </w:t>
            </w:r>
            <w:r>
              <w:rPr>
                <w:rFonts w:ascii="PMingLiU" w:cs="PMingLiU" w:eastAsia="PMingLiU" w:hAnsi="PMingLiU"/>
                <w:sz w:val="18"/>
                <w:szCs w:val="18"/>
                <w:color w:val="191919"/>
              </w:rPr>
              <w:t></w:t>
            </w:r>
            <w:r>
              <w:rPr>
                <w:rFonts w:ascii="Arial" w:cs="Arial" w:eastAsia="Arial" w:hAnsi="Arial"/>
                <w:sz w:val="18"/>
                <w:szCs w:val="18"/>
                <w:color w:val="191919"/>
              </w:rPr>
              <w:t>½«ô</w:t>
            </w:r>
            <w:r>
              <w:rPr>
                <w:rFonts w:ascii="PMingLiU" w:cs="PMingLiU" w:eastAsia="PMingLiU" w:hAnsi="PMingLiU"/>
                <w:sz w:val="18"/>
                <w:szCs w:val="18"/>
                <w:color w:val="191919"/>
              </w:rPr>
              <w:t></w:t>
            </w:r>
            <w:r>
              <w:rPr>
                <w:rFonts w:ascii="Arial" w:cs="Arial" w:eastAsia="Arial" w:hAnsi="Arial"/>
                <w:sz w:val="18"/>
                <w:szCs w:val="18"/>
                <w:color w:val="191919"/>
              </w:rPr>
              <w:t>Ù</w:t>
            </w:r>
            <w:r>
              <w:rPr>
                <w:rFonts w:ascii="PMingLiU" w:cs="PMingLiU" w:eastAsia="PMingLiU" w:hAnsi="PMingLiU"/>
                <w:sz w:val="18"/>
                <w:szCs w:val="18"/>
                <w:color w:val="191919"/>
              </w:rPr>
              <w:t> </w:t>
            </w:r>
            <w:r>
              <w:rPr>
                <w:rFonts w:ascii="Arial" w:cs="Arial" w:eastAsia="Arial" w:hAnsi="Arial"/>
                <w:sz w:val="18"/>
                <w:szCs w:val="18"/>
                <w:color w:val="191919"/>
              </w:rPr>
              <w:t>¨</w:t>
            </w:r>
            <w:r>
              <w:rPr>
                <w:rFonts w:ascii="PMingLiU" w:cs="PMingLiU" w:eastAsia="PMingLiU" w:hAnsi="PMingLiU"/>
                <w:sz w:val="18"/>
                <w:szCs w:val="18"/>
                <w:color w:val="191919"/>
              </w:rPr>
              <w:t></w:t>
            </w:r>
            <w:r>
              <w:rPr>
                <w:rFonts w:ascii="Arial" w:cs="Arial" w:eastAsia="Arial" w:hAnsi="Arial"/>
                <w:sz w:val="18"/>
                <w:szCs w:val="18"/>
                <w:color w:val="191919"/>
              </w:rPr>
              <w:t xml:space="preserve"> Ë¢ Ý</w:t>
            </w:r>
            <w:r>
              <w:rPr>
                <w:rFonts w:ascii="PMingLiU" w:cs="PMingLiU" w:eastAsia="PMingLiU" w:hAnsi="PMingLiU"/>
                <w:sz w:val="18"/>
                <w:szCs w:val="18"/>
                <w:color w:val="191919"/>
              </w:rPr>
              <w:t></w:t>
            </w:r>
            <w:r>
              <w:rPr>
                <w:rFonts w:ascii="Arial" w:cs="Arial" w:eastAsia="Arial" w:hAnsi="Arial"/>
                <w:sz w:val="18"/>
                <w:szCs w:val="18"/>
                <w:color w:val="191919"/>
              </w:rPr>
              <w:t>¨</w:t>
            </w:r>
            <w:r>
              <w:rPr>
                <w:rFonts w:ascii="PMingLiU" w:cs="PMingLiU" w:eastAsia="PMingLiU" w:hAnsi="PMingLiU"/>
                <w:sz w:val="18"/>
                <w:szCs w:val="18"/>
                <w:color w:val="191919"/>
              </w:rPr>
              <w:t></w:t>
            </w:r>
            <w:r>
              <w:rPr>
                <w:rFonts w:ascii="Arial" w:cs="Arial" w:eastAsia="Arial" w:hAnsi="Arial"/>
                <w:sz w:val="18"/>
                <w:szCs w:val="18"/>
                <w:color w:val="191919"/>
              </w:rPr>
              <w:t>é½</w:t>
            </w:r>
            <w:r>
              <w:rPr>
                <w:rFonts w:ascii="PMingLiU" w:cs="PMingLiU" w:eastAsia="PMingLiU" w:hAnsi="PMingLiU"/>
                <w:sz w:val="18"/>
                <w:szCs w:val="18"/>
                <w:color w:val="191919"/>
              </w:rPr>
              <w:t></w:t>
            </w:r>
          </w:p>
        </w:tc>
        <w:tc>
          <w:tcPr>
            <w:tcW w:w="4280" w:type="dxa"/>
            <w:vAlign w:val="bottom"/>
          </w:tcPr>
          <w:p>
            <w:pPr>
              <w:ind w:left="400"/>
              <w:spacing w:after="0" w:line="230" w:lineRule="exact"/>
              <w:rPr>
                <w:sz w:val="20"/>
                <w:szCs w:val="20"/>
                <w:color w:val="auto"/>
              </w:rPr>
            </w:pPr>
            <w:r>
              <w:rPr>
                <w:rFonts w:ascii="Arial" w:cs="Arial" w:eastAsia="Arial" w:hAnsi="Arial"/>
                <w:sz w:val="18"/>
                <w:szCs w:val="18"/>
                <w:color w:val="191919"/>
              </w:rPr>
              <w:t>Ý«Ä</w:t>
            </w:r>
            <w:r>
              <w:rPr>
                <w:rFonts w:ascii="PMingLiU" w:cs="PMingLiU" w:eastAsia="PMingLiU" w:hAnsi="PMingLiU"/>
                <w:sz w:val="18"/>
                <w:szCs w:val="18"/>
                <w:color w:val="191919"/>
              </w:rPr>
              <w:t></w:t>
            </w:r>
            <w:r>
              <w:rPr>
                <w:rFonts w:ascii="Arial" w:cs="Arial" w:eastAsia="Arial" w:hAnsi="Arial"/>
                <w:sz w:val="18"/>
                <w:szCs w:val="18"/>
                <w:color w:val="191919"/>
              </w:rPr>
              <w:t xml:space="preserve"> ƍƋƌƑ</w:t>
            </w:r>
            <w:r>
              <w:rPr>
                <w:rFonts w:ascii="Arial" w:cs="Arial" w:eastAsia="Arial" w:hAnsi="Arial"/>
                <w:sz w:val="20"/>
                <w:szCs w:val="20"/>
                <w:color w:val="191919"/>
                <w:vertAlign w:val="superscript"/>
              </w:rPr>
              <w:t>ƏǏƐǏƑǏƒ</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97790</wp:posOffset>
            </wp:positionV>
            <wp:extent cx="1072515" cy="280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2515" cy="28003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95885</wp:posOffset>
            </wp:positionV>
            <wp:extent cx="784860" cy="28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4860" cy="281940"/>
                    </a:xfrm>
                    <a:prstGeom prst="rect">
                      <a:avLst/>
                    </a:prstGeom>
                    <a:noFill/>
                  </pic:spPr>
                </pic:pic>
              </a:graphicData>
            </a:graphic>
          </wp:anchor>
        </w:drawing>
      </w:r>
    </w:p>
    <w:p>
      <w:pPr>
        <w:sectPr>
          <w:pgSz w:w="11880" w:h="15480" w:orient="portrait"/>
          <w:cols w:equalWidth="0" w:num="1">
            <w:col w:w="9991"/>
          </w:cols>
          <w:pgMar w:left="749" w:top="360"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91" w:right="140"/>
        <w:spacing w:after="0" w:line="237" w:lineRule="exact"/>
        <w:rPr>
          <w:sz w:val="20"/>
          <w:szCs w:val="20"/>
          <w:color w:val="auto"/>
        </w:rPr>
      </w:pPr>
      <w:r>
        <w:rPr>
          <w:rFonts w:ascii="PMingLiU" w:cs="PMingLiU" w:eastAsia="PMingLiU" w:hAnsi="PMingLiU"/>
          <w:sz w:val="18"/>
          <w:szCs w:val="18"/>
          <w:color w:val="191919"/>
        </w:rPr>
        <w:t></w:t>
      </w:r>
      <w:r>
        <w:rPr>
          <w:rFonts w:ascii="Arial" w:cs="Arial" w:eastAsia="Arial" w:hAnsi="Arial"/>
          <w:sz w:val="18"/>
          <w:szCs w:val="18"/>
          <w:color w:val="191919"/>
        </w:rPr>
        <w:t>úÖ</w:t>
      </w:r>
      <w:r>
        <w:rPr>
          <w:rFonts w:ascii="PMingLiU" w:cs="PMingLiU" w:eastAsia="PMingLiU" w:hAnsi="PMingLiU"/>
          <w:sz w:val="18"/>
          <w:szCs w:val="18"/>
          <w:color w:val="191919"/>
        </w:rPr>
        <w:t></w:t>
      </w:r>
      <w:r>
        <w:rPr>
          <w:rFonts w:ascii="Arial" w:cs="Arial" w:eastAsia="Arial" w:hAnsi="Arial"/>
          <w:sz w:val="18"/>
          <w:szCs w:val="18"/>
          <w:color w:val="191919"/>
        </w:rPr>
        <w:t xml:space="preserve">ÄÝ«ËÄ </w:t>
      </w:r>
      <w:r>
        <w:rPr>
          <w:rFonts w:ascii="PMingLiU" w:cs="PMingLiU" w:eastAsia="PMingLiU" w:hAnsi="PMingLiU"/>
          <w:sz w:val="18"/>
          <w:szCs w:val="18"/>
          <w:color w:val="191919"/>
        </w:rPr>
        <w:t></w:t>
      </w:r>
      <w:r>
        <w:rPr>
          <w:rFonts w:ascii="Arial" w:cs="Arial" w:eastAsia="Arial" w:hAnsi="Arial"/>
          <w:sz w:val="18"/>
          <w:szCs w:val="18"/>
          <w:color w:val="191919"/>
        </w:rPr>
        <w:t>ä Ù</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w:t>
      </w:r>
      <w:r>
        <w:rPr>
          <w:rFonts w:ascii="Arial" w:cs="Arial" w:eastAsia="Arial" w:hAnsi="Arial"/>
          <w:sz w:val="18"/>
          <w:szCs w:val="18"/>
          <w:color w:val="191919"/>
        </w:rPr>
        <w:t xml:space="preserve">Ùû «Ä </w:t>
      </w:r>
      <w:r>
        <w:rPr>
          <w:rFonts w:ascii="PMingLiU" w:cs="PMingLiU" w:eastAsia="PMingLiU" w:hAnsi="PMingLiU"/>
          <w:sz w:val="18"/>
          <w:szCs w:val="18"/>
          <w:color w:val="191919"/>
        </w:rPr>
        <w:t></w:t>
      </w:r>
      <w:r>
        <w:rPr>
          <w:rFonts w:ascii="Arial" w:cs="Arial" w:eastAsia="Arial" w:hAnsi="Arial"/>
          <w:sz w:val="18"/>
          <w:szCs w:val="18"/>
          <w:color w:val="191919"/>
        </w:rPr>
        <w:t>éÃËÄäǏ b</w:t>
      </w:r>
      <w:r>
        <w:rPr>
          <w:rFonts w:ascii="PMingLiU" w:cs="PMingLiU" w:eastAsia="PMingLiU" w:hAnsi="PMingLiU"/>
          <w:sz w:val="18"/>
          <w:szCs w:val="18"/>
          <w:color w:val="191919"/>
        </w:rPr>
        <w:t></w:t>
      </w:r>
      <w:r>
        <w:rPr>
          <w:rFonts w:ascii="Arial" w:cs="Arial" w:eastAsia="Arial" w:hAnsi="Arial"/>
          <w:sz w:val="18"/>
          <w:szCs w:val="18"/>
          <w:color w:val="191919"/>
        </w:rPr>
        <w:t>ú</w:t>
      </w:r>
      <w:r>
        <w:rPr>
          <w:rFonts w:ascii="PMingLiU" w:cs="PMingLiU" w:eastAsia="PMingLiU" w:hAnsi="PMingLiU"/>
          <w:sz w:val="18"/>
          <w:szCs w:val="18"/>
          <w:color w:val="191919"/>
        </w:rPr>
        <w:t></w:t>
      </w:r>
      <w:r>
        <w:rPr>
          <w:rFonts w:ascii="Arial" w:cs="Arial" w:eastAsia="Arial" w:hAnsi="Arial"/>
          <w:sz w:val="18"/>
          <w:szCs w:val="18"/>
          <w:color w:val="191919"/>
        </w:rPr>
        <w:t xml:space="preserve">ÝǏ </w:t>
      </w:r>
      <w:r>
        <w:rPr>
          <w:rFonts w:ascii="PMingLiU" w:cs="PMingLiU" w:eastAsia="PMingLiU" w:hAnsi="PMingLiU"/>
          <w:sz w:val="18"/>
          <w:szCs w:val="18"/>
          <w:color w:val="191919"/>
        </w:rPr>
        <w:t></w:t>
      </w:r>
      <w:r>
        <w:rPr>
          <w:rFonts w:ascii="Arial" w:cs="Arial" w:eastAsia="Arial" w:hAnsi="Arial"/>
          <w:sz w:val="18"/>
          <w:szCs w:val="18"/>
          <w:color w:val="191919"/>
        </w:rPr>
        <w:t>ËÄäÙ«</w:t>
      </w:r>
      <w:r>
        <w:rPr>
          <w:rFonts w:ascii="PMingLiU" w:cs="PMingLiU" w:eastAsia="PMingLiU" w:hAnsi="PMingLiU"/>
          <w:sz w:val="18"/>
          <w:szCs w:val="18"/>
          <w:color w:val="191919"/>
        </w:rPr>
        <w:t></w:t>
      </w:r>
      <w:r>
        <w:rPr>
          <w:rFonts w:ascii="Arial" w:cs="Arial" w:eastAsia="Arial" w:hAnsi="Arial"/>
          <w:sz w:val="18"/>
          <w:szCs w:val="18"/>
          <w:color w:val="191919"/>
        </w:rPr>
        <w:t>éä</w:t>
      </w:r>
      <w:r>
        <w:rPr>
          <w:rFonts w:ascii="PMingLiU" w:cs="PMingLiU" w:eastAsia="PMingLiU" w:hAnsi="PMingLiU"/>
          <w:sz w:val="18"/>
          <w:szCs w:val="18"/>
          <w:color w:val="191919"/>
        </w:rPr>
        <w:t></w:t>
      </w:r>
      <w:r>
        <w:rPr>
          <w:rFonts w:ascii="Arial" w:cs="Arial" w:eastAsia="Arial" w:hAnsi="Arial"/>
          <w:sz w:val="18"/>
          <w:szCs w:val="18"/>
          <w:color w:val="191919"/>
        </w:rPr>
        <w:t xml:space="preserve"> äË Ù</w:t>
      </w:r>
      <w:r>
        <w:rPr>
          <w:rFonts w:ascii="PMingLiU" w:cs="PMingLiU" w:eastAsia="PMingLiU" w:hAnsi="PMingLiU"/>
          <w:sz w:val="18"/>
          <w:szCs w:val="18"/>
          <w:color w:val="191919"/>
        </w:rPr>
        <w:t></w:t>
      </w:r>
      <w:r>
        <w:rPr>
          <w:rFonts w:ascii="Arial" w:cs="Arial" w:eastAsia="Arial" w:hAnsi="Arial"/>
          <w:sz w:val="18"/>
          <w:szCs w:val="18"/>
          <w:color w:val="191919"/>
        </w:rPr>
        <w:t>ËÙ</w:t>
      </w:r>
      <w:r>
        <w:rPr>
          <w:rFonts w:ascii="PMingLiU" w:cs="PMingLiU" w:eastAsia="PMingLiU" w:hAnsi="PMingLiU"/>
          <w:sz w:val="18"/>
          <w:szCs w:val="18"/>
          <w:color w:val="191919"/>
        </w:rPr>
        <w:t></w:t>
      </w:r>
      <w:r>
        <w:rPr>
          <w:rFonts w:ascii="Arial" w:cs="Arial" w:eastAsia="Arial" w:hAnsi="Arial"/>
          <w:sz w:val="18"/>
          <w:szCs w:val="18"/>
          <w:color w:val="191919"/>
        </w:rPr>
        <w:t xml:space="preserve"> £½Ë</w:t>
      </w:r>
      <w:r>
        <w:rPr>
          <w:rFonts w:ascii="PMingLiU" w:cs="PMingLiU" w:eastAsia="PMingLiU" w:hAnsi="PMingLiU"/>
          <w:sz w:val="18"/>
          <w:szCs w:val="18"/>
          <w:color w:val="191919"/>
        </w:rPr>
        <w:t></w:t>
      </w:r>
      <w:r>
        <w:rPr>
          <w:rFonts w:ascii="Arial" w:cs="Arial" w:eastAsia="Arial" w:hAnsi="Arial"/>
          <w:sz w:val="18"/>
          <w:szCs w:val="18"/>
          <w:color w:val="191919"/>
        </w:rPr>
        <w:t>½ ä¨ÙËé£¨Öéä</w:t>
      </w:r>
      <w:r>
        <w:rPr>
          <w:rFonts w:ascii="Arial" w:cs="Arial" w:eastAsia="Arial" w:hAnsi="Arial"/>
          <w:sz w:val="20"/>
          <w:szCs w:val="20"/>
          <w:color w:val="191919"/>
          <w:vertAlign w:val="superscript"/>
        </w:rPr>
        <w:t>Ǝ</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123825</wp:posOffset>
            </wp:positionV>
            <wp:extent cx="999490" cy="280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9490" cy="280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00"/>
        <w:spacing w:after="0" w:line="218" w:lineRule="exact"/>
        <w:rPr>
          <w:sz w:val="20"/>
          <w:szCs w:val="20"/>
          <w:color w:val="auto"/>
        </w:rPr>
      </w:pPr>
      <w:r>
        <w:rPr>
          <w:rFonts w:ascii="PMingLiU" w:cs="PMingLiU" w:eastAsia="PMingLiU" w:hAnsi="PMingLiU"/>
          <w:sz w:val="18"/>
          <w:szCs w:val="18"/>
          <w:color w:val="191919"/>
        </w:rPr>
        <w:t></w:t>
      </w:r>
      <w:r>
        <w:rPr>
          <w:rFonts w:ascii="Arial" w:cs="Arial" w:eastAsia="Arial" w:hAnsi="Arial"/>
          <w:sz w:val="18"/>
          <w:szCs w:val="18"/>
          <w:color w:val="191919"/>
        </w:rPr>
        <w:t>½</w:t>
      </w:r>
      <w:r>
        <w:rPr>
          <w:rFonts w:ascii="PMingLiU" w:cs="PMingLiU" w:eastAsia="PMingLiU" w:hAnsi="PMingLiU"/>
          <w:sz w:val="18"/>
          <w:szCs w:val="18"/>
          <w:color w:val="191919"/>
        </w:rPr>
        <w:t></w:t>
      </w:r>
      <w:r>
        <w:rPr>
          <w:rFonts w:ascii="Arial" w:cs="Arial" w:eastAsia="Arial" w:hAnsi="Arial"/>
          <w:sz w:val="18"/>
          <w:szCs w:val="18"/>
          <w:color w:val="191919"/>
        </w:rPr>
        <w:t>äÙ«¢«</w:t>
      </w:r>
      <w:r>
        <w:rPr>
          <w:rFonts w:ascii="PMingLiU" w:cs="PMingLiU" w:eastAsia="PMingLiU" w:hAnsi="PMingLiU"/>
          <w:sz w:val="18"/>
          <w:szCs w:val="18"/>
          <w:color w:val="191919"/>
        </w:rPr>
        <w:t></w:t>
      </w:r>
      <w:r>
        <w:rPr>
          <w:rFonts w:ascii="Arial" w:cs="Arial" w:eastAsia="Arial" w:hAnsi="Arial"/>
          <w:sz w:val="18"/>
          <w:szCs w:val="18"/>
          <w:color w:val="191919"/>
        </w:rPr>
        <w:t>ä«ËÄ Ë¢ ËÖ</w:t>
      </w:r>
      <w:r>
        <w:rPr>
          <w:rFonts w:ascii="PMingLiU" w:cs="PMingLiU" w:eastAsia="PMingLiU" w:hAnsi="PMingLiU"/>
          <w:sz w:val="18"/>
          <w:szCs w:val="18"/>
          <w:color w:val="191919"/>
        </w:rPr>
        <w:t></w:t>
      </w:r>
      <w:r>
        <w:rPr>
          <w:rFonts w:ascii="Arial" w:cs="Arial" w:eastAsia="Arial" w:hAnsi="Arial"/>
          <w:sz w:val="18"/>
          <w:szCs w:val="18"/>
          <w:color w:val="191919"/>
        </w:rPr>
        <w:t>Ù</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 </w:t>
      </w:r>
      <w:r>
        <w:rPr>
          <w:rFonts w:ascii="Arial" w:cs="Arial" w:eastAsia="Arial" w:hAnsi="Arial"/>
          <w:sz w:val="18"/>
          <w:szCs w:val="18"/>
          <w:color w:val="191919"/>
        </w:rPr>
        <w:t>Ù«½½«Ä£ ¢½</w:t>
      </w:r>
      <w:r>
        <w:rPr>
          <w:rFonts w:ascii="PMingLiU" w:cs="PMingLiU" w:eastAsia="PMingLiU" w:hAnsi="PMingLiU"/>
          <w:sz w:val="18"/>
          <w:szCs w:val="18"/>
          <w:color w:val="191919"/>
        </w:rPr>
        <w:t></w:t>
      </w:r>
      <w:r>
        <w:rPr>
          <w:rFonts w:ascii="Arial" w:cs="Arial" w:eastAsia="Arial" w:hAnsi="Arial"/>
          <w:sz w:val="18"/>
          <w:szCs w:val="18"/>
          <w:color w:val="191919"/>
        </w:rPr>
        <w:t>ä «Ä ä¨</w:t>
      </w:r>
      <w:r>
        <w:rPr>
          <w:rFonts w:ascii="PMingLiU" w:cs="PMingLiU" w:eastAsia="PMingLiU" w:hAnsi="PMingLiU"/>
          <w:sz w:val="18"/>
          <w:szCs w:val="18"/>
          <w:color w:val="191919"/>
        </w:rPr>
        <w:t></w:t>
      </w:r>
      <w:r>
        <w:rPr>
          <w:rFonts w:ascii="Arial" w:cs="Arial" w:eastAsia="Arial" w:hAnsi="Arial"/>
          <w:sz w:val="18"/>
          <w:szCs w:val="18"/>
          <w:color w:val="191919"/>
        </w:rPr>
        <w:t xml:space="preserve"> T</w:t>
      </w:r>
      <w:r>
        <w:rPr>
          <w:rFonts w:ascii="PMingLiU" w:cs="PMingLiU" w:eastAsia="PMingLiU" w:hAnsi="PMingLiU"/>
          <w:sz w:val="18"/>
          <w:szCs w:val="18"/>
          <w:color w:val="191919"/>
        </w:rPr>
        <w:t></w:t>
      </w:r>
      <w:r>
        <w:rPr>
          <w:rFonts w:ascii="Arial" w:cs="Arial" w:eastAsia="Arial" w:hAnsi="Arial"/>
          <w:sz w:val="18"/>
          <w:szCs w:val="18"/>
          <w:color w:val="191919"/>
        </w:rPr>
        <w:t>ÙÃ«</w:t>
      </w:r>
      <w:r>
        <w:rPr>
          <w:rFonts w:ascii="PMingLiU" w:cs="PMingLiU" w:eastAsia="PMingLiU" w:hAnsi="PMingLiU"/>
          <w:sz w:val="18"/>
          <w:szCs w:val="18"/>
          <w:color w:val="191919"/>
        </w:rPr>
        <w:t></w:t>
      </w:r>
      <w:r>
        <w:rPr>
          <w:rFonts w:ascii="Arial" w:cs="Arial" w:eastAsia="Arial" w:hAnsi="Arial"/>
          <w:sz w:val="18"/>
          <w:szCs w:val="18"/>
          <w:color w:val="191919"/>
        </w:rPr>
        <w:t xml:space="preserve">Ä </w:t>
      </w:r>
      <w:r>
        <w:rPr>
          <w:rFonts w:ascii="PMingLiU" w:cs="PMingLiU" w:eastAsia="PMingLiU" w:hAnsi="PMingLiU"/>
          <w:sz w:val="18"/>
          <w:szCs w:val="18"/>
          <w:color w:val="191919"/>
        </w:rPr>
        <w:t></w:t>
      </w:r>
      <w:r>
        <w:rPr>
          <w:rFonts w:ascii="Arial" w:cs="Arial" w:eastAsia="Arial" w:hAnsi="Arial"/>
          <w:sz w:val="18"/>
          <w:szCs w:val="18"/>
          <w:color w:val="191919"/>
        </w:rPr>
        <w:t>Ý«Ä</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152400</wp:posOffset>
            </wp:positionV>
            <wp:extent cx="664845" cy="275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845" cy="275590"/>
                    </a:xfrm>
                    <a:prstGeom prst="rect">
                      <a:avLst/>
                    </a:prstGeom>
                    <a:noFill/>
                  </pic:spPr>
                </pic:pic>
              </a:graphicData>
            </a:graphic>
          </wp:anchor>
        </w:drawing>
      </w:r>
    </w:p>
    <w:p>
      <w:pPr>
        <w:spacing w:after="0" w:line="237" w:lineRule="exact"/>
        <w:rPr>
          <w:sz w:val="20"/>
          <w:szCs w:val="20"/>
          <w:color w:val="auto"/>
        </w:rPr>
      </w:pPr>
    </w:p>
    <w:p>
      <w:pPr>
        <w:sectPr>
          <w:pgSz w:w="11880" w:h="15480" w:orient="portrait"/>
          <w:cols w:equalWidth="0" w:num="2">
            <w:col w:w="5171" w:space="720"/>
            <w:col w:w="4100"/>
          </w:cols>
          <w:pgMar w:left="749" w:top="360" w:right="1140" w:bottom="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691" w:right="900"/>
        <w:spacing w:after="0" w:line="218" w:lineRule="exact"/>
        <w:rPr>
          <w:sz w:val="20"/>
          <w:szCs w:val="20"/>
          <w:color w:val="auto"/>
        </w:rPr>
      </w:pPr>
      <w:r>
        <w:rPr>
          <w:rFonts w:ascii="PMingLiU" w:cs="PMingLiU" w:eastAsia="PMingLiU" w:hAnsi="PMingLiU"/>
          <w:sz w:val="18"/>
          <w:szCs w:val="18"/>
          <w:color w:val="191919"/>
        </w:rPr>
        <w:t></w:t>
      </w:r>
      <w:r>
        <w:rPr>
          <w:rFonts w:ascii="Arial" w:cs="Arial" w:eastAsia="Arial" w:hAnsi="Arial"/>
          <w:sz w:val="18"/>
          <w:szCs w:val="18"/>
          <w:color w:val="191919"/>
        </w:rPr>
        <w:t>úÖ</w:t>
      </w:r>
      <w:r>
        <w:rPr>
          <w:rFonts w:ascii="PMingLiU" w:cs="PMingLiU" w:eastAsia="PMingLiU" w:hAnsi="PMingLiU"/>
          <w:sz w:val="18"/>
          <w:szCs w:val="18"/>
          <w:color w:val="191919"/>
        </w:rPr>
        <w:t></w:t>
      </w:r>
      <w:r>
        <w:rPr>
          <w:rFonts w:ascii="Arial" w:cs="Arial" w:eastAsia="Arial" w:hAnsi="Arial"/>
          <w:sz w:val="18"/>
          <w:szCs w:val="18"/>
          <w:color w:val="191919"/>
        </w:rPr>
        <w:t>ÄÝ«ËÄ «Ä Ö</w:t>
      </w:r>
      <w:r>
        <w:rPr>
          <w:rFonts w:ascii="PMingLiU" w:cs="PMingLiU" w:eastAsia="PMingLiU" w:hAnsi="PMingLiU"/>
          <w:sz w:val="18"/>
          <w:szCs w:val="18"/>
          <w:color w:val="191919"/>
        </w:rPr>
        <w:t></w:t>
      </w:r>
      <w:r>
        <w:rPr>
          <w:rFonts w:ascii="Arial" w:cs="Arial" w:eastAsia="Arial" w:hAnsi="Arial"/>
          <w:sz w:val="18"/>
          <w:szCs w:val="18"/>
          <w:color w:val="191919"/>
        </w:rPr>
        <w:t>Ù¢ËÙÃ</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 </w:t>
      </w:r>
      <w:r>
        <w:rPr>
          <w:rFonts w:ascii="Arial" w:cs="Arial" w:eastAsia="Arial" w:hAnsi="Arial"/>
          <w:sz w:val="18"/>
          <w:szCs w:val="18"/>
          <w:color w:val="191919"/>
        </w:rPr>
        <w:t>¨</w:t>
      </w:r>
      <w:r>
        <w:rPr>
          <w:rFonts w:ascii="PMingLiU" w:cs="PMingLiU" w:eastAsia="PMingLiU" w:hAnsi="PMingLiU"/>
          <w:sz w:val="18"/>
          <w:szCs w:val="18"/>
          <w:color w:val="191919"/>
        </w:rPr>
        <w:t></w:t>
      </w:r>
      <w:r>
        <w:rPr>
          <w:rFonts w:ascii="Arial" w:cs="Arial" w:eastAsia="Arial" w:hAnsi="Arial"/>
          <w:sz w:val="18"/>
          <w:szCs w:val="18"/>
          <w:color w:val="191919"/>
        </w:rPr>
        <w:t>Ã«</w:t>
      </w:r>
      <w:r>
        <w:rPr>
          <w:rFonts w:ascii="PMingLiU" w:cs="PMingLiU" w:eastAsia="PMingLiU" w:hAnsi="PMingLiU"/>
          <w:sz w:val="18"/>
          <w:szCs w:val="18"/>
          <w:color w:val="191919"/>
        </w:rPr>
        <w:t></w:t>
      </w:r>
      <w:r>
        <w:rPr>
          <w:rFonts w:ascii="Arial" w:cs="Arial" w:eastAsia="Arial" w:hAnsi="Arial"/>
          <w:sz w:val="18"/>
          <w:szCs w:val="18"/>
          <w:color w:val="191919"/>
        </w:rPr>
        <w:t xml:space="preserve">½ </w:t>
      </w:r>
      <w:r>
        <w:rPr>
          <w:rFonts w:ascii="PMingLiU" w:cs="PMingLiU" w:eastAsia="PMingLiU" w:hAnsi="PMingLiU"/>
          <w:sz w:val="18"/>
          <w:szCs w:val="18"/>
          <w:color w:val="191919"/>
        </w:rPr>
        <w:t></w:t>
      </w:r>
      <w:r>
        <w:rPr>
          <w:rFonts w:ascii="Arial" w:cs="Arial" w:eastAsia="Arial" w:hAnsi="Arial"/>
          <w:sz w:val="18"/>
          <w:szCs w:val="18"/>
          <w:color w:val="191919"/>
        </w:rPr>
        <w:t>Ö</w:t>
      </w:r>
      <w:r>
        <w:rPr>
          <w:rFonts w:ascii="PMingLiU" w:cs="PMingLiU" w:eastAsia="PMingLiU" w:hAnsi="PMingLiU"/>
          <w:sz w:val="18"/>
          <w:szCs w:val="18"/>
          <w:color w:val="191919"/>
        </w:rPr>
        <w:t></w:t>
      </w:r>
      <w:r>
        <w:rPr>
          <w:rFonts w:ascii="Arial" w:cs="Arial" w:eastAsia="Arial" w:hAnsi="Arial"/>
          <w:sz w:val="18"/>
          <w:szCs w:val="18"/>
          <w:color w:val="191919"/>
        </w:rPr>
        <w:t xml:space="preserve">«äû «Ä </w:t>
      </w:r>
      <w:r>
        <w:rPr>
          <w:rFonts w:ascii="PMingLiU" w:cs="PMingLiU" w:eastAsia="PMingLiU" w:hAnsi="PMingLiU"/>
          <w:sz w:val="18"/>
          <w:szCs w:val="18"/>
          <w:color w:val="191919"/>
        </w:rPr>
        <w:t></w:t>
      </w:r>
      <w:r>
        <w:rPr>
          <w:rFonts w:ascii="Arial" w:cs="Arial" w:eastAsia="Arial" w:hAnsi="Arial"/>
          <w:sz w:val="18"/>
          <w:szCs w:val="18"/>
          <w:color w:val="191919"/>
        </w:rPr>
        <w:t>ûäËõÄǏ b</w:t>
      </w:r>
      <w:r>
        <w:rPr>
          <w:rFonts w:ascii="PMingLiU" w:cs="PMingLiU" w:eastAsia="PMingLiU" w:hAnsi="PMingLiU"/>
          <w:sz w:val="18"/>
          <w:szCs w:val="18"/>
          <w:color w:val="191919"/>
        </w:rPr>
        <w:t></w:t>
      </w:r>
      <w:r>
        <w:rPr>
          <w:rFonts w:ascii="Arial" w:cs="Arial" w:eastAsia="Arial" w:hAnsi="Arial"/>
          <w:sz w:val="18"/>
          <w:szCs w:val="18"/>
          <w:color w:val="191919"/>
        </w:rPr>
        <w:t>ú</w:t>
      </w:r>
      <w:r>
        <w:rPr>
          <w:rFonts w:ascii="PMingLiU" w:cs="PMingLiU" w:eastAsia="PMingLiU" w:hAnsi="PMingLiU"/>
          <w:sz w:val="18"/>
          <w:szCs w:val="18"/>
          <w:color w:val="191919"/>
        </w:rPr>
        <w:t></w:t>
      </w:r>
      <w:r>
        <w:rPr>
          <w:rFonts w:ascii="Arial" w:cs="Arial" w:eastAsia="Arial" w:hAnsi="Arial"/>
          <w:sz w:val="18"/>
          <w:szCs w:val="18"/>
          <w:color w:val="191919"/>
        </w:rPr>
        <w:t>Ý</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218" w:lineRule="exact"/>
        <w:rPr>
          <w:sz w:val="20"/>
          <w:szCs w:val="20"/>
          <w:color w:val="auto"/>
        </w:rPr>
      </w:pPr>
      <w:r>
        <w:rPr>
          <w:rFonts w:ascii="PMingLiU" w:cs="PMingLiU" w:eastAsia="PMingLiU" w:hAnsi="PMingLiU"/>
          <w:sz w:val="18"/>
          <w:szCs w:val="18"/>
          <w:color w:val="191919"/>
        </w:rPr>
        <w:t/>
      </w:r>
      <w:r>
        <w:rPr>
          <w:rFonts w:ascii="Arial" w:cs="Arial" w:eastAsia="Arial" w:hAnsi="Arial"/>
          <w:sz w:val="18"/>
          <w:szCs w:val="18"/>
          <w:color w:val="191919"/>
        </w:rPr>
        <w:t>I</w:t>
      </w:r>
      <w:r>
        <w:rPr>
          <w:rFonts w:ascii="Arial" w:cs="Arial" w:eastAsia="Arial" w:hAnsi="Arial"/>
          <w:sz w:val="20"/>
          <w:szCs w:val="20"/>
          <w:color w:val="191919"/>
          <w:vertAlign w:val="subscript"/>
        </w:rPr>
        <w:t>ƍ</w:t>
      </w:r>
      <w:r>
        <w:rPr>
          <w:rFonts w:ascii="Arial" w:cs="Arial" w:eastAsia="Arial" w:hAnsi="Arial"/>
          <w:sz w:val="18"/>
          <w:szCs w:val="18"/>
          <w:color w:val="191919"/>
        </w:rPr>
        <w:t xml:space="preserve"> éÄ</w:t>
      </w:r>
      <w:r>
        <w:rPr>
          <w:rFonts w:ascii="PMingLiU" w:cs="PMingLiU" w:eastAsia="PMingLiU" w:hAnsi="PMingLiU"/>
          <w:sz w:val="18"/>
          <w:szCs w:val="18"/>
          <w:color w:val="191919"/>
        </w:rPr>
        <w:t></w:t>
      </w:r>
      <w:r>
        <w:rPr>
          <w:rFonts w:ascii="Arial" w:cs="Arial" w:eastAsia="Arial" w:hAnsi="Arial"/>
          <w:sz w:val="18"/>
          <w:szCs w:val="18"/>
          <w:color w:val="191919"/>
        </w:rPr>
        <w:t xml:space="preserve">Ù </w:t>
      </w:r>
      <w:r>
        <w:rPr>
          <w:rFonts w:ascii="PMingLiU" w:cs="PMingLiU" w:eastAsia="PMingLiU" w:hAnsi="PMingLiU"/>
          <w:sz w:val="18"/>
          <w:szCs w:val="18"/>
          <w:color w:val="191919"/>
        </w:rPr>
        <w:t></w:t>
      </w:r>
      <w:r>
        <w:rPr>
          <w:rFonts w:ascii="Arial" w:cs="Arial" w:eastAsia="Arial" w:hAnsi="Arial"/>
          <w:sz w:val="18"/>
          <w:szCs w:val="18"/>
          <w:color w:val="191919"/>
        </w:rPr>
        <w:t>ËÄäÙ</w:t>
      </w:r>
      <w:r>
        <w:rPr>
          <w:rFonts w:ascii="PMingLiU" w:cs="PMingLiU" w:eastAsia="PMingLiU" w:hAnsi="PMingLiU"/>
          <w:sz w:val="18"/>
          <w:szCs w:val="18"/>
          <w:color w:val="191919"/>
        </w:rPr>
        <w:t></w:t>
      </w:r>
      <w:r>
        <w:rPr>
          <w:rFonts w:ascii="Arial" w:cs="Arial" w:eastAsia="Arial" w:hAnsi="Arial"/>
          <w:sz w:val="18"/>
          <w:szCs w:val="18"/>
          <w:color w:val="191919"/>
        </w:rPr>
        <w:t xml:space="preserve">ä äË </w:t>
      </w:r>
      <w:r>
        <w:rPr>
          <w:rFonts w:ascii="PMingLiU" w:cs="PMingLiU" w:eastAsia="PMingLiU" w:hAnsi="PMingLiU"/>
          <w:sz w:val="18"/>
          <w:szCs w:val="18"/>
          <w:color w:val="191919"/>
        </w:rPr>
        <w:t> </w:t>
      </w:r>
      <w:r>
        <w:rPr>
          <w:rFonts w:ascii="Arial" w:cs="Arial" w:eastAsia="Arial" w:hAnsi="Arial"/>
          <w:sz w:val="18"/>
          <w:szCs w:val="18"/>
          <w:color w:val="191919"/>
        </w:rPr>
        <w:t>ÖäéÙ</w:t>
      </w:r>
      <w:r>
        <w:rPr>
          <w:rFonts w:ascii="PMingLiU" w:cs="PMingLiU" w:eastAsia="PMingLiU" w:hAnsi="PMingLiU"/>
          <w:sz w:val="18"/>
          <w:szCs w:val="18"/>
          <w:color w:val="191919"/>
        </w:rPr>
        <w:t> </w:t>
      </w:r>
      <w:r>
        <w:rPr>
          <w:rFonts w:ascii="Arial" w:cs="Arial" w:eastAsia="Arial" w:hAnsi="Arial"/>
          <w:sz w:val="18"/>
          <w:szCs w:val="18"/>
          <w:color w:val="191919"/>
        </w:rPr>
        <w:t>Ä</w:t>
      </w:r>
      <w:r>
        <w:rPr>
          <w:rFonts w:ascii="PMingLiU" w:cs="PMingLiU" w:eastAsia="PMingLiU" w:hAnsi="PMingLiU"/>
          <w:sz w:val="18"/>
          <w:szCs w:val="18"/>
          <w:color w:val="191919"/>
        </w:rPr>
        <w:t></w:t>
      </w:r>
      <w:r>
        <w:rPr>
          <w:rFonts w:ascii="Arial" w:cs="Arial" w:eastAsia="Arial" w:hAnsi="Arial"/>
          <w:sz w:val="18"/>
          <w:szCs w:val="18"/>
          <w:color w:val="191919"/>
        </w:rPr>
        <w:t xml:space="preserve"> ÝäËÙ</w:t>
      </w:r>
      <w:r>
        <w:rPr>
          <w:rFonts w:ascii="PMingLiU" w:cs="PMingLiU" w:eastAsia="PMingLiU" w:hAnsi="PMingLiU"/>
          <w:sz w:val="18"/>
          <w:szCs w:val="18"/>
          <w:color w:val="191919"/>
        </w:rPr>
        <w:t></w:t>
      </w:r>
      <w:r>
        <w:rPr>
          <w:rFonts w:ascii="Arial" w:cs="Arial" w:eastAsia="Arial" w:hAnsi="Arial"/>
          <w:sz w:val="18"/>
          <w:szCs w:val="18"/>
          <w:color w:val="191919"/>
        </w:rPr>
        <w:t xml:space="preserve"> ¢ËÙ ËéÙ </w:t>
      </w:r>
      <w:r>
        <w:rPr>
          <w:rFonts w:ascii="PMingLiU" w:cs="PMingLiU" w:eastAsia="PMingLiU" w:hAnsi="PMingLiU"/>
          <w:sz w:val="18"/>
          <w:szCs w:val="18"/>
          <w:color w:val="191919"/>
        </w:rPr>
        <w:t></w:t>
      </w:r>
      <w:r>
        <w:rPr>
          <w:rFonts w:ascii="Arial" w:cs="Arial" w:eastAsia="Arial" w:hAnsi="Arial"/>
          <w:sz w:val="18"/>
          <w:szCs w:val="18"/>
          <w:color w:val="191919"/>
        </w:rPr>
        <w:t>éÝäËÃ</w:t>
      </w:r>
      <w:r>
        <w:rPr>
          <w:rFonts w:ascii="PMingLiU" w:cs="PMingLiU" w:eastAsia="PMingLiU" w:hAnsi="PMingLiU"/>
          <w:sz w:val="18"/>
          <w:szCs w:val="18"/>
          <w:color w:val="191919"/>
        </w:rPr>
        <w:t></w:t>
      </w:r>
      <w:r>
        <w:rPr>
          <w:rFonts w:ascii="Arial" w:cs="Arial" w:eastAsia="Arial" w:hAnsi="Arial"/>
          <w:sz w:val="18"/>
          <w:szCs w:val="18"/>
          <w:color w:val="191919"/>
        </w:rPr>
        <w:t>ÙÝ</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-3530600</wp:posOffset>
                </wp:positionH>
                <wp:positionV relativeFrom="paragraph">
                  <wp:posOffset>159385</wp:posOffset>
                </wp:positionV>
                <wp:extent cx="62865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pt,12.55pt" to="217pt,12.55pt" o:allowincell="f" strokecolor="#B3B3B3" strokeweight="0.5pt"/>
            </w:pict>
          </mc:Fallback>
        </mc:AlternateContent>
      </w:r>
    </w:p>
    <w:p>
      <w:pPr>
        <w:spacing w:after="0" w:line="200" w:lineRule="exact"/>
        <w:rPr>
          <w:sz w:val="20"/>
          <w:szCs w:val="20"/>
          <w:color w:val="auto"/>
        </w:rPr>
      </w:pPr>
    </w:p>
    <w:p>
      <w:pPr>
        <w:sectPr>
          <w:pgSz w:w="11880" w:h="15480" w:orient="portrait"/>
          <w:cols w:equalWidth="0" w:num="2">
            <w:col w:w="5171" w:space="720"/>
            <w:col w:w="4100"/>
          </w:cols>
          <w:pgMar w:left="749" w:top="360" w:right="1140" w:bottom="0" w:gutter="0" w:footer="0" w:header="0"/>
          <w:type w:val="continuous"/>
        </w:sectPr>
      </w:pPr>
    </w:p>
    <w:p>
      <w:pPr>
        <w:spacing w:after="0" w:line="183" w:lineRule="exact"/>
        <w:rPr>
          <w:sz w:val="20"/>
          <w:szCs w:val="20"/>
          <w:color w:val="auto"/>
        </w:rPr>
      </w:pPr>
    </w:p>
    <w:p>
      <w:pPr>
        <w:ind w:left="331" w:right="240" w:firstLine="1"/>
        <w:spacing w:after="0" w:line="169" w:lineRule="exact"/>
        <w:rPr>
          <w:sz w:val="20"/>
          <w:szCs w:val="20"/>
          <w:color w:val="auto"/>
        </w:rPr>
      </w:pPr>
      <w:r>
        <w:rPr>
          <w:rFonts w:ascii="PMingLiU" w:cs="PMingLiU" w:eastAsia="PMingLiU" w:hAnsi="PMingLiU"/>
          <w:sz w:val="14"/>
          <w:szCs w:val="14"/>
          <w:b w:val="1"/>
          <w:bCs w:val="1"/>
          <w:color w:val="303030"/>
        </w:rPr>
        <w:t></w:t>
      </w:r>
      <w:r>
        <w:rPr>
          <w:rFonts w:ascii="Arial" w:cs="Arial" w:eastAsia="Arial" w:hAnsi="Arial"/>
          <w:sz w:val="14"/>
          <w:szCs w:val="14"/>
          <w:b w:val="1"/>
          <w:bCs w:val="1"/>
          <w:color w:val="303030"/>
        </w:rPr>
        <w:t>Ëéä ä¨</w:t>
      </w:r>
      <w:r>
        <w:rPr>
          <w:rFonts w:ascii="PMingLiU" w:cs="PMingLiU" w:eastAsia="PMingLiU" w:hAnsi="PMingLiU"/>
          <w:sz w:val="14"/>
          <w:szCs w:val="14"/>
          <w:b w:val="1"/>
          <w:bCs w:val="1"/>
          <w:color w:val="303030"/>
        </w:rPr>
        <w:t> </w:t>
      </w:r>
      <w:r>
        <w:rPr>
          <w:rFonts w:ascii="Arial" w:cs="Arial" w:eastAsia="Arial" w:hAnsi="Arial"/>
          <w:sz w:val="14"/>
          <w:szCs w:val="14"/>
          <w:b w:val="1"/>
          <w:bCs w:val="1"/>
          <w:color w:val="303030"/>
        </w:rPr>
        <w:t>Ëô</w:t>
      </w:r>
      <w:r>
        <w:rPr>
          <w:rFonts w:ascii="PMingLiU" w:cs="PMingLiU" w:eastAsia="PMingLiU" w:hAnsi="PMingLiU"/>
          <w:sz w:val="14"/>
          <w:szCs w:val="14"/>
          <w:b w:val="1"/>
          <w:bCs w:val="1"/>
          <w:color w:val="303030"/>
        </w:rPr>
        <w:t></w:t>
      </w:r>
      <w:r>
        <w:rPr>
          <w:rFonts w:ascii="Arial" w:cs="Arial" w:eastAsia="Arial" w:hAnsi="Arial"/>
          <w:sz w:val="14"/>
          <w:szCs w:val="14"/>
          <w:b w:val="1"/>
          <w:bCs w:val="1"/>
          <w:color w:val="303030"/>
        </w:rPr>
        <w:t xml:space="preserve">Ùǎ </w:t>
      </w:r>
      <w:r>
        <w:rPr>
          <w:rFonts w:ascii="Arial" w:cs="Arial" w:eastAsia="Arial" w:hAnsi="Arial"/>
          <w:sz w:val="14"/>
          <w:szCs w:val="14"/>
          <w:color w:val="303030"/>
        </w:rPr>
        <w:t>IéÙ T</w:t>
      </w:r>
      <w:r>
        <w:rPr>
          <w:rFonts w:ascii="PMingLiU" w:cs="PMingLiU" w:eastAsia="PMingLiU" w:hAnsi="PMingLiU"/>
          <w:sz w:val="14"/>
          <w:szCs w:val="14"/>
          <w:color w:val="303030"/>
        </w:rPr>
        <w:t></w:t>
      </w:r>
      <w:r>
        <w:rPr>
          <w:rFonts w:ascii="Arial" w:cs="Arial" w:eastAsia="Arial" w:hAnsi="Arial"/>
          <w:sz w:val="14"/>
          <w:szCs w:val="14"/>
          <w:color w:val="303030"/>
        </w:rPr>
        <w:t>ÙÃ«</w:t>
      </w:r>
      <w:r>
        <w:rPr>
          <w:rFonts w:ascii="PMingLiU" w:cs="PMingLiU" w:eastAsia="PMingLiU" w:hAnsi="PMingLiU"/>
          <w:sz w:val="14"/>
          <w:szCs w:val="14"/>
          <w:color w:val="303030"/>
        </w:rPr>
        <w:t></w:t>
      </w:r>
      <w:r>
        <w:rPr>
          <w:rFonts w:ascii="Arial" w:cs="Arial" w:eastAsia="Arial" w:hAnsi="Arial"/>
          <w:sz w:val="14"/>
          <w:szCs w:val="14"/>
          <w:color w:val="303030"/>
        </w:rPr>
        <w:t>Ä</w:t>
      </w:r>
      <w:r>
        <w:rPr>
          <w:rFonts w:ascii="Arial" w:cs="Arial" w:eastAsia="Arial" w:hAnsi="Arial"/>
          <w:sz w:val="14"/>
          <w:szCs w:val="14"/>
          <w:b w:val="1"/>
          <w:bCs w:val="1"/>
          <w:color w:val="303030"/>
        </w:rPr>
        <w:t xml:space="preserve"> </w:t>
      </w:r>
      <w:r>
        <w:rPr>
          <w:rFonts w:ascii="PMingLiU" w:cs="PMingLiU" w:eastAsia="PMingLiU" w:hAnsi="PMingLiU"/>
          <w:sz w:val="14"/>
          <w:szCs w:val="14"/>
          <w:color w:val="303030"/>
        </w:rPr>
        <w:t></w:t>
      </w:r>
      <w:r>
        <w:rPr>
          <w:rFonts w:ascii="Arial" w:cs="Arial" w:eastAsia="Arial" w:hAnsi="Arial"/>
          <w:sz w:val="14"/>
          <w:szCs w:val="14"/>
          <w:color w:val="303030"/>
        </w:rPr>
        <w:t>Ý«Ä ËÖ</w:t>
      </w:r>
      <w:r>
        <w:rPr>
          <w:rFonts w:ascii="PMingLiU" w:cs="PMingLiU" w:eastAsia="PMingLiU" w:hAnsi="PMingLiU"/>
          <w:sz w:val="14"/>
          <w:szCs w:val="14"/>
          <w:color w:val="303030"/>
        </w:rPr>
        <w:t></w:t>
      </w:r>
      <w:r>
        <w:rPr>
          <w:rFonts w:ascii="Arial" w:cs="Arial" w:eastAsia="Arial" w:hAnsi="Arial"/>
          <w:sz w:val="14"/>
          <w:szCs w:val="14"/>
          <w:color w:val="303030"/>
        </w:rPr>
        <w:t>Ù</w:t>
      </w:r>
      <w:r>
        <w:rPr>
          <w:rFonts w:ascii="PMingLiU" w:cs="PMingLiU" w:eastAsia="PMingLiU" w:hAnsi="PMingLiU"/>
          <w:sz w:val="14"/>
          <w:szCs w:val="14"/>
          <w:color w:val="303030"/>
        </w:rPr>
        <w:t></w:t>
      </w:r>
      <w:r>
        <w:rPr>
          <w:rFonts w:ascii="Arial" w:cs="Arial" w:eastAsia="Arial" w:hAnsi="Arial"/>
          <w:sz w:val="14"/>
          <w:szCs w:val="14"/>
          <w:color w:val="303030"/>
        </w:rPr>
        <w:t>ä«ËÄÝ ǡ¢ÙËÄäǢǔ IéÙ Ä</w:t>
      </w:r>
      <w:r>
        <w:rPr>
          <w:rFonts w:ascii="PMingLiU" w:cs="PMingLiU" w:eastAsia="PMingLiU" w:hAnsi="PMingLiU"/>
          <w:sz w:val="14"/>
          <w:szCs w:val="14"/>
          <w:color w:val="303030"/>
        </w:rPr>
        <w:t></w:t>
      </w:r>
      <w:r>
        <w:rPr>
          <w:rFonts w:ascii="Arial" w:cs="Arial" w:eastAsia="Arial" w:hAnsi="Arial"/>
          <w:sz w:val="14"/>
          <w:szCs w:val="14"/>
          <w:color w:val="303030"/>
        </w:rPr>
        <w:t>õ ÖË½ûÖÙËÖû½</w:t>
      </w:r>
      <w:r>
        <w:rPr>
          <w:rFonts w:ascii="PMingLiU" w:cs="PMingLiU" w:eastAsia="PMingLiU" w:hAnsi="PMingLiU"/>
          <w:sz w:val="14"/>
          <w:szCs w:val="14"/>
          <w:color w:val="303030"/>
        </w:rPr>
        <w:t></w:t>
      </w:r>
      <w:r>
        <w:rPr>
          <w:rFonts w:ascii="Arial" w:cs="Arial" w:eastAsia="Arial" w:hAnsi="Arial"/>
          <w:sz w:val="14"/>
          <w:szCs w:val="14"/>
          <w:color w:val="303030"/>
        </w:rPr>
        <w:t>Ä</w:t>
      </w:r>
      <w:r>
        <w:rPr>
          <w:rFonts w:ascii="PMingLiU" w:cs="PMingLiU" w:eastAsia="PMingLiU" w:hAnsi="PMingLiU"/>
          <w:sz w:val="14"/>
          <w:szCs w:val="14"/>
          <w:color w:val="303030"/>
        </w:rPr>
        <w:t></w:t>
      </w:r>
      <w:r>
        <w:rPr>
          <w:rFonts w:ascii="Arial" w:cs="Arial" w:eastAsia="Arial" w:hAnsi="Arial"/>
          <w:sz w:val="14"/>
          <w:szCs w:val="14"/>
          <w:b w:val="1"/>
          <w:bCs w:val="1"/>
          <w:color w:val="303030"/>
        </w:rPr>
        <w:t xml:space="preserve"> </w:t>
      </w:r>
      <w:r>
        <w:rPr>
          <w:rFonts w:ascii="Arial" w:cs="Arial" w:eastAsia="Arial" w:hAnsi="Arial"/>
          <w:sz w:val="14"/>
          <w:szCs w:val="14"/>
          <w:color w:val="303030"/>
        </w:rPr>
        <w:t>ÖÙË</w:t>
      </w:r>
      <w:r>
        <w:rPr>
          <w:rFonts w:ascii="PMingLiU" w:cs="PMingLiU" w:eastAsia="PMingLiU" w:hAnsi="PMingLiU"/>
          <w:sz w:val="14"/>
          <w:szCs w:val="14"/>
          <w:color w:val="303030"/>
        </w:rPr>
        <w:t></w:t>
      </w:r>
      <w:r>
        <w:rPr>
          <w:rFonts w:ascii="Arial" w:cs="Arial" w:eastAsia="Arial" w:hAnsi="Arial"/>
          <w:sz w:val="14"/>
          <w:szCs w:val="14"/>
          <w:color w:val="303030"/>
        </w:rPr>
        <w:t>é</w:t>
      </w:r>
      <w:r>
        <w:rPr>
          <w:rFonts w:ascii="PMingLiU" w:cs="PMingLiU" w:eastAsia="PMingLiU" w:hAnsi="PMingLiU"/>
          <w:sz w:val="14"/>
          <w:szCs w:val="14"/>
          <w:color w:val="303030"/>
        </w:rPr>
        <w:t></w:t>
      </w:r>
      <w:r>
        <w:rPr>
          <w:rFonts w:ascii="Arial" w:cs="Arial" w:eastAsia="Arial" w:hAnsi="Arial"/>
          <w:sz w:val="14"/>
          <w:szCs w:val="14"/>
          <w:color w:val="303030"/>
        </w:rPr>
        <w:t>ä«ËÄ éÄ«ä «Ä</w:t>
      </w:r>
      <w:r>
        <w:rPr>
          <w:rFonts w:ascii="Arial" w:cs="Arial" w:eastAsia="Arial" w:hAnsi="Arial"/>
          <w:sz w:val="14"/>
          <w:szCs w:val="14"/>
          <w:b w:val="1"/>
          <w:bCs w:val="1"/>
          <w:color w:val="303030"/>
        </w:rPr>
        <w:t xml:space="preserve"> </w:t>
      </w:r>
      <w:r>
        <w:rPr>
          <w:rFonts w:ascii="PMingLiU" w:cs="PMingLiU" w:eastAsia="PMingLiU" w:hAnsi="PMingLiU"/>
          <w:sz w:val="14"/>
          <w:szCs w:val="14"/>
          <w:color w:val="303030"/>
        </w:rPr>
        <w:t></w:t>
      </w:r>
      <w:r>
        <w:rPr>
          <w:rFonts w:ascii="Arial" w:cs="Arial" w:eastAsia="Arial" w:hAnsi="Arial"/>
          <w:sz w:val="14"/>
          <w:szCs w:val="14"/>
          <w:color w:val="303030"/>
        </w:rPr>
        <w:t>äËÄ WËé£</w:t>
      </w:r>
      <w:r>
        <w:rPr>
          <w:rFonts w:ascii="PMingLiU" w:cs="PMingLiU" w:eastAsia="PMingLiU" w:hAnsi="PMingLiU"/>
          <w:sz w:val="14"/>
          <w:szCs w:val="14"/>
          <w:color w:val="303030"/>
        </w:rPr>
        <w:t></w:t>
      </w:r>
      <w:r>
        <w:rPr>
          <w:rFonts w:ascii="Arial" w:cs="Arial" w:eastAsia="Arial" w:hAnsi="Arial"/>
          <w:sz w:val="14"/>
          <w:szCs w:val="14"/>
          <w:color w:val="303030"/>
        </w:rPr>
        <w:t>Ǐ &lt;Ëé«Ý«</w:t>
      </w:r>
      <w:r>
        <w:rPr>
          <w:rFonts w:ascii="PMingLiU" w:cs="PMingLiU" w:eastAsia="PMingLiU" w:hAnsi="PMingLiU"/>
          <w:sz w:val="14"/>
          <w:szCs w:val="14"/>
          <w:color w:val="303030"/>
        </w:rPr>
        <w:t></w:t>
      </w:r>
      <w:r>
        <w:rPr>
          <w:rFonts w:ascii="Arial" w:cs="Arial" w:eastAsia="Arial" w:hAnsi="Arial"/>
          <w:sz w:val="14"/>
          <w:szCs w:val="14"/>
          <w:color w:val="303030"/>
        </w:rPr>
        <w:t>Ä</w:t>
      </w:r>
      <w:r>
        <w:rPr>
          <w:rFonts w:ascii="PMingLiU" w:cs="PMingLiU" w:eastAsia="PMingLiU" w:hAnsi="PMingLiU"/>
          <w:sz w:val="14"/>
          <w:szCs w:val="14"/>
          <w:color w:val="303030"/>
        </w:rPr>
        <w:t></w:t>
      </w:r>
      <w:r>
        <w:rPr>
          <w:rFonts w:ascii="Arial" w:cs="Arial" w:eastAsia="Arial" w:hAnsi="Arial"/>
          <w:sz w:val="14"/>
          <w:szCs w:val="14"/>
          <w:b w:val="1"/>
          <w:bCs w:val="1"/>
          <w:color w:val="303030"/>
        </w:rPr>
        <w:t xml:space="preserve"> </w:t>
      </w:r>
      <w:r>
        <w:rPr>
          <w:rFonts w:ascii="Arial" w:cs="Arial" w:eastAsia="Arial" w:hAnsi="Arial"/>
          <w:sz w:val="14"/>
          <w:szCs w:val="14"/>
          <w:color w:val="303030"/>
        </w:rPr>
        <w:t>ǡ</w:t>
      </w:r>
      <w:r>
        <w:rPr>
          <w:rFonts w:ascii="PMingLiU" w:cs="PMingLiU" w:eastAsia="PMingLiU" w:hAnsi="PMingLiU"/>
          <w:sz w:val="14"/>
          <w:szCs w:val="14"/>
          <w:color w:val="303030"/>
        </w:rPr>
        <w:t></w:t>
      </w:r>
      <w:r>
        <w:rPr>
          <w:rFonts w:ascii="Arial" w:cs="Arial" w:eastAsia="Arial" w:hAnsi="Arial"/>
          <w:sz w:val="14"/>
          <w:szCs w:val="14"/>
          <w:color w:val="303030"/>
        </w:rPr>
        <w:t>º Ã«</w:t>
      </w:r>
      <w:r>
        <w:rPr>
          <w:rFonts w:ascii="PMingLiU" w:cs="PMingLiU" w:eastAsia="PMingLiU" w:hAnsi="PMingLiU"/>
          <w:sz w:val="14"/>
          <w:szCs w:val="14"/>
          <w:color w:val="303030"/>
        </w:rPr>
        <w:t></w:t>
      </w:r>
      <w:r>
        <w:rPr>
          <w:rFonts w:ascii="Arial" w:cs="Arial" w:eastAsia="Arial" w:hAnsi="Arial"/>
          <w:sz w:val="14"/>
          <w:szCs w:val="14"/>
          <w:color w:val="303030"/>
        </w:rPr>
        <w:t>½</w:t>
      </w:r>
      <w:r>
        <w:rPr>
          <w:rFonts w:ascii="PMingLiU" w:cs="PMingLiU" w:eastAsia="PMingLiU" w:hAnsi="PMingLiU"/>
          <w:sz w:val="14"/>
          <w:szCs w:val="14"/>
          <w:color w:val="303030"/>
        </w:rPr>
        <w:t></w:t>
      </w:r>
      <w:r>
        <w:rPr>
          <w:rFonts w:ascii="Arial" w:cs="Arial" w:eastAsia="Arial" w:hAnsi="Arial"/>
          <w:sz w:val="14"/>
          <w:szCs w:val="14"/>
          <w:color w:val="303030"/>
        </w:rPr>
        <w:t>Ǣǔ IéÙ ¢«ÙÝä ½«ä¨«éÃ</w:t>
      </w:r>
      <w:r>
        <w:rPr>
          <w:rFonts w:ascii="Arial" w:cs="Arial" w:eastAsia="Arial" w:hAnsi="Arial"/>
          <w:sz w:val="14"/>
          <w:szCs w:val="14"/>
          <w:b w:val="1"/>
          <w:bCs w:val="1"/>
          <w:color w:val="303030"/>
        </w:rPr>
        <w:t xml:space="preserve"> </w:t>
      </w:r>
      <w:r>
        <w:rPr>
          <w:rFonts w:ascii="PMingLiU" w:cs="PMingLiU" w:eastAsia="PMingLiU" w:hAnsi="PMingLiU"/>
          <w:sz w:val="14"/>
          <w:szCs w:val="14"/>
          <w:color w:val="303030"/>
        </w:rPr>
        <w:t></w:t>
      </w:r>
      <w:r>
        <w:rPr>
          <w:rFonts w:ascii="Arial" w:cs="Arial" w:eastAsia="Arial" w:hAnsi="Arial"/>
          <w:sz w:val="14"/>
          <w:szCs w:val="14"/>
          <w:color w:val="303030"/>
        </w:rPr>
        <w:t>ÖÖÙ</w:t>
      </w:r>
      <w:r>
        <w:rPr>
          <w:rFonts w:ascii="PMingLiU" w:cs="PMingLiU" w:eastAsia="PMingLiU" w:hAnsi="PMingLiU"/>
          <w:sz w:val="14"/>
          <w:szCs w:val="14"/>
          <w:color w:val="303030"/>
        </w:rPr>
        <w:t></w:t>
      </w:r>
      <w:r>
        <w:rPr>
          <w:rFonts w:ascii="Arial" w:cs="Arial" w:eastAsia="Arial" w:hAnsi="Arial"/>
          <w:sz w:val="14"/>
          <w:szCs w:val="14"/>
          <w:color w:val="303030"/>
        </w:rPr>
        <w:t>«Ý</w:t>
      </w:r>
      <w:r>
        <w:rPr>
          <w:rFonts w:ascii="PMingLiU" w:cs="PMingLiU" w:eastAsia="PMingLiU" w:hAnsi="PMingLiU"/>
          <w:sz w:val="14"/>
          <w:szCs w:val="14"/>
          <w:color w:val="303030"/>
        </w:rPr>
        <w:t></w:t>
      </w:r>
      <w:r>
        <w:rPr>
          <w:rFonts w:ascii="Arial" w:cs="Arial" w:eastAsia="Arial" w:hAnsi="Arial"/>
          <w:sz w:val="14"/>
          <w:szCs w:val="14"/>
          <w:color w:val="303030"/>
        </w:rPr>
        <w:t>½ õ</w:t>
      </w:r>
      <w:r>
        <w:rPr>
          <w:rFonts w:ascii="PMingLiU" w:cs="PMingLiU" w:eastAsia="PMingLiU" w:hAnsi="PMingLiU"/>
          <w:sz w:val="14"/>
          <w:szCs w:val="14"/>
          <w:color w:val="303030"/>
        </w:rPr>
        <w:t></w:t>
      </w:r>
      <w:r>
        <w:rPr>
          <w:rFonts w:ascii="Arial" w:cs="Arial" w:eastAsia="Arial" w:hAnsi="Arial"/>
          <w:sz w:val="14"/>
          <w:szCs w:val="14"/>
          <w:color w:val="303030"/>
        </w:rPr>
        <w:t>½½Ǐ ½Ë</w:t>
      </w:r>
      <w:r>
        <w:rPr>
          <w:rFonts w:ascii="PMingLiU" w:cs="PMingLiU" w:eastAsia="PMingLiU" w:hAnsi="PMingLiU"/>
          <w:sz w:val="14"/>
          <w:szCs w:val="14"/>
          <w:color w:val="303030"/>
        </w:rPr>
        <w:t></w:t>
      </w:r>
      <w:r>
        <w:rPr>
          <w:rFonts w:ascii="Arial" w:cs="Arial" w:eastAsia="Arial" w:hAnsi="Arial"/>
          <w:sz w:val="14"/>
          <w:szCs w:val="14"/>
          <w:color w:val="303030"/>
        </w:rPr>
        <w:t>ä</w:t>
      </w:r>
      <w:r>
        <w:rPr>
          <w:rFonts w:ascii="PMingLiU" w:cs="PMingLiU" w:eastAsia="PMingLiU" w:hAnsi="PMingLiU"/>
          <w:sz w:val="14"/>
          <w:szCs w:val="14"/>
          <w:color w:val="303030"/>
        </w:rPr>
        <w:t></w:t>
      </w:r>
      <w:r>
        <w:rPr>
          <w:rFonts w:ascii="Arial" w:cs="Arial" w:eastAsia="Arial" w:hAnsi="Arial"/>
          <w:sz w:val="14"/>
          <w:szCs w:val="14"/>
          <w:color w:val="303030"/>
        </w:rPr>
        <w:t xml:space="preserve"> «Ä ÝËéä¨</w:t>
      </w:r>
      <w:r>
        <w:rPr>
          <w:rFonts w:ascii="PMingLiU" w:cs="PMingLiU" w:eastAsia="PMingLiU" w:hAnsi="PMingLiU"/>
          <w:sz w:val="14"/>
          <w:szCs w:val="14"/>
          <w:color w:val="303030"/>
        </w:rPr>
        <w:t></w:t>
      </w:r>
      <w:r>
        <w:rPr>
          <w:rFonts w:ascii="Arial" w:cs="Arial" w:eastAsia="Arial" w:hAnsi="Arial"/>
          <w:sz w:val="14"/>
          <w:szCs w:val="14"/>
          <w:color w:val="303030"/>
        </w:rPr>
        <w:t xml:space="preserve">ÙÄ </w:t>
      </w:r>
      <w:r>
        <w:rPr>
          <w:rFonts w:ascii="PMingLiU" w:cs="PMingLiU" w:eastAsia="PMingLiU" w:hAnsi="PMingLiU"/>
          <w:sz w:val="14"/>
          <w:szCs w:val="14"/>
          <w:color w:val="303030"/>
        </w:rPr>
        <w:t/>
      </w:r>
      <w:r>
        <w:rPr>
          <w:rFonts w:ascii="Arial" w:cs="Arial" w:eastAsia="Arial" w:hAnsi="Arial"/>
          <w:sz w:val="14"/>
          <w:szCs w:val="14"/>
          <w:color w:val="303030"/>
        </w:rPr>
        <w:t>Ùº</w:t>
      </w:r>
      <w:r>
        <w:rPr>
          <w:rFonts w:ascii="PMingLiU" w:cs="PMingLiU" w:eastAsia="PMingLiU" w:hAnsi="PMingLiU"/>
          <w:sz w:val="14"/>
          <w:szCs w:val="14"/>
          <w:color w:val="303030"/>
        </w:rPr>
        <w:t></w:t>
      </w:r>
      <w:r>
        <w:rPr>
          <w:rFonts w:ascii="Arial" w:cs="Arial" w:eastAsia="Arial" w:hAnsi="Arial"/>
          <w:sz w:val="14"/>
          <w:szCs w:val="14"/>
          <w:color w:val="303030"/>
        </w:rPr>
        <w:t>ÄÝ</w:t>
      </w:r>
      <w:r>
        <w:rPr>
          <w:rFonts w:ascii="PMingLiU" w:cs="PMingLiU" w:eastAsia="PMingLiU" w:hAnsi="PMingLiU"/>
          <w:sz w:val="14"/>
          <w:szCs w:val="14"/>
          <w:color w:val="303030"/>
        </w:rPr>
        <w:t></w:t>
      </w:r>
      <w:r>
        <w:rPr>
          <w:rFonts w:ascii="Arial" w:cs="Arial" w:eastAsia="Arial" w:hAnsi="Arial"/>
          <w:sz w:val="14"/>
          <w:szCs w:val="14"/>
          <w:color w:val="303030"/>
        </w:rPr>
        <w:t>Ý ǡ</w:t>
      </w:r>
      <w:r>
        <w:rPr>
          <w:rFonts w:ascii="PMingLiU" w:cs="PMingLiU" w:eastAsia="PMingLiU" w:hAnsi="PMingLiU"/>
          <w:sz w:val="14"/>
          <w:szCs w:val="14"/>
          <w:color w:val="303030"/>
        </w:rPr>
        <w:t></w:t>
      </w:r>
      <w:r>
        <w:rPr>
          <w:rFonts w:ascii="Arial" w:cs="Arial" w:eastAsia="Arial" w:hAnsi="Arial"/>
          <w:sz w:val="14"/>
          <w:szCs w:val="14"/>
          <w:color w:val="303030"/>
        </w:rPr>
        <w:t>º ½</w:t>
      </w:r>
      <w:r>
        <w:rPr>
          <w:rFonts w:ascii="PMingLiU" w:cs="PMingLiU" w:eastAsia="PMingLiU" w:hAnsi="PMingLiU"/>
          <w:sz w:val="14"/>
          <w:szCs w:val="14"/>
          <w:color w:val="303030"/>
        </w:rPr>
        <w:t></w:t>
      </w:r>
      <w:r>
        <w:rPr>
          <w:rFonts w:ascii="Arial" w:cs="Arial" w:eastAsia="Arial" w:hAnsi="Arial"/>
          <w:sz w:val="14"/>
          <w:szCs w:val="14"/>
          <w:color w:val="303030"/>
        </w:rPr>
        <w:t>¢äǢǔ</w:t>
      </w:r>
    </w:p>
    <w:p>
      <w:pPr>
        <w:spacing w:after="0" w:line="71" w:lineRule="exact"/>
        <w:rPr>
          <w:sz w:val="20"/>
          <w:szCs w:val="20"/>
          <w:color w:val="auto"/>
        </w:rPr>
      </w:pPr>
    </w:p>
    <w:p>
      <w:pPr>
        <w:ind w:left="331"/>
        <w:spacing w:after="0" w:line="170" w:lineRule="exact"/>
        <w:rPr>
          <w:sz w:val="20"/>
          <w:szCs w:val="20"/>
          <w:color w:val="auto"/>
        </w:rPr>
      </w:pPr>
      <w:r>
        <w:rPr>
          <w:rFonts w:ascii="Arial" w:cs="Arial" w:eastAsia="Arial" w:hAnsi="Arial"/>
          <w:sz w:val="14"/>
          <w:szCs w:val="14"/>
          <w:color w:val="303030"/>
        </w:rPr>
        <w:t>[</w:t>
      </w:r>
      <w:r>
        <w:rPr>
          <w:rFonts w:ascii="PMingLiU" w:cs="PMingLiU" w:eastAsia="PMingLiU" w:hAnsi="PMingLiU"/>
          <w:sz w:val="14"/>
          <w:szCs w:val="14"/>
          <w:color w:val="303030"/>
        </w:rPr>
        <w:t> </w:t>
      </w:r>
      <w:r>
        <w:rPr>
          <w:rFonts w:ascii="Arial" w:cs="Arial" w:eastAsia="Arial" w:hAnsi="Arial"/>
          <w:sz w:val="14"/>
          <w:szCs w:val="14"/>
          <w:color w:val="303030"/>
        </w:rPr>
        <w:t>éä«ËÄ</w:t>
      </w:r>
      <w:r>
        <w:rPr>
          <w:rFonts w:ascii="PMingLiU" w:cs="PMingLiU" w:eastAsia="PMingLiU" w:hAnsi="PMingLiU"/>
          <w:sz w:val="14"/>
          <w:szCs w:val="14"/>
          <w:color w:val="303030"/>
        </w:rPr>
        <w:t></w:t>
      </w:r>
      <w:r>
        <w:rPr>
          <w:rFonts w:ascii="Arial" w:cs="Arial" w:eastAsia="Arial" w:hAnsi="Arial"/>
          <w:sz w:val="14"/>
          <w:szCs w:val="14"/>
          <w:color w:val="303030"/>
        </w:rPr>
        <w:t>Ùû [ä</w:t>
      </w:r>
      <w:r>
        <w:rPr>
          <w:rFonts w:ascii="PMingLiU" w:cs="PMingLiU" w:eastAsia="PMingLiU" w:hAnsi="PMingLiU"/>
          <w:sz w:val="14"/>
          <w:szCs w:val="14"/>
          <w:color w:val="303030"/>
        </w:rPr>
        <w:t></w:t>
      </w:r>
      <w:r>
        <w:rPr>
          <w:rFonts w:ascii="Arial" w:cs="Arial" w:eastAsia="Arial" w:hAnsi="Arial"/>
          <w:sz w:val="14"/>
          <w:szCs w:val="14"/>
          <w:color w:val="303030"/>
        </w:rPr>
        <w:t>ä</w:t>
      </w:r>
      <w:r>
        <w:rPr>
          <w:rFonts w:ascii="PMingLiU" w:cs="PMingLiU" w:eastAsia="PMingLiU" w:hAnsi="PMingLiU"/>
          <w:sz w:val="14"/>
          <w:szCs w:val="14"/>
          <w:color w:val="303030"/>
        </w:rPr>
        <w:t></w:t>
      </w:r>
      <w:r>
        <w:rPr>
          <w:rFonts w:ascii="Arial" w:cs="Arial" w:eastAsia="Arial" w:hAnsi="Arial"/>
          <w:sz w:val="14"/>
          <w:szCs w:val="14"/>
          <w:color w:val="303030"/>
        </w:rPr>
        <w:t>Ã</w:t>
      </w:r>
      <w:r>
        <w:rPr>
          <w:rFonts w:ascii="PMingLiU" w:cs="PMingLiU" w:eastAsia="PMingLiU" w:hAnsi="PMingLiU"/>
          <w:sz w:val="14"/>
          <w:szCs w:val="14"/>
          <w:color w:val="303030"/>
        </w:rPr>
        <w:t></w:t>
      </w:r>
      <w:r>
        <w:rPr>
          <w:rFonts w:ascii="Arial" w:cs="Arial" w:eastAsia="Arial" w:hAnsi="Arial"/>
          <w:sz w:val="14"/>
          <w:szCs w:val="14"/>
          <w:color w:val="303030"/>
        </w:rPr>
        <w:t>Ää ËÄ Ö</w:t>
      </w:r>
      <w:r>
        <w:rPr>
          <w:rFonts w:ascii="PMingLiU" w:cs="PMingLiU" w:eastAsia="PMingLiU" w:hAnsi="PMingLiU"/>
          <w:sz w:val="14"/>
          <w:szCs w:val="14"/>
          <w:color w:val="303030"/>
        </w:rPr>
        <w:t></w:t>
      </w:r>
      <w:r>
        <w:rPr>
          <w:rFonts w:ascii="Arial" w:cs="Arial" w:eastAsia="Arial" w:hAnsi="Arial"/>
          <w:sz w:val="14"/>
          <w:szCs w:val="14"/>
          <w:color w:val="303030"/>
        </w:rPr>
        <w:t>£</w:t>
      </w:r>
      <w:r>
        <w:rPr>
          <w:rFonts w:ascii="PMingLiU" w:cs="PMingLiU" w:eastAsia="PMingLiU" w:hAnsi="PMingLiU"/>
          <w:sz w:val="14"/>
          <w:szCs w:val="14"/>
          <w:color w:val="303030"/>
        </w:rPr>
        <w:t></w:t>
      </w:r>
      <w:r>
        <w:rPr>
          <w:rFonts w:ascii="Arial" w:cs="Arial" w:eastAsia="Arial" w:hAnsi="Arial"/>
          <w:sz w:val="14"/>
          <w:szCs w:val="14"/>
          <w:color w:val="303030"/>
        </w:rPr>
        <w:t xml:space="preserve"> ƌƏƋ ¢ËÙ «ÃÖËÙä</w:t>
      </w:r>
      <w:r>
        <w:rPr>
          <w:rFonts w:ascii="PMingLiU" w:cs="PMingLiU" w:eastAsia="PMingLiU" w:hAnsi="PMingLiU"/>
          <w:sz w:val="14"/>
          <w:szCs w:val="14"/>
          <w:color w:val="303030"/>
        </w:rPr>
        <w:t></w:t>
      </w:r>
      <w:r>
        <w:rPr>
          <w:rFonts w:ascii="Arial" w:cs="Arial" w:eastAsia="Arial" w:hAnsi="Arial"/>
          <w:sz w:val="14"/>
          <w:szCs w:val="14"/>
          <w:color w:val="303030"/>
        </w:rPr>
        <w:t>Ää «Ä¢ËÙÃ</w:t>
      </w:r>
      <w:r>
        <w:rPr>
          <w:rFonts w:ascii="PMingLiU" w:cs="PMingLiU" w:eastAsia="PMingLiU" w:hAnsi="PMingLiU"/>
          <w:sz w:val="14"/>
          <w:szCs w:val="14"/>
          <w:color w:val="303030"/>
        </w:rPr>
        <w:t></w:t>
      </w:r>
      <w:r>
        <w:rPr>
          <w:rFonts w:ascii="Arial" w:cs="Arial" w:eastAsia="Arial" w:hAnsi="Arial"/>
          <w:sz w:val="14"/>
          <w:szCs w:val="14"/>
          <w:color w:val="303030"/>
        </w:rPr>
        <w:t>ä«ËÄ Ù</w:t>
      </w:r>
      <w:r>
        <w:rPr>
          <w:rFonts w:ascii="PMingLiU" w:cs="PMingLiU" w:eastAsia="PMingLiU" w:hAnsi="PMingLiU"/>
          <w:sz w:val="14"/>
          <w:szCs w:val="14"/>
          <w:color w:val="303030"/>
        </w:rPr>
        <w:t></w:t>
      </w:r>
      <w:r>
        <w:rPr>
          <w:rFonts w:ascii="Arial" w:cs="Arial" w:eastAsia="Arial" w:hAnsi="Arial"/>
          <w:sz w:val="14"/>
          <w:szCs w:val="14"/>
          <w:color w:val="303030"/>
        </w:rPr>
        <w:t>£</w:t>
      </w:r>
      <w:r>
        <w:rPr>
          <w:rFonts w:ascii="PMingLiU" w:cs="PMingLiU" w:eastAsia="PMingLiU" w:hAnsi="PMingLiU"/>
          <w:sz w:val="14"/>
          <w:szCs w:val="14"/>
          <w:color w:val="303030"/>
        </w:rPr>
        <w:t></w:t>
      </w:r>
      <w:r>
        <w:rPr>
          <w:rFonts w:ascii="Arial" w:cs="Arial" w:eastAsia="Arial" w:hAnsi="Arial"/>
          <w:sz w:val="14"/>
          <w:szCs w:val="14"/>
          <w:color w:val="303030"/>
        </w:rPr>
        <w:t>Ù</w:t>
      </w:r>
      <w:r>
        <w:rPr>
          <w:rFonts w:ascii="PMingLiU" w:cs="PMingLiU" w:eastAsia="PMingLiU" w:hAnsi="PMingLiU"/>
          <w:sz w:val="14"/>
          <w:szCs w:val="14"/>
          <w:color w:val="303030"/>
        </w:rPr>
        <w:t></w:t>
      </w:r>
      <w:r>
        <w:rPr>
          <w:rFonts w:ascii="Arial" w:cs="Arial" w:eastAsia="Arial" w:hAnsi="Arial"/>
          <w:sz w:val="14"/>
          <w:szCs w:val="14"/>
          <w:color w:val="303030"/>
        </w:rPr>
        <w:t>«Ä£ ¢ËÙõ</w:t>
      </w:r>
      <w:r>
        <w:rPr>
          <w:rFonts w:ascii="PMingLiU" w:cs="PMingLiU" w:eastAsia="PMingLiU" w:hAnsi="PMingLiU"/>
          <w:sz w:val="14"/>
          <w:szCs w:val="14"/>
          <w:color w:val="303030"/>
        </w:rPr>
        <w:t></w:t>
      </w:r>
      <w:r>
        <w:rPr>
          <w:rFonts w:ascii="Arial" w:cs="Arial" w:eastAsia="Arial" w:hAnsi="Arial"/>
          <w:sz w:val="14"/>
          <w:szCs w:val="14"/>
          <w:color w:val="303030"/>
        </w:rPr>
        <w:t>Ù</w:t>
      </w:r>
      <w:r>
        <w:rPr>
          <w:rFonts w:ascii="PMingLiU" w:cs="PMingLiU" w:eastAsia="PMingLiU" w:hAnsi="PMingLiU"/>
          <w:sz w:val="14"/>
          <w:szCs w:val="14"/>
          <w:color w:val="303030"/>
        </w:rPr>
        <w:t></w:t>
      </w:r>
      <w:r>
        <w:rPr>
          <w:rFonts w:ascii="Arial" w:cs="Arial" w:eastAsia="Arial" w:hAnsi="Arial"/>
          <w:sz w:val="14"/>
          <w:szCs w:val="14"/>
          <w:color w:val="303030"/>
        </w:rPr>
        <w:t>ǥ½ËËº«Ä£ Ýä</w:t>
      </w:r>
      <w:r>
        <w:rPr>
          <w:rFonts w:ascii="PMingLiU" w:cs="PMingLiU" w:eastAsia="PMingLiU" w:hAnsi="PMingLiU"/>
          <w:sz w:val="14"/>
          <w:szCs w:val="14"/>
          <w:color w:val="303030"/>
        </w:rPr>
        <w:t></w:t>
      </w:r>
      <w:r>
        <w:rPr>
          <w:rFonts w:ascii="Arial" w:cs="Arial" w:eastAsia="Arial" w:hAnsi="Arial"/>
          <w:sz w:val="14"/>
          <w:szCs w:val="14"/>
          <w:color w:val="303030"/>
        </w:rPr>
        <w:t>ä</w:t>
      </w:r>
      <w:r>
        <w:rPr>
          <w:rFonts w:ascii="PMingLiU" w:cs="PMingLiU" w:eastAsia="PMingLiU" w:hAnsi="PMingLiU"/>
          <w:sz w:val="14"/>
          <w:szCs w:val="14"/>
          <w:color w:val="303030"/>
        </w:rPr>
        <w:t></w:t>
      </w:r>
      <w:r>
        <w:rPr>
          <w:rFonts w:ascii="Arial" w:cs="Arial" w:eastAsia="Arial" w:hAnsi="Arial"/>
          <w:sz w:val="14"/>
          <w:szCs w:val="14"/>
          <w:color w:val="303030"/>
        </w:rPr>
        <w:t>Ã</w:t>
      </w:r>
      <w:r>
        <w:rPr>
          <w:rFonts w:ascii="PMingLiU" w:cs="PMingLiU" w:eastAsia="PMingLiU" w:hAnsi="PMingLiU"/>
          <w:sz w:val="14"/>
          <w:szCs w:val="14"/>
          <w:color w:val="303030"/>
        </w:rPr>
        <w:t></w:t>
      </w:r>
      <w:r>
        <w:rPr>
          <w:rFonts w:ascii="Arial" w:cs="Arial" w:eastAsia="Arial" w:hAnsi="Arial"/>
          <w:sz w:val="14"/>
          <w:szCs w:val="14"/>
          <w:color w:val="303030"/>
        </w:rPr>
        <w:t>ÄäÝ éÝ</w:t>
      </w:r>
      <w:r>
        <w:rPr>
          <w:rFonts w:ascii="PMingLiU" w:cs="PMingLiU" w:eastAsia="PMingLiU" w:hAnsi="PMingLiU"/>
          <w:sz w:val="14"/>
          <w:szCs w:val="14"/>
          <w:color w:val="303030"/>
        </w:rPr>
        <w:t></w:t>
      </w:r>
      <w:r>
        <w:rPr>
          <w:rFonts w:ascii="Arial" w:cs="Arial" w:eastAsia="Arial" w:hAnsi="Arial"/>
          <w:sz w:val="14"/>
          <w:szCs w:val="14"/>
          <w:color w:val="303030"/>
        </w:rPr>
        <w:t xml:space="preserve"> «Ä ä¨«Ý Ù</w:t>
      </w:r>
      <w:r>
        <w:rPr>
          <w:rFonts w:ascii="PMingLiU" w:cs="PMingLiU" w:eastAsia="PMingLiU" w:hAnsi="PMingLiU"/>
          <w:sz w:val="14"/>
          <w:szCs w:val="14"/>
          <w:color w:val="303030"/>
        </w:rPr>
        <w:t></w:t>
      </w:r>
      <w:r>
        <w:rPr>
          <w:rFonts w:ascii="Arial" w:cs="Arial" w:eastAsia="Arial" w:hAnsi="Arial"/>
          <w:sz w:val="14"/>
          <w:szCs w:val="14"/>
          <w:color w:val="303030"/>
        </w:rPr>
        <w:t>ÖËÙäǔ</w:t>
      </w:r>
    </w:p>
    <w:p>
      <w:pPr>
        <w:sectPr>
          <w:pgSz w:w="11880" w:h="15480" w:orient="portrait"/>
          <w:cols w:equalWidth="0" w:num="1">
            <w:col w:w="9991"/>
          </w:cols>
          <w:pgMar w:left="749" w:top="360" w:right="1140" w:bottom="0" w:gutter="0" w:footer="0" w:header="0"/>
          <w:type w:val="continuous"/>
        </w:sectPr>
      </w:pPr>
    </w:p>
    <w:bookmarkStart w:id="2" w:name="page3"/>
    <w:bookmarkEnd w:id="2"/>
    <w:p>
      <w:pPr>
        <w:jc w:val="right"/>
        <w:ind w:right="720"/>
        <w:spacing w:after="0"/>
        <w:rPr>
          <w:sz w:val="20"/>
          <w:szCs w:val="20"/>
          <w:color w:val="auto"/>
        </w:rPr>
      </w:pPr>
      <w:r>
        <w:rPr>
          <w:rFonts w:ascii="Arial" w:cs="Arial" w:eastAsia="Arial" w:hAnsi="Arial"/>
          <w:sz w:val="36"/>
          <w:szCs w:val="36"/>
          <w:color w:val="0066B3"/>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80" w:right="800"/>
        <w:spacing w:after="0" w:line="303" w:lineRule="auto"/>
        <w:rPr>
          <w:sz w:val="20"/>
          <w:szCs w:val="20"/>
          <w:color w:val="auto"/>
        </w:rPr>
      </w:pPr>
      <w:r>
        <w:rPr>
          <w:rFonts w:ascii="Arial" w:cs="Arial" w:eastAsia="Arial" w:hAnsi="Arial"/>
          <w:sz w:val="17"/>
          <w:szCs w:val="17"/>
          <w:color w:val="00437B"/>
        </w:rPr>
        <w:t xml:space="preserve">Society has </w:t>
      </w:r>
      <w:r>
        <w:rPr>
          <w:rFonts w:ascii="Arial" w:cs="Arial" w:eastAsia="Arial" w:hAnsi="Arial"/>
          <w:sz w:val="17"/>
          <w:szCs w:val="17"/>
          <w:b w:val="1"/>
          <w:bCs w:val="1"/>
          <w:color w:val="00437B"/>
        </w:rPr>
        <w:t>two essential asks</w:t>
      </w:r>
      <w:r>
        <w:rPr>
          <w:rFonts w:ascii="Arial" w:cs="Arial" w:eastAsia="Arial" w:hAnsi="Arial"/>
          <w:sz w:val="17"/>
          <w:szCs w:val="17"/>
          <w:color w:val="00437B"/>
        </w:rPr>
        <w:t xml:space="preserve"> of ExxonMobil: reliably </w:t>
      </w:r>
      <w:r>
        <w:rPr>
          <w:rFonts w:ascii="Arial" w:cs="Arial" w:eastAsia="Arial" w:hAnsi="Arial"/>
          <w:sz w:val="17"/>
          <w:szCs w:val="17"/>
          <w:b w:val="1"/>
          <w:bCs w:val="1"/>
          <w:color w:val="00437B"/>
        </w:rPr>
        <w:t>provide</w:t>
      </w:r>
      <w:r>
        <w:rPr>
          <w:rFonts w:ascii="Arial" w:cs="Arial" w:eastAsia="Arial" w:hAnsi="Arial"/>
          <w:sz w:val="17"/>
          <w:szCs w:val="17"/>
          <w:color w:val="00437B"/>
        </w:rPr>
        <w:t xml:space="preserve"> </w:t>
      </w:r>
      <w:r>
        <w:rPr>
          <w:rFonts w:ascii="Arial" w:cs="Arial" w:eastAsia="Arial" w:hAnsi="Arial"/>
          <w:sz w:val="17"/>
          <w:szCs w:val="17"/>
          <w:b w:val="1"/>
          <w:bCs w:val="1"/>
          <w:color w:val="00437B"/>
        </w:rPr>
        <w:t>affordable energy and products critical to modern life and reduce emissions</w:t>
      </w:r>
      <w:r>
        <w:rPr>
          <w:rFonts w:ascii="Arial" w:cs="Arial" w:eastAsia="Arial" w:hAnsi="Arial"/>
          <w:sz w:val="17"/>
          <w:szCs w:val="17"/>
          <w:color w:val="00437B"/>
        </w:rPr>
        <w:t>. I’m proud to say we made great progress on both in 2023.</w:t>
      </w:r>
    </w:p>
    <w:p>
      <w:pPr>
        <w:spacing w:after="0" w:line="94" w:lineRule="exact"/>
        <w:rPr>
          <w:sz w:val="20"/>
          <w:szCs w:val="20"/>
          <w:color w:val="auto"/>
        </w:rPr>
      </w:pPr>
    </w:p>
    <w:p>
      <w:pPr>
        <w:ind w:left="3580" w:right="1080"/>
        <w:spacing w:after="0" w:line="255" w:lineRule="auto"/>
        <w:rPr>
          <w:sz w:val="20"/>
          <w:szCs w:val="20"/>
          <w:color w:val="auto"/>
        </w:rPr>
      </w:pPr>
      <w:r>
        <w:rPr>
          <w:rFonts w:ascii="Arial" w:cs="Arial" w:eastAsia="Arial" w:hAnsi="Arial"/>
          <w:sz w:val="19"/>
          <w:szCs w:val="19"/>
          <w:color w:val="00437B"/>
        </w:rPr>
        <w:t xml:space="preserve">In a year defined by </w:t>
      </w:r>
      <w:r>
        <w:rPr>
          <w:rFonts w:ascii="Arial" w:cs="Arial" w:eastAsia="Arial" w:hAnsi="Arial"/>
          <w:sz w:val="19"/>
          <w:szCs w:val="19"/>
          <w:b w:val="1"/>
          <w:bCs w:val="1"/>
          <w:color w:val="00437B"/>
        </w:rPr>
        <w:t>excellence in execution</w:t>
      </w:r>
      <w:r>
        <w:rPr>
          <w:rFonts w:ascii="Arial" w:cs="Arial" w:eastAsia="Arial" w:hAnsi="Arial"/>
          <w:sz w:val="19"/>
          <w:szCs w:val="19"/>
          <w:color w:val="00437B"/>
        </w:rPr>
        <w:t>, the people of ExxonMobil sustained our industry-leading personnel safety performance,</w:t>
      </w:r>
      <w:r>
        <w:rPr>
          <w:rFonts w:ascii="Arial" w:cs="Arial" w:eastAsia="Arial" w:hAnsi="Arial"/>
          <w:sz w:val="11"/>
          <w:szCs w:val="11"/>
          <w:color w:val="00437B"/>
        </w:rPr>
        <w:t>8</w:t>
      </w:r>
      <w:r>
        <w:rPr>
          <w:rFonts w:ascii="Arial" w:cs="Arial" w:eastAsia="Arial" w:hAnsi="Arial"/>
          <w:sz w:val="19"/>
          <w:szCs w:val="19"/>
          <w:color w:val="00437B"/>
        </w:rPr>
        <w:t xml:space="preserve"> delivered outstanding financial and operating results, built major projects on time and on budget, deployed new technologies, and set a high bar for the years to come.</w:t>
      </w:r>
    </w:p>
    <w:p>
      <w:pPr>
        <w:spacing w:after="0" w:line="134" w:lineRule="exact"/>
        <w:rPr>
          <w:sz w:val="20"/>
          <w:szCs w:val="20"/>
          <w:color w:val="auto"/>
        </w:rPr>
      </w:pPr>
    </w:p>
    <w:p>
      <w:pPr>
        <w:ind w:left="3580" w:right="780"/>
        <w:spacing w:after="0" w:line="254" w:lineRule="auto"/>
        <w:rPr>
          <w:sz w:val="20"/>
          <w:szCs w:val="20"/>
          <w:color w:val="auto"/>
        </w:rPr>
      </w:pPr>
      <w:r>
        <w:rPr>
          <w:rFonts w:ascii="Arial" w:cs="Arial" w:eastAsia="Arial" w:hAnsi="Arial"/>
          <w:sz w:val="19"/>
          <w:szCs w:val="19"/>
          <w:color w:val="00437B"/>
        </w:rPr>
        <w:t xml:space="preserve">Our established strategy, combined with actions to streamline our businesses and reduce structural costs, </w:t>
      </w:r>
      <w:r>
        <w:rPr>
          <w:rFonts w:ascii="Arial" w:cs="Arial" w:eastAsia="Arial" w:hAnsi="Arial"/>
          <w:sz w:val="19"/>
          <w:szCs w:val="19"/>
          <w:b w:val="1"/>
          <w:bCs w:val="1"/>
          <w:color w:val="00437B"/>
        </w:rPr>
        <w:t>fundamentally improved</w:t>
      </w:r>
      <w:r>
        <w:rPr>
          <w:rFonts w:ascii="Arial" w:cs="Arial" w:eastAsia="Arial" w:hAnsi="Arial"/>
          <w:sz w:val="19"/>
          <w:szCs w:val="19"/>
          <w:color w:val="00437B"/>
        </w:rPr>
        <w:t xml:space="preserve"> </w:t>
      </w:r>
      <w:r>
        <w:rPr>
          <w:rFonts w:ascii="Arial" w:cs="Arial" w:eastAsia="Arial" w:hAnsi="Arial"/>
          <w:sz w:val="19"/>
          <w:szCs w:val="19"/>
          <w:b w:val="1"/>
          <w:bCs w:val="1"/>
          <w:color w:val="00437B"/>
        </w:rPr>
        <w:t>the earnings power of our business</w:t>
      </w:r>
      <w:r>
        <w:rPr>
          <w:rFonts w:ascii="Arial" w:cs="Arial" w:eastAsia="Arial" w:hAnsi="Arial"/>
          <w:sz w:val="19"/>
          <w:szCs w:val="19"/>
          <w:color w:val="00437B"/>
        </w:rPr>
        <w:t>. We</w:t>
      </w:r>
      <w:r>
        <w:rPr>
          <w:rFonts w:ascii="Arial" w:cs="Arial" w:eastAsia="Arial" w:hAnsi="Arial"/>
          <w:sz w:val="19"/>
          <w:szCs w:val="19"/>
          <w:b w:val="1"/>
          <w:bCs w:val="1"/>
          <w:color w:val="00437B"/>
        </w:rPr>
        <w:t xml:space="preserve"> outpaced peers </w:t>
      </w:r>
      <w:r>
        <w:rPr>
          <w:rFonts w:ascii="Arial" w:cs="Arial" w:eastAsia="Arial" w:hAnsi="Arial"/>
          <w:sz w:val="19"/>
          <w:szCs w:val="19"/>
          <w:color w:val="00437B"/>
        </w:rPr>
        <w:t>across a</w:t>
      </w:r>
      <w:r>
        <w:rPr>
          <w:rFonts w:ascii="Arial" w:cs="Arial" w:eastAsia="Arial" w:hAnsi="Arial"/>
          <w:sz w:val="19"/>
          <w:szCs w:val="19"/>
          <w:b w:val="1"/>
          <w:bCs w:val="1"/>
          <w:color w:val="00437B"/>
        </w:rPr>
        <w:t xml:space="preserve"> </w:t>
      </w:r>
      <w:r>
        <w:rPr>
          <w:rFonts w:ascii="Arial" w:cs="Arial" w:eastAsia="Arial" w:hAnsi="Arial"/>
          <w:sz w:val="19"/>
          <w:szCs w:val="19"/>
          <w:color w:val="00437B"/>
        </w:rPr>
        <w:t>range of metrics, delivering earnings of $36 billion and operating cash flows of $55 billion. In fact, since 2019, we’ve grown earnings at a compound annual growth rate of more than 40% and cash flow by more than 15% – both well ahead of our nearest peer.</w:t>
      </w:r>
      <w:r>
        <w:rPr>
          <w:rFonts w:ascii="Arial" w:cs="Arial" w:eastAsia="Arial" w:hAnsi="Arial"/>
          <w:sz w:val="11"/>
          <w:szCs w:val="11"/>
          <w:color w:val="00437B"/>
        </w:rPr>
        <w:t>9</w:t>
      </w:r>
      <w:r>
        <w:rPr>
          <w:rFonts w:ascii="Arial" w:cs="Arial" w:eastAsia="Arial" w:hAnsi="Arial"/>
          <w:sz w:val="19"/>
          <w:szCs w:val="19"/>
          <w:color w:val="00437B"/>
        </w:rPr>
        <w:t xml:space="preserve"> This enabled us to deliver a </w:t>
      </w:r>
      <w:r>
        <w:rPr>
          <w:rFonts w:ascii="Arial" w:cs="Arial" w:eastAsia="Arial" w:hAnsi="Arial"/>
          <w:sz w:val="19"/>
          <w:szCs w:val="19"/>
          <w:b w:val="1"/>
          <w:bCs w:val="1"/>
          <w:color w:val="00437B"/>
        </w:rPr>
        <w:t>15% annualized total shareholder return</w:t>
      </w:r>
      <w:r>
        <w:rPr>
          <w:rFonts w:ascii="Arial" w:cs="Arial" w:eastAsia="Arial" w:hAnsi="Arial"/>
          <w:sz w:val="19"/>
          <w:szCs w:val="19"/>
          <w:color w:val="00437B"/>
        </w:rPr>
        <w:t>, including more than $32 billion of shareholder distributions in 2023 alone, which also led peers.</w:t>
      </w:r>
      <w:r>
        <w:rPr>
          <w:rFonts w:ascii="Arial" w:cs="Arial" w:eastAsia="Arial" w:hAnsi="Arial"/>
          <w:sz w:val="11"/>
          <w:szCs w:val="11"/>
          <w:color w:val="00437B"/>
        </w:rPr>
        <w:t>10</w:t>
      </w:r>
    </w:p>
    <w:p>
      <w:pPr>
        <w:spacing w:after="0" w:line="131" w:lineRule="exact"/>
        <w:rPr>
          <w:sz w:val="20"/>
          <w:szCs w:val="20"/>
          <w:color w:val="auto"/>
        </w:rPr>
      </w:pPr>
    </w:p>
    <w:p>
      <w:pPr>
        <w:ind w:left="3580" w:right="940"/>
        <w:spacing w:after="0" w:line="269" w:lineRule="auto"/>
        <w:rPr>
          <w:sz w:val="20"/>
          <w:szCs w:val="20"/>
          <w:color w:val="auto"/>
        </w:rPr>
      </w:pPr>
      <w:r>
        <w:rPr>
          <w:rFonts w:ascii="Arial" w:cs="Arial" w:eastAsia="Arial" w:hAnsi="Arial"/>
          <w:sz w:val="18"/>
          <w:szCs w:val="18"/>
          <w:color w:val="00437B"/>
        </w:rPr>
        <w:t xml:space="preserve">Our industry leadership extends to our </w:t>
      </w:r>
      <w:r>
        <w:rPr>
          <w:rFonts w:ascii="Arial" w:cs="Arial" w:eastAsia="Arial" w:hAnsi="Arial"/>
          <w:sz w:val="18"/>
          <w:szCs w:val="18"/>
          <w:b w:val="1"/>
          <w:bCs w:val="1"/>
          <w:color w:val="00437B"/>
        </w:rPr>
        <w:t>record annual production</w:t>
      </w:r>
      <w:r>
        <w:rPr>
          <w:rFonts w:ascii="Arial" w:cs="Arial" w:eastAsia="Arial" w:hAnsi="Arial"/>
          <w:sz w:val="18"/>
          <w:szCs w:val="18"/>
          <w:color w:val="00437B"/>
        </w:rPr>
        <w:t xml:space="preserve"> in Guyana and the Permian and the continued strengthening of our already advantaged portfolio through divestments, acquisitions, and investments. The planned merger with Pioneer, for example, will </w:t>
      </w:r>
      <w:r>
        <w:rPr>
          <w:rFonts w:ascii="Arial" w:cs="Arial" w:eastAsia="Arial" w:hAnsi="Arial"/>
          <w:sz w:val="18"/>
          <w:szCs w:val="18"/>
          <w:b w:val="1"/>
          <w:bCs w:val="1"/>
          <w:color w:val="00437B"/>
        </w:rPr>
        <w:t>transform our Upstream business</w:t>
      </w:r>
      <w:r>
        <w:rPr>
          <w:rFonts w:ascii="Arial" w:cs="Arial" w:eastAsia="Arial" w:hAnsi="Arial"/>
          <w:sz w:val="18"/>
          <w:szCs w:val="18"/>
          <w:color w:val="00437B"/>
        </w:rPr>
        <w:t xml:space="preserve">, combining two of the best Permian operators to recover more resource, more efficiently, with lower emissions. Our recent world-class project startups are in the </w:t>
      </w:r>
      <w:r>
        <w:rPr>
          <w:rFonts w:ascii="Arial" w:cs="Arial" w:eastAsia="Arial" w:hAnsi="Arial"/>
          <w:sz w:val="18"/>
          <w:szCs w:val="18"/>
          <w:b w:val="1"/>
          <w:bCs w:val="1"/>
          <w:color w:val="00437B"/>
        </w:rPr>
        <w:t>top-quintile for cost and schedule performance</w:t>
      </w:r>
      <w:r>
        <w:rPr>
          <w:rFonts w:ascii="Arial" w:cs="Arial" w:eastAsia="Arial" w:hAnsi="Arial"/>
          <w:sz w:val="18"/>
          <w:szCs w:val="18"/>
          <w:color w:val="00437B"/>
        </w:rPr>
        <w:t>: Payara increases</w:t>
      </w:r>
      <w:r>
        <w:rPr>
          <w:rFonts w:ascii="Arial" w:cs="Arial" w:eastAsia="Arial" w:hAnsi="Arial"/>
          <w:sz w:val="18"/>
          <w:szCs w:val="18"/>
          <w:b w:val="1"/>
          <w:bCs w:val="1"/>
          <w:color w:val="00437B"/>
        </w:rPr>
        <w:t xml:space="preserve"> </w:t>
      </w:r>
      <w:r>
        <w:rPr>
          <w:rFonts w:ascii="Arial" w:cs="Arial" w:eastAsia="Arial" w:hAnsi="Arial"/>
          <w:sz w:val="18"/>
          <w:szCs w:val="18"/>
          <w:color w:val="00437B"/>
        </w:rPr>
        <w:t>total capacity to 620,000 barrels per day in Guyana; the Beaumont expansion is the largest U.S. refining capacity addition in a decade; and our Baytown chemical complex investment grows volumes and improves product mix.</w:t>
      </w:r>
    </w:p>
    <w:p>
      <w:pPr>
        <w:spacing w:after="0" w:line="121" w:lineRule="exact"/>
        <w:rPr>
          <w:sz w:val="20"/>
          <w:szCs w:val="20"/>
          <w:color w:val="auto"/>
        </w:rPr>
      </w:pPr>
    </w:p>
    <w:p>
      <w:pPr>
        <w:ind w:left="3580" w:right="740"/>
        <w:spacing w:after="0" w:line="249" w:lineRule="auto"/>
        <w:rPr>
          <w:sz w:val="20"/>
          <w:szCs w:val="20"/>
          <w:color w:val="auto"/>
        </w:rPr>
      </w:pPr>
      <w:r>
        <w:rPr>
          <w:rFonts w:ascii="Arial" w:cs="Arial" w:eastAsia="Arial" w:hAnsi="Arial"/>
          <w:sz w:val="19"/>
          <w:szCs w:val="19"/>
          <w:color w:val="00437B"/>
        </w:rPr>
        <w:t xml:space="preserve">When it comes to developing </w:t>
      </w:r>
      <w:r>
        <w:rPr>
          <w:rFonts w:ascii="Arial" w:cs="Arial" w:eastAsia="Arial" w:hAnsi="Arial"/>
          <w:sz w:val="19"/>
          <w:szCs w:val="19"/>
          <w:b w:val="1"/>
          <w:bCs w:val="1"/>
          <w:color w:val="00437B"/>
        </w:rPr>
        <w:t>lower- emission solutions</w:t>
      </w:r>
      <w:r>
        <w:rPr>
          <w:rFonts w:ascii="Arial" w:cs="Arial" w:eastAsia="Arial" w:hAnsi="Arial"/>
          <w:sz w:val="19"/>
          <w:szCs w:val="19"/>
          <w:color w:val="00437B"/>
        </w:rPr>
        <w:t xml:space="preserve"> beyond wind, solar and electric vehicles, </w:t>
      </w:r>
      <w:r>
        <w:rPr>
          <w:rFonts w:ascii="Arial" w:cs="Arial" w:eastAsia="Arial" w:hAnsi="Arial"/>
          <w:sz w:val="19"/>
          <w:szCs w:val="19"/>
          <w:b w:val="1"/>
          <w:bCs w:val="1"/>
          <w:color w:val="00437B"/>
        </w:rPr>
        <w:t>nobody is doing more</w:t>
      </w:r>
      <w:r>
        <w:rPr>
          <w:rFonts w:ascii="Arial" w:cs="Arial" w:eastAsia="Arial" w:hAnsi="Arial"/>
          <w:sz w:val="19"/>
          <w:szCs w:val="19"/>
          <w:color w:val="00437B"/>
        </w:rPr>
        <w:t>. We’re pursuing more than $20 billion of lower-emission investments from 2022 to 2027, in addition to the purchase of Denbury, which provides the largest owned and operated CO</w:t>
      </w:r>
      <w:r>
        <w:rPr>
          <w:rFonts w:ascii="Arial" w:cs="Arial" w:eastAsia="Arial" w:hAnsi="Arial"/>
          <w:sz w:val="22"/>
          <w:szCs w:val="22"/>
          <w:color w:val="00437B"/>
          <w:vertAlign w:val="subscript"/>
        </w:rPr>
        <w:t>2</w:t>
      </w:r>
      <w:r>
        <w:rPr>
          <w:rFonts w:ascii="Arial" w:cs="Arial" w:eastAsia="Arial" w:hAnsi="Arial"/>
          <w:sz w:val="19"/>
          <w:szCs w:val="19"/>
          <w:color w:val="00437B"/>
        </w:rPr>
        <w:t xml:space="preserve"> pipeline network in the United States. About half our investments are directed toward reducing our own emissions and the other half toward reducing our customers’ emissions through carbon capture and storage, hydrogen, biofuels, and lithium.</w:t>
      </w:r>
    </w:p>
    <w:p>
      <w:pPr>
        <w:spacing w:after="0" w:line="138" w:lineRule="exact"/>
        <w:rPr>
          <w:sz w:val="20"/>
          <w:szCs w:val="20"/>
          <w:color w:val="auto"/>
        </w:rPr>
      </w:pPr>
    </w:p>
    <w:p>
      <w:pPr>
        <w:ind w:left="3580" w:right="980"/>
        <w:spacing w:after="0" w:line="264" w:lineRule="auto"/>
        <w:rPr>
          <w:sz w:val="20"/>
          <w:szCs w:val="20"/>
          <w:color w:val="auto"/>
        </w:rPr>
      </w:pPr>
      <w:r>
        <w:rPr>
          <w:rFonts w:ascii="Arial" w:cs="Arial" w:eastAsia="Arial" w:hAnsi="Arial"/>
          <w:sz w:val="19"/>
          <w:szCs w:val="19"/>
          <w:color w:val="00437B"/>
        </w:rPr>
        <w:t>As I reflect on the past year, I’m proud of what our people achieved and our ability to lead in the years ahead.</w:t>
      </w:r>
    </w:p>
    <w:p>
      <w:pPr>
        <w:spacing w:after="0" w:line="123" w:lineRule="exact"/>
        <w:rPr>
          <w:sz w:val="20"/>
          <w:szCs w:val="20"/>
          <w:color w:val="auto"/>
        </w:rPr>
      </w:pPr>
    </w:p>
    <w:p>
      <w:pPr>
        <w:ind w:left="3580"/>
        <w:spacing w:after="0"/>
        <w:rPr>
          <w:sz w:val="20"/>
          <w:szCs w:val="20"/>
          <w:color w:val="auto"/>
        </w:rPr>
      </w:pPr>
      <w:r>
        <w:rPr>
          <w:rFonts w:ascii="Arial" w:cs="Arial" w:eastAsia="Arial" w:hAnsi="Arial"/>
          <w:sz w:val="19"/>
          <w:szCs w:val="19"/>
          <w:b w:val="1"/>
          <w:bCs w:val="1"/>
          <w:color w:val="00437B"/>
        </w:rPr>
        <w:t xml:space="preserve">Thank you </w:t>
      </w:r>
      <w:r>
        <w:rPr>
          <w:rFonts w:ascii="Arial" w:cs="Arial" w:eastAsia="Arial" w:hAnsi="Arial"/>
          <w:sz w:val="19"/>
          <w:szCs w:val="19"/>
          <w:color w:val="00437B"/>
        </w:rPr>
        <w:t>for investing in ExxonMobil.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00437B"/>
        </w:rPr>
        <w:t>Darren W. Woods</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00437B"/>
        </w:rPr>
        <w:t>Chairman and CEO</w:t>
      </w:r>
    </w:p>
    <w:p>
      <w:pPr>
        <w:sectPr>
          <w:pgSz w:w="11880" w:h="15480" w:orient="portrait"/>
          <w:cols w:equalWidth="0" w:num="1">
            <w:col w:w="9920"/>
          </w:cols>
          <w:pgMar w:left="1440" w:top="707"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880"/>
        <w:spacing w:after="0"/>
        <w:rPr>
          <w:sz w:val="20"/>
          <w:szCs w:val="20"/>
          <w:color w:val="auto"/>
        </w:rPr>
      </w:pPr>
      <w:r>
        <w:rPr>
          <w:rFonts w:ascii="Arial" w:cs="Arial" w:eastAsia="Arial" w:hAnsi="Arial"/>
          <w:sz w:val="14"/>
          <w:szCs w:val="14"/>
          <w:color w:val="FFFFFF"/>
        </w:rPr>
        <w:t>I</w:t>
      </w:r>
    </w:p>
    <w:p>
      <w:pPr>
        <w:sectPr>
          <w:pgSz w:w="11880" w:h="15480" w:orient="portrait"/>
          <w:cols w:equalWidth="0" w:num="1">
            <w:col w:w="9920"/>
          </w:cols>
          <w:pgMar w:left="1440" w:top="707" w:right="520" w:bottom="0" w:gutter="0" w:footer="0" w:header="0"/>
          <w:type w:val="continuous"/>
        </w:sectPr>
      </w:pPr>
    </w:p>
    <w:bookmarkStart w:id="3" w:name="page4"/>
    <w:bookmarkEnd w:id="3"/>
    <w:p>
      <w:pPr>
        <w:ind w:left="200"/>
        <w:spacing w:after="0" w:line="437" w:lineRule="exact"/>
        <w:rPr>
          <w:sz w:val="20"/>
          <w:szCs w:val="20"/>
          <w:color w:val="auto"/>
        </w:rPr>
      </w:pPr>
      <w:r>
        <w:rPr>
          <w:rFonts w:ascii="Arial" w:cs="Arial" w:eastAsia="Arial" w:hAnsi="Arial"/>
          <w:sz w:val="36"/>
          <w:szCs w:val="36"/>
          <w:color w:val="003F9A"/>
        </w:rPr>
        <w:t>gÖÝäÙ</w:t>
      </w:r>
      <w:r>
        <w:rPr>
          <w:rFonts w:ascii="PMingLiU" w:cs="PMingLiU" w:eastAsia="PMingLiU" w:hAnsi="PMingLiU"/>
          <w:sz w:val="36"/>
          <w:szCs w:val="36"/>
          <w:color w:val="003F9A"/>
        </w:rPr>
        <w:t></w:t>
      </w:r>
      <w:r>
        <w:rPr>
          <w:rFonts w:ascii="Arial" w:cs="Arial" w:eastAsia="Arial" w:hAnsi="Arial"/>
          <w:sz w:val="36"/>
          <w:szCs w:val="36"/>
          <w:color w:val="003F9A"/>
        </w:rPr>
        <w:t>Ã</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109855</wp:posOffset>
            </wp:positionV>
            <wp:extent cx="6629400" cy="2807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6629400" cy="280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 w:right="820" w:firstLine="1"/>
        <w:spacing w:after="0" w:line="218" w:lineRule="exact"/>
        <w:rPr>
          <w:sz w:val="20"/>
          <w:szCs w:val="20"/>
          <w:color w:val="auto"/>
        </w:rPr>
      </w:pPr>
      <w:r>
        <w:rPr>
          <w:rFonts w:ascii="Arial" w:cs="Arial" w:eastAsia="Arial" w:hAnsi="Arial"/>
          <w:sz w:val="18"/>
          <w:szCs w:val="18"/>
          <w:b w:val="1"/>
          <w:bCs w:val="1"/>
          <w:color w:val="FFFFFF"/>
        </w:rPr>
        <w:t>-Ä 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T</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ÙÃ«</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Ä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Ý«ÄǏ õ</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ǯÙ</w:t>
      </w:r>
      <w:r>
        <w:rPr>
          <w:rFonts w:ascii="PMingLiU" w:cs="PMingLiU" w:eastAsia="PMingLiU" w:hAnsi="PMingLiU"/>
          <w:sz w:val="18"/>
          <w:szCs w:val="18"/>
          <w:b w:val="1"/>
          <w:bCs w:val="1"/>
          <w:color w:val="FFFFFF"/>
        </w:rPr>
        <w:t> </w:t>
      </w:r>
      <w:r>
        <w:rPr>
          <w:rFonts w:ascii="Arial" w:cs="Arial" w:eastAsia="Arial" w:hAnsi="Arial"/>
          <w:sz w:val="18"/>
          <w:szCs w:val="18"/>
          <w:b w:val="1"/>
          <w:bCs w:val="1"/>
          <w:color w:val="FFFFFF"/>
        </w:rPr>
        <w:t>ÖÖ½û«Ä£ 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õ 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¨ÄË½Ë£«</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Ý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ËéÙ «ÄÄËô</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ä«ô</w:t>
      </w:r>
      <w:r>
        <w:rPr>
          <w:rFonts w:ascii="PMingLiU" w:cs="PMingLiU" w:eastAsia="PMingLiU" w:hAnsi="PMingLiU"/>
          <w:sz w:val="18"/>
          <w:szCs w:val="18"/>
          <w:b w:val="1"/>
          <w:bCs w:val="1"/>
          <w:color w:val="FFFFFF"/>
        </w:rPr>
        <w:t> </w:t>
      </w:r>
      <w:r>
        <w:rPr>
          <w:rFonts w:ascii="Arial" w:cs="Arial" w:eastAsia="Arial" w:hAnsi="Arial"/>
          <w:sz w:val="18"/>
          <w:szCs w:val="18"/>
          <w:b w:val="1"/>
          <w:bCs w:val="1"/>
          <w:color w:val="FFFFFF"/>
        </w:rPr>
        <w:t>ô</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½ËÖÃ</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Ää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ÖÖÙË</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äË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Ù«ô</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ô</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½é</w:t>
      </w:r>
      <w:r>
        <w:rPr>
          <w:rFonts w:ascii="PMingLiU" w:cs="PMingLiU" w:eastAsia="PMingLiU" w:hAnsi="PMingLiU"/>
          <w:sz w:val="18"/>
          <w:szCs w:val="18"/>
          <w:b w:val="1"/>
          <w:bCs w:val="1"/>
          <w:color w:val="FFFFFF"/>
        </w:rPr>
        <w:t> </w:t>
      </w:r>
      <w:r>
        <w:rPr>
          <w:rFonts w:ascii="Arial" w:cs="Arial" w:eastAsia="Arial" w:hAnsi="Arial"/>
          <w:sz w:val="18"/>
          <w:szCs w:val="18"/>
          <w:b w:val="1"/>
          <w:bCs w:val="1"/>
          <w:color w:val="FFFFFF"/>
        </w:rPr>
        <w:t>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£ÙËõä¨ õ«ä¨ ½Ëõ</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Ù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Ã«ÝÝ«ËÄÝ «Ää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ÄÝ«äûǔ</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156210</wp:posOffset>
            </wp:positionV>
            <wp:extent cx="6629400" cy="3793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6629400" cy="379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right="620"/>
        <w:spacing w:after="0" w:line="242" w:lineRule="exact"/>
        <w:rPr>
          <w:sz w:val="20"/>
          <w:szCs w:val="20"/>
          <w:color w:val="auto"/>
        </w:rPr>
      </w:pPr>
      <w:r>
        <w:rPr>
          <w:rFonts w:ascii="Arial" w:cs="Arial" w:eastAsia="Arial" w:hAnsi="Arial"/>
          <w:sz w:val="18"/>
          <w:szCs w:val="18"/>
          <w:color w:val="303030"/>
        </w:rPr>
        <w:t>IéÙ £</w:t>
      </w:r>
      <w:r>
        <w:rPr>
          <w:rFonts w:ascii="PMingLiU" w:cs="PMingLiU" w:eastAsia="PMingLiU" w:hAnsi="PMingLiU"/>
          <w:sz w:val="18"/>
          <w:szCs w:val="18"/>
          <w:color w:val="303030"/>
        </w:rPr>
        <w:t></w:t>
      </w:r>
      <w:r>
        <w:rPr>
          <w:rFonts w:ascii="Arial" w:cs="Arial" w:eastAsia="Arial" w:hAnsi="Arial"/>
          <w:sz w:val="18"/>
          <w:szCs w:val="18"/>
          <w:color w:val="303030"/>
        </w:rPr>
        <w:t xml:space="preserve">Ë½Ë£«ÝäÝǏ </w:t>
      </w:r>
      <w:r>
        <w:rPr>
          <w:rFonts w:ascii="PMingLiU" w:cs="PMingLiU" w:eastAsia="PMingLiU" w:hAnsi="PMingLiU"/>
          <w:sz w:val="18"/>
          <w:szCs w:val="18"/>
          <w:color w:val="303030"/>
        </w:rPr>
        <w:t></w:t>
      </w:r>
      <w:r>
        <w:rPr>
          <w:rFonts w:ascii="Arial" w:cs="Arial" w:eastAsia="Arial" w:hAnsi="Arial"/>
          <w:sz w:val="18"/>
          <w:szCs w:val="18"/>
          <w:color w:val="303030"/>
        </w:rPr>
        <w:t>Ä£«Ä</w:t>
      </w:r>
      <w:r>
        <w:rPr>
          <w:rFonts w:ascii="PMingLiU" w:cs="PMingLiU" w:eastAsia="PMingLiU" w:hAnsi="PMingLiU"/>
          <w:sz w:val="18"/>
          <w:szCs w:val="18"/>
          <w:color w:val="303030"/>
        </w:rPr>
        <w:t></w:t>
      </w:r>
      <w:r>
        <w:rPr>
          <w:rFonts w:ascii="Arial" w:cs="Arial" w:eastAsia="Arial" w:hAnsi="Arial"/>
          <w:sz w:val="18"/>
          <w:szCs w:val="18"/>
          <w:color w:val="303030"/>
        </w:rPr>
        <w:t xml:space="preserve">ÙÝǏ </w:t>
      </w:r>
      <w:r>
        <w:rPr>
          <w:rFonts w:ascii="PMingLiU" w:cs="PMingLiU" w:eastAsia="PMingLiU" w:hAnsi="PMingLiU"/>
          <w:sz w:val="18"/>
          <w:szCs w:val="18"/>
          <w:color w:val="303030"/>
        </w:rPr>
        <w:t></w:t>
      </w:r>
      <w:r>
        <w:rPr>
          <w:rFonts w:ascii="Arial" w:cs="Arial" w:eastAsia="Arial" w:hAnsi="Arial"/>
          <w:sz w:val="18"/>
          <w:szCs w:val="18"/>
          <w:color w:val="303030"/>
        </w:rPr>
        <w:t>Ä</w:t>
      </w:r>
      <w:r>
        <w:rPr>
          <w:rFonts w:ascii="PMingLiU" w:cs="PMingLiU" w:eastAsia="PMingLiU" w:hAnsi="PMingLiU"/>
          <w:sz w:val="18"/>
          <w:szCs w:val="18"/>
          <w:color w:val="303030"/>
        </w:rPr>
        <w:t></w:t>
      </w:r>
      <w:r>
        <w:rPr>
          <w:rFonts w:ascii="Arial" w:cs="Arial" w:eastAsia="Arial" w:hAnsi="Arial"/>
          <w:sz w:val="18"/>
          <w:szCs w:val="18"/>
          <w:color w:val="303030"/>
        </w:rPr>
        <w:t xml:space="preserve"> Ý</w:t>
      </w:r>
      <w:r>
        <w:rPr>
          <w:rFonts w:ascii="PMingLiU" w:cs="PMingLiU" w:eastAsia="PMingLiU" w:hAnsi="PMingLiU"/>
          <w:sz w:val="18"/>
          <w:szCs w:val="18"/>
          <w:color w:val="303030"/>
        </w:rPr>
        <w:t></w:t>
      </w:r>
      <w:r>
        <w:rPr>
          <w:rFonts w:ascii="Arial" w:cs="Arial" w:eastAsia="Arial" w:hAnsi="Arial"/>
          <w:sz w:val="18"/>
          <w:szCs w:val="18"/>
          <w:color w:val="303030"/>
        </w:rPr>
        <w:t>«</w:t>
      </w:r>
      <w:r>
        <w:rPr>
          <w:rFonts w:ascii="PMingLiU" w:cs="PMingLiU" w:eastAsia="PMingLiU" w:hAnsi="PMingLiU"/>
          <w:sz w:val="18"/>
          <w:szCs w:val="18"/>
          <w:color w:val="303030"/>
        </w:rPr>
        <w:t></w:t>
      </w:r>
      <w:r>
        <w:rPr>
          <w:rFonts w:ascii="Arial" w:cs="Arial" w:eastAsia="Arial" w:hAnsi="Arial"/>
          <w:sz w:val="18"/>
          <w:szCs w:val="18"/>
          <w:color w:val="303030"/>
        </w:rPr>
        <w:t>Ää«ÝäÝ õËÙº ä«Ù</w:t>
      </w:r>
      <w:r>
        <w:rPr>
          <w:rFonts w:ascii="PMingLiU" w:cs="PMingLiU" w:eastAsia="PMingLiU" w:hAnsi="PMingLiU"/>
          <w:sz w:val="18"/>
          <w:szCs w:val="18"/>
          <w:color w:val="303030"/>
        </w:rPr>
        <w:t></w:t>
      </w:r>
      <w:r>
        <w:rPr>
          <w:rFonts w:ascii="Arial" w:cs="Arial" w:eastAsia="Arial" w:hAnsi="Arial"/>
          <w:sz w:val="18"/>
          <w:szCs w:val="18"/>
          <w:color w:val="303030"/>
        </w:rPr>
        <w:t>½</w:t>
      </w:r>
      <w:r>
        <w:rPr>
          <w:rFonts w:ascii="PMingLiU" w:cs="PMingLiU" w:eastAsia="PMingLiU" w:hAnsi="PMingLiU"/>
          <w:sz w:val="18"/>
          <w:szCs w:val="18"/>
          <w:color w:val="303030"/>
        </w:rPr>
        <w:t></w:t>
      </w:r>
      <w:r>
        <w:rPr>
          <w:rFonts w:ascii="Arial" w:cs="Arial" w:eastAsia="Arial" w:hAnsi="Arial"/>
          <w:sz w:val="18"/>
          <w:szCs w:val="18"/>
          <w:color w:val="303030"/>
        </w:rPr>
        <w:t xml:space="preserve">ÝÝ½û äË </w:t>
      </w:r>
      <w:r>
        <w:rPr>
          <w:rFonts w:ascii="PMingLiU" w:cs="PMingLiU" w:eastAsia="PMingLiU" w:hAnsi="PMingLiU"/>
          <w:sz w:val="18"/>
          <w:szCs w:val="18"/>
          <w:color w:val="303030"/>
        </w:rPr>
        <w:t></w:t>
      </w:r>
      <w:r>
        <w:rPr>
          <w:rFonts w:ascii="Arial" w:cs="Arial" w:eastAsia="Arial" w:hAnsi="Arial"/>
          <w:sz w:val="18"/>
          <w:szCs w:val="18"/>
          <w:color w:val="303030"/>
        </w:rPr>
        <w:t>«Ý</w:t>
      </w:r>
      <w:r>
        <w:rPr>
          <w:rFonts w:ascii="PMingLiU" w:cs="PMingLiU" w:eastAsia="PMingLiU" w:hAnsi="PMingLiU"/>
          <w:sz w:val="18"/>
          <w:szCs w:val="18"/>
          <w:color w:val="303030"/>
        </w:rPr>
        <w:t></w:t>
      </w:r>
      <w:r>
        <w:rPr>
          <w:rFonts w:ascii="Arial" w:cs="Arial" w:eastAsia="Arial" w:hAnsi="Arial"/>
          <w:sz w:val="18"/>
          <w:szCs w:val="18"/>
          <w:color w:val="303030"/>
        </w:rPr>
        <w:t>Ëô</w:t>
      </w:r>
      <w:r>
        <w:rPr>
          <w:rFonts w:ascii="PMingLiU" w:cs="PMingLiU" w:eastAsia="PMingLiU" w:hAnsi="PMingLiU"/>
          <w:sz w:val="18"/>
          <w:szCs w:val="18"/>
          <w:color w:val="303030"/>
        </w:rPr>
        <w:t></w:t>
      </w:r>
      <w:r>
        <w:rPr>
          <w:rFonts w:ascii="Arial" w:cs="Arial" w:eastAsia="Arial" w:hAnsi="Arial"/>
          <w:sz w:val="18"/>
          <w:szCs w:val="18"/>
          <w:color w:val="303030"/>
        </w:rPr>
        <w:t xml:space="preserve">Ù </w:t>
      </w:r>
      <w:r>
        <w:rPr>
          <w:rFonts w:ascii="PMingLiU" w:cs="PMingLiU" w:eastAsia="PMingLiU" w:hAnsi="PMingLiU"/>
          <w:sz w:val="18"/>
          <w:szCs w:val="18"/>
          <w:color w:val="303030"/>
        </w:rPr>
        <w:t></w:t>
      </w:r>
      <w:r>
        <w:rPr>
          <w:rFonts w:ascii="Arial" w:cs="Arial" w:eastAsia="Arial" w:hAnsi="Arial"/>
          <w:sz w:val="18"/>
          <w:szCs w:val="18"/>
          <w:color w:val="303030"/>
        </w:rPr>
        <w:t>Ä</w:t>
      </w:r>
      <w:r>
        <w:rPr>
          <w:rFonts w:ascii="PMingLiU" w:cs="PMingLiU" w:eastAsia="PMingLiU" w:hAnsi="PMingLiU"/>
          <w:sz w:val="18"/>
          <w:szCs w:val="18"/>
          <w:color w:val="303030"/>
        </w:rPr>
        <w:t> </w:t>
      </w:r>
      <w:r>
        <w:rPr>
          <w:rFonts w:ascii="Arial" w:cs="Arial" w:eastAsia="Arial" w:hAnsi="Arial"/>
          <w:sz w:val="18"/>
          <w:szCs w:val="18"/>
          <w:color w:val="303030"/>
        </w:rPr>
        <w:t>ô</w:t>
      </w:r>
      <w:r>
        <w:rPr>
          <w:rFonts w:ascii="PMingLiU" w:cs="PMingLiU" w:eastAsia="PMingLiU" w:hAnsi="PMingLiU"/>
          <w:sz w:val="18"/>
          <w:szCs w:val="18"/>
          <w:color w:val="303030"/>
        </w:rPr>
        <w:t></w:t>
      </w:r>
      <w:r>
        <w:rPr>
          <w:rFonts w:ascii="Arial" w:cs="Arial" w:eastAsia="Arial" w:hAnsi="Arial"/>
          <w:sz w:val="18"/>
          <w:szCs w:val="18"/>
          <w:color w:val="303030"/>
        </w:rPr>
        <w:t xml:space="preserve">½ËÖ Ë«½ </w:t>
      </w:r>
      <w:r>
        <w:rPr>
          <w:rFonts w:ascii="PMingLiU" w:cs="PMingLiU" w:eastAsia="PMingLiU" w:hAnsi="PMingLiU"/>
          <w:sz w:val="18"/>
          <w:szCs w:val="18"/>
          <w:color w:val="303030"/>
        </w:rPr>
        <w:t></w:t>
      </w:r>
      <w:r>
        <w:rPr>
          <w:rFonts w:ascii="Arial" w:cs="Arial" w:eastAsia="Arial" w:hAnsi="Arial"/>
          <w:sz w:val="18"/>
          <w:szCs w:val="18"/>
          <w:color w:val="303030"/>
        </w:rPr>
        <w:t>Ä</w:t>
      </w:r>
      <w:r>
        <w:rPr>
          <w:rFonts w:ascii="PMingLiU" w:cs="PMingLiU" w:eastAsia="PMingLiU" w:hAnsi="PMingLiU"/>
          <w:sz w:val="18"/>
          <w:szCs w:val="18"/>
          <w:color w:val="303030"/>
        </w:rPr>
        <w:t></w:t>
      </w:r>
      <w:r>
        <w:rPr>
          <w:rFonts w:ascii="Arial" w:cs="Arial" w:eastAsia="Arial" w:hAnsi="Arial"/>
          <w:sz w:val="18"/>
          <w:szCs w:val="18"/>
          <w:color w:val="303030"/>
        </w:rPr>
        <w:t xml:space="preserve"> Ä</w:t>
      </w:r>
      <w:r>
        <w:rPr>
          <w:rFonts w:ascii="PMingLiU" w:cs="PMingLiU" w:eastAsia="PMingLiU" w:hAnsi="PMingLiU"/>
          <w:sz w:val="18"/>
          <w:szCs w:val="18"/>
          <w:color w:val="303030"/>
        </w:rPr>
        <w:t></w:t>
      </w:r>
      <w:r>
        <w:rPr>
          <w:rFonts w:ascii="Arial" w:cs="Arial" w:eastAsia="Arial" w:hAnsi="Arial"/>
          <w:sz w:val="18"/>
          <w:szCs w:val="18"/>
          <w:color w:val="303030"/>
        </w:rPr>
        <w:t>äéÙ</w:t>
      </w:r>
      <w:r>
        <w:rPr>
          <w:rFonts w:ascii="PMingLiU" w:cs="PMingLiU" w:eastAsia="PMingLiU" w:hAnsi="PMingLiU"/>
          <w:sz w:val="18"/>
          <w:szCs w:val="18"/>
          <w:color w:val="303030"/>
        </w:rPr>
        <w:t></w:t>
      </w:r>
      <w:r>
        <w:rPr>
          <w:rFonts w:ascii="Arial" w:cs="Arial" w:eastAsia="Arial" w:hAnsi="Arial"/>
          <w:sz w:val="18"/>
          <w:szCs w:val="18"/>
          <w:color w:val="303030"/>
        </w:rPr>
        <w:t>½ £</w:t>
      </w:r>
      <w:r>
        <w:rPr>
          <w:rFonts w:ascii="PMingLiU" w:cs="PMingLiU" w:eastAsia="PMingLiU" w:hAnsi="PMingLiU"/>
          <w:sz w:val="18"/>
          <w:szCs w:val="18"/>
          <w:color w:val="303030"/>
        </w:rPr>
        <w:t></w:t>
      </w:r>
      <w:r>
        <w:rPr>
          <w:rFonts w:ascii="Arial" w:cs="Arial" w:eastAsia="Arial" w:hAnsi="Arial"/>
          <w:sz w:val="18"/>
          <w:szCs w:val="18"/>
          <w:color w:val="303030"/>
        </w:rPr>
        <w:t>Ý Ù</w:t>
      </w:r>
      <w:r>
        <w:rPr>
          <w:rFonts w:ascii="PMingLiU" w:cs="PMingLiU" w:eastAsia="PMingLiU" w:hAnsi="PMingLiU"/>
          <w:sz w:val="18"/>
          <w:szCs w:val="18"/>
          <w:color w:val="303030"/>
        </w:rPr>
        <w:t></w:t>
      </w:r>
      <w:r>
        <w:rPr>
          <w:rFonts w:ascii="Arial" w:cs="Arial" w:eastAsia="Arial" w:hAnsi="Arial"/>
          <w:sz w:val="18"/>
          <w:szCs w:val="18"/>
          <w:color w:val="303030"/>
        </w:rPr>
        <w:t>ÝËéÙ</w:t>
      </w:r>
      <w:r>
        <w:rPr>
          <w:rFonts w:ascii="PMingLiU" w:cs="PMingLiU" w:eastAsia="PMingLiU" w:hAnsi="PMingLiU"/>
          <w:sz w:val="18"/>
          <w:szCs w:val="18"/>
          <w:color w:val="303030"/>
        </w:rPr>
        <w:t></w:t>
      </w:r>
      <w:r>
        <w:rPr>
          <w:rFonts w:ascii="Arial" w:cs="Arial" w:eastAsia="Arial" w:hAnsi="Arial"/>
          <w:sz w:val="18"/>
          <w:szCs w:val="18"/>
          <w:color w:val="303030"/>
        </w:rPr>
        <w:t>Ýǔ -äǯÝ ä¨</w:t>
      </w:r>
      <w:r>
        <w:rPr>
          <w:rFonts w:ascii="PMingLiU" w:cs="PMingLiU" w:eastAsia="PMingLiU" w:hAnsi="PMingLiU"/>
          <w:sz w:val="18"/>
          <w:szCs w:val="18"/>
          <w:color w:val="303030"/>
        </w:rPr>
        <w:t></w:t>
      </w:r>
      <w:r>
        <w:rPr>
          <w:rFonts w:ascii="Arial" w:cs="Arial" w:eastAsia="Arial" w:hAnsi="Arial"/>
          <w:sz w:val="18"/>
          <w:szCs w:val="18"/>
          <w:color w:val="303030"/>
        </w:rPr>
        <w:t xml:space="preserve"> ¢«ÙÝä Ýä</w:t>
      </w:r>
      <w:r>
        <w:rPr>
          <w:rFonts w:ascii="PMingLiU" w:cs="PMingLiU" w:eastAsia="PMingLiU" w:hAnsi="PMingLiU"/>
          <w:sz w:val="18"/>
          <w:szCs w:val="18"/>
          <w:color w:val="303030"/>
        </w:rPr>
        <w:t></w:t>
      </w:r>
      <w:r>
        <w:rPr>
          <w:rFonts w:ascii="Arial" w:cs="Arial" w:eastAsia="Arial" w:hAnsi="Arial"/>
          <w:sz w:val="18"/>
          <w:szCs w:val="18"/>
          <w:color w:val="303030"/>
        </w:rPr>
        <w:t>Ö «Ä Ã</w:t>
      </w:r>
      <w:r>
        <w:rPr>
          <w:rFonts w:ascii="PMingLiU" w:cs="PMingLiU" w:eastAsia="PMingLiU" w:hAnsi="PMingLiU"/>
          <w:sz w:val="18"/>
          <w:szCs w:val="18"/>
          <w:color w:val="303030"/>
        </w:rPr>
        <w:t></w:t>
      </w:r>
      <w:r>
        <w:rPr>
          <w:rFonts w:ascii="Arial" w:cs="Arial" w:eastAsia="Arial" w:hAnsi="Arial"/>
          <w:sz w:val="18"/>
          <w:szCs w:val="18"/>
          <w:color w:val="303030"/>
        </w:rPr>
        <w:t>ä«Ä£ £½Ë</w:t>
      </w:r>
      <w:r>
        <w:rPr>
          <w:rFonts w:ascii="PMingLiU" w:cs="PMingLiU" w:eastAsia="PMingLiU" w:hAnsi="PMingLiU"/>
          <w:sz w:val="18"/>
          <w:szCs w:val="18"/>
          <w:color w:val="303030"/>
        </w:rPr>
        <w:t></w:t>
      </w:r>
      <w:r>
        <w:rPr>
          <w:rFonts w:ascii="Arial" w:cs="Arial" w:eastAsia="Arial" w:hAnsi="Arial"/>
          <w:sz w:val="18"/>
          <w:szCs w:val="18"/>
          <w:color w:val="303030"/>
        </w:rPr>
        <w:t xml:space="preserve">½ </w:t>
      </w:r>
      <w:r>
        <w:rPr>
          <w:rFonts w:ascii="PMingLiU" w:cs="PMingLiU" w:eastAsia="PMingLiU" w:hAnsi="PMingLiU"/>
          <w:sz w:val="18"/>
          <w:szCs w:val="18"/>
          <w:color w:val="303030"/>
        </w:rPr>
        <w:t></w:t>
      </w:r>
      <w:r>
        <w:rPr>
          <w:rFonts w:ascii="Arial" w:cs="Arial" w:eastAsia="Arial" w:hAnsi="Arial"/>
          <w:sz w:val="18"/>
          <w:szCs w:val="18"/>
          <w:color w:val="303030"/>
        </w:rPr>
        <w:t>Ã</w:t>
      </w:r>
      <w:r>
        <w:rPr>
          <w:rFonts w:ascii="PMingLiU" w:cs="PMingLiU" w:eastAsia="PMingLiU" w:hAnsi="PMingLiU"/>
          <w:sz w:val="18"/>
          <w:szCs w:val="18"/>
          <w:color w:val="303030"/>
        </w:rPr>
        <w:t></w:t>
      </w:r>
      <w:r>
        <w:rPr>
          <w:rFonts w:ascii="Arial" w:cs="Arial" w:eastAsia="Arial" w:hAnsi="Arial"/>
          <w:sz w:val="18"/>
          <w:szCs w:val="18"/>
          <w:color w:val="303030"/>
        </w:rPr>
        <w:t>Ä</w:t>
      </w:r>
      <w:r>
        <w:rPr>
          <w:rFonts w:ascii="PMingLiU" w:cs="PMingLiU" w:eastAsia="PMingLiU" w:hAnsi="PMingLiU"/>
          <w:sz w:val="18"/>
          <w:szCs w:val="18"/>
          <w:color w:val="303030"/>
        </w:rPr>
        <w:t></w:t>
      </w:r>
      <w:r>
        <w:rPr>
          <w:rFonts w:ascii="Arial" w:cs="Arial" w:eastAsia="Arial" w:hAnsi="Arial"/>
          <w:sz w:val="18"/>
          <w:szCs w:val="18"/>
          <w:color w:val="303030"/>
        </w:rPr>
        <w:t xml:space="preserve"> ¢ËÙ Ù</w:t>
      </w:r>
      <w:r>
        <w:rPr>
          <w:rFonts w:ascii="PMingLiU" w:cs="PMingLiU" w:eastAsia="PMingLiU" w:hAnsi="PMingLiU"/>
          <w:sz w:val="18"/>
          <w:szCs w:val="18"/>
          <w:color w:val="303030"/>
        </w:rPr>
        <w:t></w:t>
      </w:r>
      <w:r>
        <w:rPr>
          <w:rFonts w:ascii="Arial" w:cs="Arial" w:eastAsia="Arial" w:hAnsi="Arial"/>
          <w:sz w:val="18"/>
          <w:szCs w:val="18"/>
          <w:color w:val="303030"/>
        </w:rPr>
        <w:t>½«</w:t>
      </w:r>
      <w:r>
        <w:rPr>
          <w:rFonts w:ascii="PMingLiU" w:cs="PMingLiU" w:eastAsia="PMingLiU" w:hAnsi="PMingLiU"/>
          <w:sz w:val="18"/>
          <w:szCs w:val="18"/>
          <w:color w:val="303030"/>
        </w:rPr>
        <w:t></w:t>
      </w:r>
      <w:r>
        <w:rPr>
          <w:rFonts w:ascii="Arial" w:cs="Arial" w:eastAsia="Arial" w:hAnsi="Arial"/>
          <w:sz w:val="18"/>
          <w:szCs w:val="18"/>
          <w:color w:val="303030"/>
        </w:rPr>
        <w:t>½</w:t>
      </w:r>
      <w:r>
        <w:rPr>
          <w:rFonts w:ascii="PMingLiU" w:cs="PMingLiU" w:eastAsia="PMingLiU" w:hAnsi="PMingLiU"/>
          <w:sz w:val="18"/>
          <w:szCs w:val="18"/>
          <w:color w:val="303030"/>
        </w:rPr>
        <w:t> </w:t>
      </w:r>
      <w:r>
        <w:rPr>
          <w:rFonts w:ascii="Arial" w:cs="Arial" w:eastAsia="Arial" w:hAnsi="Arial"/>
          <w:sz w:val="18"/>
          <w:szCs w:val="18"/>
          <w:color w:val="303030"/>
        </w:rPr>
        <w:t>Ä</w:t>
      </w:r>
      <w:r>
        <w:rPr>
          <w:rFonts w:ascii="PMingLiU" w:cs="PMingLiU" w:eastAsia="PMingLiU" w:hAnsi="PMingLiU"/>
          <w:sz w:val="18"/>
          <w:szCs w:val="18"/>
          <w:color w:val="303030"/>
        </w:rPr>
        <w:t> </w:t>
      </w:r>
      <w:r>
        <w:rPr>
          <w:rFonts w:ascii="Arial" w:cs="Arial" w:eastAsia="Arial" w:hAnsi="Arial"/>
          <w:sz w:val="18"/>
          <w:szCs w:val="18"/>
          <w:color w:val="303030"/>
        </w:rPr>
        <w:t>¢¢ËÙ</w:t>
      </w:r>
      <w:r>
        <w:rPr>
          <w:rFonts w:ascii="PMingLiU" w:cs="PMingLiU" w:eastAsia="PMingLiU" w:hAnsi="PMingLiU"/>
          <w:sz w:val="18"/>
          <w:szCs w:val="18"/>
          <w:color w:val="303030"/>
        </w:rPr>
        <w:t></w:t>
      </w:r>
      <w:r>
        <w:rPr>
          <w:rFonts w:ascii="Arial" w:cs="Arial" w:eastAsia="Arial" w:hAnsi="Arial"/>
          <w:sz w:val="18"/>
          <w:szCs w:val="18"/>
          <w:color w:val="303030"/>
        </w:rPr>
        <w:t>½</w:t>
      </w:r>
      <w:r>
        <w:rPr>
          <w:rFonts w:ascii="PMingLiU" w:cs="PMingLiU" w:eastAsia="PMingLiU" w:hAnsi="PMingLiU"/>
          <w:sz w:val="18"/>
          <w:szCs w:val="18"/>
          <w:color w:val="303030"/>
        </w:rPr>
        <w:t> </w:t>
      </w:r>
      <w:r>
        <w:rPr>
          <w:rFonts w:ascii="Arial" w:cs="Arial" w:eastAsia="Arial" w:hAnsi="Arial"/>
          <w:sz w:val="18"/>
          <w:szCs w:val="18"/>
          <w:color w:val="303030"/>
        </w:rPr>
        <w:t>Ä</w:t>
      </w:r>
      <w:r>
        <w:rPr>
          <w:rFonts w:ascii="PMingLiU" w:cs="PMingLiU" w:eastAsia="PMingLiU" w:hAnsi="PMingLiU"/>
          <w:sz w:val="18"/>
          <w:szCs w:val="18"/>
          <w:color w:val="303030"/>
        </w:rPr>
        <w:t></w:t>
      </w:r>
      <w:r>
        <w:rPr>
          <w:rFonts w:ascii="Arial" w:cs="Arial" w:eastAsia="Arial" w:hAnsi="Arial"/>
          <w:sz w:val="18"/>
          <w:szCs w:val="18"/>
          <w:color w:val="303030"/>
        </w:rPr>
        <w:t>Ù£ûǔ</w:t>
      </w:r>
    </w:p>
    <w:p>
      <w:pPr>
        <w:spacing w:after="0" w:line="236" w:lineRule="exact"/>
        <w:rPr>
          <w:sz w:val="20"/>
          <w:szCs w:val="20"/>
          <w:color w:val="auto"/>
        </w:rPr>
      </w:pPr>
    </w:p>
    <w:p>
      <w:pPr>
        <w:ind w:left="560" w:right="460"/>
        <w:spacing w:after="0" w:line="242" w:lineRule="exact"/>
        <w:rPr>
          <w:sz w:val="20"/>
          <w:szCs w:val="20"/>
          <w:color w:val="auto"/>
        </w:rPr>
      </w:pPr>
      <w:r>
        <w:rPr>
          <w:rFonts w:ascii="Arial" w:cs="Arial" w:eastAsia="Arial" w:hAnsi="Arial"/>
          <w:sz w:val="20"/>
          <w:szCs w:val="20"/>
          <w:color w:val="303030"/>
        </w:rPr>
        <w:t>-Ä ƍƋƍƎǏ õ</w:t>
      </w:r>
      <w:r>
        <w:rPr>
          <w:rFonts w:ascii="PMingLiU" w:cs="PMingLiU" w:eastAsia="PMingLiU" w:hAnsi="PMingLiU"/>
          <w:sz w:val="20"/>
          <w:szCs w:val="20"/>
          <w:color w:val="303030"/>
        </w:rPr>
        <w:t></w:t>
      </w:r>
      <w:r>
        <w:rPr>
          <w:rFonts w:ascii="Arial" w:cs="Arial" w:eastAsia="Arial" w:hAnsi="Arial"/>
          <w:sz w:val="20"/>
          <w:szCs w:val="20"/>
          <w:color w:val="303030"/>
        </w:rPr>
        <w:t xml:space="preserve"> ÖÙË</w:t>
      </w:r>
      <w:r>
        <w:rPr>
          <w:rFonts w:ascii="PMingLiU" w:cs="PMingLiU" w:eastAsia="PMingLiU" w:hAnsi="PMingLiU"/>
          <w:sz w:val="20"/>
          <w:szCs w:val="20"/>
          <w:color w:val="303030"/>
        </w:rPr>
        <w:t></w:t>
      </w:r>
      <w:r>
        <w:rPr>
          <w:rFonts w:ascii="Arial" w:cs="Arial" w:eastAsia="Arial" w:hAnsi="Arial"/>
          <w:sz w:val="20"/>
          <w:szCs w:val="20"/>
          <w:color w:val="303030"/>
        </w:rPr>
        <w:t>é</w:t>
      </w:r>
      <w:r>
        <w:rPr>
          <w:rFonts w:ascii="PMingLiU" w:cs="PMingLiU" w:eastAsia="PMingLiU" w:hAnsi="PMingLiU"/>
          <w:sz w:val="20"/>
          <w:szCs w:val="20"/>
          <w:color w:val="303030"/>
        </w:rPr>
        <w:t></w:t>
      </w:r>
      <w:r>
        <w:rPr>
          <w:rFonts w:ascii="Arial" w:cs="Arial" w:eastAsia="Arial" w:hAnsi="Arial"/>
          <w:sz w:val="20"/>
          <w:szCs w:val="20"/>
          <w:color w:val="303030"/>
        </w:rPr>
        <w:t xml:space="preserve"> Ǝǔƒ Ã«½½«ËÄ Ë«½ǥ</w:t>
      </w:r>
      <w:r>
        <w:rPr>
          <w:rFonts w:ascii="PMingLiU" w:cs="PMingLiU" w:eastAsia="PMingLiU" w:hAnsi="PMingLiU"/>
          <w:sz w:val="20"/>
          <w:szCs w:val="20"/>
          <w:color w:val="303030"/>
        </w:rPr>
        <w:t></w:t>
      </w:r>
      <w:r>
        <w:rPr>
          <w:rFonts w:ascii="Arial" w:cs="Arial" w:eastAsia="Arial" w:hAnsi="Arial"/>
          <w:sz w:val="20"/>
          <w:szCs w:val="20"/>
          <w:color w:val="303030"/>
        </w:rPr>
        <w:t>Øé«ô</w:t>
      </w:r>
      <w:r>
        <w:rPr>
          <w:rFonts w:ascii="PMingLiU" w:cs="PMingLiU" w:eastAsia="PMingLiU" w:hAnsi="PMingLiU"/>
          <w:sz w:val="20"/>
          <w:szCs w:val="20"/>
          <w:color w:val="303030"/>
        </w:rPr>
        <w:t></w:t>
      </w:r>
      <w:r>
        <w:rPr>
          <w:rFonts w:ascii="Arial" w:cs="Arial" w:eastAsia="Arial" w:hAnsi="Arial"/>
          <w:sz w:val="20"/>
          <w:szCs w:val="20"/>
          <w:color w:val="303030"/>
        </w:rPr>
        <w:t>½</w:t>
      </w:r>
      <w:r>
        <w:rPr>
          <w:rFonts w:ascii="PMingLiU" w:cs="PMingLiU" w:eastAsia="PMingLiU" w:hAnsi="PMingLiU"/>
          <w:sz w:val="20"/>
          <w:szCs w:val="20"/>
          <w:color w:val="303030"/>
        </w:rPr>
        <w:t></w:t>
      </w:r>
      <w:r>
        <w:rPr>
          <w:rFonts w:ascii="Arial" w:cs="Arial" w:eastAsia="Arial" w:hAnsi="Arial"/>
          <w:sz w:val="20"/>
          <w:szCs w:val="20"/>
          <w:color w:val="303030"/>
        </w:rPr>
        <w:t xml:space="preserve">Ää </w:t>
      </w:r>
      <w:r>
        <w:rPr>
          <w:rFonts w:ascii="PMingLiU" w:cs="PMingLiU" w:eastAsia="PMingLiU" w:hAnsi="PMingLiU"/>
          <w:sz w:val="20"/>
          <w:szCs w:val="20"/>
          <w:color w:val="303030"/>
        </w:rPr>
        <w:t></w:t>
      </w:r>
      <w:r>
        <w:rPr>
          <w:rFonts w:ascii="Arial" w:cs="Arial" w:eastAsia="Arial" w:hAnsi="Arial"/>
          <w:sz w:val="20"/>
          <w:szCs w:val="20"/>
          <w:color w:val="303030"/>
        </w:rPr>
        <w:t>ÙÙ</w:t>
      </w:r>
      <w:r>
        <w:rPr>
          <w:rFonts w:ascii="PMingLiU" w:cs="PMingLiU" w:eastAsia="PMingLiU" w:hAnsi="PMingLiU"/>
          <w:sz w:val="20"/>
          <w:szCs w:val="20"/>
          <w:color w:val="303030"/>
        </w:rPr>
        <w:t></w:t>
      </w:r>
      <w:r>
        <w:rPr>
          <w:rFonts w:ascii="Arial" w:cs="Arial" w:eastAsia="Arial" w:hAnsi="Arial"/>
          <w:sz w:val="20"/>
          <w:szCs w:val="20"/>
          <w:color w:val="303030"/>
        </w:rPr>
        <w:t>½Ý Ö</w:t>
      </w:r>
      <w:r>
        <w:rPr>
          <w:rFonts w:ascii="PMingLiU" w:cs="PMingLiU" w:eastAsia="PMingLiU" w:hAnsi="PMingLiU"/>
          <w:sz w:val="20"/>
          <w:szCs w:val="20"/>
          <w:color w:val="303030"/>
        </w:rPr>
        <w:t></w:t>
      </w:r>
      <w:r>
        <w:rPr>
          <w:rFonts w:ascii="Arial" w:cs="Arial" w:eastAsia="Arial" w:hAnsi="Arial"/>
          <w:sz w:val="20"/>
          <w:szCs w:val="20"/>
          <w:color w:val="303030"/>
        </w:rPr>
        <w:t xml:space="preserve">Ù </w:t>
      </w:r>
      <w:r>
        <w:rPr>
          <w:rFonts w:ascii="PMingLiU" w:cs="PMingLiU" w:eastAsia="PMingLiU" w:hAnsi="PMingLiU"/>
          <w:sz w:val="20"/>
          <w:szCs w:val="20"/>
          <w:color w:val="303030"/>
        </w:rPr>
        <w:t></w:t>
      </w:r>
      <w:r>
        <w:rPr>
          <w:rFonts w:ascii="Arial" w:cs="Arial" w:eastAsia="Arial" w:hAnsi="Arial"/>
          <w:sz w:val="20"/>
          <w:szCs w:val="20"/>
          <w:color w:val="303030"/>
        </w:rPr>
        <w:t>ûǏ õ«ä¨ Ù</w:t>
      </w:r>
      <w:r>
        <w:rPr>
          <w:rFonts w:ascii="PMingLiU" w:cs="PMingLiU" w:eastAsia="PMingLiU" w:hAnsi="PMingLiU"/>
          <w:sz w:val="20"/>
          <w:szCs w:val="20"/>
          <w:color w:val="303030"/>
        </w:rPr>
        <w:t></w:t>
      </w:r>
      <w:r>
        <w:rPr>
          <w:rFonts w:ascii="Arial" w:cs="Arial" w:eastAsia="Arial" w:hAnsi="Arial"/>
          <w:sz w:val="20"/>
          <w:szCs w:val="20"/>
          <w:color w:val="303030"/>
        </w:rPr>
        <w:t>ËÙ</w:t>
      </w:r>
      <w:r>
        <w:rPr>
          <w:rFonts w:ascii="PMingLiU" w:cs="PMingLiU" w:eastAsia="PMingLiU" w:hAnsi="PMingLiU"/>
          <w:sz w:val="20"/>
          <w:szCs w:val="20"/>
          <w:color w:val="303030"/>
        </w:rPr>
        <w:t> </w:t>
      </w:r>
      <w:r>
        <w:rPr>
          <w:rFonts w:ascii="Arial" w:cs="Arial" w:eastAsia="Arial" w:hAnsi="Arial"/>
          <w:sz w:val="20"/>
          <w:szCs w:val="20"/>
          <w:color w:val="303030"/>
        </w:rPr>
        <w:t>ÄÄé</w:t>
      </w:r>
      <w:r>
        <w:rPr>
          <w:rFonts w:ascii="PMingLiU" w:cs="PMingLiU" w:eastAsia="PMingLiU" w:hAnsi="PMingLiU"/>
          <w:sz w:val="20"/>
          <w:szCs w:val="20"/>
          <w:color w:val="303030"/>
        </w:rPr>
        <w:t></w:t>
      </w:r>
      <w:r>
        <w:rPr>
          <w:rFonts w:ascii="Arial" w:cs="Arial" w:eastAsia="Arial" w:hAnsi="Arial"/>
          <w:sz w:val="20"/>
          <w:szCs w:val="20"/>
          <w:color w:val="303030"/>
        </w:rPr>
        <w:t>½ ÖÙË</w:t>
      </w:r>
      <w:r>
        <w:rPr>
          <w:rFonts w:ascii="PMingLiU" w:cs="PMingLiU" w:eastAsia="PMingLiU" w:hAnsi="PMingLiU"/>
          <w:sz w:val="20"/>
          <w:szCs w:val="20"/>
          <w:color w:val="303030"/>
        </w:rPr>
        <w:t></w:t>
      </w:r>
      <w:r>
        <w:rPr>
          <w:rFonts w:ascii="Arial" w:cs="Arial" w:eastAsia="Arial" w:hAnsi="Arial"/>
          <w:sz w:val="20"/>
          <w:szCs w:val="20"/>
          <w:color w:val="303030"/>
        </w:rPr>
        <w:t>é</w:t>
      </w:r>
      <w:r>
        <w:rPr>
          <w:rFonts w:ascii="PMingLiU" w:cs="PMingLiU" w:eastAsia="PMingLiU" w:hAnsi="PMingLiU"/>
          <w:sz w:val="20"/>
          <w:szCs w:val="20"/>
          <w:color w:val="303030"/>
        </w:rPr>
        <w:t></w:t>
      </w:r>
      <w:r>
        <w:rPr>
          <w:rFonts w:ascii="Arial" w:cs="Arial" w:eastAsia="Arial" w:hAnsi="Arial"/>
          <w:sz w:val="20"/>
          <w:szCs w:val="20"/>
          <w:color w:val="303030"/>
        </w:rPr>
        <w:t>ä«ËÄ «Ä ä¨</w:t>
      </w:r>
      <w:r>
        <w:rPr>
          <w:rFonts w:ascii="PMingLiU" w:cs="PMingLiU" w:eastAsia="PMingLiU" w:hAnsi="PMingLiU"/>
          <w:sz w:val="20"/>
          <w:szCs w:val="20"/>
          <w:color w:val="303030"/>
        </w:rPr>
        <w:t></w:t>
      </w:r>
      <w:r>
        <w:rPr>
          <w:rFonts w:ascii="Arial" w:cs="Arial" w:eastAsia="Arial" w:hAnsi="Arial"/>
          <w:sz w:val="20"/>
          <w:szCs w:val="20"/>
          <w:color w:val="303030"/>
        </w:rPr>
        <w:t xml:space="preserve"> T</w:t>
      </w:r>
      <w:r>
        <w:rPr>
          <w:rFonts w:ascii="PMingLiU" w:cs="PMingLiU" w:eastAsia="PMingLiU" w:hAnsi="PMingLiU"/>
          <w:sz w:val="20"/>
          <w:szCs w:val="20"/>
          <w:color w:val="303030"/>
        </w:rPr>
        <w:t></w:t>
      </w:r>
      <w:r>
        <w:rPr>
          <w:rFonts w:ascii="Arial" w:cs="Arial" w:eastAsia="Arial" w:hAnsi="Arial"/>
          <w:sz w:val="20"/>
          <w:szCs w:val="20"/>
          <w:color w:val="303030"/>
        </w:rPr>
        <w:t>ÙÃ«</w:t>
      </w:r>
      <w:r>
        <w:rPr>
          <w:rFonts w:ascii="PMingLiU" w:cs="PMingLiU" w:eastAsia="PMingLiU" w:hAnsi="PMingLiU"/>
          <w:sz w:val="20"/>
          <w:szCs w:val="20"/>
          <w:color w:val="303030"/>
        </w:rPr>
        <w:t></w:t>
      </w:r>
      <w:r>
        <w:rPr>
          <w:rFonts w:ascii="Arial" w:cs="Arial" w:eastAsia="Arial" w:hAnsi="Arial"/>
          <w:sz w:val="20"/>
          <w:szCs w:val="20"/>
          <w:color w:val="303030"/>
        </w:rPr>
        <w:t xml:space="preserve">Ä </w:t>
      </w:r>
      <w:r>
        <w:rPr>
          <w:rFonts w:ascii="PMingLiU" w:cs="PMingLiU" w:eastAsia="PMingLiU" w:hAnsi="PMingLiU"/>
          <w:sz w:val="20"/>
          <w:szCs w:val="20"/>
          <w:color w:val="303030"/>
        </w:rPr>
        <w:t></w:t>
      </w:r>
      <w:r>
        <w:rPr>
          <w:rFonts w:ascii="Arial" w:cs="Arial" w:eastAsia="Arial" w:hAnsi="Arial"/>
          <w:sz w:val="20"/>
          <w:szCs w:val="20"/>
          <w:color w:val="303030"/>
        </w:rPr>
        <w:t xml:space="preserve">Ý«Ä </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 xml:space="preserve"> %éû</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ǔ</w:t>
      </w:r>
    </w:p>
    <w:p>
      <w:pPr>
        <w:spacing w:after="0" w:line="237" w:lineRule="exact"/>
        <w:rPr>
          <w:sz w:val="20"/>
          <w:szCs w:val="20"/>
          <w:color w:val="auto"/>
        </w:rPr>
      </w:pPr>
    </w:p>
    <w:p>
      <w:pPr>
        <w:ind w:left="560"/>
        <w:spacing w:after="0" w:line="219" w:lineRule="exact"/>
        <w:rPr>
          <w:sz w:val="20"/>
          <w:szCs w:val="20"/>
          <w:color w:val="auto"/>
        </w:rPr>
      </w:pPr>
      <w:r>
        <w:rPr>
          <w:rFonts w:ascii="Arial" w:cs="Arial" w:eastAsia="Arial" w:hAnsi="Arial"/>
          <w:sz w:val="18"/>
          <w:szCs w:val="18"/>
          <w:color w:val="303030"/>
        </w:rPr>
        <w:t>-Ä ä¨</w:t>
      </w:r>
      <w:r>
        <w:rPr>
          <w:rFonts w:ascii="PMingLiU" w:cs="PMingLiU" w:eastAsia="PMingLiU" w:hAnsi="PMingLiU"/>
          <w:sz w:val="18"/>
          <w:szCs w:val="18"/>
          <w:color w:val="303030"/>
        </w:rPr>
        <w:t></w:t>
      </w:r>
      <w:r>
        <w:rPr>
          <w:rFonts w:ascii="Arial" w:cs="Arial" w:eastAsia="Arial" w:hAnsi="Arial"/>
          <w:sz w:val="18"/>
          <w:szCs w:val="18"/>
          <w:color w:val="303030"/>
        </w:rPr>
        <w:t xml:space="preserve"> T</w:t>
      </w:r>
      <w:r>
        <w:rPr>
          <w:rFonts w:ascii="PMingLiU" w:cs="PMingLiU" w:eastAsia="PMingLiU" w:hAnsi="PMingLiU"/>
          <w:sz w:val="18"/>
          <w:szCs w:val="18"/>
          <w:color w:val="303030"/>
        </w:rPr>
        <w:t></w:t>
      </w:r>
      <w:r>
        <w:rPr>
          <w:rFonts w:ascii="Arial" w:cs="Arial" w:eastAsia="Arial" w:hAnsi="Arial"/>
          <w:sz w:val="18"/>
          <w:szCs w:val="18"/>
          <w:color w:val="303030"/>
        </w:rPr>
        <w:t>ÙÃ«</w:t>
      </w:r>
      <w:r>
        <w:rPr>
          <w:rFonts w:ascii="PMingLiU" w:cs="PMingLiU" w:eastAsia="PMingLiU" w:hAnsi="PMingLiU"/>
          <w:sz w:val="18"/>
          <w:szCs w:val="18"/>
          <w:color w:val="303030"/>
        </w:rPr>
        <w:t></w:t>
      </w:r>
      <w:r>
        <w:rPr>
          <w:rFonts w:ascii="Arial" w:cs="Arial" w:eastAsia="Arial" w:hAnsi="Arial"/>
          <w:sz w:val="18"/>
          <w:szCs w:val="18"/>
          <w:color w:val="303030"/>
        </w:rPr>
        <w:t xml:space="preserve">Ä </w:t>
      </w:r>
      <w:r>
        <w:rPr>
          <w:rFonts w:ascii="PMingLiU" w:cs="PMingLiU" w:eastAsia="PMingLiU" w:hAnsi="PMingLiU"/>
          <w:sz w:val="18"/>
          <w:szCs w:val="18"/>
          <w:color w:val="303030"/>
        </w:rPr>
        <w:t></w:t>
      </w:r>
      <w:r>
        <w:rPr>
          <w:rFonts w:ascii="Arial" w:cs="Arial" w:eastAsia="Arial" w:hAnsi="Arial"/>
          <w:sz w:val="18"/>
          <w:szCs w:val="18"/>
          <w:color w:val="303030"/>
        </w:rPr>
        <w:t>Ý«ÄǏ õ</w:t>
      </w:r>
      <w:r>
        <w:rPr>
          <w:rFonts w:ascii="PMingLiU" w:cs="PMingLiU" w:eastAsia="PMingLiU" w:hAnsi="PMingLiU"/>
          <w:sz w:val="18"/>
          <w:szCs w:val="18"/>
          <w:color w:val="303030"/>
        </w:rPr>
        <w:t></w:t>
      </w:r>
      <w:r>
        <w:rPr>
          <w:rFonts w:ascii="Arial" w:cs="Arial" w:eastAsia="Arial" w:hAnsi="Arial"/>
          <w:sz w:val="18"/>
          <w:szCs w:val="18"/>
          <w:color w:val="303030"/>
        </w:rPr>
        <w:t xml:space="preserve"> £Ù</w:t>
      </w:r>
      <w:r>
        <w:rPr>
          <w:rFonts w:ascii="PMingLiU" w:cs="PMingLiU" w:eastAsia="PMingLiU" w:hAnsi="PMingLiU"/>
          <w:sz w:val="18"/>
          <w:szCs w:val="18"/>
          <w:color w:val="303030"/>
        </w:rPr>
        <w:t></w:t>
      </w:r>
      <w:r>
        <w:rPr>
          <w:rFonts w:ascii="Arial" w:cs="Arial" w:eastAsia="Arial" w:hAnsi="Arial"/>
          <w:sz w:val="18"/>
          <w:szCs w:val="18"/>
          <w:color w:val="303030"/>
        </w:rPr>
        <w:t>õ ÖÙË</w:t>
      </w:r>
      <w:r>
        <w:rPr>
          <w:rFonts w:ascii="PMingLiU" w:cs="PMingLiU" w:eastAsia="PMingLiU" w:hAnsi="PMingLiU"/>
          <w:sz w:val="18"/>
          <w:szCs w:val="18"/>
          <w:color w:val="303030"/>
        </w:rPr>
        <w:t></w:t>
      </w:r>
      <w:r>
        <w:rPr>
          <w:rFonts w:ascii="Arial" w:cs="Arial" w:eastAsia="Arial" w:hAnsi="Arial"/>
          <w:sz w:val="18"/>
          <w:szCs w:val="18"/>
          <w:color w:val="303030"/>
        </w:rPr>
        <w:t>é</w:t>
      </w:r>
      <w:r>
        <w:rPr>
          <w:rFonts w:ascii="PMingLiU" w:cs="PMingLiU" w:eastAsia="PMingLiU" w:hAnsi="PMingLiU"/>
          <w:sz w:val="18"/>
          <w:szCs w:val="18"/>
          <w:color w:val="303030"/>
        </w:rPr>
        <w:t></w:t>
      </w:r>
      <w:r>
        <w:rPr>
          <w:rFonts w:ascii="Arial" w:cs="Arial" w:eastAsia="Arial" w:hAnsi="Arial"/>
          <w:sz w:val="18"/>
          <w:szCs w:val="18"/>
          <w:color w:val="303030"/>
        </w:rPr>
        <w:t xml:space="preserve">ä«ËÄ </w:t>
      </w:r>
      <w:r>
        <w:rPr>
          <w:rFonts w:ascii="PMingLiU" w:cs="PMingLiU" w:eastAsia="PMingLiU" w:hAnsi="PMingLiU"/>
          <w:sz w:val="18"/>
          <w:szCs w:val="18"/>
          <w:color w:val="303030"/>
        </w:rPr>
        <w:t></w:t>
      </w:r>
      <w:r>
        <w:rPr>
          <w:rFonts w:ascii="Arial" w:cs="Arial" w:eastAsia="Arial" w:hAnsi="Arial"/>
          <w:sz w:val="18"/>
          <w:szCs w:val="18"/>
          <w:color w:val="303030"/>
        </w:rPr>
        <w:t xml:space="preserve">û </w:t>
      </w:r>
      <w:r>
        <w:rPr>
          <w:rFonts w:ascii="PMingLiU" w:cs="PMingLiU" w:eastAsia="PMingLiU" w:hAnsi="PMingLiU"/>
          <w:sz w:val="18"/>
          <w:szCs w:val="18"/>
          <w:color w:val="303030"/>
        </w:rPr>
        <w:t></w:t>
      </w:r>
      <w:r>
        <w:rPr>
          <w:rFonts w:ascii="Arial" w:cs="Arial" w:eastAsia="Arial" w:hAnsi="Arial"/>
          <w:sz w:val="18"/>
          <w:szCs w:val="18"/>
          <w:color w:val="303030"/>
        </w:rPr>
        <w:t xml:space="preserve">Ëéä ƌƍȐ </w:t>
      </w:r>
      <w:r>
        <w:rPr>
          <w:rFonts w:ascii="PMingLiU" w:cs="PMingLiU" w:eastAsia="PMingLiU" w:hAnsi="PMingLiU"/>
          <w:sz w:val="18"/>
          <w:szCs w:val="18"/>
          <w:color w:val="303030"/>
        </w:rPr>
        <w:t></w:t>
      </w:r>
      <w:r>
        <w:rPr>
          <w:rFonts w:ascii="Arial" w:cs="Arial" w:eastAsia="Arial" w:hAnsi="Arial"/>
          <w:sz w:val="18"/>
          <w:szCs w:val="18"/>
          <w:color w:val="303030"/>
        </w:rPr>
        <w:t>Ä</w:t>
      </w:r>
      <w:r>
        <w:rPr>
          <w:rFonts w:ascii="PMingLiU" w:cs="PMingLiU" w:eastAsia="PMingLiU" w:hAnsi="PMingLiU"/>
          <w:sz w:val="18"/>
          <w:szCs w:val="18"/>
          <w:color w:val="303030"/>
        </w:rPr>
        <w:t></w:t>
      </w:r>
      <w:r>
        <w:rPr>
          <w:rFonts w:ascii="Arial" w:cs="Arial" w:eastAsia="Arial" w:hAnsi="Arial"/>
          <w:sz w:val="18"/>
          <w:szCs w:val="18"/>
          <w:color w:val="303030"/>
        </w:rPr>
        <w:t xml:space="preserve"> Ù</w:t>
      </w:r>
      <w:r>
        <w:rPr>
          <w:rFonts w:ascii="PMingLiU" w:cs="PMingLiU" w:eastAsia="PMingLiU" w:hAnsi="PMingLiU"/>
          <w:sz w:val="18"/>
          <w:szCs w:val="18"/>
          <w:color w:val="303030"/>
        </w:rPr>
        <w:t></w:t>
      </w:r>
      <w:r>
        <w:rPr>
          <w:rFonts w:ascii="Arial" w:cs="Arial" w:eastAsia="Arial" w:hAnsi="Arial"/>
          <w:sz w:val="18"/>
          <w:szCs w:val="18"/>
          <w:color w:val="303030"/>
        </w:rPr>
        <w:t>é</w:t>
      </w:r>
      <w:r>
        <w:rPr>
          <w:rFonts w:ascii="PMingLiU" w:cs="PMingLiU" w:eastAsia="PMingLiU" w:hAnsi="PMingLiU"/>
          <w:sz w:val="18"/>
          <w:szCs w:val="18"/>
          <w:color w:val="303030"/>
        </w:rPr>
        <w:t> </w:t>
      </w:r>
      <w:r>
        <w:rPr>
          <w:rFonts w:ascii="Arial" w:cs="Arial" w:eastAsia="Arial" w:hAnsi="Arial"/>
          <w:sz w:val="18"/>
          <w:szCs w:val="18"/>
          <w:color w:val="303030"/>
        </w:rPr>
        <w:t>Ã«ÝÝ«ËÄÝǔ s</w:t>
      </w:r>
      <w:r>
        <w:rPr>
          <w:rFonts w:ascii="PMingLiU" w:cs="PMingLiU" w:eastAsia="PMingLiU" w:hAnsi="PMingLiU"/>
          <w:sz w:val="18"/>
          <w:szCs w:val="18"/>
          <w:color w:val="303030"/>
        </w:rPr>
        <w:t> </w:t>
      </w:r>
      <w:r>
        <w:rPr>
          <w:rFonts w:ascii="Arial" w:cs="Arial" w:eastAsia="Arial" w:hAnsi="Arial"/>
          <w:sz w:val="18"/>
          <w:szCs w:val="18"/>
          <w:color w:val="303030"/>
        </w:rPr>
        <w:t>½</w:t>
      </w:r>
      <w:r>
        <w:rPr>
          <w:rFonts w:ascii="PMingLiU" w:cs="PMingLiU" w:eastAsia="PMingLiU" w:hAnsi="PMingLiU"/>
          <w:sz w:val="18"/>
          <w:szCs w:val="18"/>
          <w:color w:val="303030"/>
        </w:rPr>
        <w:t></w:t>
      </w:r>
      <w:r>
        <w:rPr>
          <w:rFonts w:ascii="Arial" w:cs="Arial" w:eastAsia="Arial" w:hAnsi="Arial"/>
          <w:sz w:val="18"/>
          <w:szCs w:val="18"/>
          <w:color w:val="303030"/>
        </w:rPr>
        <w:t>äÙ«¢«</w:t>
      </w:r>
      <w:r>
        <w:rPr>
          <w:rFonts w:ascii="PMingLiU" w:cs="PMingLiU" w:eastAsia="PMingLiU" w:hAnsi="PMingLiU"/>
          <w:sz w:val="18"/>
          <w:szCs w:val="18"/>
          <w:color w:val="303030"/>
        </w:rPr>
        <w:t></w:t>
      </w:r>
      <w:r>
        <w:rPr>
          <w:rFonts w:ascii="Arial" w:cs="Arial" w:eastAsia="Arial" w:hAnsi="Arial"/>
          <w:sz w:val="18"/>
          <w:szCs w:val="18"/>
          <w:color w:val="303030"/>
        </w:rPr>
        <w:t xml:space="preserve"> ËéÙ </w:t>
      </w:r>
      <w:r>
        <w:rPr>
          <w:rFonts w:ascii="PMingLiU" w:cs="PMingLiU" w:eastAsia="PMingLiU" w:hAnsi="PMingLiU"/>
          <w:sz w:val="18"/>
          <w:szCs w:val="18"/>
          <w:color w:val="303030"/>
        </w:rPr>
        <w:t></w:t>
      </w:r>
      <w:r>
        <w:rPr>
          <w:rFonts w:ascii="Arial" w:cs="Arial" w:eastAsia="Arial" w:hAnsi="Arial"/>
          <w:sz w:val="18"/>
          <w:szCs w:val="18"/>
          <w:color w:val="303030"/>
        </w:rPr>
        <w:t>Ää«Ù</w:t>
      </w:r>
      <w:r>
        <w:rPr>
          <w:rFonts w:ascii="PMingLiU" w:cs="PMingLiU" w:eastAsia="PMingLiU" w:hAnsi="PMingLiU"/>
          <w:sz w:val="18"/>
          <w:szCs w:val="18"/>
          <w:color w:val="303030"/>
        </w:rPr>
        <w:t> </w:t>
      </w:r>
      <w:r>
        <w:rPr>
          <w:rFonts w:ascii="Arial" w:cs="Arial" w:eastAsia="Arial" w:hAnsi="Arial"/>
          <w:sz w:val="18"/>
          <w:szCs w:val="18"/>
          <w:color w:val="303030"/>
        </w:rPr>
        <w:t>Ù«½½«Ä£</w:t>
      </w:r>
    </w:p>
    <w:p>
      <w:pPr>
        <w:spacing w:after="0" w:line="26" w:lineRule="exact"/>
        <w:rPr>
          <w:sz w:val="20"/>
          <w:szCs w:val="20"/>
          <w:color w:val="auto"/>
        </w:rPr>
      </w:pPr>
    </w:p>
    <w:p>
      <w:pPr>
        <w:ind w:left="560"/>
        <w:spacing w:after="0" w:line="231" w:lineRule="exact"/>
        <w:rPr>
          <w:sz w:val="20"/>
          <w:szCs w:val="20"/>
          <w:color w:val="auto"/>
        </w:rPr>
      </w:pPr>
      <w:r>
        <w:rPr>
          <w:rFonts w:ascii="Arial" w:cs="Arial" w:eastAsia="Arial" w:hAnsi="Arial"/>
          <w:sz w:val="19"/>
          <w:szCs w:val="19"/>
          <w:color w:val="303030"/>
        </w:rPr>
        <w:t>¢½</w:t>
      </w:r>
      <w:r>
        <w:rPr>
          <w:rFonts w:ascii="PMingLiU" w:cs="PMingLiU" w:eastAsia="PMingLiU" w:hAnsi="PMingLiU"/>
          <w:sz w:val="19"/>
          <w:szCs w:val="19"/>
          <w:color w:val="303030"/>
        </w:rPr>
        <w:t></w:t>
      </w:r>
      <w:r>
        <w:rPr>
          <w:rFonts w:ascii="Arial" w:cs="Arial" w:eastAsia="Arial" w:hAnsi="Arial"/>
          <w:sz w:val="19"/>
          <w:szCs w:val="19"/>
          <w:color w:val="303030"/>
        </w:rPr>
        <w:t xml:space="preserve">äǏ </w:t>
      </w:r>
      <w:r>
        <w:rPr>
          <w:rFonts w:ascii="PMingLiU" w:cs="PMingLiU" w:eastAsia="PMingLiU" w:hAnsi="PMingLiU"/>
          <w:sz w:val="19"/>
          <w:szCs w:val="19"/>
          <w:color w:val="303030"/>
        </w:rPr>
        <w:t></w:t>
      </w:r>
      <w:r>
        <w:rPr>
          <w:rFonts w:ascii="Arial" w:cs="Arial" w:eastAsia="Arial" w:hAnsi="Arial"/>
          <w:sz w:val="19"/>
          <w:szCs w:val="19"/>
          <w:color w:val="303030"/>
        </w:rPr>
        <w:t>Ö½Ëû</w:t>
      </w:r>
      <w:r>
        <w:rPr>
          <w:rFonts w:ascii="PMingLiU" w:cs="PMingLiU" w:eastAsia="PMingLiU" w:hAnsi="PMingLiU"/>
          <w:sz w:val="19"/>
          <w:szCs w:val="19"/>
          <w:color w:val="303030"/>
        </w:rPr>
        <w:t></w:t>
      </w:r>
      <w:r>
        <w:rPr>
          <w:rFonts w:ascii="Arial" w:cs="Arial" w:eastAsia="Arial" w:hAnsi="Arial"/>
          <w:sz w:val="19"/>
          <w:szCs w:val="19"/>
          <w:color w:val="303030"/>
        </w:rPr>
        <w:t xml:space="preserve"> ËéÙ ¢«ÙÝä </w:t>
      </w:r>
      <w:r>
        <w:rPr>
          <w:rFonts w:ascii="PMingLiU" w:cs="PMingLiU" w:eastAsia="PMingLiU" w:hAnsi="PMingLiU"/>
          <w:sz w:val="19"/>
          <w:szCs w:val="19"/>
          <w:color w:val="303030"/>
        </w:rPr>
        <w:t></w:t>
      </w:r>
      <w:r>
        <w:rPr>
          <w:rFonts w:ascii="Arial" w:cs="Arial" w:eastAsia="Arial" w:hAnsi="Arial"/>
          <w:sz w:val="19"/>
          <w:szCs w:val="19"/>
          <w:color w:val="303030"/>
        </w:rPr>
        <w:t>½</w:t>
      </w:r>
      <w:r>
        <w:rPr>
          <w:rFonts w:ascii="PMingLiU" w:cs="PMingLiU" w:eastAsia="PMingLiU" w:hAnsi="PMingLiU"/>
          <w:sz w:val="19"/>
          <w:szCs w:val="19"/>
          <w:color w:val="303030"/>
        </w:rPr>
        <w:t></w:t>
      </w:r>
      <w:r>
        <w:rPr>
          <w:rFonts w:ascii="Arial" w:cs="Arial" w:eastAsia="Arial" w:hAnsi="Arial"/>
          <w:sz w:val="19"/>
          <w:szCs w:val="19"/>
          <w:color w:val="303030"/>
        </w:rPr>
        <w:t>äÙ«</w:t>
      </w:r>
      <w:r>
        <w:rPr>
          <w:rFonts w:ascii="PMingLiU" w:cs="PMingLiU" w:eastAsia="PMingLiU" w:hAnsi="PMingLiU"/>
          <w:sz w:val="19"/>
          <w:szCs w:val="19"/>
          <w:color w:val="303030"/>
        </w:rPr>
        <w:t></w:t>
      </w:r>
      <w:r>
        <w:rPr>
          <w:rFonts w:ascii="Arial" w:cs="Arial" w:eastAsia="Arial" w:hAnsi="Arial"/>
          <w:sz w:val="19"/>
          <w:szCs w:val="19"/>
          <w:color w:val="303030"/>
        </w:rPr>
        <w:t xml:space="preserve"> ¢Ù</w:t>
      </w:r>
      <w:r>
        <w:rPr>
          <w:rFonts w:ascii="PMingLiU" w:cs="PMingLiU" w:eastAsia="PMingLiU" w:hAnsi="PMingLiU"/>
          <w:sz w:val="19"/>
          <w:szCs w:val="19"/>
          <w:color w:val="303030"/>
        </w:rPr>
        <w:t></w:t>
      </w:r>
      <w:r>
        <w:rPr>
          <w:rFonts w:ascii="Arial" w:cs="Arial" w:eastAsia="Arial" w:hAnsi="Arial"/>
          <w:sz w:val="19"/>
          <w:szCs w:val="19"/>
          <w:color w:val="303030"/>
        </w:rPr>
        <w:t xml:space="preserve"> éÄ«äÝǏ </w:t>
      </w:r>
      <w:r>
        <w:rPr>
          <w:rFonts w:ascii="PMingLiU" w:cs="PMingLiU" w:eastAsia="PMingLiU" w:hAnsi="PMingLiU"/>
          <w:sz w:val="19"/>
          <w:szCs w:val="19"/>
          <w:color w:val="303030"/>
        </w:rPr>
        <w:t></w:t>
      </w:r>
      <w:r>
        <w:rPr>
          <w:rFonts w:ascii="Arial" w:cs="Arial" w:eastAsia="Arial" w:hAnsi="Arial"/>
          <w:sz w:val="19"/>
          <w:szCs w:val="19"/>
          <w:color w:val="303030"/>
        </w:rPr>
        <w:t>Ä</w:t>
      </w:r>
      <w:r>
        <w:rPr>
          <w:rFonts w:ascii="PMingLiU" w:cs="PMingLiU" w:eastAsia="PMingLiU" w:hAnsi="PMingLiU"/>
          <w:sz w:val="19"/>
          <w:szCs w:val="19"/>
          <w:color w:val="303030"/>
        </w:rPr>
        <w:t> </w:t>
      </w:r>
      <w:r>
        <w:rPr>
          <w:rFonts w:ascii="Arial" w:cs="Arial" w:eastAsia="Arial" w:hAnsi="Arial"/>
          <w:sz w:val="19"/>
          <w:szCs w:val="19"/>
          <w:color w:val="303030"/>
        </w:rPr>
        <w:t>úÖ</w:t>
      </w:r>
      <w:r>
        <w:rPr>
          <w:rFonts w:ascii="PMingLiU" w:cs="PMingLiU" w:eastAsia="PMingLiU" w:hAnsi="PMingLiU"/>
          <w:sz w:val="19"/>
          <w:szCs w:val="19"/>
          <w:color w:val="303030"/>
        </w:rPr>
        <w:t></w:t>
      </w:r>
      <w:r>
        <w:rPr>
          <w:rFonts w:ascii="Arial" w:cs="Arial" w:eastAsia="Arial" w:hAnsi="Arial"/>
          <w:sz w:val="19"/>
          <w:szCs w:val="19"/>
          <w:color w:val="303030"/>
        </w:rPr>
        <w:t>Ä</w:t>
      </w:r>
      <w:r>
        <w:rPr>
          <w:rFonts w:ascii="PMingLiU" w:cs="PMingLiU" w:eastAsia="PMingLiU" w:hAnsi="PMingLiU"/>
          <w:sz w:val="19"/>
          <w:szCs w:val="19"/>
          <w:color w:val="303030"/>
        </w:rPr>
        <w:t></w:t>
      </w:r>
      <w:r>
        <w:rPr>
          <w:rFonts w:ascii="Arial" w:cs="Arial" w:eastAsia="Arial" w:hAnsi="Arial"/>
          <w:sz w:val="19"/>
          <w:szCs w:val="19"/>
          <w:color w:val="303030"/>
        </w:rPr>
        <w:t xml:space="preserve"> ËéÙ </w:t>
      </w:r>
      <w:r>
        <w:rPr>
          <w:rFonts w:ascii="PMingLiU" w:cs="PMingLiU" w:eastAsia="PMingLiU" w:hAnsi="PMingLiU"/>
          <w:sz w:val="19"/>
          <w:szCs w:val="19"/>
          <w:color w:val="303030"/>
        </w:rPr>
        <w:t></w:t>
      </w:r>
      <w:r>
        <w:rPr>
          <w:rFonts w:ascii="Arial" w:cs="Arial" w:eastAsia="Arial" w:hAnsi="Arial"/>
          <w:sz w:val="19"/>
          <w:szCs w:val="19"/>
          <w:color w:val="303030"/>
        </w:rPr>
        <w:t xml:space="preserve">«½«äû äË ÃËÄ«äËÙǏ </w:t>
      </w:r>
      <w:r>
        <w:rPr>
          <w:rFonts w:ascii="PMingLiU" w:cs="PMingLiU" w:eastAsia="PMingLiU" w:hAnsi="PMingLiU"/>
          <w:sz w:val="19"/>
          <w:szCs w:val="19"/>
          <w:color w:val="303030"/>
        </w:rPr>
        <w:t></w:t>
      </w:r>
      <w:r>
        <w:rPr>
          <w:rFonts w:ascii="Arial" w:cs="Arial" w:eastAsia="Arial" w:hAnsi="Arial"/>
          <w:sz w:val="19"/>
          <w:szCs w:val="19"/>
          <w:color w:val="303030"/>
        </w:rPr>
        <w:t>ä</w:t>
      </w:r>
      <w:r>
        <w:rPr>
          <w:rFonts w:ascii="PMingLiU" w:cs="PMingLiU" w:eastAsia="PMingLiU" w:hAnsi="PMingLiU"/>
          <w:sz w:val="19"/>
          <w:szCs w:val="19"/>
          <w:color w:val="303030"/>
        </w:rPr>
        <w:t></w:t>
      </w:r>
      <w:r>
        <w:rPr>
          <w:rFonts w:ascii="Arial" w:cs="Arial" w:eastAsia="Arial" w:hAnsi="Arial"/>
          <w:sz w:val="19"/>
          <w:szCs w:val="19"/>
          <w:color w:val="303030"/>
        </w:rPr>
        <w:t xml:space="preserve">äǏ </w:t>
      </w:r>
      <w:r>
        <w:rPr>
          <w:rFonts w:ascii="PMingLiU" w:cs="PMingLiU" w:eastAsia="PMingLiU" w:hAnsi="PMingLiU"/>
          <w:sz w:val="19"/>
          <w:szCs w:val="19"/>
          <w:color w:val="303030"/>
        </w:rPr>
        <w:t></w:t>
      </w:r>
      <w:r>
        <w:rPr>
          <w:rFonts w:ascii="Arial" w:cs="Arial" w:eastAsia="Arial" w:hAnsi="Arial"/>
          <w:sz w:val="19"/>
          <w:szCs w:val="19"/>
          <w:color w:val="303030"/>
        </w:rPr>
        <w:t>Ä</w:t>
      </w:r>
      <w:r>
        <w:rPr>
          <w:rFonts w:ascii="PMingLiU" w:cs="PMingLiU" w:eastAsia="PMingLiU" w:hAnsi="PMingLiU"/>
          <w:sz w:val="19"/>
          <w:szCs w:val="19"/>
          <w:color w:val="303030"/>
        </w:rPr>
        <w:t></w:t>
      </w:r>
      <w:r>
        <w:rPr>
          <w:rFonts w:ascii="Arial" w:cs="Arial" w:eastAsia="Arial" w:hAnsi="Arial"/>
          <w:sz w:val="19"/>
          <w:szCs w:val="19"/>
          <w:color w:val="303030"/>
        </w:rPr>
        <w:t xml:space="preserve"> Ù</w:t>
      </w:r>
      <w:r>
        <w:rPr>
          <w:rFonts w:ascii="PMingLiU" w:cs="PMingLiU" w:eastAsia="PMingLiU" w:hAnsi="PMingLiU"/>
          <w:sz w:val="19"/>
          <w:szCs w:val="19"/>
          <w:color w:val="303030"/>
        </w:rPr>
        <w:t></w:t>
      </w:r>
      <w:r>
        <w:rPr>
          <w:rFonts w:ascii="Arial" w:cs="Arial" w:eastAsia="Arial" w:hAnsi="Arial"/>
          <w:sz w:val="19"/>
          <w:szCs w:val="19"/>
          <w:color w:val="303030"/>
        </w:rPr>
        <w:t>é</w:t>
      </w:r>
      <w:r>
        <w:rPr>
          <w:rFonts w:ascii="PMingLiU" w:cs="PMingLiU" w:eastAsia="PMingLiU" w:hAnsi="PMingLiU"/>
          <w:sz w:val="19"/>
          <w:szCs w:val="19"/>
          <w:color w:val="303030"/>
        </w:rPr>
        <w:t></w:t>
      </w:r>
      <w:r>
        <w:rPr>
          <w:rFonts w:ascii="Arial" w:cs="Arial" w:eastAsia="Arial" w:hAnsi="Arial"/>
          <w:sz w:val="19"/>
          <w:szCs w:val="19"/>
          <w:color w:val="303030"/>
        </w:rPr>
        <w:t xml:space="preserve"> Ã</w:t>
      </w:r>
      <w:r>
        <w:rPr>
          <w:rFonts w:ascii="PMingLiU" w:cs="PMingLiU" w:eastAsia="PMingLiU" w:hAnsi="PMingLiU"/>
          <w:sz w:val="19"/>
          <w:szCs w:val="19"/>
          <w:color w:val="303030"/>
        </w:rPr>
        <w:t></w:t>
      </w:r>
      <w:r>
        <w:rPr>
          <w:rFonts w:ascii="Arial" w:cs="Arial" w:eastAsia="Arial" w:hAnsi="Arial"/>
          <w:sz w:val="19"/>
          <w:szCs w:val="19"/>
          <w:color w:val="303030"/>
        </w:rPr>
        <w:t>ä¨</w:t>
      </w:r>
      <w:r>
        <w:rPr>
          <w:rFonts w:ascii="PMingLiU" w:cs="PMingLiU" w:eastAsia="PMingLiU" w:hAnsi="PMingLiU"/>
          <w:sz w:val="19"/>
          <w:szCs w:val="19"/>
          <w:color w:val="303030"/>
        </w:rPr>
        <w:t></w:t>
      </w:r>
      <w:r>
        <w:rPr>
          <w:rFonts w:ascii="Arial" w:cs="Arial" w:eastAsia="Arial" w:hAnsi="Arial"/>
          <w:sz w:val="19"/>
          <w:szCs w:val="19"/>
          <w:color w:val="303030"/>
        </w:rPr>
        <w:t>Ä</w:t>
      </w:r>
      <w:r>
        <w:rPr>
          <w:rFonts w:ascii="PMingLiU" w:cs="PMingLiU" w:eastAsia="PMingLiU" w:hAnsi="PMingLiU"/>
          <w:sz w:val="19"/>
          <w:szCs w:val="19"/>
          <w:color w:val="303030"/>
        </w:rPr>
        <w:t></w:t>
      </w:r>
    </w:p>
    <w:p>
      <w:pPr>
        <w:spacing w:after="0" w:line="10" w:lineRule="exact"/>
        <w:rPr>
          <w:sz w:val="20"/>
          <w:szCs w:val="20"/>
          <w:color w:val="auto"/>
        </w:rPr>
      </w:pPr>
    </w:p>
    <w:p>
      <w:pPr>
        <w:ind w:left="560"/>
        <w:spacing w:after="0" w:line="219" w:lineRule="exact"/>
        <w:rPr>
          <w:sz w:val="20"/>
          <w:szCs w:val="20"/>
          <w:color w:val="auto"/>
        </w:rPr>
      </w:pPr>
      <w:r>
        <w:rPr>
          <w:rFonts w:ascii="PMingLiU" w:cs="PMingLiU" w:eastAsia="PMingLiU" w:hAnsi="PMingLiU"/>
          <w:sz w:val="18"/>
          <w:szCs w:val="18"/>
          <w:color w:val="303030"/>
        </w:rPr>
        <w:t></w:t>
      </w:r>
      <w:r>
        <w:rPr>
          <w:rFonts w:ascii="Arial" w:cs="Arial" w:eastAsia="Arial" w:hAnsi="Arial"/>
          <w:sz w:val="18"/>
          <w:szCs w:val="18"/>
          <w:color w:val="303030"/>
        </w:rPr>
        <w:t>Ã«ÝÝ«ËÄÝǔ IéÙ Ö½</w:t>
      </w:r>
      <w:r>
        <w:rPr>
          <w:rFonts w:ascii="PMingLiU" w:cs="PMingLiU" w:eastAsia="PMingLiU" w:hAnsi="PMingLiU"/>
          <w:sz w:val="18"/>
          <w:szCs w:val="18"/>
          <w:color w:val="303030"/>
        </w:rPr>
        <w:t></w:t>
      </w:r>
      <w:r>
        <w:rPr>
          <w:rFonts w:ascii="Arial" w:cs="Arial" w:eastAsia="Arial" w:hAnsi="Arial"/>
          <w:sz w:val="18"/>
          <w:szCs w:val="18"/>
          <w:color w:val="303030"/>
        </w:rPr>
        <w:t>ÄÄ</w:t>
      </w:r>
      <w:r>
        <w:rPr>
          <w:rFonts w:ascii="PMingLiU" w:cs="PMingLiU" w:eastAsia="PMingLiU" w:hAnsi="PMingLiU"/>
          <w:sz w:val="18"/>
          <w:szCs w:val="18"/>
          <w:color w:val="303030"/>
        </w:rPr>
        <w:t></w:t>
      </w:r>
      <w:r>
        <w:rPr>
          <w:rFonts w:ascii="Arial" w:cs="Arial" w:eastAsia="Arial" w:hAnsi="Arial"/>
          <w:sz w:val="18"/>
          <w:szCs w:val="18"/>
          <w:color w:val="303030"/>
        </w:rPr>
        <w:t xml:space="preserve"> Ã</w:t>
      </w:r>
      <w:r>
        <w:rPr>
          <w:rFonts w:ascii="PMingLiU" w:cs="PMingLiU" w:eastAsia="PMingLiU" w:hAnsi="PMingLiU"/>
          <w:sz w:val="18"/>
          <w:szCs w:val="18"/>
          <w:color w:val="303030"/>
        </w:rPr>
        <w:t></w:t>
      </w:r>
      <w:r>
        <w:rPr>
          <w:rFonts w:ascii="Arial" w:cs="Arial" w:eastAsia="Arial" w:hAnsi="Arial"/>
          <w:sz w:val="18"/>
          <w:szCs w:val="18"/>
          <w:color w:val="303030"/>
        </w:rPr>
        <w:t>Ù£</w:t>
      </w:r>
      <w:r>
        <w:rPr>
          <w:rFonts w:ascii="PMingLiU" w:cs="PMingLiU" w:eastAsia="PMingLiU" w:hAnsi="PMingLiU"/>
          <w:sz w:val="18"/>
          <w:szCs w:val="18"/>
          <w:color w:val="303030"/>
        </w:rPr>
        <w:t></w:t>
      </w:r>
      <w:r>
        <w:rPr>
          <w:rFonts w:ascii="Arial" w:cs="Arial" w:eastAsia="Arial" w:hAnsi="Arial"/>
          <w:sz w:val="18"/>
          <w:szCs w:val="18"/>
          <w:color w:val="303030"/>
        </w:rPr>
        <w:t>Ù õ«ä¨ T«ËÄ</w:t>
      </w:r>
      <w:r>
        <w:rPr>
          <w:rFonts w:ascii="PMingLiU" w:cs="PMingLiU" w:eastAsia="PMingLiU" w:hAnsi="PMingLiU"/>
          <w:sz w:val="18"/>
          <w:szCs w:val="18"/>
          <w:color w:val="303030"/>
        </w:rPr>
        <w:t></w:t>
      </w:r>
      <w:r>
        <w:rPr>
          <w:rFonts w:ascii="Arial" w:cs="Arial" w:eastAsia="Arial" w:hAnsi="Arial"/>
          <w:sz w:val="18"/>
          <w:szCs w:val="18"/>
          <w:color w:val="303030"/>
        </w:rPr>
        <w:t xml:space="preserve">Ù õ«½½ </w:t>
      </w:r>
      <w:r>
        <w:rPr>
          <w:rFonts w:ascii="PMingLiU" w:cs="PMingLiU" w:eastAsia="PMingLiU" w:hAnsi="PMingLiU"/>
          <w:sz w:val="18"/>
          <w:szCs w:val="18"/>
          <w:color w:val="303030"/>
        </w:rPr>
        <w:t></w:t>
      </w:r>
      <w:r>
        <w:rPr>
          <w:rFonts w:ascii="Arial" w:cs="Arial" w:eastAsia="Arial" w:hAnsi="Arial"/>
          <w:sz w:val="18"/>
          <w:szCs w:val="18"/>
          <w:color w:val="303030"/>
        </w:rPr>
        <w:t>Ù«Ä£ ¨«£¨ǥØé</w:t>
      </w:r>
      <w:r>
        <w:rPr>
          <w:rFonts w:ascii="PMingLiU" w:cs="PMingLiU" w:eastAsia="PMingLiU" w:hAnsi="PMingLiU"/>
          <w:sz w:val="18"/>
          <w:szCs w:val="18"/>
          <w:color w:val="303030"/>
        </w:rPr>
        <w:t></w:t>
      </w:r>
      <w:r>
        <w:rPr>
          <w:rFonts w:ascii="Arial" w:cs="Arial" w:eastAsia="Arial" w:hAnsi="Arial"/>
          <w:sz w:val="18"/>
          <w:szCs w:val="18"/>
          <w:color w:val="303030"/>
        </w:rPr>
        <w:t>½«äûǏ éÄ</w:t>
      </w:r>
      <w:r>
        <w:rPr>
          <w:rFonts w:ascii="PMingLiU" w:cs="PMingLiU" w:eastAsia="PMingLiU" w:hAnsi="PMingLiU"/>
          <w:sz w:val="18"/>
          <w:szCs w:val="18"/>
          <w:color w:val="303030"/>
        </w:rPr>
        <w:t></w:t>
      </w:r>
      <w:r>
        <w:rPr>
          <w:rFonts w:ascii="Arial" w:cs="Arial" w:eastAsia="Arial" w:hAnsi="Arial"/>
          <w:sz w:val="18"/>
          <w:szCs w:val="18"/>
          <w:color w:val="303030"/>
        </w:rPr>
        <w:t>ô</w:t>
      </w:r>
      <w:r>
        <w:rPr>
          <w:rFonts w:ascii="PMingLiU" w:cs="PMingLiU" w:eastAsia="PMingLiU" w:hAnsi="PMingLiU"/>
          <w:sz w:val="18"/>
          <w:szCs w:val="18"/>
          <w:color w:val="303030"/>
        </w:rPr>
        <w:t></w:t>
      </w:r>
      <w:r>
        <w:rPr>
          <w:rFonts w:ascii="Arial" w:cs="Arial" w:eastAsia="Arial" w:hAnsi="Arial"/>
          <w:sz w:val="18"/>
          <w:szCs w:val="18"/>
          <w:color w:val="303030"/>
        </w:rPr>
        <w:t>½ËÖ</w:t>
      </w:r>
      <w:r>
        <w:rPr>
          <w:rFonts w:ascii="PMingLiU" w:cs="PMingLiU" w:eastAsia="PMingLiU" w:hAnsi="PMingLiU"/>
          <w:sz w:val="18"/>
          <w:szCs w:val="18"/>
          <w:color w:val="303030"/>
        </w:rPr>
        <w:t></w:t>
      </w:r>
      <w:r>
        <w:rPr>
          <w:rFonts w:ascii="Arial" w:cs="Arial" w:eastAsia="Arial" w:hAnsi="Arial"/>
          <w:sz w:val="18"/>
          <w:szCs w:val="18"/>
          <w:color w:val="303030"/>
        </w:rPr>
        <w:t xml:space="preserve">Ǐ </w:t>
      </w:r>
      <w:r>
        <w:rPr>
          <w:rFonts w:ascii="PMingLiU" w:cs="PMingLiU" w:eastAsia="PMingLiU" w:hAnsi="PMingLiU"/>
          <w:sz w:val="18"/>
          <w:szCs w:val="18"/>
          <w:color w:val="303030"/>
        </w:rPr>
        <w:t></w:t>
      </w:r>
      <w:r>
        <w:rPr>
          <w:rFonts w:ascii="Arial" w:cs="Arial" w:eastAsia="Arial" w:hAnsi="Arial"/>
          <w:sz w:val="18"/>
          <w:szCs w:val="18"/>
          <w:color w:val="303030"/>
        </w:rPr>
        <w:t xml:space="preserve">ËÄä«£éËéÝ </w:t>
      </w:r>
      <w:r>
        <w:rPr>
          <w:rFonts w:ascii="PMingLiU" w:cs="PMingLiU" w:eastAsia="PMingLiU" w:hAnsi="PMingLiU"/>
          <w:sz w:val="18"/>
          <w:szCs w:val="18"/>
          <w:color w:val="303030"/>
        </w:rPr>
        <w:t></w:t>
      </w:r>
      <w:r>
        <w:rPr>
          <w:rFonts w:ascii="Arial" w:cs="Arial" w:eastAsia="Arial" w:hAnsi="Arial"/>
          <w:sz w:val="18"/>
          <w:szCs w:val="18"/>
          <w:color w:val="303030"/>
        </w:rPr>
        <w:t>Ù</w:t>
      </w:r>
      <w:r>
        <w:rPr>
          <w:rFonts w:ascii="PMingLiU" w:cs="PMingLiU" w:eastAsia="PMingLiU" w:hAnsi="PMingLiU"/>
          <w:sz w:val="18"/>
          <w:szCs w:val="18"/>
          <w:color w:val="303030"/>
        </w:rPr>
        <w:t></w:t>
      </w:r>
      <w:r>
        <w:rPr>
          <w:rFonts w:ascii="Arial" w:cs="Arial" w:eastAsia="Arial" w:hAnsi="Arial"/>
          <w:sz w:val="18"/>
          <w:szCs w:val="18"/>
          <w:color w:val="303030"/>
        </w:rPr>
        <w:t>£</w:t>
      </w:r>
      <w:r>
        <w:rPr>
          <w:rFonts w:ascii="PMingLiU" w:cs="PMingLiU" w:eastAsia="PMingLiU" w:hAnsi="PMingLiU"/>
          <w:sz w:val="18"/>
          <w:szCs w:val="18"/>
          <w:color w:val="303030"/>
        </w:rPr>
        <w:t> </w:t>
      </w:r>
      <w:r>
        <w:rPr>
          <w:rFonts w:ascii="Arial" w:cs="Arial" w:eastAsia="Arial" w:hAnsi="Arial"/>
          <w:sz w:val="18"/>
          <w:szCs w:val="18"/>
          <w:color w:val="303030"/>
        </w:rPr>
        <w:t>Ä</w:t>
      </w:r>
      <w:r>
        <w:rPr>
          <w:rFonts w:ascii="PMingLiU" w:cs="PMingLiU" w:eastAsia="PMingLiU" w:hAnsi="PMingLiU"/>
          <w:sz w:val="18"/>
          <w:szCs w:val="18"/>
          <w:color w:val="303030"/>
        </w:rPr>
        <w:t></w:t>
      </w:r>
      <w:r>
        <w:rPr>
          <w:rFonts w:ascii="Arial" w:cs="Arial" w:eastAsia="Arial" w:hAnsi="Arial"/>
          <w:sz w:val="18"/>
          <w:szCs w:val="18"/>
          <w:color w:val="303030"/>
        </w:rPr>
        <w:t xml:space="preserve"> õ«½½</w:t>
      </w:r>
    </w:p>
    <w:p>
      <w:pPr>
        <w:spacing w:after="0" w:line="22" w:lineRule="exact"/>
        <w:rPr>
          <w:sz w:val="20"/>
          <w:szCs w:val="20"/>
          <w:color w:val="auto"/>
        </w:rPr>
      </w:pPr>
    </w:p>
    <w:p>
      <w:pPr>
        <w:ind w:left="560"/>
        <w:spacing w:after="0" w:line="242" w:lineRule="exact"/>
        <w:rPr>
          <w:sz w:val="20"/>
          <w:szCs w:val="20"/>
          <w:color w:val="auto"/>
        </w:rPr>
      </w:pPr>
      <w:r>
        <w:rPr>
          <w:rFonts w:ascii="Arial" w:cs="Arial" w:eastAsia="Arial" w:hAnsi="Arial"/>
          <w:sz w:val="18"/>
          <w:szCs w:val="18"/>
          <w:color w:val="303030"/>
        </w:rPr>
        <w:t>¢éÙä¨</w:t>
      </w:r>
      <w:r>
        <w:rPr>
          <w:rFonts w:ascii="PMingLiU" w:cs="PMingLiU" w:eastAsia="PMingLiU" w:hAnsi="PMingLiU"/>
          <w:sz w:val="18"/>
          <w:szCs w:val="18"/>
          <w:color w:val="303030"/>
        </w:rPr>
        <w:t></w:t>
      </w:r>
      <w:r>
        <w:rPr>
          <w:rFonts w:ascii="Arial" w:cs="Arial" w:eastAsia="Arial" w:hAnsi="Arial"/>
          <w:sz w:val="18"/>
          <w:szCs w:val="18"/>
          <w:color w:val="303030"/>
        </w:rPr>
        <w:t>Ù äÙ</w:t>
      </w:r>
      <w:r>
        <w:rPr>
          <w:rFonts w:ascii="PMingLiU" w:cs="PMingLiU" w:eastAsia="PMingLiU" w:hAnsi="PMingLiU"/>
          <w:sz w:val="18"/>
          <w:szCs w:val="18"/>
          <w:color w:val="303030"/>
        </w:rPr>
        <w:t></w:t>
      </w:r>
      <w:r>
        <w:rPr>
          <w:rFonts w:ascii="Arial" w:cs="Arial" w:eastAsia="Arial" w:hAnsi="Arial"/>
          <w:sz w:val="18"/>
          <w:szCs w:val="18"/>
          <w:color w:val="303030"/>
        </w:rPr>
        <w:t>ÄÝ¢ËÙÃ ËéÙ ËÖ</w:t>
      </w:r>
      <w:r>
        <w:rPr>
          <w:rFonts w:ascii="PMingLiU" w:cs="PMingLiU" w:eastAsia="PMingLiU" w:hAnsi="PMingLiU"/>
          <w:sz w:val="18"/>
          <w:szCs w:val="18"/>
          <w:color w:val="303030"/>
        </w:rPr>
        <w:t></w:t>
      </w:r>
      <w:r>
        <w:rPr>
          <w:rFonts w:ascii="Arial" w:cs="Arial" w:eastAsia="Arial" w:hAnsi="Arial"/>
          <w:sz w:val="18"/>
          <w:szCs w:val="18"/>
          <w:color w:val="303030"/>
        </w:rPr>
        <w:t>Ù</w:t>
      </w:r>
      <w:r>
        <w:rPr>
          <w:rFonts w:ascii="PMingLiU" w:cs="PMingLiU" w:eastAsia="PMingLiU" w:hAnsi="PMingLiU"/>
          <w:sz w:val="18"/>
          <w:szCs w:val="18"/>
          <w:color w:val="303030"/>
        </w:rPr>
        <w:t></w:t>
      </w:r>
      <w:r>
        <w:rPr>
          <w:rFonts w:ascii="Arial" w:cs="Arial" w:eastAsia="Arial" w:hAnsi="Arial"/>
          <w:sz w:val="18"/>
          <w:szCs w:val="18"/>
          <w:color w:val="303030"/>
        </w:rPr>
        <w:t>ä«ËÄÝǔ IÄ</w:t>
      </w:r>
      <w:r>
        <w:rPr>
          <w:rFonts w:ascii="PMingLiU" w:cs="PMingLiU" w:eastAsia="PMingLiU" w:hAnsi="PMingLiU"/>
          <w:sz w:val="18"/>
          <w:szCs w:val="18"/>
          <w:color w:val="303030"/>
        </w:rPr>
        <w:t> </w:t>
      </w:r>
      <w:r>
        <w:rPr>
          <w:rFonts w:ascii="Arial" w:cs="Arial" w:eastAsia="Arial" w:hAnsi="Arial"/>
          <w:sz w:val="18"/>
          <w:szCs w:val="18"/>
          <w:color w:val="303030"/>
        </w:rPr>
        <w:t>½ËÝ</w:t>
      </w:r>
      <w:r>
        <w:rPr>
          <w:rFonts w:ascii="PMingLiU" w:cs="PMingLiU" w:eastAsia="PMingLiU" w:hAnsi="PMingLiU"/>
          <w:sz w:val="18"/>
          <w:szCs w:val="18"/>
          <w:color w:val="303030"/>
        </w:rPr>
        <w:t></w:t>
      </w:r>
      <w:r>
        <w:rPr>
          <w:rFonts w:ascii="Arial" w:cs="Arial" w:eastAsia="Arial" w:hAnsi="Arial"/>
          <w:sz w:val="18"/>
          <w:szCs w:val="18"/>
          <w:color w:val="303030"/>
        </w:rPr>
        <w:t>Ǐ õ</w:t>
      </w:r>
      <w:r>
        <w:rPr>
          <w:rFonts w:ascii="PMingLiU" w:cs="PMingLiU" w:eastAsia="PMingLiU" w:hAnsi="PMingLiU"/>
          <w:sz w:val="18"/>
          <w:szCs w:val="18"/>
          <w:color w:val="303030"/>
        </w:rPr>
        <w:t> </w:t>
      </w:r>
      <w:r>
        <w:rPr>
          <w:rFonts w:ascii="Arial" w:cs="Arial" w:eastAsia="Arial" w:hAnsi="Arial"/>
          <w:sz w:val="18"/>
          <w:szCs w:val="18"/>
          <w:color w:val="303030"/>
        </w:rPr>
        <w:t>úÖ</w:t>
      </w:r>
      <w:r>
        <w:rPr>
          <w:rFonts w:ascii="PMingLiU" w:cs="PMingLiU" w:eastAsia="PMingLiU" w:hAnsi="PMingLiU"/>
          <w:sz w:val="18"/>
          <w:szCs w:val="18"/>
          <w:color w:val="303030"/>
        </w:rPr>
        <w:t></w:t>
      </w:r>
      <w:r>
        <w:rPr>
          <w:rFonts w:ascii="Arial" w:cs="Arial" w:eastAsia="Arial" w:hAnsi="Arial"/>
          <w:sz w:val="18"/>
          <w:szCs w:val="18"/>
          <w:color w:val="303030"/>
        </w:rPr>
        <w:t>ä äË ÝÖ</w:t>
      </w:r>
      <w:r>
        <w:rPr>
          <w:rFonts w:ascii="PMingLiU" w:cs="PMingLiU" w:eastAsia="PMingLiU" w:hAnsi="PMingLiU"/>
          <w:sz w:val="18"/>
          <w:szCs w:val="18"/>
          <w:color w:val="303030"/>
        </w:rPr>
        <w:t></w:t>
      </w:r>
      <w:r>
        <w:rPr>
          <w:rFonts w:ascii="Arial" w:cs="Arial" w:eastAsia="Arial" w:hAnsi="Arial"/>
          <w:sz w:val="18"/>
          <w:szCs w:val="18"/>
          <w:color w:val="303030"/>
        </w:rPr>
        <w:t xml:space="preserve"> éÖ T«ËÄ</w:t>
      </w:r>
      <w:r>
        <w:rPr>
          <w:rFonts w:ascii="PMingLiU" w:cs="PMingLiU" w:eastAsia="PMingLiU" w:hAnsi="PMingLiU"/>
          <w:sz w:val="18"/>
          <w:szCs w:val="18"/>
          <w:color w:val="303030"/>
        </w:rPr>
        <w:t></w:t>
      </w:r>
      <w:r>
        <w:rPr>
          <w:rFonts w:ascii="Arial" w:cs="Arial" w:eastAsia="Arial" w:hAnsi="Arial"/>
          <w:sz w:val="18"/>
          <w:szCs w:val="18"/>
          <w:color w:val="303030"/>
        </w:rPr>
        <w:t>ÙǯÝ Ä</w:t>
      </w:r>
      <w:r>
        <w:rPr>
          <w:rFonts w:ascii="PMingLiU" w:cs="PMingLiU" w:eastAsia="PMingLiU" w:hAnsi="PMingLiU"/>
          <w:sz w:val="18"/>
          <w:szCs w:val="18"/>
          <w:color w:val="303030"/>
        </w:rPr>
        <w:t></w:t>
      </w:r>
      <w:r>
        <w:rPr>
          <w:rFonts w:ascii="Arial" w:cs="Arial" w:eastAsia="Arial" w:hAnsi="Arial"/>
          <w:sz w:val="18"/>
          <w:szCs w:val="18"/>
          <w:color w:val="303030"/>
        </w:rPr>
        <w:t>äǥĀ</w:t>
      </w:r>
      <w:r>
        <w:rPr>
          <w:rFonts w:ascii="PMingLiU" w:cs="PMingLiU" w:eastAsia="PMingLiU" w:hAnsi="PMingLiU"/>
          <w:sz w:val="18"/>
          <w:szCs w:val="18"/>
          <w:color w:val="303030"/>
        </w:rPr>
        <w:t></w:t>
      </w:r>
      <w:r>
        <w:rPr>
          <w:rFonts w:ascii="Arial" w:cs="Arial" w:eastAsia="Arial" w:hAnsi="Arial"/>
          <w:sz w:val="18"/>
          <w:szCs w:val="18"/>
          <w:color w:val="303030"/>
        </w:rPr>
        <w:t>ÙË Ö½</w:t>
      </w:r>
      <w:r>
        <w:rPr>
          <w:rFonts w:ascii="PMingLiU" w:cs="PMingLiU" w:eastAsia="PMingLiU" w:hAnsi="PMingLiU"/>
          <w:sz w:val="18"/>
          <w:szCs w:val="18"/>
          <w:color w:val="303030"/>
        </w:rPr>
        <w:t></w:t>
      </w:r>
      <w:r>
        <w:rPr>
          <w:rFonts w:ascii="Arial" w:cs="Arial" w:eastAsia="Arial" w:hAnsi="Arial"/>
          <w:sz w:val="18"/>
          <w:szCs w:val="18"/>
          <w:color w:val="303030"/>
        </w:rPr>
        <w:t xml:space="preserve">ÄÝ </w:t>
      </w:r>
      <w:r>
        <w:rPr>
          <w:rFonts w:ascii="PMingLiU" w:cs="PMingLiU" w:eastAsia="PMingLiU" w:hAnsi="PMingLiU"/>
          <w:sz w:val="18"/>
          <w:szCs w:val="18"/>
          <w:color w:val="303030"/>
        </w:rPr>
        <w:t></w:t>
      </w:r>
      <w:r>
        <w:rPr>
          <w:rFonts w:ascii="Arial" w:cs="Arial" w:eastAsia="Arial" w:hAnsi="Arial"/>
          <w:sz w:val="18"/>
          <w:szCs w:val="18"/>
          <w:color w:val="303030"/>
        </w:rPr>
        <w:t>û ƌƐ û</w:t>
      </w:r>
      <w:r>
        <w:rPr>
          <w:rFonts w:ascii="PMingLiU" w:cs="PMingLiU" w:eastAsia="PMingLiU" w:hAnsi="PMingLiU"/>
          <w:sz w:val="18"/>
          <w:szCs w:val="18"/>
          <w:color w:val="303030"/>
        </w:rPr>
        <w:t></w:t>
      </w:r>
      <w:r>
        <w:rPr>
          <w:rFonts w:ascii="Arial" w:cs="Arial" w:eastAsia="Arial" w:hAnsi="Arial"/>
          <w:sz w:val="18"/>
          <w:szCs w:val="18"/>
          <w:color w:val="303030"/>
        </w:rPr>
        <w:t>ÙÝǔ</w:t>
      </w:r>
      <w:r>
        <w:rPr>
          <w:rFonts w:ascii="Arial" w:cs="Arial" w:eastAsia="Arial" w:hAnsi="Arial"/>
          <w:sz w:val="21"/>
          <w:szCs w:val="21"/>
          <w:color w:val="303030"/>
          <w:vertAlign w:val="superscript"/>
        </w:rPr>
        <w:t>ƌƌ</w:t>
      </w:r>
    </w:p>
    <w:p>
      <w:pPr>
        <w:spacing w:after="0" w:line="234" w:lineRule="exact"/>
        <w:rPr>
          <w:sz w:val="20"/>
          <w:szCs w:val="20"/>
          <w:color w:val="auto"/>
        </w:rPr>
      </w:pPr>
    </w:p>
    <w:p>
      <w:pPr>
        <w:ind w:left="560" w:right="640"/>
        <w:spacing w:after="0" w:line="242" w:lineRule="exact"/>
        <w:rPr>
          <w:sz w:val="20"/>
          <w:szCs w:val="20"/>
          <w:color w:val="auto"/>
        </w:rPr>
      </w:pPr>
      <w:r>
        <w:rPr>
          <w:rFonts w:ascii="Arial" w:cs="Arial" w:eastAsia="Arial" w:hAnsi="Arial"/>
          <w:sz w:val="17"/>
          <w:szCs w:val="17"/>
          <w:color w:val="303030"/>
        </w:rPr>
        <w:t>IéÙ õËÙº «Ä %éû</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 </w:t>
      </w:r>
      <w:r>
        <w:rPr>
          <w:rFonts w:ascii="Arial" w:cs="Arial" w:eastAsia="Arial" w:hAnsi="Arial"/>
          <w:sz w:val="17"/>
          <w:szCs w:val="17"/>
          <w:color w:val="303030"/>
        </w:rPr>
        <w:t>ËÄä«Äé</w:t>
      </w:r>
      <w:r>
        <w:rPr>
          <w:rFonts w:ascii="PMingLiU" w:cs="PMingLiU" w:eastAsia="PMingLiU" w:hAnsi="PMingLiU"/>
          <w:sz w:val="17"/>
          <w:szCs w:val="17"/>
          <w:color w:val="303030"/>
        </w:rPr>
        <w:t></w:t>
      </w:r>
      <w:r>
        <w:rPr>
          <w:rFonts w:ascii="Arial" w:cs="Arial" w:eastAsia="Arial" w:hAnsi="Arial"/>
          <w:sz w:val="17"/>
          <w:szCs w:val="17"/>
          <w:color w:val="303030"/>
        </w:rPr>
        <w:t xml:space="preserve">Ý äË </w:t>
      </w:r>
      <w:r>
        <w:rPr>
          <w:rFonts w:ascii="PMingLiU" w:cs="PMingLiU" w:eastAsia="PMingLiU" w:hAnsi="PMingLiU"/>
          <w:sz w:val="17"/>
          <w:szCs w:val="17"/>
          <w:color w:val="303030"/>
        </w:rPr>
        <w:t> </w:t>
      </w:r>
      <w:r>
        <w:rPr>
          <w:rFonts w:ascii="Arial" w:cs="Arial" w:eastAsia="Arial" w:hAnsi="Arial"/>
          <w:sz w:val="17"/>
          <w:szCs w:val="17"/>
          <w:color w:val="303030"/>
        </w:rPr>
        <w:t xml:space="preserve">ÃËÄ£ ËéÙ ÃËÝä </w:t>
      </w:r>
      <w:r>
        <w:rPr>
          <w:rFonts w:ascii="PMingLiU" w:cs="PMingLiU" w:eastAsia="PMingLiU" w:hAnsi="PMingLiU"/>
          <w:sz w:val="17"/>
          <w:szCs w:val="17"/>
          <w:color w:val="303030"/>
        </w:rPr>
        <w:t></w:t>
      </w:r>
      <w:r>
        <w:rPr>
          <w:rFonts w:ascii="Arial" w:cs="Arial" w:eastAsia="Arial" w:hAnsi="Arial"/>
          <w:sz w:val="17"/>
          <w:szCs w:val="17"/>
          <w:color w:val="303030"/>
        </w:rPr>
        <w:t>ú</w:t>
      </w:r>
      <w:r>
        <w:rPr>
          <w:rFonts w:ascii="PMingLiU" w:cs="PMingLiU" w:eastAsia="PMingLiU" w:hAnsi="PMingLiU"/>
          <w:sz w:val="17"/>
          <w:szCs w:val="17"/>
          <w:color w:val="303030"/>
        </w:rPr>
        <w:t></w:t>
      </w:r>
      <w:r>
        <w:rPr>
          <w:rFonts w:ascii="Arial" w:cs="Arial" w:eastAsia="Arial" w:hAnsi="Arial"/>
          <w:sz w:val="17"/>
          <w:szCs w:val="17"/>
          <w:color w:val="303030"/>
        </w:rPr>
        <w:t xml:space="preserve">«ä«Ä£ </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 xml:space="preserve"> Ýé</w:t>
      </w:r>
      <w:r>
        <w:rPr>
          <w:rFonts w:ascii="PMingLiU" w:cs="PMingLiU" w:eastAsia="PMingLiU" w:hAnsi="PMingLiU"/>
          <w:sz w:val="17"/>
          <w:szCs w:val="17"/>
          <w:color w:val="303030"/>
        </w:rPr>
        <w:t></w:t>
      </w:r>
      <w:r>
        <w:rPr>
          <w:rFonts w:ascii="Arial" w:cs="Arial" w:eastAsia="Arial" w:hAnsi="Arial"/>
          <w:sz w:val="17"/>
          <w:szCs w:val="17"/>
          <w:color w:val="303030"/>
        </w:rPr>
        <w:t xml:space="preserve">ÝÝ¢é½ Ǥ ¢ËÙ ËéÙ </w:t>
      </w:r>
      <w:r>
        <w:rPr>
          <w:rFonts w:ascii="PMingLiU" w:cs="PMingLiU" w:eastAsia="PMingLiU" w:hAnsi="PMingLiU"/>
          <w:sz w:val="17"/>
          <w:szCs w:val="17"/>
          <w:color w:val="303030"/>
        </w:rPr>
        <w:t></w:t>
      </w:r>
      <w:r>
        <w:rPr>
          <w:rFonts w:ascii="Arial" w:cs="Arial" w:eastAsia="Arial" w:hAnsi="Arial"/>
          <w:sz w:val="17"/>
          <w:szCs w:val="17"/>
          <w:color w:val="303030"/>
        </w:rPr>
        <w:t>éÝ«Ä</w:t>
      </w:r>
      <w:r>
        <w:rPr>
          <w:rFonts w:ascii="PMingLiU" w:cs="PMingLiU" w:eastAsia="PMingLiU" w:hAnsi="PMingLiU"/>
          <w:sz w:val="17"/>
          <w:szCs w:val="17"/>
          <w:color w:val="303030"/>
        </w:rPr>
        <w:t></w:t>
      </w:r>
      <w:r>
        <w:rPr>
          <w:rFonts w:ascii="Arial" w:cs="Arial" w:eastAsia="Arial" w:hAnsi="Arial"/>
          <w:sz w:val="17"/>
          <w:szCs w:val="17"/>
          <w:color w:val="303030"/>
        </w:rPr>
        <w:t>ÝÝǏ ä¨</w:t>
      </w:r>
      <w:r>
        <w:rPr>
          <w:rFonts w:ascii="PMingLiU" w:cs="PMingLiU" w:eastAsia="PMingLiU" w:hAnsi="PMingLiU"/>
          <w:sz w:val="17"/>
          <w:szCs w:val="17"/>
          <w:color w:val="303030"/>
        </w:rPr>
        <w:t></w:t>
      </w:r>
      <w:r>
        <w:rPr>
          <w:rFonts w:ascii="Arial" w:cs="Arial" w:eastAsia="Arial" w:hAnsi="Arial"/>
          <w:sz w:val="17"/>
          <w:szCs w:val="17"/>
          <w:color w:val="303030"/>
        </w:rPr>
        <w:t xml:space="preserve"> Ö</w:t>
      </w:r>
      <w:r>
        <w:rPr>
          <w:rFonts w:ascii="PMingLiU" w:cs="PMingLiU" w:eastAsia="PMingLiU" w:hAnsi="PMingLiU"/>
          <w:sz w:val="17"/>
          <w:szCs w:val="17"/>
          <w:color w:val="303030"/>
        </w:rPr>
        <w:t></w:t>
      </w:r>
      <w:r>
        <w:rPr>
          <w:rFonts w:ascii="Arial" w:cs="Arial" w:eastAsia="Arial" w:hAnsi="Arial"/>
          <w:sz w:val="17"/>
          <w:szCs w:val="17"/>
          <w:color w:val="303030"/>
        </w:rPr>
        <w:t>ËÖ½</w:t>
      </w:r>
      <w:r>
        <w:rPr>
          <w:rFonts w:ascii="PMingLiU" w:cs="PMingLiU" w:eastAsia="PMingLiU" w:hAnsi="PMingLiU"/>
          <w:sz w:val="17"/>
          <w:szCs w:val="17"/>
          <w:color w:val="303030"/>
        </w:rPr>
        <w:t></w:t>
      </w:r>
      <w:r>
        <w:rPr>
          <w:rFonts w:ascii="Arial" w:cs="Arial" w:eastAsia="Arial" w:hAnsi="Arial"/>
          <w:sz w:val="17"/>
          <w:szCs w:val="17"/>
          <w:color w:val="303030"/>
        </w:rPr>
        <w:t xml:space="preserve"> Ë¢ %éû</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 xml:space="preserve">Ǐ </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 xml:space="preserve"> ä¨</w:t>
      </w:r>
      <w:r>
        <w:rPr>
          <w:rFonts w:ascii="PMingLiU" w:cs="PMingLiU" w:eastAsia="PMingLiU" w:hAnsi="PMingLiU"/>
          <w:sz w:val="17"/>
          <w:szCs w:val="17"/>
          <w:color w:val="303030"/>
        </w:rPr>
        <w:t></w:t>
      </w:r>
      <w:r>
        <w:rPr>
          <w:rFonts w:ascii="Arial" w:cs="Arial" w:eastAsia="Arial" w:hAnsi="Arial"/>
          <w:sz w:val="17"/>
          <w:szCs w:val="17"/>
          <w:color w:val="303030"/>
        </w:rPr>
        <w:t xml:space="preserve"> õËÙ½</w:t>
      </w:r>
      <w:r>
        <w:rPr>
          <w:rFonts w:ascii="PMingLiU" w:cs="PMingLiU" w:eastAsia="PMingLiU" w:hAnsi="PMingLiU"/>
          <w:sz w:val="17"/>
          <w:szCs w:val="17"/>
          <w:color w:val="303030"/>
        </w:rPr>
        <w:t></w:t>
      </w:r>
      <w:r>
        <w:rPr>
          <w:rFonts w:ascii="Arial" w:cs="Arial" w:eastAsia="Arial" w:hAnsi="Arial"/>
          <w:sz w:val="17"/>
          <w:szCs w:val="17"/>
          <w:color w:val="303030"/>
        </w:rPr>
        <w:t>ǔ s</w:t>
      </w:r>
      <w:r>
        <w:rPr>
          <w:rFonts w:ascii="PMingLiU" w:cs="PMingLiU" w:eastAsia="PMingLiU" w:hAnsi="PMingLiU"/>
          <w:sz w:val="17"/>
          <w:szCs w:val="17"/>
          <w:color w:val="303030"/>
        </w:rPr>
        <w:t></w:t>
      </w:r>
      <w:r>
        <w:rPr>
          <w:rFonts w:ascii="Arial" w:cs="Arial" w:eastAsia="Arial" w:hAnsi="Arial"/>
          <w:sz w:val="17"/>
          <w:szCs w:val="17"/>
          <w:color w:val="303030"/>
        </w:rPr>
        <w:t xml:space="preserve"> Ýä</w:t>
      </w:r>
      <w:r>
        <w:rPr>
          <w:rFonts w:ascii="PMingLiU" w:cs="PMingLiU" w:eastAsia="PMingLiU" w:hAnsi="PMingLiU"/>
          <w:sz w:val="17"/>
          <w:szCs w:val="17"/>
          <w:color w:val="303030"/>
        </w:rPr>
        <w:t></w:t>
      </w:r>
      <w:r>
        <w:rPr>
          <w:rFonts w:ascii="Arial" w:cs="Arial" w:eastAsia="Arial" w:hAnsi="Arial"/>
          <w:sz w:val="17"/>
          <w:szCs w:val="17"/>
          <w:color w:val="303030"/>
        </w:rPr>
        <w:t>Ùä</w:t>
      </w:r>
      <w:r>
        <w:rPr>
          <w:rFonts w:ascii="PMingLiU" w:cs="PMingLiU" w:eastAsia="PMingLiU" w:hAnsi="PMingLiU"/>
          <w:sz w:val="17"/>
          <w:szCs w:val="17"/>
          <w:color w:val="303030"/>
        </w:rPr>
        <w:t></w:t>
      </w:r>
      <w:r>
        <w:rPr>
          <w:rFonts w:ascii="Arial" w:cs="Arial" w:eastAsia="Arial" w:hAnsi="Arial"/>
          <w:sz w:val="17"/>
          <w:szCs w:val="17"/>
          <w:color w:val="303030"/>
        </w:rPr>
        <w:t xml:space="preserve"> éÖ ËéÙ ä¨«Ù</w:t>
      </w:r>
      <w:r>
        <w:rPr>
          <w:rFonts w:ascii="PMingLiU" w:cs="PMingLiU" w:eastAsia="PMingLiU" w:hAnsi="PMingLiU"/>
          <w:sz w:val="17"/>
          <w:szCs w:val="17"/>
          <w:color w:val="303030"/>
        </w:rPr>
        <w:t></w:t>
      </w:r>
      <w:r>
        <w:rPr>
          <w:rFonts w:ascii="Arial" w:cs="Arial" w:eastAsia="Arial" w:hAnsi="Arial"/>
          <w:sz w:val="17"/>
          <w:szCs w:val="17"/>
          <w:color w:val="303030"/>
        </w:rPr>
        <w:t xml:space="preserve"> Ã</w:t>
      </w:r>
      <w:r>
        <w:rPr>
          <w:rFonts w:ascii="PMingLiU" w:cs="PMingLiU" w:eastAsia="PMingLiU" w:hAnsi="PMingLiU"/>
          <w:sz w:val="17"/>
          <w:szCs w:val="17"/>
          <w:color w:val="303030"/>
        </w:rPr>
        <w:t></w:t>
      </w:r>
      <w:r>
        <w:rPr>
          <w:rFonts w:ascii="Arial" w:cs="Arial" w:eastAsia="Arial" w:hAnsi="Arial"/>
          <w:sz w:val="17"/>
          <w:szCs w:val="17"/>
          <w:color w:val="303030"/>
        </w:rPr>
        <w:t>·ËÙ ÖÙË·</w:t>
      </w:r>
      <w:r>
        <w:rPr>
          <w:rFonts w:ascii="PMingLiU" w:cs="PMingLiU" w:eastAsia="PMingLiU" w:hAnsi="PMingLiU"/>
          <w:sz w:val="17"/>
          <w:szCs w:val="17"/>
          <w:color w:val="303030"/>
        </w:rPr>
        <w:t></w:t>
      </w:r>
      <w:r>
        <w:rPr>
          <w:rFonts w:ascii="Arial" w:cs="Arial" w:eastAsia="Arial" w:hAnsi="Arial"/>
          <w:sz w:val="17"/>
          <w:szCs w:val="17"/>
          <w:color w:val="303030"/>
        </w:rPr>
        <w:t xml:space="preserve">ä </w:t>
      </w:r>
      <w:r>
        <w:rPr>
          <w:rFonts w:ascii="PMingLiU" w:cs="PMingLiU" w:eastAsia="PMingLiU" w:hAnsi="PMingLiU"/>
          <w:sz w:val="17"/>
          <w:szCs w:val="17"/>
          <w:color w:val="303030"/>
        </w:rPr>
        <w:t></w:t>
      </w:r>
      <w:r>
        <w:rPr>
          <w:rFonts w:ascii="Arial" w:cs="Arial" w:eastAsia="Arial" w:hAnsi="Arial"/>
          <w:sz w:val="17"/>
          <w:szCs w:val="17"/>
          <w:color w:val="303030"/>
        </w:rPr>
        <w:t>¨</w:t>
      </w:r>
      <w:r>
        <w:rPr>
          <w:rFonts w:ascii="PMingLiU" w:cs="PMingLiU" w:eastAsia="PMingLiU" w:hAnsi="PMingLiU"/>
          <w:sz w:val="17"/>
          <w:szCs w:val="17"/>
          <w:color w:val="303030"/>
        </w:rPr>
        <w:t></w:t>
      </w:r>
      <w:r>
        <w:rPr>
          <w:rFonts w:ascii="Arial" w:cs="Arial" w:eastAsia="Arial" w:hAnsi="Arial"/>
          <w:sz w:val="17"/>
          <w:szCs w:val="17"/>
          <w:color w:val="303030"/>
        </w:rPr>
        <w:t xml:space="preserve"> Ë¢ Ý</w:t>
      </w:r>
      <w:r>
        <w:rPr>
          <w:rFonts w:ascii="PMingLiU" w:cs="PMingLiU" w:eastAsia="PMingLiU" w:hAnsi="PMingLiU"/>
          <w:sz w:val="17"/>
          <w:szCs w:val="17"/>
          <w:color w:val="303030"/>
        </w:rPr>
        <w:t></w:t>
      </w:r>
      <w:r>
        <w:rPr>
          <w:rFonts w:ascii="Arial" w:cs="Arial" w:eastAsia="Arial" w:hAnsi="Arial"/>
          <w:sz w:val="17"/>
          <w:szCs w:val="17"/>
          <w:color w:val="303030"/>
        </w:rPr>
        <w:t>¨</w:t>
      </w:r>
      <w:r>
        <w:rPr>
          <w:rFonts w:ascii="PMingLiU" w:cs="PMingLiU" w:eastAsia="PMingLiU" w:hAnsi="PMingLiU"/>
          <w:sz w:val="17"/>
          <w:szCs w:val="17"/>
          <w:color w:val="303030"/>
        </w:rPr>
        <w:t></w:t>
      </w:r>
      <w:r>
        <w:rPr>
          <w:rFonts w:ascii="Arial" w:cs="Arial" w:eastAsia="Arial" w:hAnsi="Arial"/>
          <w:sz w:val="17"/>
          <w:szCs w:val="17"/>
          <w:color w:val="303030"/>
        </w:rPr>
        <w:t>é½</w:t>
      </w:r>
      <w:r>
        <w:rPr>
          <w:rFonts w:ascii="PMingLiU" w:cs="PMingLiU" w:eastAsia="PMingLiU" w:hAnsi="PMingLiU"/>
          <w:sz w:val="17"/>
          <w:szCs w:val="17"/>
          <w:color w:val="303030"/>
        </w:rPr>
        <w:t> </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 xml:space="preserve"> éÄ</w:t>
      </w:r>
      <w:r>
        <w:rPr>
          <w:rFonts w:ascii="PMingLiU" w:cs="PMingLiU" w:eastAsia="PMingLiU" w:hAnsi="PMingLiU"/>
          <w:sz w:val="17"/>
          <w:szCs w:val="17"/>
          <w:color w:val="303030"/>
        </w:rPr>
        <w:t></w:t>
      </w:r>
      <w:r>
        <w:rPr>
          <w:rFonts w:ascii="Arial" w:cs="Arial" w:eastAsia="Arial" w:hAnsi="Arial"/>
          <w:sz w:val="17"/>
          <w:szCs w:val="17"/>
          <w:color w:val="303030"/>
        </w:rPr>
        <w:t xml:space="preserve">Ù </w:t>
      </w:r>
      <w:r>
        <w:rPr>
          <w:rFonts w:ascii="PMingLiU" w:cs="PMingLiU" w:eastAsia="PMingLiU" w:hAnsi="PMingLiU"/>
          <w:sz w:val="17"/>
          <w:szCs w:val="17"/>
          <w:color w:val="303030"/>
        </w:rPr>
        <w:t></w:t>
      </w:r>
      <w:r>
        <w:rPr>
          <w:rFonts w:ascii="Arial" w:cs="Arial" w:eastAsia="Arial" w:hAnsi="Arial"/>
          <w:sz w:val="17"/>
          <w:szCs w:val="17"/>
          <w:color w:val="303030"/>
        </w:rPr>
        <w:t>é</w:t>
      </w:r>
      <w:r>
        <w:rPr>
          <w:rFonts w:ascii="PMingLiU" w:cs="PMingLiU" w:eastAsia="PMingLiU" w:hAnsi="PMingLiU"/>
          <w:sz w:val="17"/>
          <w:szCs w:val="17"/>
          <w:color w:val="303030"/>
        </w:rPr>
        <w:t></w:t>
      </w:r>
      <w:r>
        <w:rPr>
          <w:rFonts w:ascii="Arial" w:cs="Arial" w:eastAsia="Arial" w:hAnsi="Arial"/>
          <w:sz w:val="17"/>
          <w:szCs w:val="17"/>
          <w:color w:val="303030"/>
        </w:rPr>
        <w:t>£</w:t>
      </w:r>
      <w:r>
        <w:rPr>
          <w:rFonts w:ascii="PMingLiU" w:cs="PMingLiU" w:eastAsia="PMingLiU" w:hAnsi="PMingLiU"/>
          <w:sz w:val="17"/>
          <w:szCs w:val="17"/>
          <w:color w:val="303030"/>
        </w:rPr>
        <w:t></w:t>
      </w:r>
      <w:r>
        <w:rPr>
          <w:rFonts w:ascii="Arial" w:cs="Arial" w:eastAsia="Arial" w:hAnsi="Arial"/>
          <w:sz w:val="17"/>
          <w:szCs w:val="17"/>
          <w:color w:val="303030"/>
        </w:rPr>
        <w:t>äǔ IéÙ ¢é½½ǥû</w:t>
      </w:r>
      <w:r>
        <w:rPr>
          <w:rFonts w:ascii="PMingLiU" w:cs="PMingLiU" w:eastAsia="PMingLiU" w:hAnsi="PMingLiU"/>
          <w:sz w:val="17"/>
          <w:szCs w:val="17"/>
          <w:color w:val="303030"/>
        </w:rPr>
        <w:t></w:t>
      </w:r>
      <w:r>
        <w:rPr>
          <w:rFonts w:ascii="Arial" w:cs="Arial" w:eastAsia="Arial" w:hAnsi="Arial"/>
          <w:sz w:val="17"/>
          <w:szCs w:val="17"/>
          <w:color w:val="303030"/>
        </w:rPr>
        <w:t>Ù £ÙËÝÝ ÖÙË</w:t>
      </w:r>
      <w:r>
        <w:rPr>
          <w:rFonts w:ascii="PMingLiU" w:cs="PMingLiU" w:eastAsia="PMingLiU" w:hAnsi="PMingLiU"/>
          <w:sz w:val="17"/>
          <w:szCs w:val="17"/>
          <w:color w:val="303030"/>
        </w:rPr>
        <w:t></w:t>
      </w:r>
      <w:r>
        <w:rPr>
          <w:rFonts w:ascii="Arial" w:cs="Arial" w:eastAsia="Arial" w:hAnsi="Arial"/>
          <w:sz w:val="17"/>
          <w:szCs w:val="17"/>
          <w:color w:val="303030"/>
        </w:rPr>
        <w:t>é</w:t>
      </w:r>
      <w:r>
        <w:rPr>
          <w:rFonts w:ascii="PMingLiU" w:cs="PMingLiU" w:eastAsia="PMingLiU" w:hAnsi="PMingLiU"/>
          <w:sz w:val="17"/>
          <w:szCs w:val="17"/>
          <w:color w:val="303030"/>
        </w:rPr>
        <w:t></w:t>
      </w:r>
      <w:r>
        <w:rPr>
          <w:rFonts w:ascii="Arial" w:cs="Arial" w:eastAsia="Arial" w:hAnsi="Arial"/>
          <w:sz w:val="17"/>
          <w:szCs w:val="17"/>
          <w:color w:val="303030"/>
        </w:rPr>
        <w:t>ä«ËÄ Ë¢ ÃËÙ</w:t>
      </w:r>
      <w:r>
        <w:rPr>
          <w:rFonts w:ascii="PMingLiU" w:cs="PMingLiU" w:eastAsia="PMingLiU" w:hAnsi="PMingLiU"/>
          <w:sz w:val="17"/>
          <w:szCs w:val="17"/>
          <w:color w:val="303030"/>
        </w:rPr>
        <w:t></w:t>
      </w:r>
      <w:r>
        <w:rPr>
          <w:rFonts w:ascii="Arial" w:cs="Arial" w:eastAsia="Arial" w:hAnsi="Arial"/>
          <w:sz w:val="17"/>
          <w:szCs w:val="17"/>
          <w:color w:val="303030"/>
        </w:rPr>
        <w:t xml:space="preserve"> ä¨</w:t>
      </w:r>
      <w:r>
        <w:rPr>
          <w:rFonts w:ascii="PMingLiU" w:cs="PMingLiU" w:eastAsia="PMingLiU" w:hAnsi="PMingLiU"/>
          <w:sz w:val="17"/>
          <w:szCs w:val="17"/>
          <w:color w:val="303030"/>
        </w:rPr>
        <w:t></w:t>
      </w:r>
      <w:r>
        <w:rPr>
          <w:rFonts w:ascii="Arial" w:cs="Arial" w:eastAsia="Arial" w:hAnsi="Arial"/>
          <w:sz w:val="17"/>
          <w:szCs w:val="17"/>
          <w:color w:val="303030"/>
        </w:rPr>
        <w:t xml:space="preserve">Ä ƎƔƋǏƋƋƋ </w:t>
      </w:r>
      <w:r>
        <w:rPr>
          <w:rFonts w:ascii="PMingLiU" w:cs="PMingLiU" w:eastAsia="PMingLiU" w:hAnsi="PMingLiU"/>
          <w:sz w:val="17"/>
          <w:szCs w:val="17"/>
          <w:color w:val="303030"/>
        </w:rPr>
        <w:t></w:t>
      </w:r>
      <w:r>
        <w:rPr>
          <w:rFonts w:ascii="Arial" w:cs="Arial" w:eastAsia="Arial" w:hAnsi="Arial"/>
          <w:sz w:val="17"/>
          <w:szCs w:val="17"/>
          <w:color w:val="303030"/>
        </w:rPr>
        <w:t>ÙÙ</w:t>
      </w:r>
      <w:r>
        <w:rPr>
          <w:rFonts w:ascii="PMingLiU" w:cs="PMingLiU" w:eastAsia="PMingLiU" w:hAnsi="PMingLiU"/>
          <w:sz w:val="17"/>
          <w:szCs w:val="17"/>
          <w:color w:val="303030"/>
        </w:rPr>
        <w:t></w:t>
      </w:r>
      <w:r>
        <w:rPr>
          <w:rFonts w:ascii="Arial" w:cs="Arial" w:eastAsia="Arial" w:hAnsi="Arial"/>
          <w:sz w:val="17"/>
          <w:szCs w:val="17"/>
          <w:color w:val="303030"/>
        </w:rPr>
        <w:t>½Ý Ö</w:t>
      </w:r>
      <w:r>
        <w:rPr>
          <w:rFonts w:ascii="PMingLiU" w:cs="PMingLiU" w:eastAsia="PMingLiU" w:hAnsi="PMingLiU"/>
          <w:sz w:val="17"/>
          <w:szCs w:val="17"/>
          <w:color w:val="303030"/>
        </w:rPr>
        <w:t></w:t>
      </w:r>
      <w:r>
        <w:rPr>
          <w:rFonts w:ascii="Arial" w:cs="Arial" w:eastAsia="Arial" w:hAnsi="Arial"/>
          <w:sz w:val="17"/>
          <w:szCs w:val="17"/>
          <w:color w:val="303030"/>
        </w:rPr>
        <w:t xml:space="preserve">Ù </w:t>
      </w:r>
      <w:r>
        <w:rPr>
          <w:rFonts w:ascii="PMingLiU" w:cs="PMingLiU" w:eastAsia="PMingLiU" w:hAnsi="PMingLiU"/>
          <w:sz w:val="17"/>
          <w:szCs w:val="17"/>
          <w:color w:val="303030"/>
        </w:rPr>
        <w:t></w:t>
      </w:r>
      <w:r>
        <w:rPr>
          <w:rFonts w:ascii="Arial" w:cs="Arial" w:eastAsia="Arial" w:hAnsi="Arial"/>
          <w:sz w:val="17"/>
          <w:szCs w:val="17"/>
          <w:color w:val="303030"/>
        </w:rPr>
        <w:t>û Ù</w:t>
      </w:r>
      <w:r>
        <w:rPr>
          <w:rFonts w:ascii="PMingLiU" w:cs="PMingLiU" w:eastAsia="PMingLiU" w:hAnsi="PMingLiU"/>
          <w:sz w:val="17"/>
          <w:szCs w:val="17"/>
          <w:color w:val="303030"/>
        </w:rPr>
        <w:t></w:t>
      </w:r>
      <w:r>
        <w:rPr>
          <w:rFonts w:ascii="Arial" w:cs="Arial" w:eastAsia="Arial" w:hAnsi="Arial"/>
          <w:sz w:val="17"/>
          <w:szCs w:val="17"/>
          <w:color w:val="303030"/>
        </w:rPr>
        <w:t>ÖÙ</w:t>
      </w:r>
      <w:r>
        <w:rPr>
          <w:rFonts w:ascii="PMingLiU" w:cs="PMingLiU" w:eastAsia="PMingLiU" w:hAnsi="PMingLiU"/>
          <w:sz w:val="17"/>
          <w:szCs w:val="17"/>
          <w:color w:val="303030"/>
        </w:rPr>
        <w:t></w:t>
      </w:r>
      <w:r>
        <w:rPr>
          <w:rFonts w:ascii="Arial" w:cs="Arial" w:eastAsia="Arial" w:hAnsi="Arial"/>
          <w:sz w:val="17"/>
          <w:szCs w:val="17"/>
          <w:color w:val="303030"/>
        </w:rPr>
        <w:t>Ý</w:t>
      </w:r>
      <w:r>
        <w:rPr>
          <w:rFonts w:ascii="PMingLiU" w:cs="PMingLiU" w:eastAsia="PMingLiU" w:hAnsi="PMingLiU"/>
          <w:sz w:val="17"/>
          <w:szCs w:val="17"/>
          <w:color w:val="303030"/>
        </w:rPr>
        <w:t></w:t>
      </w:r>
      <w:r>
        <w:rPr>
          <w:rFonts w:ascii="Arial" w:cs="Arial" w:eastAsia="Arial" w:hAnsi="Arial"/>
          <w:sz w:val="17"/>
          <w:szCs w:val="17"/>
          <w:color w:val="303030"/>
        </w:rPr>
        <w:t xml:space="preserve">ÄäÝ </w:t>
      </w:r>
      <w:r>
        <w:rPr>
          <w:rFonts w:ascii="PMingLiU" w:cs="PMingLiU" w:eastAsia="PMingLiU" w:hAnsi="PMingLiU"/>
          <w:sz w:val="17"/>
          <w:szCs w:val="17"/>
          <w:color w:val="303030"/>
        </w:rPr>
        <w:t></w:t>
      </w:r>
      <w:r>
        <w:rPr>
          <w:rFonts w:ascii="Arial" w:cs="Arial" w:eastAsia="Arial" w:hAnsi="Arial"/>
          <w:sz w:val="17"/>
          <w:szCs w:val="17"/>
          <w:color w:val="303030"/>
        </w:rPr>
        <w:t>Ä «Ä</w:t>
      </w:r>
      <w:r>
        <w:rPr>
          <w:rFonts w:ascii="PMingLiU" w:cs="PMingLiU" w:eastAsia="PMingLiU" w:hAnsi="PMingLiU"/>
          <w:sz w:val="17"/>
          <w:szCs w:val="17"/>
          <w:color w:val="303030"/>
        </w:rPr>
        <w:t></w:t>
      </w:r>
      <w:r>
        <w:rPr>
          <w:rFonts w:ascii="Arial" w:cs="Arial" w:eastAsia="Arial" w:hAnsi="Arial"/>
          <w:sz w:val="17"/>
          <w:szCs w:val="17"/>
          <w:color w:val="303030"/>
        </w:rPr>
        <w:t>Ù</w:t>
      </w:r>
      <w:r>
        <w:rPr>
          <w:rFonts w:ascii="PMingLiU" w:cs="PMingLiU" w:eastAsia="PMingLiU" w:hAnsi="PMingLiU"/>
          <w:sz w:val="17"/>
          <w:szCs w:val="17"/>
          <w:color w:val="303030"/>
        </w:rPr>
        <w:t></w:t>
      </w:r>
      <w:r>
        <w:rPr>
          <w:rFonts w:ascii="Arial" w:cs="Arial" w:eastAsia="Arial" w:hAnsi="Arial"/>
          <w:sz w:val="17"/>
          <w:szCs w:val="17"/>
          <w:color w:val="303030"/>
        </w:rPr>
        <w:t>Ý</w:t>
      </w:r>
      <w:r>
        <w:rPr>
          <w:rFonts w:ascii="PMingLiU" w:cs="PMingLiU" w:eastAsia="PMingLiU" w:hAnsi="PMingLiU"/>
          <w:sz w:val="17"/>
          <w:szCs w:val="17"/>
          <w:color w:val="303030"/>
        </w:rPr>
        <w:t></w:t>
      </w:r>
      <w:r>
        <w:rPr>
          <w:rFonts w:ascii="Arial" w:cs="Arial" w:eastAsia="Arial" w:hAnsi="Arial"/>
          <w:sz w:val="17"/>
          <w:szCs w:val="17"/>
          <w:color w:val="303030"/>
        </w:rPr>
        <w:t xml:space="preserve"> Ë¢ ÃËÙ</w:t>
      </w:r>
      <w:r>
        <w:rPr>
          <w:rFonts w:ascii="PMingLiU" w:cs="PMingLiU" w:eastAsia="PMingLiU" w:hAnsi="PMingLiU"/>
          <w:sz w:val="17"/>
          <w:szCs w:val="17"/>
          <w:color w:val="303030"/>
        </w:rPr>
        <w:t></w:t>
      </w:r>
      <w:r>
        <w:rPr>
          <w:rFonts w:ascii="Arial" w:cs="Arial" w:eastAsia="Arial" w:hAnsi="Arial"/>
          <w:sz w:val="17"/>
          <w:szCs w:val="17"/>
          <w:color w:val="303030"/>
        </w:rPr>
        <w:t xml:space="preserve"> ä¨</w:t>
      </w:r>
      <w:r>
        <w:rPr>
          <w:rFonts w:ascii="PMingLiU" w:cs="PMingLiU" w:eastAsia="PMingLiU" w:hAnsi="PMingLiU"/>
          <w:sz w:val="17"/>
          <w:szCs w:val="17"/>
          <w:color w:val="303030"/>
        </w:rPr>
        <w:t></w:t>
      </w:r>
      <w:r>
        <w:rPr>
          <w:rFonts w:ascii="Arial" w:cs="Arial" w:eastAsia="Arial" w:hAnsi="Arial"/>
          <w:sz w:val="17"/>
          <w:szCs w:val="17"/>
          <w:color w:val="303030"/>
        </w:rPr>
        <w:t>Ä ƏƋȐ Ëô</w:t>
      </w:r>
      <w:r>
        <w:rPr>
          <w:rFonts w:ascii="PMingLiU" w:cs="PMingLiU" w:eastAsia="PMingLiU" w:hAnsi="PMingLiU"/>
          <w:sz w:val="17"/>
          <w:szCs w:val="17"/>
          <w:color w:val="303030"/>
        </w:rPr>
        <w:t></w:t>
      </w:r>
      <w:r>
        <w:rPr>
          <w:rFonts w:ascii="Arial" w:cs="Arial" w:eastAsia="Arial" w:hAnsi="Arial"/>
          <w:sz w:val="17"/>
          <w:szCs w:val="17"/>
          <w:color w:val="303030"/>
        </w:rPr>
        <w:t>Ù ƍƋƍƍǔ</w:t>
      </w:r>
    </w:p>
    <w:p>
      <w:pPr>
        <w:spacing w:after="0" w:line="236" w:lineRule="exact"/>
        <w:rPr>
          <w:sz w:val="20"/>
          <w:szCs w:val="20"/>
          <w:color w:val="auto"/>
        </w:rPr>
      </w:pPr>
    </w:p>
    <w:p>
      <w:pPr>
        <w:ind w:left="560" w:right="380"/>
        <w:spacing w:after="0" w:line="241" w:lineRule="exact"/>
        <w:rPr>
          <w:sz w:val="20"/>
          <w:szCs w:val="20"/>
          <w:color w:val="auto"/>
        </w:rPr>
      </w:pPr>
      <w:r>
        <w:rPr>
          <w:rFonts w:ascii="PMingLiU" w:cs="PMingLiU" w:eastAsia="PMingLiU" w:hAnsi="PMingLiU"/>
          <w:sz w:val="20"/>
          <w:szCs w:val="20"/>
          <w:color w:val="303030"/>
        </w:rPr>
        <w:t/>
      </w:r>
      <w:r>
        <w:rPr>
          <w:rFonts w:ascii="Arial" w:cs="Arial" w:eastAsia="Arial" w:hAnsi="Arial"/>
          <w:sz w:val="20"/>
          <w:szCs w:val="20"/>
          <w:color w:val="303030"/>
        </w:rPr>
        <w:t>½Ý</w:t>
      </w:r>
      <w:r>
        <w:rPr>
          <w:rFonts w:ascii="PMingLiU" w:cs="PMingLiU" w:eastAsia="PMingLiU" w:hAnsi="PMingLiU"/>
          <w:sz w:val="20"/>
          <w:szCs w:val="20"/>
          <w:color w:val="303030"/>
        </w:rPr>
        <w:t></w:t>
      </w:r>
      <w:r>
        <w:rPr>
          <w:rFonts w:ascii="Arial" w:cs="Arial" w:eastAsia="Arial" w:hAnsi="Arial"/>
          <w:sz w:val="20"/>
          <w:szCs w:val="20"/>
          <w:color w:val="303030"/>
        </w:rPr>
        <w:t>õ¨</w:t>
      </w:r>
      <w:r>
        <w:rPr>
          <w:rFonts w:ascii="PMingLiU" w:cs="PMingLiU" w:eastAsia="PMingLiU" w:hAnsi="PMingLiU"/>
          <w:sz w:val="20"/>
          <w:szCs w:val="20"/>
          <w:color w:val="303030"/>
        </w:rPr>
        <w:t></w:t>
      </w:r>
      <w:r>
        <w:rPr>
          <w:rFonts w:ascii="Arial" w:cs="Arial" w:eastAsia="Arial" w:hAnsi="Arial"/>
          <w:sz w:val="20"/>
          <w:szCs w:val="20"/>
          <w:color w:val="303030"/>
        </w:rPr>
        <w:t>Ù</w:t>
      </w:r>
      <w:r>
        <w:rPr>
          <w:rFonts w:ascii="PMingLiU" w:cs="PMingLiU" w:eastAsia="PMingLiU" w:hAnsi="PMingLiU"/>
          <w:sz w:val="20"/>
          <w:szCs w:val="20"/>
          <w:color w:val="303030"/>
        </w:rPr>
        <w:t> </w:t>
      </w:r>
      <w:r>
        <w:rPr>
          <w:rFonts w:ascii="Arial" w:cs="Arial" w:eastAsia="Arial" w:hAnsi="Arial"/>
          <w:sz w:val="20"/>
          <w:szCs w:val="20"/>
          <w:color w:val="303030"/>
        </w:rPr>
        <w:t>ÙËéÄ</w:t>
      </w:r>
      <w:r>
        <w:rPr>
          <w:rFonts w:ascii="PMingLiU" w:cs="PMingLiU" w:eastAsia="PMingLiU" w:hAnsi="PMingLiU"/>
          <w:sz w:val="20"/>
          <w:szCs w:val="20"/>
          <w:color w:val="303030"/>
        </w:rPr>
        <w:t></w:t>
      </w:r>
      <w:r>
        <w:rPr>
          <w:rFonts w:ascii="Arial" w:cs="Arial" w:eastAsia="Arial" w:hAnsi="Arial"/>
          <w:sz w:val="20"/>
          <w:szCs w:val="20"/>
          <w:color w:val="303030"/>
        </w:rPr>
        <w:t xml:space="preserve"> ä¨</w:t>
      </w:r>
      <w:r>
        <w:rPr>
          <w:rFonts w:ascii="PMingLiU" w:cs="PMingLiU" w:eastAsia="PMingLiU" w:hAnsi="PMingLiU"/>
          <w:sz w:val="20"/>
          <w:szCs w:val="20"/>
          <w:color w:val="303030"/>
        </w:rPr>
        <w:t></w:t>
      </w:r>
      <w:r>
        <w:rPr>
          <w:rFonts w:ascii="Arial" w:cs="Arial" w:eastAsia="Arial" w:hAnsi="Arial"/>
          <w:sz w:val="20"/>
          <w:szCs w:val="20"/>
          <w:color w:val="303030"/>
        </w:rPr>
        <w:t xml:space="preserve"> õËÙ½</w:t>
      </w:r>
      <w:r>
        <w:rPr>
          <w:rFonts w:ascii="PMingLiU" w:cs="PMingLiU" w:eastAsia="PMingLiU" w:hAnsi="PMingLiU"/>
          <w:sz w:val="20"/>
          <w:szCs w:val="20"/>
          <w:color w:val="303030"/>
        </w:rPr>
        <w:t></w:t>
      </w:r>
      <w:r>
        <w:rPr>
          <w:rFonts w:ascii="Arial" w:cs="Arial" w:eastAsia="Arial" w:hAnsi="Arial"/>
          <w:sz w:val="20"/>
          <w:szCs w:val="20"/>
          <w:color w:val="303030"/>
        </w:rPr>
        <w:t xml:space="preserve">Ǐ ËéÙ £ÙËõ«Ä£ ÖËÙä¢Ë½«Ë Ë¢ </w:t>
      </w:r>
      <w:r>
        <w:rPr>
          <w:rFonts w:ascii="PMingLiU" w:cs="PMingLiU" w:eastAsia="PMingLiU" w:hAnsi="PMingLiU"/>
          <w:sz w:val="20"/>
          <w:szCs w:val="20"/>
          <w:color w:val="303030"/>
        </w:rPr>
        <w:t></w:t>
      </w:r>
      <w:r>
        <w:rPr>
          <w:rFonts w:ascii="Arial" w:cs="Arial" w:eastAsia="Arial" w:hAnsi="Arial"/>
          <w:sz w:val="20"/>
          <w:szCs w:val="20"/>
          <w:color w:val="303030"/>
        </w:rPr>
        <w:t>Ö«ä</w:t>
      </w:r>
      <w:r>
        <w:rPr>
          <w:rFonts w:ascii="PMingLiU" w:cs="PMingLiU" w:eastAsia="PMingLiU" w:hAnsi="PMingLiU"/>
          <w:sz w:val="20"/>
          <w:szCs w:val="20"/>
          <w:color w:val="303030"/>
        </w:rPr>
        <w:t></w:t>
      </w:r>
      <w:r>
        <w:rPr>
          <w:rFonts w:ascii="Arial" w:cs="Arial" w:eastAsia="Arial" w:hAnsi="Arial"/>
          <w:sz w:val="20"/>
          <w:szCs w:val="20"/>
          <w:color w:val="303030"/>
        </w:rPr>
        <w:t>½ǥ</w:t>
      </w:r>
      <w:r>
        <w:rPr>
          <w:rFonts w:ascii="PMingLiU" w:cs="PMingLiU" w:eastAsia="PMingLiU" w:hAnsi="PMingLiU"/>
          <w:sz w:val="20"/>
          <w:szCs w:val="20"/>
          <w:color w:val="303030"/>
        </w:rPr>
        <w:t></w:t>
      </w:r>
      <w:r>
        <w:rPr>
          <w:rFonts w:ascii="Arial" w:cs="Arial" w:eastAsia="Arial" w:hAnsi="Arial"/>
          <w:sz w:val="20"/>
          <w:szCs w:val="20"/>
          <w:color w:val="303030"/>
        </w:rPr>
        <w:t>¢¢«</w:t>
      </w:r>
      <w:r>
        <w:rPr>
          <w:rFonts w:ascii="PMingLiU" w:cs="PMingLiU" w:eastAsia="PMingLiU" w:hAnsi="PMingLiU"/>
          <w:sz w:val="20"/>
          <w:szCs w:val="20"/>
          <w:color w:val="303030"/>
        </w:rPr>
        <w:t></w:t>
      </w:r>
      <w:r>
        <w:rPr>
          <w:rFonts w:ascii="Arial" w:cs="Arial" w:eastAsia="Arial" w:hAnsi="Arial"/>
          <w:sz w:val="20"/>
          <w:szCs w:val="20"/>
          <w:color w:val="303030"/>
        </w:rPr>
        <w:t>«</w:t>
      </w:r>
      <w:r>
        <w:rPr>
          <w:rFonts w:ascii="PMingLiU" w:cs="PMingLiU" w:eastAsia="PMingLiU" w:hAnsi="PMingLiU"/>
          <w:sz w:val="20"/>
          <w:szCs w:val="20"/>
          <w:color w:val="303030"/>
        </w:rPr>
        <w:t></w:t>
      </w:r>
      <w:r>
        <w:rPr>
          <w:rFonts w:ascii="Arial" w:cs="Arial" w:eastAsia="Arial" w:hAnsi="Arial"/>
          <w:sz w:val="20"/>
          <w:szCs w:val="20"/>
          <w:color w:val="303030"/>
        </w:rPr>
        <w:t>Ää ½«Øé</w:t>
      </w:r>
      <w:r>
        <w:rPr>
          <w:rFonts w:ascii="PMingLiU" w:cs="PMingLiU" w:eastAsia="PMingLiU" w:hAnsi="PMingLiU"/>
          <w:sz w:val="20"/>
          <w:szCs w:val="20"/>
          <w:color w:val="303030"/>
        </w:rPr>
        <w:t></w:t>
      </w:r>
      <w:r>
        <w:rPr>
          <w:rFonts w:ascii="Arial" w:cs="Arial" w:eastAsia="Arial" w:hAnsi="Arial"/>
          <w:sz w:val="20"/>
          <w:szCs w:val="20"/>
          <w:color w:val="303030"/>
        </w:rPr>
        <w:t>¢«</w:t>
      </w:r>
      <w:r>
        <w:rPr>
          <w:rFonts w:ascii="PMingLiU" w:cs="PMingLiU" w:eastAsia="PMingLiU" w:hAnsi="PMingLiU"/>
          <w:sz w:val="20"/>
          <w:szCs w:val="20"/>
          <w:color w:val="303030"/>
        </w:rPr>
        <w:t></w:t>
      </w:r>
      <w:r>
        <w:rPr>
          <w:rFonts w:ascii="Arial" w:cs="Arial" w:eastAsia="Arial" w:hAnsi="Arial"/>
          <w:sz w:val="20"/>
          <w:szCs w:val="20"/>
          <w:color w:val="303030"/>
        </w:rPr>
        <w:t xml:space="preserve"> Ä</w:t>
      </w:r>
      <w:r>
        <w:rPr>
          <w:rFonts w:ascii="PMingLiU" w:cs="PMingLiU" w:eastAsia="PMingLiU" w:hAnsi="PMingLiU"/>
          <w:sz w:val="20"/>
          <w:szCs w:val="20"/>
          <w:color w:val="303030"/>
        </w:rPr>
        <w:t></w:t>
      </w:r>
      <w:r>
        <w:rPr>
          <w:rFonts w:ascii="Arial" w:cs="Arial" w:eastAsia="Arial" w:hAnsi="Arial"/>
          <w:sz w:val="20"/>
          <w:szCs w:val="20"/>
          <w:color w:val="303030"/>
        </w:rPr>
        <w:t>äéÙ</w:t>
      </w:r>
      <w:r>
        <w:rPr>
          <w:rFonts w:ascii="PMingLiU" w:cs="PMingLiU" w:eastAsia="PMingLiU" w:hAnsi="PMingLiU"/>
          <w:sz w:val="20"/>
          <w:szCs w:val="20"/>
          <w:color w:val="303030"/>
        </w:rPr>
        <w:t></w:t>
      </w:r>
      <w:r>
        <w:rPr>
          <w:rFonts w:ascii="Arial" w:cs="Arial" w:eastAsia="Arial" w:hAnsi="Arial"/>
          <w:sz w:val="20"/>
          <w:szCs w:val="20"/>
          <w:color w:val="303030"/>
        </w:rPr>
        <w:t>½ £</w:t>
      </w:r>
      <w:r>
        <w:rPr>
          <w:rFonts w:ascii="PMingLiU" w:cs="PMingLiU" w:eastAsia="PMingLiU" w:hAnsi="PMingLiU"/>
          <w:sz w:val="20"/>
          <w:szCs w:val="20"/>
          <w:color w:val="303030"/>
        </w:rPr>
        <w:t></w:t>
      </w:r>
      <w:r>
        <w:rPr>
          <w:rFonts w:ascii="Arial" w:cs="Arial" w:eastAsia="Arial" w:hAnsi="Arial"/>
          <w:sz w:val="20"/>
          <w:szCs w:val="20"/>
          <w:color w:val="303030"/>
        </w:rPr>
        <w:t xml:space="preserve">Ý </w:t>
      </w:r>
      <w:r>
        <w:rPr>
          <w:rFonts w:ascii="PMingLiU" w:cs="PMingLiU" w:eastAsia="PMingLiU" w:hAnsi="PMingLiU"/>
          <w:sz w:val="20"/>
          <w:szCs w:val="20"/>
          <w:color w:val="303030"/>
        </w:rPr>
        <w:t></w:t>
      </w:r>
      <w:r>
        <w:rPr>
          <w:rFonts w:ascii="Arial" w:cs="Arial" w:eastAsia="Arial" w:hAnsi="Arial"/>
          <w:sz w:val="20"/>
          <w:szCs w:val="20"/>
          <w:color w:val="303030"/>
        </w:rPr>
        <w:t>ô</w:t>
      </w:r>
      <w:r>
        <w:rPr>
          <w:rFonts w:ascii="PMingLiU" w:cs="PMingLiU" w:eastAsia="PMingLiU" w:hAnsi="PMingLiU"/>
          <w:sz w:val="20"/>
          <w:szCs w:val="20"/>
          <w:color w:val="303030"/>
        </w:rPr>
        <w:t></w:t>
      </w:r>
      <w:r>
        <w:rPr>
          <w:rFonts w:ascii="Arial" w:cs="Arial" w:eastAsia="Arial" w:hAnsi="Arial"/>
          <w:sz w:val="20"/>
          <w:szCs w:val="20"/>
          <w:color w:val="303030"/>
        </w:rPr>
        <w:t>½ËÖÃ</w:t>
      </w:r>
      <w:r>
        <w:rPr>
          <w:rFonts w:ascii="PMingLiU" w:cs="PMingLiU" w:eastAsia="PMingLiU" w:hAnsi="PMingLiU"/>
          <w:sz w:val="20"/>
          <w:szCs w:val="20"/>
          <w:color w:val="303030"/>
        </w:rPr>
        <w:t></w:t>
      </w:r>
      <w:r>
        <w:rPr>
          <w:rFonts w:ascii="Arial" w:cs="Arial" w:eastAsia="Arial" w:hAnsi="Arial"/>
          <w:sz w:val="20"/>
          <w:szCs w:val="20"/>
          <w:color w:val="303030"/>
        </w:rPr>
        <w:t>ÄäÝ «Ý ¨</w:t>
      </w:r>
      <w:r>
        <w:rPr>
          <w:rFonts w:ascii="PMingLiU" w:cs="PMingLiU" w:eastAsia="PMingLiU" w:hAnsi="PMingLiU"/>
          <w:sz w:val="20"/>
          <w:szCs w:val="20"/>
          <w:color w:val="303030"/>
        </w:rPr>
        <w:t></w:t>
      </w:r>
      <w:r>
        <w:rPr>
          <w:rFonts w:ascii="Arial" w:cs="Arial" w:eastAsia="Arial" w:hAnsi="Arial"/>
          <w:sz w:val="20"/>
          <w:szCs w:val="20"/>
          <w:color w:val="303030"/>
        </w:rPr>
        <w:t>½Ö«Ä£ äË Ã</w:t>
      </w:r>
      <w:r>
        <w:rPr>
          <w:rFonts w:ascii="PMingLiU" w:cs="PMingLiU" w:eastAsia="PMingLiU" w:hAnsi="PMingLiU"/>
          <w:sz w:val="20"/>
          <w:szCs w:val="20"/>
          <w:color w:val="303030"/>
        </w:rPr>
        <w:t></w:t>
      </w:r>
      <w:r>
        <w:rPr>
          <w:rFonts w:ascii="Arial" w:cs="Arial" w:eastAsia="Arial" w:hAnsi="Arial"/>
          <w:sz w:val="20"/>
          <w:szCs w:val="20"/>
          <w:color w:val="303030"/>
        </w:rPr>
        <w:t>ä ä¨</w:t>
      </w:r>
      <w:r>
        <w:rPr>
          <w:rFonts w:ascii="PMingLiU" w:cs="PMingLiU" w:eastAsia="PMingLiU" w:hAnsi="PMingLiU"/>
          <w:sz w:val="20"/>
          <w:szCs w:val="20"/>
          <w:color w:val="303030"/>
        </w:rPr>
        <w:t></w:t>
      </w:r>
      <w:r>
        <w:rPr>
          <w:rFonts w:ascii="Arial" w:cs="Arial" w:eastAsia="Arial" w:hAnsi="Arial"/>
          <w:sz w:val="20"/>
          <w:szCs w:val="20"/>
          <w:color w:val="303030"/>
        </w:rPr>
        <w:t xml:space="preserve"> £½Ë</w:t>
      </w:r>
      <w:r>
        <w:rPr>
          <w:rFonts w:ascii="PMingLiU" w:cs="PMingLiU" w:eastAsia="PMingLiU" w:hAnsi="PMingLiU"/>
          <w:sz w:val="20"/>
          <w:szCs w:val="20"/>
          <w:color w:val="303030"/>
        </w:rPr>
        <w:t></w:t>
      </w:r>
      <w:r>
        <w:rPr>
          <w:rFonts w:ascii="Arial" w:cs="Arial" w:eastAsia="Arial" w:hAnsi="Arial"/>
          <w:sz w:val="20"/>
          <w:szCs w:val="20"/>
          <w:color w:val="303030"/>
        </w:rPr>
        <w:t>½ Ä</w:t>
      </w:r>
      <w:r>
        <w:rPr>
          <w:rFonts w:ascii="PMingLiU" w:cs="PMingLiU" w:eastAsia="PMingLiU" w:hAnsi="PMingLiU"/>
          <w:sz w:val="20"/>
          <w:szCs w:val="20"/>
          <w:color w:val="303030"/>
        </w:rPr>
        <w:t></w:t>
      </w:r>
      <w:r>
        <w:rPr>
          <w:rFonts w:ascii="Arial" w:cs="Arial" w:eastAsia="Arial" w:hAnsi="Arial"/>
          <w:sz w:val="20"/>
          <w:szCs w:val="20"/>
          <w:color w:val="303030"/>
        </w:rPr>
        <w:t xml:space="preserve"> ¢ËÙ Ù</w:t>
      </w:r>
      <w:r>
        <w:rPr>
          <w:rFonts w:ascii="PMingLiU" w:cs="PMingLiU" w:eastAsia="PMingLiU" w:hAnsi="PMingLiU"/>
          <w:sz w:val="20"/>
          <w:szCs w:val="20"/>
          <w:color w:val="303030"/>
        </w:rPr>
        <w:t></w:t>
      </w:r>
      <w:r>
        <w:rPr>
          <w:rFonts w:ascii="Arial" w:cs="Arial" w:eastAsia="Arial" w:hAnsi="Arial"/>
          <w:sz w:val="20"/>
          <w:szCs w:val="20"/>
          <w:color w:val="303030"/>
        </w:rPr>
        <w:t>½«</w:t>
      </w:r>
      <w:r>
        <w:rPr>
          <w:rFonts w:ascii="PMingLiU" w:cs="PMingLiU" w:eastAsia="PMingLiU" w:hAnsi="PMingLiU"/>
          <w:sz w:val="20"/>
          <w:szCs w:val="20"/>
          <w:color w:val="303030"/>
        </w:rPr>
        <w:t></w:t>
      </w:r>
      <w:r>
        <w:rPr>
          <w:rFonts w:ascii="Arial" w:cs="Arial" w:eastAsia="Arial" w:hAnsi="Arial"/>
          <w:sz w:val="20"/>
          <w:szCs w:val="20"/>
          <w:color w:val="303030"/>
        </w:rPr>
        <w:t>½</w:t>
      </w:r>
      <w:r>
        <w:rPr>
          <w:rFonts w:ascii="PMingLiU" w:cs="PMingLiU" w:eastAsia="PMingLiU" w:hAnsi="PMingLiU"/>
          <w:sz w:val="20"/>
          <w:szCs w:val="20"/>
          <w:color w:val="303030"/>
        </w:rPr>
        <w:t> </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Ù£û õ«ä¨ ½Ëõ</w:t>
      </w:r>
      <w:r>
        <w:rPr>
          <w:rFonts w:ascii="PMingLiU" w:cs="PMingLiU" w:eastAsia="PMingLiU" w:hAnsi="PMingLiU"/>
          <w:sz w:val="20"/>
          <w:szCs w:val="20"/>
          <w:color w:val="303030"/>
        </w:rPr>
        <w:t></w:t>
      </w:r>
      <w:r>
        <w:rPr>
          <w:rFonts w:ascii="Arial" w:cs="Arial" w:eastAsia="Arial" w:hAnsi="Arial"/>
          <w:sz w:val="20"/>
          <w:szCs w:val="20"/>
          <w:color w:val="303030"/>
        </w:rPr>
        <w:t xml:space="preserve">Ù </w:t>
      </w:r>
      <w:r>
        <w:rPr>
          <w:rFonts w:ascii="PMingLiU" w:cs="PMingLiU" w:eastAsia="PMingLiU" w:hAnsi="PMingLiU"/>
          <w:sz w:val="20"/>
          <w:szCs w:val="20"/>
          <w:color w:val="303030"/>
        </w:rPr>
        <w:t></w:t>
      </w:r>
      <w:r>
        <w:rPr>
          <w:rFonts w:ascii="Arial" w:cs="Arial" w:eastAsia="Arial" w:hAnsi="Arial"/>
          <w:sz w:val="20"/>
          <w:szCs w:val="20"/>
          <w:color w:val="303030"/>
        </w:rPr>
        <w:t>Ã«ÝÝ«ËÄÝǔ TÙË·</w:t>
      </w:r>
      <w:r>
        <w:rPr>
          <w:rFonts w:ascii="PMingLiU" w:cs="PMingLiU" w:eastAsia="PMingLiU" w:hAnsi="PMingLiU"/>
          <w:sz w:val="20"/>
          <w:szCs w:val="20"/>
          <w:color w:val="303030"/>
        </w:rPr>
        <w:t></w:t>
      </w:r>
      <w:r>
        <w:rPr>
          <w:rFonts w:ascii="Arial" w:cs="Arial" w:eastAsia="Arial" w:hAnsi="Arial"/>
          <w:sz w:val="20"/>
          <w:szCs w:val="20"/>
          <w:color w:val="303030"/>
        </w:rPr>
        <w:t>äÝ «Ä ä¨</w:t>
      </w:r>
      <w:r>
        <w:rPr>
          <w:rFonts w:ascii="PMingLiU" w:cs="PMingLiU" w:eastAsia="PMingLiU" w:hAnsi="PMingLiU"/>
          <w:sz w:val="20"/>
          <w:szCs w:val="20"/>
          <w:color w:val="303030"/>
        </w:rPr>
        <w:t></w:t>
      </w:r>
      <w:r>
        <w:rPr>
          <w:rFonts w:ascii="Arial" w:cs="Arial" w:eastAsia="Arial" w:hAnsi="Arial"/>
          <w:sz w:val="20"/>
          <w:szCs w:val="20"/>
          <w:color w:val="303030"/>
        </w:rPr>
        <w:t xml:space="preserve"> gÄ«ä</w:t>
      </w:r>
      <w:r>
        <w:rPr>
          <w:rFonts w:ascii="PMingLiU" w:cs="PMingLiU" w:eastAsia="PMingLiU" w:hAnsi="PMingLiU"/>
          <w:sz w:val="20"/>
          <w:szCs w:val="20"/>
          <w:color w:val="303030"/>
        </w:rPr>
        <w:t></w:t>
      </w:r>
      <w:r>
        <w:rPr>
          <w:rFonts w:ascii="Arial" w:cs="Arial" w:eastAsia="Arial" w:hAnsi="Arial"/>
          <w:sz w:val="20"/>
          <w:szCs w:val="20"/>
          <w:color w:val="303030"/>
        </w:rPr>
        <w:t xml:space="preserve"> [ä</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ÝǏ T</w:t>
      </w:r>
      <w:r>
        <w:rPr>
          <w:rFonts w:ascii="PMingLiU" w:cs="PMingLiU" w:eastAsia="PMingLiU" w:hAnsi="PMingLiU"/>
          <w:sz w:val="20"/>
          <w:szCs w:val="20"/>
          <w:color w:val="303030"/>
        </w:rPr>
        <w:t></w:t>
      </w:r>
      <w:r>
        <w:rPr>
          <w:rFonts w:ascii="Arial" w:cs="Arial" w:eastAsia="Arial" w:hAnsi="Arial"/>
          <w:sz w:val="20"/>
          <w:szCs w:val="20"/>
          <w:color w:val="303030"/>
        </w:rPr>
        <w:t>Öé</w:t>
      </w:r>
      <w:r>
        <w:rPr>
          <w:rFonts w:ascii="PMingLiU" w:cs="PMingLiU" w:eastAsia="PMingLiU" w:hAnsi="PMingLiU"/>
          <w:sz w:val="20"/>
          <w:szCs w:val="20"/>
          <w:color w:val="303030"/>
        </w:rPr>
        <w:t></w:t>
      </w:r>
      <w:r>
        <w:rPr>
          <w:rFonts w:ascii="Arial" w:cs="Arial" w:eastAsia="Arial" w:hAnsi="Arial"/>
          <w:sz w:val="20"/>
          <w:szCs w:val="20"/>
          <w:color w:val="303030"/>
        </w:rPr>
        <w:t xml:space="preserve"> C</w:t>
      </w:r>
      <w:r>
        <w:rPr>
          <w:rFonts w:ascii="PMingLiU" w:cs="PMingLiU" w:eastAsia="PMingLiU" w:hAnsi="PMingLiU"/>
          <w:sz w:val="20"/>
          <w:szCs w:val="20"/>
          <w:color w:val="303030"/>
        </w:rPr>
        <w:t></w:t>
      </w:r>
      <w:r>
        <w:rPr>
          <w:rFonts w:ascii="Arial" w:cs="Arial" w:eastAsia="Arial" w:hAnsi="Arial"/>
          <w:sz w:val="20"/>
          <w:szCs w:val="20"/>
          <w:color w:val="303030"/>
        </w:rPr>
        <w:t>õ %é«Ä</w:t>
      </w:r>
      <w:r>
        <w:rPr>
          <w:rFonts w:ascii="PMingLiU" w:cs="PMingLiU" w:eastAsia="PMingLiU" w:hAnsi="PMingLiU"/>
          <w:sz w:val="20"/>
          <w:szCs w:val="20"/>
          <w:color w:val="303030"/>
        </w:rPr>
        <w:t></w:t>
      </w:r>
      <w:r>
        <w:rPr>
          <w:rFonts w:ascii="Arial" w:cs="Arial" w:eastAsia="Arial" w:hAnsi="Arial"/>
          <w:sz w:val="20"/>
          <w:szCs w:val="20"/>
          <w:color w:val="303030"/>
        </w:rPr>
        <w:t>Ǐ BËĀ</w:t>
      </w:r>
      <w:r>
        <w:rPr>
          <w:rFonts w:ascii="PMingLiU" w:cs="PMingLiU" w:eastAsia="PMingLiU" w:hAnsi="PMingLiU"/>
          <w:sz w:val="20"/>
          <w:szCs w:val="20"/>
          <w:color w:val="303030"/>
        </w:rPr>
        <w:t></w:t>
      </w:r>
      <w:r>
        <w:rPr>
          <w:rFonts w:ascii="Arial" w:cs="Arial" w:eastAsia="Arial" w:hAnsi="Arial"/>
          <w:sz w:val="20"/>
          <w:szCs w:val="20"/>
          <w:color w:val="303030"/>
        </w:rPr>
        <w:t>Ã</w:t>
      </w:r>
      <w:r>
        <w:rPr>
          <w:rFonts w:ascii="PMingLiU" w:cs="PMingLiU" w:eastAsia="PMingLiU" w:hAnsi="PMingLiU"/>
          <w:sz w:val="20"/>
          <w:szCs w:val="20"/>
          <w:color w:val="303030"/>
        </w:rPr>
        <w:t></w:t>
      </w:r>
      <w:r>
        <w:rPr>
          <w:rFonts w:ascii="Arial" w:cs="Arial" w:eastAsia="Arial" w:hAnsi="Arial"/>
          <w:sz w:val="20"/>
          <w:szCs w:val="20"/>
          <w:color w:val="303030"/>
        </w:rPr>
        <w:t>«Øé</w:t>
      </w:r>
      <w:r>
        <w:rPr>
          <w:rFonts w:ascii="PMingLiU" w:cs="PMingLiU" w:eastAsia="PMingLiU" w:hAnsi="PMingLiU"/>
          <w:sz w:val="20"/>
          <w:szCs w:val="20"/>
          <w:color w:val="303030"/>
        </w:rPr>
        <w:t></w:t>
      </w:r>
      <w:r>
        <w:rPr>
          <w:rFonts w:ascii="Arial" w:cs="Arial" w:eastAsia="Arial" w:hAnsi="Arial"/>
          <w:sz w:val="20"/>
          <w:szCs w:val="20"/>
          <w:color w:val="303030"/>
        </w:rPr>
        <w:t xml:space="preserve">Ǐ </w:t>
      </w:r>
      <w:r>
        <w:rPr>
          <w:rFonts w:ascii="PMingLiU" w:cs="PMingLiU" w:eastAsia="PMingLiU" w:hAnsi="PMingLiU"/>
          <w:sz w:val="20"/>
          <w:szCs w:val="20"/>
          <w:color w:val="303030"/>
        </w:rPr>
        <w:t/>
      </w:r>
      <w:r>
        <w:rPr>
          <w:rFonts w:ascii="Arial" w:cs="Arial" w:eastAsia="Arial" w:hAnsi="Arial"/>
          <w:sz w:val="20"/>
          <w:szCs w:val="20"/>
          <w:color w:val="303030"/>
        </w:rPr>
        <w:t>éÝäÙ</w:t>
      </w:r>
      <w:r>
        <w:rPr>
          <w:rFonts w:ascii="PMingLiU" w:cs="PMingLiU" w:eastAsia="PMingLiU" w:hAnsi="PMingLiU"/>
          <w:sz w:val="20"/>
          <w:szCs w:val="20"/>
          <w:color w:val="303030"/>
        </w:rPr>
        <w:t></w:t>
      </w:r>
      <w:r>
        <w:rPr>
          <w:rFonts w:ascii="Arial" w:cs="Arial" w:eastAsia="Arial" w:hAnsi="Arial"/>
          <w:sz w:val="20"/>
          <w:szCs w:val="20"/>
          <w:color w:val="303030"/>
        </w:rPr>
        <w:t>½«</w:t>
      </w:r>
      <w:r>
        <w:rPr>
          <w:rFonts w:ascii="PMingLiU" w:cs="PMingLiU" w:eastAsia="PMingLiU" w:hAnsi="PMingLiU"/>
          <w:sz w:val="20"/>
          <w:szCs w:val="20"/>
          <w:color w:val="303030"/>
        </w:rPr>
        <w:t></w:t>
      </w:r>
      <w:r>
        <w:rPr>
          <w:rFonts w:ascii="Arial" w:cs="Arial" w:eastAsia="Arial" w:hAnsi="Arial"/>
          <w:sz w:val="20"/>
          <w:szCs w:val="20"/>
          <w:color w:val="303030"/>
        </w:rPr>
        <w:t xml:space="preserve">Ǐ </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 xml:space="preserve"> V</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 xml:space="preserve">Ù ÝéÖÖËÙä ËéÙ </w:t>
      </w:r>
      <w:r>
        <w:rPr>
          <w:rFonts w:ascii="PMingLiU" w:cs="PMingLiU" w:eastAsia="PMingLiU" w:hAnsi="PMingLiU"/>
          <w:sz w:val="20"/>
          <w:szCs w:val="20"/>
          <w:color w:val="303030"/>
        </w:rPr>
        <w:t></w:t>
      </w:r>
      <w:r>
        <w:rPr>
          <w:rFonts w:ascii="Arial" w:cs="Arial" w:eastAsia="Arial" w:hAnsi="Arial"/>
          <w:sz w:val="20"/>
          <w:szCs w:val="20"/>
          <w:color w:val="303030"/>
        </w:rPr>
        <w:t>¢¢ËÙäÝ äË Ã</w:t>
      </w:r>
      <w:r>
        <w:rPr>
          <w:rFonts w:ascii="PMingLiU" w:cs="PMingLiU" w:eastAsia="PMingLiU" w:hAnsi="PMingLiU"/>
          <w:sz w:val="20"/>
          <w:szCs w:val="20"/>
          <w:color w:val="303030"/>
        </w:rPr>
        <w:t></w:t>
      </w:r>
      <w:r>
        <w:rPr>
          <w:rFonts w:ascii="Arial" w:cs="Arial" w:eastAsia="Arial" w:hAnsi="Arial"/>
          <w:sz w:val="20"/>
          <w:szCs w:val="20"/>
          <w:color w:val="303030"/>
        </w:rPr>
        <w:t>ä £½Ë</w:t>
      </w:r>
      <w:r>
        <w:rPr>
          <w:rFonts w:ascii="PMingLiU" w:cs="PMingLiU" w:eastAsia="PMingLiU" w:hAnsi="PMingLiU"/>
          <w:sz w:val="20"/>
          <w:szCs w:val="20"/>
          <w:color w:val="303030"/>
        </w:rPr>
        <w:t></w:t>
      </w:r>
      <w:r>
        <w:rPr>
          <w:rFonts w:ascii="Arial" w:cs="Arial" w:eastAsia="Arial" w:hAnsi="Arial"/>
          <w:sz w:val="20"/>
          <w:szCs w:val="20"/>
          <w:color w:val="303030"/>
        </w:rPr>
        <w:t xml:space="preserve">½ </w:t>
      </w:r>
      <w:r>
        <w:rPr>
          <w:rFonts w:ascii="PMingLiU" w:cs="PMingLiU" w:eastAsia="PMingLiU" w:hAnsi="PMingLiU"/>
          <w:sz w:val="20"/>
          <w:szCs w:val="20"/>
          <w:color w:val="303030"/>
        </w:rPr>
        <w:t></w:t>
      </w:r>
      <w:r>
        <w:rPr>
          <w:rFonts w:ascii="Arial" w:cs="Arial" w:eastAsia="Arial" w:hAnsi="Arial"/>
          <w:sz w:val="20"/>
          <w:szCs w:val="20"/>
          <w:color w:val="303030"/>
        </w:rPr>
        <w:t>Ã</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 xml:space="preserve"> ¢ËÙ Ù</w:t>
      </w:r>
      <w:r>
        <w:rPr>
          <w:rFonts w:ascii="PMingLiU" w:cs="PMingLiU" w:eastAsia="PMingLiU" w:hAnsi="PMingLiU"/>
          <w:sz w:val="20"/>
          <w:szCs w:val="20"/>
          <w:color w:val="303030"/>
        </w:rPr>
        <w:t></w:t>
      </w:r>
      <w:r>
        <w:rPr>
          <w:rFonts w:ascii="Arial" w:cs="Arial" w:eastAsia="Arial" w:hAnsi="Arial"/>
          <w:sz w:val="20"/>
          <w:szCs w:val="20"/>
          <w:color w:val="303030"/>
        </w:rPr>
        <w:t>½«</w:t>
      </w:r>
      <w:r>
        <w:rPr>
          <w:rFonts w:ascii="PMingLiU" w:cs="PMingLiU" w:eastAsia="PMingLiU" w:hAnsi="PMingLiU"/>
          <w:sz w:val="20"/>
          <w:szCs w:val="20"/>
          <w:color w:val="303030"/>
        </w:rPr>
        <w:t></w:t>
      </w:r>
      <w:r>
        <w:rPr>
          <w:rFonts w:ascii="Arial" w:cs="Arial" w:eastAsia="Arial" w:hAnsi="Arial"/>
          <w:sz w:val="20"/>
          <w:szCs w:val="20"/>
          <w:color w:val="303030"/>
        </w:rPr>
        <w:t>½</w:t>
      </w:r>
      <w:r>
        <w:rPr>
          <w:rFonts w:ascii="PMingLiU" w:cs="PMingLiU" w:eastAsia="PMingLiU" w:hAnsi="PMingLiU"/>
          <w:sz w:val="20"/>
          <w:szCs w:val="20"/>
          <w:color w:val="303030"/>
        </w:rPr>
        <w:t></w:t>
      </w:r>
      <w:r>
        <w:rPr>
          <w:rFonts w:ascii="Arial" w:cs="Arial" w:eastAsia="Arial" w:hAnsi="Arial"/>
          <w:sz w:val="20"/>
          <w:szCs w:val="20"/>
          <w:color w:val="303030"/>
        </w:rPr>
        <w:t xml:space="preserve">Ǐ </w:t>
      </w:r>
      <w:r>
        <w:rPr>
          <w:rFonts w:ascii="PMingLiU" w:cs="PMingLiU" w:eastAsia="PMingLiU" w:hAnsi="PMingLiU"/>
          <w:sz w:val="20"/>
          <w:szCs w:val="20"/>
          <w:color w:val="303030"/>
        </w:rPr>
        <w:t></w:t>
      </w:r>
      <w:r>
        <w:rPr>
          <w:rFonts w:ascii="Arial" w:cs="Arial" w:eastAsia="Arial" w:hAnsi="Arial"/>
          <w:sz w:val="20"/>
          <w:szCs w:val="20"/>
          <w:color w:val="303030"/>
        </w:rPr>
        <w:t>¢¢ËÙ</w:t>
      </w:r>
      <w:r>
        <w:rPr>
          <w:rFonts w:ascii="PMingLiU" w:cs="PMingLiU" w:eastAsia="PMingLiU" w:hAnsi="PMingLiU"/>
          <w:sz w:val="20"/>
          <w:szCs w:val="20"/>
          <w:color w:val="303030"/>
        </w:rPr>
        <w:t></w:t>
      </w:r>
      <w:r>
        <w:rPr>
          <w:rFonts w:ascii="Arial" w:cs="Arial" w:eastAsia="Arial" w:hAnsi="Arial"/>
          <w:sz w:val="20"/>
          <w:szCs w:val="20"/>
          <w:color w:val="303030"/>
        </w:rPr>
        <w:t>½</w:t>
      </w:r>
      <w:r>
        <w:rPr>
          <w:rFonts w:ascii="PMingLiU" w:cs="PMingLiU" w:eastAsia="PMingLiU" w:hAnsi="PMingLiU"/>
          <w:sz w:val="20"/>
          <w:szCs w:val="20"/>
          <w:color w:val="303030"/>
        </w:rPr>
        <w:t> </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Ù£û ÝËéÙ</w:t>
      </w:r>
      <w:r>
        <w:rPr>
          <w:rFonts w:ascii="PMingLiU" w:cs="PMingLiU" w:eastAsia="PMingLiU" w:hAnsi="PMingLiU"/>
          <w:sz w:val="20"/>
          <w:szCs w:val="20"/>
          <w:color w:val="303030"/>
        </w:rPr>
        <w:t></w:t>
      </w:r>
      <w:r>
        <w:rPr>
          <w:rFonts w:ascii="Arial" w:cs="Arial" w:eastAsia="Arial" w:hAnsi="Arial"/>
          <w:sz w:val="20"/>
          <w:szCs w:val="20"/>
          <w:color w:val="303030"/>
        </w:rPr>
        <w:t>Ýǔ</w:t>
      </w:r>
    </w:p>
    <w:p>
      <w:pPr>
        <w:spacing w:after="0" w:line="239" w:lineRule="exact"/>
        <w:rPr>
          <w:sz w:val="20"/>
          <w:szCs w:val="20"/>
          <w:color w:val="auto"/>
        </w:rPr>
      </w:pPr>
    </w:p>
    <w:p>
      <w:pPr>
        <w:ind w:left="560" w:right="540"/>
        <w:spacing w:after="0" w:line="242" w:lineRule="exact"/>
        <w:rPr>
          <w:sz w:val="20"/>
          <w:szCs w:val="20"/>
          <w:color w:val="auto"/>
        </w:rPr>
      </w:pPr>
      <w:r>
        <w:rPr>
          <w:rFonts w:ascii="Arial" w:cs="Arial" w:eastAsia="Arial" w:hAnsi="Arial"/>
          <w:sz w:val="20"/>
          <w:szCs w:val="20"/>
          <w:color w:val="303030"/>
        </w:rPr>
        <w:t>b¨ÙËé£¨ «ÄÄËô</w:t>
      </w:r>
      <w:r>
        <w:rPr>
          <w:rFonts w:ascii="PMingLiU" w:cs="PMingLiU" w:eastAsia="PMingLiU" w:hAnsi="PMingLiU"/>
          <w:sz w:val="20"/>
          <w:szCs w:val="20"/>
          <w:color w:val="303030"/>
        </w:rPr>
        <w:t></w:t>
      </w:r>
      <w:r>
        <w:rPr>
          <w:rFonts w:ascii="Arial" w:cs="Arial" w:eastAsia="Arial" w:hAnsi="Arial"/>
          <w:sz w:val="20"/>
          <w:szCs w:val="20"/>
          <w:color w:val="303030"/>
        </w:rPr>
        <w:t xml:space="preserve">ä«ËÄ </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 xml:space="preserve"> «Ä</w:t>
      </w:r>
      <w:r>
        <w:rPr>
          <w:rFonts w:ascii="PMingLiU" w:cs="PMingLiU" w:eastAsia="PMingLiU" w:hAnsi="PMingLiU"/>
          <w:sz w:val="20"/>
          <w:szCs w:val="20"/>
          <w:color w:val="303030"/>
        </w:rPr>
        <w:t></w:t>
      </w:r>
      <w:r>
        <w:rPr>
          <w:rFonts w:ascii="Arial" w:cs="Arial" w:eastAsia="Arial" w:hAnsi="Arial"/>
          <w:sz w:val="20"/>
          <w:szCs w:val="20"/>
          <w:color w:val="303030"/>
        </w:rPr>
        <w:t>éÝäÙûǥ½</w:t>
      </w:r>
      <w:r>
        <w:rPr>
          <w:rFonts w:ascii="PMingLiU" w:cs="PMingLiU" w:eastAsia="PMingLiU" w:hAnsi="PMingLiU"/>
          <w:sz w:val="20"/>
          <w:szCs w:val="20"/>
          <w:color w:val="303030"/>
        </w:rPr>
        <w:t></w:t>
      </w:r>
      <w:r>
        <w:rPr>
          <w:rFonts w:ascii="Arial" w:cs="Arial" w:eastAsia="Arial" w:hAnsi="Arial"/>
          <w:sz w:val="20"/>
          <w:szCs w:val="20"/>
          <w:color w:val="303030"/>
        </w:rPr>
        <w:t>«Ä£ ä</w:t>
      </w:r>
      <w:r>
        <w:rPr>
          <w:rFonts w:ascii="PMingLiU" w:cs="PMingLiU" w:eastAsia="PMingLiU" w:hAnsi="PMingLiU"/>
          <w:sz w:val="20"/>
          <w:szCs w:val="20"/>
          <w:color w:val="303030"/>
        </w:rPr>
        <w:t></w:t>
      </w:r>
      <w:r>
        <w:rPr>
          <w:rFonts w:ascii="Arial" w:cs="Arial" w:eastAsia="Arial" w:hAnsi="Arial"/>
          <w:sz w:val="20"/>
          <w:szCs w:val="20"/>
          <w:color w:val="303030"/>
        </w:rPr>
        <w:t>¨ÄË½Ë£ûǏ õ</w:t>
      </w:r>
      <w:r>
        <w:rPr>
          <w:rFonts w:ascii="PMingLiU" w:cs="PMingLiU" w:eastAsia="PMingLiU" w:hAnsi="PMingLiU"/>
          <w:sz w:val="20"/>
          <w:szCs w:val="20"/>
          <w:color w:val="303030"/>
        </w:rPr>
        <w:t></w:t>
      </w:r>
      <w:r>
        <w:rPr>
          <w:rFonts w:ascii="Arial" w:cs="Arial" w:eastAsia="Arial" w:hAnsi="Arial"/>
          <w:sz w:val="20"/>
          <w:szCs w:val="20"/>
          <w:color w:val="303030"/>
        </w:rPr>
        <w:t>ǯÙ</w:t>
      </w:r>
      <w:r>
        <w:rPr>
          <w:rFonts w:ascii="PMingLiU" w:cs="PMingLiU" w:eastAsia="PMingLiU" w:hAnsi="PMingLiU"/>
          <w:sz w:val="20"/>
          <w:szCs w:val="20"/>
          <w:color w:val="303030"/>
        </w:rPr>
        <w:t></w:t>
      </w:r>
      <w:r>
        <w:rPr>
          <w:rFonts w:ascii="Arial" w:cs="Arial" w:eastAsia="Arial" w:hAnsi="Arial"/>
          <w:sz w:val="20"/>
          <w:szCs w:val="20"/>
          <w:color w:val="303030"/>
        </w:rPr>
        <w:t xml:space="preserve"> ¢Ë</w:t>
      </w:r>
      <w:r>
        <w:rPr>
          <w:rFonts w:ascii="PMingLiU" w:cs="PMingLiU" w:eastAsia="PMingLiU" w:hAnsi="PMingLiU"/>
          <w:sz w:val="20"/>
          <w:szCs w:val="20"/>
          <w:color w:val="303030"/>
        </w:rPr>
        <w:t></w:t>
      </w:r>
      <w:r>
        <w:rPr>
          <w:rFonts w:ascii="Arial" w:cs="Arial" w:eastAsia="Arial" w:hAnsi="Arial"/>
          <w:sz w:val="20"/>
          <w:szCs w:val="20"/>
          <w:color w:val="303030"/>
        </w:rPr>
        <w:t>éÝ</w:t>
      </w:r>
      <w:r>
        <w:rPr>
          <w:rFonts w:ascii="PMingLiU" w:cs="PMingLiU" w:eastAsia="PMingLiU" w:hAnsi="PMingLiU"/>
          <w:sz w:val="20"/>
          <w:szCs w:val="20"/>
          <w:color w:val="303030"/>
        </w:rPr>
        <w:t></w:t>
      </w:r>
      <w:r>
        <w:rPr>
          <w:rFonts w:ascii="Arial" w:cs="Arial" w:eastAsia="Arial" w:hAnsi="Arial"/>
          <w:sz w:val="20"/>
          <w:szCs w:val="20"/>
          <w:color w:val="303030"/>
        </w:rPr>
        <w:t xml:space="preserve"> ËÄ ô</w:t>
      </w:r>
      <w:r>
        <w:rPr>
          <w:rFonts w:ascii="PMingLiU" w:cs="PMingLiU" w:eastAsia="PMingLiU" w:hAnsi="PMingLiU"/>
          <w:sz w:val="20"/>
          <w:szCs w:val="20"/>
          <w:color w:val="303030"/>
        </w:rPr>
        <w:t></w:t>
      </w:r>
      <w:r>
        <w:rPr>
          <w:rFonts w:ascii="Arial" w:cs="Arial" w:eastAsia="Arial" w:hAnsi="Arial"/>
          <w:sz w:val="20"/>
          <w:szCs w:val="20"/>
          <w:color w:val="303030"/>
        </w:rPr>
        <w:t>½é</w:t>
      </w:r>
      <w:r>
        <w:rPr>
          <w:rFonts w:ascii="PMingLiU" w:cs="PMingLiU" w:eastAsia="PMingLiU" w:hAnsi="PMingLiU"/>
          <w:sz w:val="20"/>
          <w:szCs w:val="20"/>
          <w:color w:val="303030"/>
        </w:rPr>
        <w:t></w:t>
      </w:r>
      <w:r>
        <w:rPr>
          <w:rFonts w:ascii="Arial" w:cs="Arial" w:eastAsia="Arial" w:hAnsi="Arial"/>
          <w:sz w:val="20"/>
          <w:szCs w:val="20"/>
          <w:color w:val="303030"/>
        </w:rPr>
        <w:t xml:space="preserve"> Ǥ ÖÙË</w:t>
      </w:r>
      <w:r>
        <w:rPr>
          <w:rFonts w:ascii="PMingLiU" w:cs="PMingLiU" w:eastAsia="PMingLiU" w:hAnsi="PMingLiU"/>
          <w:sz w:val="20"/>
          <w:szCs w:val="20"/>
          <w:color w:val="303030"/>
        </w:rPr>
        <w:t></w:t>
      </w:r>
      <w:r>
        <w:rPr>
          <w:rFonts w:ascii="Arial" w:cs="Arial" w:eastAsia="Arial" w:hAnsi="Arial"/>
          <w:sz w:val="20"/>
          <w:szCs w:val="20"/>
          <w:color w:val="303030"/>
        </w:rPr>
        <w:t>é</w:t>
      </w:r>
      <w:r>
        <w:rPr>
          <w:rFonts w:ascii="PMingLiU" w:cs="PMingLiU" w:eastAsia="PMingLiU" w:hAnsi="PMingLiU"/>
          <w:sz w:val="20"/>
          <w:szCs w:val="20"/>
          <w:color w:val="303030"/>
        </w:rPr>
        <w:t></w:t>
      </w:r>
      <w:r>
        <w:rPr>
          <w:rFonts w:ascii="Arial" w:cs="Arial" w:eastAsia="Arial" w:hAnsi="Arial"/>
          <w:sz w:val="20"/>
          <w:szCs w:val="20"/>
          <w:color w:val="303030"/>
        </w:rPr>
        <w:t>«Ä£ ÃËÙ</w:t>
      </w:r>
      <w:r>
        <w:rPr>
          <w:rFonts w:ascii="PMingLiU" w:cs="PMingLiU" w:eastAsia="PMingLiU" w:hAnsi="PMingLiU"/>
          <w:sz w:val="20"/>
          <w:szCs w:val="20"/>
          <w:color w:val="303030"/>
        </w:rPr>
        <w:t></w:t>
      </w:r>
      <w:r>
        <w:rPr>
          <w:rFonts w:ascii="Arial" w:cs="Arial" w:eastAsia="Arial" w:hAnsi="Arial"/>
          <w:sz w:val="20"/>
          <w:szCs w:val="20"/>
          <w:color w:val="303030"/>
        </w:rPr>
        <w:t>Ǐ ÃËÙ</w:t>
      </w:r>
      <w:r>
        <w:rPr>
          <w:rFonts w:ascii="PMingLiU" w:cs="PMingLiU" w:eastAsia="PMingLiU" w:hAnsi="PMingLiU"/>
          <w:sz w:val="20"/>
          <w:szCs w:val="20"/>
          <w:color w:val="303030"/>
        </w:rPr>
        <w:t></w:t>
      </w:r>
      <w:r>
        <w:rPr>
          <w:rFonts w:ascii="Arial" w:cs="Arial" w:eastAsia="Arial" w:hAnsi="Arial"/>
          <w:sz w:val="20"/>
          <w:szCs w:val="20"/>
          <w:color w:val="303030"/>
        </w:rPr>
        <w:t xml:space="preserve"> ÖÙË¢«ä</w:t>
      </w:r>
      <w:r>
        <w:rPr>
          <w:rFonts w:ascii="PMingLiU" w:cs="PMingLiU" w:eastAsia="PMingLiU" w:hAnsi="PMingLiU"/>
          <w:sz w:val="20"/>
          <w:szCs w:val="20"/>
          <w:color w:val="303030"/>
        </w:rPr>
        <w:t></w:t>
      </w:r>
      <w:r>
        <w:rPr>
          <w:rFonts w:ascii="Arial" w:cs="Arial" w:eastAsia="Arial" w:hAnsi="Arial"/>
          <w:sz w:val="20"/>
          <w:szCs w:val="20"/>
          <w:color w:val="303030"/>
        </w:rPr>
        <w:t>½û Ǥ äË ä¨</w:t>
      </w:r>
      <w:r>
        <w:rPr>
          <w:rFonts w:ascii="PMingLiU" w:cs="PMingLiU" w:eastAsia="PMingLiU" w:hAnsi="PMingLiU"/>
          <w:sz w:val="20"/>
          <w:szCs w:val="20"/>
          <w:color w:val="303030"/>
        </w:rPr>
        <w:t> </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¢«ä Ë¢ ÝË</w:t>
      </w:r>
      <w:r>
        <w:rPr>
          <w:rFonts w:ascii="PMingLiU" w:cs="PMingLiU" w:eastAsia="PMingLiU" w:hAnsi="PMingLiU"/>
          <w:sz w:val="20"/>
          <w:szCs w:val="20"/>
          <w:color w:val="303030"/>
        </w:rPr>
        <w:t></w:t>
      </w:r>
      <w:r>
        <w:rPr>
          <w:rFonts w:ascii="Arial" w:cs="Arial" w:eastAsia="Arial" w:hAnsi="Arial"/>
          <w:sz w:val="20"/>
          <w:szCs w:val="20"/>
          <w:color w:val="303030"/>
        </w:rPr>
        <w:t>«</w:t>
      </w:r>
      <w:r>
        <w:rPr>
          <w:rFonts w:ascii="PMingLiU" w:cs="PMingLiU" w:eastAsia="PMingLiU" w:hAnsi="PMingLiU"/>
          <w:sz w:val="20"/>
          <w:szCs w:val="20"/>
          <w:color w:val="303030"/>
        </w:rPr>
        <w:t></w:t>
      </w:r>
      <w:r>
        <w:rPr>
          <w:rFonts w:ascii="Arial" w:cs="Arial" w:eastAsia="Arial" w:hAnsi="Arial"/>
          <w:sz w:val="20"/>
          <w:szCs w:val="20"/>
          <w:color w:val="303030"/>
        </w:rPr>
        <w:t xml:space="preserve">äû </w:t>
      </w:r>
      <w:r>
        <w:rPr>
          <w:rFonts w:ascii="PMingLiU" w:cs="PMingLiU" w:eastAsia="PMingLiU" w:hAnsi="PMingLiU"/>
          <w:sz w:val="20"/>
          <w:szCs w:val="20"/>
          <w:color w:val="303030"/>
        </w:rPr>
        <w:t></w:t>
      </w:r>
      <w:r>
        <w:rPr>
          <w:rFonts w:ascii="Arial" w:cs="Arial" w:eastAsia="Arial" w:hAnsi="Arial"/>
          <w:sz w:val="20"/>
          <w:szCs w:val="20"/>
          <w:color w:val="303030"/>
        </w:rPr>
        <w:t>Ä</w:t>
      </w:r>
      <w:r>
        <w:rPr>
          <w:rFonts w:ascii="PMingLiU" w:cs="PMingLiU" w:eastAsia="PMingLiU" w:hAnsi="PMingLiU"/>
          <w:sz w:val="20"/>
          <w:szCs w:val="20"/>
          <w:color w:val="303030"/>
        </w:rPr>
        <w:t></w:t>
      </w:r>
      <w:r>
        <w:rPr>
          <w:rFonts w:ascii="Arial" w:cs="Arial" w:eastAsia="Arial" w:hAnsi="Arial"/>
          <w:sz w:val="20"/>
          <w:szCs w:val="20"/>
          <w:color w:val="303030"/>
        </w:rPr>
        <w:t xml:space="preserve"> ËéÙ Ý¨</w:t>
      </w:r>
      <w:r>
        <w:rPr>
          <w:rFonts w:ascii="PMingLiU" w:cs="PMingLiU" w:eastAsia="PMingLiU" w:hAnsi="PMingLiU"/>
          <w:sz w:val="20"/>
          <w:szCs w:val="20"/>
          <w:color w:val="303030"/>
        </w:rPr>
        <w:t></w:t>
      </w:r>
      <w:r>
        <w:rPr>
          <w:rFonts w:ascii="Arial" w:cs="Arial" w:eastAsia="Arial" w:hAnsi="Arial"/>
          <w:sz w:val="20"/>
          <w:szCs w:val="20"/>
          <w:color w:val="303030"/>
        </w:rPr>
        <w:t>Ù</w:t>
      </w:r>
      <w:r>
        <w:rPr>
          <w:rFonts w:ascii="PMingLiU" w:cs="PMingLiU" w:eastAsia="PMingLiU" w:hAnsi="PMingLiU"/>
          <w:sz w:val="20"/>
          <w:szCs w:val="20"/>
          <w:color w:val="303030"/>
        </w:rPr>
        <w:t></w:t>
      </w:r>
      <w:r>
        <w:rPr>
          <w:rFonts w:ascii="Arial" w:cs="Arial" w:eastAsia="Arial" w:hAnsi="Arial"/>
          <w:sz w:val="20"/>
          <w:szCs w:val="20"/>
          <w:color w:val="303030"/>
        </w:rPr>
        <w:t>¨Ë½</w:t>
      </w:r>
      <w:r>
        <w:rPr>
          <w:rFonts w:ascii="PMingLiU" w:cs="PMingLiU" w:eastAsia="PMingLiU" w:hAnsi="PMingLiU"/>
          <w:sz w:val="20"/>
          <w:szCs w:val="20"/>
          <w:color w:val="303030"/>
        </w:rPr>
        <w:t></w:t>
      </w:r>
      <w:r>
        <w:rPr>
          <w:rFonts w:ascii="Arial" w:cs="Arial" w:eastAsia="Arial" w:hAnsi="Arial"/>
          <w:sz w:val="20"/>
          <w:szCs w:val="20"/>
          <w:color w:val="303030"/>
        </w:rPr>
        <w:t>ÙÝǔ</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195580</wp:posOffset>
            </wp:positionV>
            <wp:extent cx="6213475" cy="1934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6213475" cy="193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60"/>
        <w:spacing w:after="0" w:line="243" w:lineRule="exact"/>
        <w:tabs>
          <w:tab w:leader="none" w:pos="7900" w:val="left"/>
        </w:tabs>
        <w:rPr>
          <w:sz w:val="20"/>
          <w:szCs w:val="20"/>
          <w:color w:val="auto"/>
        </w:rPr>
      </w:pP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ËÃ</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«Ä</w:t>
      </w:r>
      <w:r>
        <w:rPr>
          <w:rFonts w:ascii="PMingLiU" w:cs="PMingLiU" w:eastAsia="PMingLiU" w:hAnsi="PMingLiU"/>
          <w:sz w:val="20"/>
          <w:szCs w:val="20"/>
          <w:b w:val="1"/>
          <w:bCs w:val="1"/>
          <w:color w:val="333333"/>
        </w:rPr>
        <w:t> </w:t>
      </w:r>
      <w:r>
        <w:rPr>
          <w:rFonts w:ascii="Arial" w:cs="Arial" w:eastAsia="Arial" w:hAnsi="Arial"/>
          <w:sz w:val="20"/>
          <w:szCs w:val="20"/>
          <w:b w:val="1"/>
          <w:bCs w:val="1"/>
          <w:color w:val="333333"/>
        </w:rPr>
        <w:t>ÄÄé</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½ ÖÙË</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é</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ä«ËÄ</w:t>
      </w:r>
      <w:r>
        <w:rPr>
          <w:sz w:val="20"/>
          <w:szCs w:val="20"/>
          <w:color w:val="auto"/>
        </w:rPr>
        <w:tab/>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½</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äÙ«¢«</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ä«ËÄ Ë¢ T</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ÙÃ«</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Ä</w:t>
      </w:r>
    </w:p>
    <w:p>
      <w:pPr>
        <w:ind w:left="4280"/>
        <w:spacing w:after="0" w:line="243" w:lineRule="exact"/>
        <w:tabs>
          <w:tab w:leader="none" w:pos="8040" w:val="left"/>
        </w:tabs>
        <w:rPr>
          <w:sz w:val="20"/>
          <w:szCs w:val="20"/>
          <w:color w:val="auto"/>
        </w:rPr>
      </w:pPr>
      <w:r>
        <w:rPr>
          <w:rFonts w:ascii="Arial" w:cs="Arial" w:eastAsia="Arial" w:hAnsi="Arial"/>
          <w:sz w:val="20"/>
          <w:szCs w:val="20"/>
          <w:b w:val="1"/>
          <w:bCs w:val="1"/>
          <w:color w:val="333333"/>
        </w:rPr>
        <w:t>£ÙËõä¨ ¢ÙËÃ T</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ÙÃ«</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 xml:space="preserve">Ä </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Ä</w:t>
      </w:r>
      <w:r>
        <w:rPr>
          <w:rFonts w:ascii="PMingLiU" w:cs="PMingLiU" w:eastAsia="PMingLiU" w:hAnsi="PMingLiU"/>
          <w:sz w:val="20"/>
          <w:szCs w:val="20"/>
          <w:b w:val="1"/>
          <w:bCs w:val="1"/>
          <w:color w:val="333333"/>
        </w:rPr>
        <w:t></w:t>
      </w:r>
      <w:r>
        <w:rPr>
          <w:sz w:val="20"/>
          <w:szCs w:val="20"/>
          <w:color w:val="auto"/>
        </w:rPr>
        <w:tab/>
      </w:r>
      <w:r>
        <w:rPr>
          <w:rFonts w:ascii="Arial" w:cs="Arial" w:eastAsia="Arial" w:hAnsi="Arial"/>
          <w:sz w:val="15"/>
          <w:szCs w:val="15"/>
          <w:b w:val="1"/>
          <w:bCs w:val="1"/>
          <w:color w:val="333333"/>
        </w:rPr>
        <w:t>ËÖ</w:t>
      </w:r>
      <w:r>
        <w:rPr>
          <w:rFonts w:ascii="PMingLiU" w:cs="PMingLiU" w:eastAsia="PMingLiU" w:hAnsi="PMingLiU"/>
          <w:sz w:val="15"/>
          <w:szCs w:val="15"/>
          <w:b w:val="1"/>
          <w:bCs w:val="1"/>
          <w:color w:val="333333"/>
        </w:rPr>
        <w:t></w:t>
      </w:r>
      <w:r>
        <w:rPr>
          <w:rFonts w:ascii="Arial" w:cs="Arial" w:eastAsia="Arial" w:hAnsi="Arial"/>
          <w:sz w:val="15"/>
          <w:szCs w:val="15"/>
          <w:b w:val="1"/>
          <w:bCs w:val="1"/>
          <w:color w:val="333333"/>
        </w:rPr>
        <w:t>Ù</w:t>
      </w:r>
      <w:r>
        <w:rPr>
          <w:rFonts w:ascii="PMingLiU" w:cs="PMingLiU" w:eastAsia="PMingLiU" w:hAnsi="PMingLiU"/>
          <w:sz w:val="15"/>
          <w:szCs w:val="15"/>
          <w:b w:val="1"/>
          <w:bCs w:val="1"/>
          <w:color w:val="333333"/>
        </w:rPr>
        <w:t></w:t>
      </w:r>
      <w:r>
        <w:rPr>
          <w:rFonts w:ascii="Arial" w:cs="Arial" w:eastAsia="Arial" w:hAnsi="Arial"/>
          <w:sz w:val="15"/>
          <w:szCs w:val="15"/>
          <w:b w:val="1"/>
          <w:bCs w:val="1"/>
          <w:color w:val="333333"/>
        </w:rPr>
        <w:t>ä</w:t>
      </w:r>
      <w:r>
        <w:rPr>
          <w:rFonts w:ascii="PMingLiU" w:cs="PMingLiU" w:eastAsia="PMingLiU" w:hAnsi="PMingLiU"/>
          <w:sz w:val="15"/>
          <w:szCs w:val="15"/>
          <w:b w:val="1"/>
          <w:bCs w:val="1"/>
          <w:color w:val="333333"/>
        </w:rPr>
        <w:t> </w:t>
      </w:r>
      <w:r>
        <w:rPr>
          <w:rFonts w:ascii="Arial" w:cs="Arial" w:eastAsia="Arial" w:hAnsi="Arial"/>
          <w:sz w:val="15"/>
          <w:szCs w:val="15"/>
          <w:b w:val="1"/>
          <w:bCs w:val="1"/>
          <w:color w:val="333333"/>
        </w:rPr>
        <w:t>Ù«½½«Ä£ ¢½</w:t>
      </w:r>
      <w:r>
        <w:rPr>
          <w:rFonts w:ascii="PMingLiU" w:cs="PMingLiU" w:eastAsia="PMingLiU" w:hAnsi="PMingLiU"/>
          <w:sz w:val="15"/>
          <w:szCs w:val="15"/>
          <w:b w:val="1"/>
          <w:bCs w:val="1"/>
          <w:color w:val="333333"/>
        </w:rPr>
        <w:t></w:t>
      </w:r>
      <w:r>
        <w:rPr>
          <w:rFonts w:ascii="Arial" w:cs="Arial" w:eastAsia="Arial" w:hAnsi="Arial"/>
          <w:sz w:val="15"/>
          <w:szCs w:val="15"/>
          <w:b w:val="1"/>
          <w:bCs w:val="1"/>
          <w:color w:val="333333"/>
        </w:rPr>
        <w:t>ä</w:t>
      </w:r>
    </w:p>
    <w:p>
      <w:pPr>
        <w:ind w:left="4700"/>
        <w:spacing w:after="0" w:line="240" w:lineRule="exact"/>
        <w:rPr>
          <w:sz w:val="20"/>
          <w:szCs w:val="20"/>
          <w:color w:val="auto"/>
        </w:rPr>
      </w:pPr>
      <w:r>
        <w:rPr>
          <w:rFonts w:ascii="Arial" w:cs="Arial" w:eastAsia="Arial" w:hAnsi="Arial"/>
          <w:sz w:val="20"/>
          <w:szCs w:val="20"/>
          <w:b w:val="1"/>
          <w:bCs w:val="1"/>
          <w:color w:val="333333"/>
        </w:rPr>
        <w:t>%éû</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Ä</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 xml:space="preserve"> ôÝǔ ƍƋƍƍ</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2413000</wp:posOffset>
                </wp:positionH>
                <wp:positionV relativeFrom="paragraph">
                  <wp:posOffset>144780</wp:posOffset>
                </wp:positionV>
                <wp:extent cx="43434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34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pt,11.4pt" to="532pt,11.4pt" o:allowincell="f" strokecolor="#B3B3B3" strokeweight="0.5pt"/>
            </w:pict>
          </mc:Fallback>
        </mc:AlternateContent>
      </w:r>
    </w:p>
    <w:p>
      <w:pPr>
        <w:spacing w:after="0" w:line="200" w:lineRule="exact"/>
        <w:rPr>
          <w:sz w:val="20"/>
          <w:szCs w:val="20"/>
          <w:color w:val="auto"/>
        </w:rPr>
      </w:pPr>
    </w:p>
    <w:p>
      <w:pPr>
        <w:spacing w:after="0" w:line="247" w:lineRule="exact"/>
        <w:rPr>
          <w:sz w:val="20"/>
          <w:szCs w:val="20"/>
          <w:color w:val="auto"/>
        </w:rPr>
      </w:pPr>
    </w:p>
    <w:p>
      <w:pPr>
        <w:ind w:left="3800"/>
        <w:spacing w:after="0" w:line="170" w:lineRule="exact"/>
        <w:rPr>
          <w:sz w:val="20"/>
          <w:szCs w:val="20"/>
          <w:color w:val="auto"/>
        </w:rPr>
      </w:pPr>
      <w:r>
        <w:rPr>
          <w:rFonts w:ascii="Arial" w:cs="Arial" w:eastAsia="Arial" w:hAnsi="Arial"/>
          <w:sz w:val="14"/>
          <w:szCs w:val="14"/>
          <w:b w:val="1"/>
          <w:bCs w:val="1"/>
          <w:color w:val="191919"/>
        </w:rPr>
        <w:t>IéÙ 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õ ǬT</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û</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TÙËÝÖ</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Ù«äûǭ ¢½Ë</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ä«Ä£ ÖÙË</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ä«ËÄǏ ÝäËÙ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Ǐ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Ë¢¢½Ë</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 ô</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ÝÝ</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 ·Ë«ÄÝ ËéÙ</w:t>
      </w:r>
    </w:p>
    <w:p>
      <w:pPr>
        <w:spacing w:after="0" w:line="50" w:lineRule="exact"/>
        <w:rPr>
          <w:sz w:val="20"/>
          <w:szCs w:val="20"/>
          <w:color w:val="auto"/>
        </w:rPr>
      </w:pPr>
    </w:p>
    <w:p>
      <w:pPr>
        <w:ind w:left="3800"/>
        <w:spacing w:after="0" w:line="194" w:lineRule="exact"/>
        <w:rPr>
          <w:sz w:val="20"/>
          <w:szCs w:val="20"/>
          <w:color w:val="auto"/>
        </w:rPr>
      </w:pPr>
      <w:r>
        <w:rPr>
          <w:rFonts w:ascii="Arial" w:cs="Arial" w:eastAsia="Arial" w:hAnsi="Arial"/>
          <w:sz w:val="16"/>
          <w:szCs w:val="16"/>
          <w:b w:val="1"/>
          <w:bCs w:val="1"/>
          <w:color w:val="191919"/>
        </w:rPr>
        <w:t>Ǭ&lt;«Ā</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 xml:space="preserve"> gÄ«äûǭ «Ä </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ÙÄ«Ä£ ä¨</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 xml:space="preserve"> [g[b</w:t>
      </w:r>
      <w:r>
        <w:rPr>
          <w:rFonts w:ascii="PMingLiU" w:cs="PMingLiU" w:eastAsia="PMingLiU" w:hAnsi="PMingLiU"/>
          <w:sz w:val="16"/>
          <w:szCs w:val="16"/>
          <w:b w:val="1"/>
          <w:bCs w:val="1"/>
          <w:color w:val="191919"/>
        </w:rPr>
        <w:t/>
      </w:r>
      <w:r>
        <w:rPr>
          <w:rFonts w:ascii="Arial" w:cs="Arial" w:eastAsia="Arial" w:hAnsi="Arial"/>
          <w:sz w:val="16"/>
          <w:szCs w:val="16"/>
          <w:b w:val="1"/>
          <w:bCs w:val="1"/>
          <w:color w:val="191919"/>
        </w:rPr>
        <w:t>-Cǥƌ ÄËä</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 xml:space="preserve">ä«ËÄ </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û ä¨</w:t>
      </w:r>
      <w:r>
        <w:rPr>
          <w:rFonts w:ascii="PMingLiU" w:cs="PMingLiU" w:eastAsia="PMingLiU" w:hAnsi="PMingLiU"/>
          <w:sz w:val="16"/>
          <w:szCs w:val="16"/>
          <w:b w:val="1"/>
          <w:bCs w:val="1"/>
          <w:color w:val="191919"/>
        </w:rPr>
        <w:t> </w:t>
      </w:r>
      <w:r>
        <w:rPr>
          <w:rFonts w:ascii="Arial" w:cs="Arial" w:eastAsia="Arial" w:hAnsi="Arial"/>
          <w:sz w:val="16"/>
          <w:szCs w:val="16"/>
          <w:b w:val="1"/>
          <w:bCs w:val="1"/>
          <w:color w:val="191919"/>
        </w:rPr>
        <w:t>Ã</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Ù«</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 xml:space="preserve">Ä </w:t>
      </w:r>
      <w:r>
        <w:rPr>
          <w:rFonts w:ascii="PMingLiU" w:cs="PMingLiU" w:eastAsia="PMingLiU" w:hAnsi="PMingLiU"/>
          <w:sz w:val="16"/>
          <w:szCs w:val="16"/>
          <w:b w:val="1"/>
          <w:bCs w:val="1"/>
          <w:color w:val="191919"/>
        </w:rPr>
        <w:t/>
      </w:r>
      <w:r>
        <w:rPr>
          <w:rFonts w:ascii="Arial" w:cs="Arial" w:eastAsia="Arial" w:hAnsi="Arial"/>
          <w:sz w:val="16"/>
          <w:szCs w:val="16"/>
          <w:b w:val="1"/>
          <w:bCs w:val="1"/>
          <w:color w:val="191919"/>
        </w:rPr>
        <w:t>éÙ</w:t>
      </w:r>
      <w:r>
        <w:rPr>
          <w:rFonts w:ascii="PMingLiU" w:cs="PMingLiU" w:eastAsia="PMingLiU" w:hAnsi="PMingLiU"/>
          <w:sz w:val="16"/>
          <w:szCs w:val="16"/>
          <w:b w:val="1"/>
          <w:bCs w:val="1"/>
          <w:color w:val="191919"/>
        </w:rPr>
        <w:t></w:t>
      </w:r>
      <w:r>
        <w:rPr>
          <w:rFonts w:ascii="Arial" w:cs="Arial" w:eastAsia="Arial" w:hAnsi="Arial"/>
          <w:sz w:val="16"/>
          <w:szCs w:val="16"/>
          <w:b w:val="1"/>
          <w:bCs w:val="1"/>
          <w:color w:val="191919"/>
        </w:rPr>
        <w:t>é Ë¢ [¨«ÖÖ«Ä£Ǐ «Ä</w:t>
      </w:r>
    </w:p>
    <w:p>
      <w:pPr>
        <w:spacing w:after="0" w:line="26" w:lineRule="exact"/>
        <w:rPr>
          <w:sz w:val="20"/>
          <w:szCs w:val="20"/>
          <w:color w:val="auto"/>
        </w:rPr>
      </w:pPr>
    </w:p>
    <w:p>
      <w:pPr>
        <w:ind w:left="3800"/>
        <w:spacing w:after="0" w:line="170" w:lineRule="exact"/>
        <w:rPr>
          <w:sz w:val="20"/>
          <w:szCs w:val="20"/>
          <w:color w:val="auto"/>
        </w:rPr>
      </w:pPr>
      <w:r>
        <w:rPr>
          <w:rFonts w:ascii="Arial" w:cs="Arial" w:eastAsia="Arial" w:hAnsi="Arial"/>
          <w:sz w:val="14"/>
          <w:szCs w:val="14"/>
          <w:b w:val="1"/>
          <w:bCs w:val="1"/>
          <w:color w:val="191919"/>
        </w:rPr>
        <w:t>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Ë£Ä«ä«ËÄ Ë¢ 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ÝéÝä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«½«äû Ë¢ «äÝ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Ý«£ÄǏ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Ë</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éÃ</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ä«ËÄǏ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ËÖ</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ä«ËÄ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 ÖÙË</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éÙ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Ýǔ</w:t>
      </w:r>
    </w:p>
    <w:p>
      <w:pPr>
        <w:sectPr>
          <w:pgSz w:w="11880" w:h="15480" w:orient="portrait"/>
          <w:cols w:equalWidth="0" w:num="1">
            <w:col w:w="10660"/>
          </w:cols>
          <w:pgMar w:left="520" w:top="650" w:right="700" w:bottom="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8"/>
          <w:szCs w:val="8"/>
          <w:color w:val="00014F"/>
        </w:rPr>
        <w:t>- -</w:t>
      </w:r>
    </w:p>
    <w:p>
      <w:pPr>
        <w:sectPr>
          <w:pgSz w:w="11880" w:h="15480" w:orient="portrait"/>
          <w:cols w:equalWidth="0" w:num="1">
            <w:col w:w="10660"/>
          </w:cols>
          <w:pgMar w:left="520" w:top="650" w:right="700" w:bottom="0" w:gutter="0" w:footer="0" w:header="0"/>
          <w:type w:val="continuous"/>
        </w:sectPr>
      </w:pPr>
    </w:p>
    <w:bookmarkStart w:id="4" w:name="page5"/>
    <w:bookmarkEnd w:id="4"/>
    <w:p>
      <w:pPr>
        <w:spacing w:after="0" w:line="437" w:lineRule="exact"/>
        <w:tabs>
          <w:tab w:leader="none" w:pos="4940" w:val="left"/>
        </w:tabs>
        <w:rPr>
          <w:sz w:val="20"/>
          <w:szCs w:val="20"/>
          <w:color w:val="auto"/>
        </w:rPr>
      </w:pPr>
      <w:r>
        <w:rPr>
          <w:rFonts w:ascii="Arial" w:cs="Arial" w:eastAsia="Arial" w:hAnsi="Arial"/>
          <w:sz w:val="36"/>
          <w:szCs w:val="36"/>
          <w:color w:val="003F9A"/>
        </w:rPr>
        <w:t>TÙË</w:t>
      </w:r>
      <w:r>
        <w:rPr>
          <w:rFonts w:ascii="PMingLiU" w:cs="PMingLiU" w:eastAsia="PMingLiU" w:hAnsi="PMingLiU"/>
          <w:sz w:val="36"/>
          <w:szCs w:val="36"/>
          <w:color w:val="003F9A"/>
        </w:rPr>
        <w:t></w:t>
      </w:r>
      <w:r>
        <w:rPr>
          <w:rFonts w:ascii="Arial" w:cs="Arial" w:eastAsia="Arial" w:hAnsi="Arial"/>
          <w:sz w:val="36"/>
          <w:szCs w:val="36"/>
          <w:color w:val="003F9A"/>
        </w:rPr>
        <w:t>é</w:t>
      </w:r>
      <w:r>
        <w:rPr>
          <w:rFonts w:ascii="PMingLiU" w:cs="PMingLiU" w:eastAsia="PMingLiU" w:hAnsi="PMingLiU"/>
          <w:sz w:val="36"/>
          <w:szCs w:val="36"/>
          <w:color w:val="003F9A"/>
        </w:rPr>
        <w:t></w:t>
      </w:r>
      <w:r>
        <w:rPr>
          <w:rFonts w:ascii="Arial" w:cs="Arial" w:eastAsia="Arial" w:hAnsi="Arial"/>
          <w:sz w:val="36"/>
          <w:szCs w:val="36"/>
          <w:color w:val="003F9A"/>
        </w:rPr>
        <w:t>ä [Ë½éä«ËÄÝ</w:t>
      </w:r>
      <w:r>
        <w:rPr>
          <w:sz w:val="20"/>
          <w:szCs w:val="20"/>
          <w:color w:val="auto"/>
        </w:rPr>
        <w:tab/>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x x I C B I</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 &lt;</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I W T I W</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b - I C</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FA001D"/>
        </w:rPr>
        <w:t>ț</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ƍ Ƌ ƍ Ǝ</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C C g</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&lt; W</w:t>
      </w:r>
      <w:r>
        <w:rPr>
          <w:rFonts w:ascii="PMingLiU" w:cs="PMingLiU" w:eastAsia="PMingLiU" w:hAnsi="PMingLiU"/>
          <w:sz w:val="16"/>
          <w:szCs w:val="16"/>
          <w:b w:val="1"/>
          <w:bCs w:val="1"/>
          <w:color w:val="333333"/>
        </w:rPr>
        <w:t xml:space="preserve">  </w:t>
      </w:r>
      <w:r>
        <w:rPr>
          <w:rFonts w:ascii="Arial" w:cs="Arial" w:eastAsia="Arial" w:hAnsi="Arial"/>
          <w:sz w:val="16"/>
          <w:szCs w:val="16"/>
          <w:b w:val="1"/>
          <w:bCs w:val="1"/>
          <w:color w:val="333333"/>
        </w:rPr>
        <w:t>T I W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2303145</wp:posOffset>
                </wp:positionV>
                <wp:extent cx="0" cy="59436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4360"/>
                        </a:xfrm>
                        <a:prstGeom prst="line">
                          <a:avLst/>
                        </a:prstGeom>
                        <a:solidFill>
                          <a:srgbClr val="FFFFFF"/>
                        </a:solidFill>
                        <a:ln w="0">
                          <a:solidFill>
                            <a:srgbClr val="4C4C4C"/>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1.35pt" to="0pt,228.15pt" o:allowincell="f" strokecolor="#4C4C4C" strokeweight="0pt"/>
            </w:pict>
          </mc:Fallback>
        </mc:AlternateContent>
        <w:drawing>
          <wp:anchor simplePos="0" relativeHeight="251657728" behindDoc="1" locked="0" layoutInCell="0" allowOverlap="1">
            <wp:simplePos x="0" y="0"/>
            <wp:positionH relativeFrom="column">
              <wp:posOffset>0</wp:posOffset>
            </wp:positionH>
            <wp:positionV relativeFrom="paragraph">
              <wp:posOffset>90805</wp:posOffset>
            </wp:positionV>
            <wp:extent cx="6629400" cy="2847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extLst>
                    </a:blip>
                    <a:srcRect/>
                    <a:stretch>
                      <a:fillRect/>
                    </a:stretch>
                  </pic:blipFill>
                  <pic:spPr bwMode="auto">
                    <a:xfrm>
                      <a:off x="0" y="0"/>
                      <a:ext cx="662940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60" w:right="1040" w:firstLine="1"/>
        <w:spacing w:after="0" w:line="230" w:lineRule="exact"/>
        <w:rPr>
          <w:sz w:val="20"/>
          <w:szCs w:val="20"/>
          <w:color w:val="auto"/>
        </w:rPr>
      </w:pPr>
      <w:r>
        <w:rPr>
          <w:rFonts w:ascii="Arial" w:cs="Arial" w:eastAsia="Arial" w:hAnsi="Arial"/>
          <w:sz w:val="18"/>
          <w:szCs w:val="18"/>
          <w:b w:val="1"/>
          <w:bCs w:val="1"/>
          <w:color w:val="FFFFFF"/>
        </w:rPr>
        <w:t>IéÙ 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Ùû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úÖ</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ÄÝ«ËÄ «Ä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éÃËÄäǏ b</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ú</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ÝǏ Ýä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Ùä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éÖ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Ë¢ Ý</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é½</w:t>
      </w:r>
      <w:r>
        <w:rPr>
          <w:rFonts w:ascii="PMingLiU" w:cs="PMingLiU" w:eastAsia="PMingLiU" w:hAnsi="PMingLiU"/>
          <w:sz w:val="18"/>
          <w:szCs w:val="18"/>
          <w:b w:val="1"/>
          <w:bCs w:val="1"/>
          <w:color w:val="FFFFFF"/>
        </w:rPr>
        <w:t> </w:t>
      </w:r>
      <w:r>
        <w:rPr>
          <w:rFonts w:ascii="Arial" w:cs="Arial" w:eastAsia="Arial" w:hAnsi="Arial"/>
          <w:sz w:val="18"/>
          <w:szCs w:val="18"/>
          <w:b w:val="1"/>
          <w:bCs w:val="1"/>
          <w:color w:val="FFFFFF"/>
        </w:rPr>
        <w:t>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Ã</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Ö½</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w:t>
      </w:r>
      <w:r>
        <w:rPr>
          <w:rFonts w:ascii="PMingLiU" w:cs="PMingLiU" w:eastAsia="PMingLiU" w:hAnsi="PMingLiU"/>
          <w:sz w:val="18"/>
          <w:szCs w:val="18"/>
          <w:b w:val="1"/>
          <w:bCs w:val="1"/>
          <w:color w:val="FFFFFF"/>
        </w:rPr>
        <w:t> </w:t>
      </w:r>
      <w:r>
        <w:rPr>
          <w:rFonts w:ascii="Arial" w:cs="Arial" w:eastAsia="Arial" w:hAnsi="Arial"/>
          <w:sz w:val="18"/>
          <w:szCs w:val="18"/>
          <w:b w:val="1"/>
          <w:bCs w:val="1"/>
          <w:color w:val="FFFFFF"/>
        </w:rPr>
        <w:t>Ö</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«äû Ë¢ ƍƐƋǏƋƋƋ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ÙÙ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½Ý Ö</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Ù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û «Ä B</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Ë¢ ƍƋƍƎǔ b¨</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õ éÄ«ä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Ý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ÃËÄÝäÙ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 ¨«£¨ 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½«</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 xml:space="preserve">«½«äûǏ </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ËÄäÙ«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éä«Ä£ äË 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ËÙ</w:t>
      </w:r>
      <w:r>
        <w:rPr>
          <w:rFonts w:ascii="PMingLiU" w:cs="PMingLiU" w:eastAsia="PMingLiU" w:hAnsi="PMingLiU"/>
          <w:sz w:val="18"/>
          <w:szCs w:val="18"/>
          <w:b w:val="1"/>
          <w:bCs w:val="1"/>
          <w:color w:val="FFFFFF"/>
        </w:rPr>
        <w:t> </w:t>
      </w:r>
      <w:r>
        <w:rPr>
          <w:rFonts w:ascii="Arial" w:cs="Arial" w:eastAsia="Arial" w:hAnsi="Arial"/>
          <w:sz w:val="18"/>
          <w:szCs w:val="18"/>
          <w:b w:val="1"/>
          <w:bCs w:val="1"/>
          <w:color w:val="FFFFFF"/>
        </w:rPr>
        <w:t>ÄÄé</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½ £½Ë</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½ Ù</w:t>
      </w:r>
      <w:r>
        <w:rPr>
          <w:rFonts w:ascii="PMingLiU" w:cs="PMingLiU" w:eastAsia="PMingLiU" w:hAnsi="PMingLiU"/>
          <w:sz w:val="18"/>
          <w:szCs w:val="18"/>
          <w:b w:val="1"/>
          <w:bCs w:val="1"/>
          <w:color w:val="FFFFFF"/>
        </w:rPr>
        <w:t></w:t>
      </w:r>
      <w:r>
        <w:rPr>
          <w:rFonts w:ascii="Arial" w:cs="Arial" w:eastAsia="Arial" w:hAnsi="Arial"/>
          <w:sz w:val="18"/>
          <w:szCs w:val="18"/>
          <w:b w:val="1"/>
          <w:bCs w:val="1"/>
          <w:color w:val="FFFFFF"/>
        </w:rPr>
        <w:t>¢«Ä«Ä£ ä¨ÙËé£¨Öéäǔ</w:t>
      </w:r>
      <w:r>
        <w:rPr>
          <w:rFonts w:ascii="Arial" w:cs="Arial" w:eastAsia="Arial" w:hAnsi="Arial"/>
          <w:sz w:val="20"/>
          <w:szCs w:val="20"/>
          <w:b w:val="1"/>
          <w:bCs w:val="1"/>
          <w:color w:val="FFFFFF"/>
          <w:vertAlign w:val="superscript"/>
        </w:rPr>
        <w:t>Ǝ</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104140</wp:posOffset>
                </wp:positionV>
                <wp:extent cx="4343400" cy="57340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3400" cy="5734050"/>
                        </a:xfrm>
                        <a:prstGeom prst="rect">
                          <a:avLst/>
                        </a:prstGeom>
                        <a:solidFill>
                          <a:srgbClr val="F2F2F2"/>
                        </a:solidFill>
                      </wps:spPr>
                      <wps:bodyPr/>
                    </wps:wsp>
                  </a:graphicData>
                </a:graphic>
              </wp:anchor>
            </w:drawing>
          </mc:Choice>
          <mc:Fallback>
            <w:pict>
              <v:rect id="Shape 20" o:spid="_x0000_s1045" style="position:absolute;margin-left:0pt;margin-top:8.2pt;width:342pt;height:45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sectPr>
          <w:pgSz w:w="11880" w:h="15480" w:orient="portrait"/>
          <w:cols w:equalWidth="0" w:num="1">
            <w:col w:w="10640"/>
          </w:cols>
          <w:pgMar w:left="720" w:top="682" w:right="520"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360"/>
        <w:spacing w:after="0" w:line="219" w:lineRule="exact"/>
        <w:rPr>
          <w:sz w:val="20"/>
          <w:szCs w:val="20"/>
          <w:color w:val="auto"/>
        </w:rPr>
      </w:pPr>
      <w:r>
        <w:rPr>
          <w:rFonts w:ascii="PMingLiU" w:cs="PMingLiU" w:eastAsia="PMingLiU" w:hAnsi="PMingLiU"/>
          <w:sz w:val="18"/>
          <w:szCs w:val="18"/>
          <w:color w:val="191919"/>
        </w:rPr>
        <w:t/>
      </w:r>
      <w:r>
        <w:rPr>
          <w:rFonts w:ascii="Arial" w:cs="Arial" w:eastAsia="Arial" w:hAnsi="Arial"/>
          <w:sz w:val="18"/>
          <w:szCs w:val="18"/>
          <w:color w:val="191919"/>
        </w:rPr>
        <w:t>Ý ä¨</w:t>
      </w:r>
      <w:r>
        <w:rPr>
          <w:rFonts w:ascii="PMingLiU" w:cs="PMingLiU" w:eastAsia="PMingLiU" w:hAnsi="PMingLiU"/>
          <w:sz w:val="18"/>
          <w:szCs w:val="18"/>
          <w:color w:val="191919"/>
        </w:rPr>
        <w:t></w:t>
      </w:r>
      <w:r>
        <w:rPr>
          <w:rFonts w:ascii="Arial" w:cs="Arial" w:eastAsia="Arial" w:hAnsi="Arial"/>
          <w:sz w:val="18"/>
          <w:szCs w:val="18"/>
          <w:color w:val="191919"/>
        </w:rPr>
        <w:t xml:space="preserve"> õËÙ½</w:t>
      </w:r>
      <w:r>
        <w:rPr>
          <w:rFonts w:ascii="PMingLiU" w:cs="PMingLiU" w:eastAsia="PMingLiU" w:hAnsi="PMingLiU"/>
          <w:sz w:val="18"/>
          <w:szCs w:val="18"/>
          <w:color w:val="191919"/>
        </w:rPr>
        <w:t></w:t>
      </w:r>
      <w:r>
        <w:rPr>
          <w:rFonts w:ascii="Arial" w:cs="Arial" w:eastAsia="Arial" w:hAnsi="Arial"/>
          <w:sz w:val="18"/>
          <w:szCs w:val="18"/>
          <w:color w:val="191919"/>
        </w:rPr>
        <w:t>ǯÝ ½</w:t>
      </w:r>
      <w:r>
        <w:rPr>
          <w:rFonts w:ascii="PMingLiU" w:cs="PMingLiU" w:eastAsia="PMingLiU" w:hAnsi="PMingLiU"/>
          <w:sz w:val="18"/>
          <w:szCs w:val="18"/>
          <w:color w:val="191919"/>
        </w:rPr>
        <w:t></w:t>
      </w:r>
      <w:r>
        <w:rPr>
          <w:rFonts w:ascii="Arial" w:cs="Arial" w:eastAsia="Arial" w:hAnsi="Arial"/>
          <w:sz w:val="18"/>
          <w:szCs w:val="18"/>
          <w:color w:val="191919"/>
        </w:rPr>
        <w:t>Ù£</w:t>
      </w:r>
      <w:r>
        <w:rPr>
          <w:rFonts w:ascii="PMingLiU" w:cs="PMingLiU" w:eastAsia="PMingLiU" w:hAnsi="PMingLiU"/>
          <w:sz w:val="18"/>
          <w:szCs w:val="18"/>
          <w:color w:val="191919"/>
        </w:rPr>
        <w:t></w:t>
      </w:r>
      <w:r>
        <w:rPr>
          <w:rFonts w:ascii="Arial" w:cs="Arial" w:eastAsia="Arial" w:hAnsi="Arial"/>
          <w:sz w:val="18"/>
          <w:szCs w:val="18"/>
          <w:color w:val="191919"/>
        </w:rPr>
        <w:t xml:space="preserve">Ýä </w:t>
      </w:r>
      <w:r>
        <w:rPr>
          <w:rFonts w:ascii="PMingLiU" w:cs="PMingLiU" w:eastAsia="PMingLiU" w:hAnsi="PMingLiU"/>
          <w:sz w:val="18"/>
          <w:szCs w:val="18"/>
          <w:color w:val="191919"/>
        </w:rPr>
        <w:t></w:t>
      </w:r>
      <w:r>
        <w:rPr>
          <w:rFonts w:ascii="Arial" w:cs="Arial" w:eastAsia="Arial" w:hAnsi="Arial"/>
          <w:sz w:val="18"/>
          <w:szCs w:val="18"/>
          <w:color w:val="191919"/>
        </w:rPr>
        <w:t>ËõÄÝäÙ</w:t>
      </w:r>
      <w:r>
        <w:rPr>
          <w:rFonts w:ascii="PMingLiU" w:cs="PMingLiU" w:eastAsia="PMingLiU" w:hAnsi="PMingLiU"/>
          <w:sz w:val="18"/>
          <w:szCs w:val="18"/>
          <w:color w:val="191919"/>
        </w:rPr>
        <w:t></w:t>
      </w:r>
      <w:r>
        <w:rPr>
          <w:rFonts w:ascii="Arial" w:cs="Arial" w:eastAsia="Arial" w:hAnsi="Arial"/>
          <w:sz w:val="18"/>
          <w:szCs w:val="18"/>
          <w:color w:val="191919"/>
        </w:rPr>
        <w:t xml:space="preserve">Ã </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 </w:t>
      </w:r>
      <w:r>
        <w:rPr>
          <w:rFonts w:ascii="Arial" w:cs="Arial" w:eastAsia="Arial" w:hAnsi="Arial"/>
          <w:sz w:val="18"/>
          <w:szCs w:val="18"/>
          <w:color w:val="191919"/>
        </w:rPr>
        <w:t>¨</w:t>
      </w:r>
      <w:r>
        <w:rPr>
          <w:rFonts w:ascii="PMingLiU" w:cs="PMingLiU" w:eastAsia="PMingLiU" w:hAnsi="PMingLiU"/>
          <w:sz w:val="18"/>
          <w:szCs w:val="18"/>
          <w:color w:val="191919"/>
        </w:rPr>
        <w:t></w:t>
      </w:r>
      <w:r>
        <w:rPr>
          <w:rFonts w:ascii="Arial" w:cs="Arial" w:eastAsia="Arial" w:hAnsi="Arial"/>
          <w:sz w:val="18"/>
          <w:szCs w:val="18"/>
          <w:color w:val="191919"/>
        </w:rPr>
        <w:t>Ã«</w:t>
      </w:r>
      <w:r>
        <w:rPr>
          <w:rFonts w:ascii="PMingLiU" w:cs="PMingLiU" w:eastAsia="PMingLiU" w:hAnsi="PMingLiU"/>
          <w:sz w:val="18"/>
          <w:szCs w:val="18"/>
          <w:color w:val="191919"/>
        </w:rPr>
        <w:t></w:t>
      </w:r>
      <w:r>
        <w:rPr>
          <w:rFonts w:ascii="Arial" w:cs="Arial" w:eastAsia="Arial" w:hAnsi="Arial"/>
          <w:sz w:val="18"/>
          <w:szCs w:val="18"/>
          <w:color w:val="191919"/>
        </w:rPr>
        <w:t xml:space="preserve">½ </w:t>
      </w:r>
      <w:r>
        <w:rPr>
          <w:rFonts w:ascii="PMingLiU" w:cs="PMingLiU" w:eastAsia="PMingLiU" w:hAnsi="PMingLiU"/>
          <w:sz w:val="18"/>
          <w:szCs w:val="18"/>
          <w:color w:val="191919"/>
        </w:rPr>
        <w:t></w:t>
      </w:r>
      <w:r>
        <w:rPr>
          <w:rFonts w:ascii="Arial" w:cs="Arial" w:eastAsia="Arial" w:hAnsi="Arial"/>
          <w:sz w:val="18"/>
          <w:szCs w:val="18"/>
          <w:color w:val="191919"/>
        </w:rPr>
        <w:t>ËÃÖ</w:t>
      </w:r>
      <w:r>
        <w:rPr>
          <w:rFonts w:ascii="PMingLiU" w:cs="PMingLiU" w:eastAsia="PMingLiU" w:hAnsi="PMingLiU"/>
          <w:sz w:val="18"/>
          <w:szCs w:val="18"/>
          <w:color w:val="191919"/>
        </w:rPr>
        <w:t></w:t>
      </w:r>
      <w:r>
        <w:rPr>
          <w:rFonts w:ascii="Arial" w:cs="Arial" w:eastAsia="Arial" w:hAnsi="Arial"/>
          <w:sz w:val="18"/>
          <w:szCs w:val="18"/>
          <w:color w:val="191919"/>
        </w:rPr>
        <w:t>ÄûǏ ËéÙ TÙË</w:t>
      </w:r>
      <w:r>
        <w:rPr>
          <w:rFonts w:ascii="PMingLiU" w:cs="PMingLiU" w:eastAsia="PMingLiU" w:hAnsi="PMingLiU"/>
          <w:sz w:val="18"/>
          <w:szCs w:val="18"/>
          <w:color w:val="191919"/>
        </w:rPr>
        <w:t></w:t>
      </w:r>
      <w:r>
        <w:rPr>
          <w:rFonts w:ascii="Arial" w:cs="Arial" w:eastAsia="Arial" w:hAnsi="Arial"/>
          <w:sz w:val="18"/>
          <w:szCs w:val="18"/>
          <w:color w:val="191919"/>
        </w:rPr>
        <w:t>é</w:t>
      </w:r>
      <w:r>
        <w:rPr>
          <w:rFonts w:ascii="PMingLiU" w:cs="PMingLiU" w:eastAsia="PMingLiU" w:hAnsi="PMingLiU"/>
          <w:sz w:val="18"/>
          <w:szCs w:val="18"/>
          <w:color w:val="191919"/>
        </w:rPr>
        <w:t></w:t>
      </w:r>
      <w:r>
        <w:rPr>
          <w:rFonts w:ascii="Arial" w:cs="Arial" w:eastAsia="Arial" w:hAnsi="Arial"/>
          <w:sz w:val="18"/>
          <w:szCs w:val="18"/>
          <w:color w:val="191919"/>
        </w:rPr>
        <w:t>ä</w:t>
      </w:r>
    </w:p>
    <w:p>
      <w:pPr>
        <w:spacing w:after="0" w:line="26" w:lineRule="exact"/>
        <w:rPr>
          <w:sz w:val="20"/>
          <w:szCs w:val="20"/>
          <w:color w:val="auto"/>
        </w:rPr>
      </w:pPr>
    </w:p>
    <w:p>
      <w:pPr>
        <w:ind w:left="360"/>
        <w:spacing w:after="0" w:line="219" w:lineRule="exact"/>
        <w:rPr>
          <w:sz w:val="20"/>
          <w:szCs w:val="20"/>
          <w:color w:val="auto"/>
        </w:rPr>
      </w:pPr>
      <w:r>
        <w:rPr>
          <w:rFonts w:ascii="Arial" w:cs="Arial" w:eastAsia="Arial" w:hAnsi="Arial"/>
          <w:sz w:val="18"/>
          <w:szCs w:val="18"/>
          <w:color w:val="191919"/>
        </w:rPr>
        <w:t xml:space="preserve">[Ë½éä«ËÄÝ </w:t>
      </w:r>
      <w:r>
        <w:rPr>
          <w:rFonts w:ascii="PMingLiU" w:cs="PMingLiU" w:eastAsia="PMingLiU" w:hAnsi="PMingLiU"/>
          <w:sz w:val="18"/>
          <w:szCs w:val="18"/>
          <w:color w:val="191919"/>
        </w:rPr>
        <w:t></w:t>
      </w:r>
      <w:r>
        <w:rPr>
          <w:rFonts w:ascii="Arial" w:cs="Arial" w:eastAsia="Arial" w:hAnsi="Arial"/>
          <w:sz w:val="18"/>
          <w:szCs w:val="18"/>
          <w:color w:val="191919"/>
        </w:rPr>
        <w:t>éÝ«Ä</w:t>
      </w:r>
      <w:r>
        <w:rPr>
          <w:rFonts w:ascii="PMingLiU" w:cs="PMingLiU" w:eastAsia="PMingLiU" w:hAnsi="PMingLiU"/>
          <w:sz w:val="18"/>
          <w:szCs w:val="18"/>
          <w:color w:val="191919"/>
        </w:rPr>
        <w:t></w:t>
      </w:r>
      <w:r>
        <w:rPr>
          <w:rFonts w:ascii="Arial" w:cs="Arial" w:eastAsia="Arial" w:hAnsi="Arial"/>
          <w:sz w:val="18"/>
          <w:szCs w:val="18"/>
          <w:color w:val="191919"/>
        </w:rPr>
        <w:t>ÝÝ ÖÙËô«</w:t>
      </w:r>
      <w:r>
        <w:rPr>
          <w:rFonts w:ascii="PMingLiU" w:cs="PMingLiU" w:eastAsia="PMingLiU" w:hAnsi="PMingLiU"/>
          <w:sz w:val="18"/>
          <w:szCs w:val="18"/>
          <w:color w:val="191919"/>
        </w:rPr>
        <w:t></w:t>
      </w:r>
      <w:r>
        <w:rPr>
          <w:rFonts w:ascii="Arial" w:cs="Arial" w:eastAsia="Arial" w:hAnsi="Arial"/>
          <w:sz w:val="18"/>
          <w:szCs w:val="18"/>
          <w:color w:val="191919"/>
        </w:rPr>
        <w:t>Ý ä¨</w:t>
      </w:r>
      <w:r>
        <w:rPr>
          <w:rFonts w:ascii="PMingLiU" w:cs="PMingLiU" w:eastAsia="PMingLiU" w:hAnsi="PMingLiU"/>
          <w:sz w:val="18"/>
          <w:szCs w:val="18"/>
          <w:color w:val="191919"/>
        </w:rPr>
        <w:t> </w:t>
      </w:r>
      <w:r>
        <w:rPr>
          <w:rFonts w:ascii="Arial" w:cs="Arial" w:eastAsia="Arial" w:hAnsi="Arial"/>
          <w:sz w:val="18"/>
          <w:szCs w:val="18"/>
          <w:color w:val="191919"/>
        </w:rPr>
        <w:t>é«½</w:t>
      </w:r>
      <w:r>
        <w:rPr>
          <w:rFonts w:ascii="PMingLiU" w:cs="PMingLiU" w:eastAsia="PMingLiU" w:hAnsi="PMingLiU"/>
          <w:sz w:val="18"/>
          <w:szCs w:val="18"/>
          <w:color w:val="191919"/>
        </w:rPr>
        <w:t></w:t>
      </w:r>
      <w:r>
        <w:rPr>
          <w:rFonts w:ascii="Arial" w:cs="Arial" w:eastAsia="Arial" w:hAnsi="Arial"/>
          <w:sz w:val="18"/>
          <w:szCs w:val="18"/>
          <w:color w:val="191919"/>
        </w:rPr>
        <w:t xml:space="preserve">«Ä£ </w:t>
      </w:r>
      <w:r>
        <w:rPr>
          <w:rFonts w:ascii="PMingLiU" w:cs="PMingLiU" w:eastAsia="PMingLiU" w:hAnsi="PMingLiU"/>
          <w:sz w:val="18"/>
          <w:szCs w:val="18"/>
          <w:color w:val="191919"/>
        </w:rPr>
        <w:t></w:t>
      </w:r>
      <w:r>
        <w:rPr>
          <w:rFonts w:ascii="Arial" w:cs="Arial" w:eastAsia="Arial" w:hAnsi="Arial"/>
          <w:sz w:val="18"/>
          <w:szCs w:val="18"/>
          <w:color w:val="191919"/>
        </w:rPr>
        <w:t>½Ë</w:t>
      </w:r>
      <w:r>
        <w:rPr>
          <w:rFonts w:ascii="PMingLiU" w:cs="PMingLiU" w:eastAsia="PMingLiU" w:hAnsi="PMingLiU"/>
          <w:sz w:val="18"/>
          <w:szCs w:val="18"/>
          <w:color w:val="191919"/>
        </w:rPr>
        <w:t></w:t>
      </w:r>
      <w:r>
        <w:rPr>
          <w:rFonts w:ascii="Arial" w:cs="Arial" w:eastAsia="Arial" w:hAnsi="Arial"/>
          <w:sz w:val="18"/>
          <w:szCs w:val="18"/>
          <w:color w:val="191919"/>
        </w:rPr>
        <w:t xml:space="preserve">ºÝ ¢ËÙ </w:t>
      </w:r>
      <w:r>
        <w:rPr>
          <w:rFonts w:ascii="PMingLiU" w:cs="PMingLiU" w:eastAsia="PMingLiU" w:hAnsi="PMingLiU"/>
          <w:sz w:val="18"/>
          <w:szCs w:val="18"/>
          <w:color w:val="191919"/>
        </w:rPr>
        <w:t></w:t>
      </w:r>
      <w:r>
        <w:rPr>
          <w:rFonts w:ascii="Arial" w:cs="Arial" w:eastAsia="Arial" w:hAnsi="Arial"/>
          <w:sz w:val="18"/>
          <w:szCs w:val="18"/>
          <w:color w:val="191919"/>
        </w:rPr>
        <w:t xml:space="preserve"> õ«</w:t>
      </w:r>
      <w:r>
        <w:rPr>
          <w:rFonts w:ascii="PMingLiU" w:cs="PMingLiU" w:eastAsia="PMingLiU" w:hAnsi="PMingLiU"/>
          <w:sz w:val="18"/>
          <w:szCs w:val="18"/>
          <w:color w:val="191919"/>
        </w:rPr>
        <w:t></w:t>
      </w:r>
      <w:r>
        <w:rPr>
          <w:rFonts w:ascii="Arial" w:cs="Arial" w:eastAsia="Arial" w:hAnsi="Arial"/>
          <w:sz w:val="18"/>
          <w:szCs w:val="18"/>
          <w:color w:val="191919"/>
        </w:rPr>
        <w:t xml:space="preserve"> Ù</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w:t>
      </w:r>
      <w:r>
        <w:rPr>
          <w:rFonts w:ascii="Arial" w:cs="Arial" w:eastAsia="Arial" w:hAnsi="Arial"/>
          <w:sz w:val="18"/>
          <w:szCs w:val="18"/>
          <w:color w:val="191919"/>
        </w:rPr>
        <w:t xml:space="preserve"> Ë¢</w:t>
      </w:r>
    </w:p>
    <w:p>
      <w:pPr>
        <w:spacing w:after="0" w:line="22" w:lineRule="exact"/>
        <w:rPr>
          <w:sz w:val="20"/>
          <w:szCs w:val="20"/>
          <w:color w:val="auto"/>
        </w:rPr>
      </w:pPr>
    </w:p>
    <w:p>
      <w:pPr>
        <w:ind w:left="360"/>
        <w:spacing w:after="0" w:line="207" w:lineRule="exact"/>
        <w:rPr>
          <w:sz w:val="20"/>
          <w:szCs w:val="20"/>
          <w:color w:val="auto"/>
        </w:rPr>
      </w:pPr>
      <w:r>
        <w:rPr>
          <w:rFonts w:ascii="Arial" w:cs="Arial" w:eastAsia="Arial" w:hAnsi="Arial"/>
          <w:sz w:val="17"/>
          <w:szCs w:val="17"/>
          <w:color w:val="191919"/>
        </w:rPr>
        <w:t>ÖÙË</w:t>
      </w:r>
      <w:r>
        <w:rPr>
          <w:rFonts w:ascii="PMingLiU" w:cs="PMingLiU" w:eastAsia="PMingLiU" w:hAnsi="PMingLiU"/>
          <w:sz w:val="17"/>
          <w:szCs w:val="17"/>
          <w:color w:val="191919"/>
        </w:rPr>
        <w:t></w:t>
      </w:r>
      <w:r>
        <w:rPr>
          <w:rFonts w:ascii="Arial" w:cs="Arial" w:eastAsia="Arial" w:hAnsi="Arial"/>
          <w:sz w:val="17"/>
          <w:szCs w:val="17"/>
          <w:color w:val="191919"/>
        </w:rPr>
        <w:t>é</w:t>
      </w:r>
      <w:r>
        <w:rPr>
          <w:rFonts w:ascii="PMingLiU" w:cs="PMingLiU" w:eastAsia="PMingLiU" w:hAnsi="PMingLiU"/>
          <w:sz w:val="17"/>
          <w:szCs w:val="17"/>
          <w:color w:val="191919"/>
        </w:rPr>
        <w:t></w:t>
      </w:r>
      <w:r>
        <w:rPr>
          <w:rFonts w:ascii="Arial" w:cs="Arial" w:eastAsia="Arial" w:hAnsi="Arial"/>
          <w:sz w:val="17"/>
          <w:szCs w:val="17"/>
          <w:color w:val="191919"/>
        </w:rPr>
        <w:t>äÝ ä¨</w:t>
      </w:r>
      <w:r>
        <w:rPr>
          <w:rFonts w:ascii="PMingLiU" w:cs="PMingLiU" w:eastAsia="PMingLiU" w:hAnsi="PMingLiU"/>
          <w:sz w:val="17"/>
          <w:szCs w:val="17"/>
          <w:color w:val="191919"/>
        </w:rPr>
        <w:t></w:t>
      </w:r>
      <w:r>
        <w:rPr>
          <w:rFonts w:ascii="Arial" w:cs="Arial" w:eastAsia="Arial" w:hAnsi="Arial"/>
          <w:sz w:val="17"/>
          <w:szCs w:val="17"/>
          <w:color w:val="191919"/>
        </w:rPr>
        <w:t xml:space="preserve">ä </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 xml:space="preserve"> Ä</w:t>
      </w:r>
      <w:r>
        <w:rPr>
          <w:rFonts w:ascii="PMingLiU" w:cs="PMingLiU" w:eastAsia="PMingLiU" w:hAnsi="PMingLiU"/>
          <w:sz w:val="17"/>
          <w:szCs w:val="17"/>
          <w:color w:val="191919"/>
        </w:rPr>
        <w:t></w:t>
      </w:r>
      <w:r>
        <w:rPr>
          <w:rFonts w:ascii="Arial" w:cs="Arial" w:eastAsia="Arial" w:hAnsi="Arial"/>
          <w:sz w:val="17"/>
          <w:szCs w:val="17"/>
          <w:color w:val="191919"/>
        </w:rPr>
        <w:t xml:space="preserve"> ¢ËÙ ÃË</w:t>
      </w:r>
      <w:r>
        <w:rPr>
          <w:rFonts w:ascii="PMingLiU" w:cs="PMingLiU" w:eastAsia="PMingLiU" w:hAnsi="PMingLiU"/>
          <w:sz w:val="17"/>
          <w:szCs w:val="17"/>
          <w:color w:val="191919"/>
        </w:rPr>
        <w:t></w:t>
      </w:r>
      <w:r>
        <w:rPr>
          <w:rFonts w:ascii="Arial" w:cs="Arial" w:eastAsia="Arial" w:hAnsi="Arial"/>
          <w:sz w:val="17"/>
          <w:szCs w:val="17"/>
          <w:color w:val="191919"/>
        </w:rPr>
        <w:t>ÙÄ ½«¢</w:t>
      </w:r>
      <w:r>
        <w:rPr>
          <w:rFonts w:ascii="PMingLiU" w:cs="PMingLiU" w:eastAsia="PMingLiU" w:hAnsi="PMingLiU"/>
          <w:sz w:val="17"/>
          <w:szCs w:val="17"/>
          <w:color w:val="191919"/>
        </w:rPr>
        <w:t></w:t>
      </w:r>
      <w:r>
        <w:rPr>
          <w:rFonts w:ascii="Arial" w:cs="Arial" w:eastAsia="Arial" w:hAnsi="Arial"/>
          <w:sz w:val="17"/>
          <w:szCs w:val="17"/>
          <w:color w:val="191919"/>
        </w:rPr>
        <w:t>ǔ b¨</w:t>
      </w:r>
      <w:r>
        <w:rPr>
          <w:rFonts w:ascii="PMingLiU" w:cs="PMingLiU" w:eastAsia="PMingLiU" w:hAnsi="PMingLiU"/>
          <w:sz w:val="17"/>
          <w:szCs w:val="17"/>
          <w:color w:val="191919"/>
        </w:rPr>
        <w:t></w:t>
      </w:r>
      <w:r>
        <w:rPr>
          <w:rFonts w:ascii="Arial" w:cs="Arial" w:eastAsia="Arial" w:hAnsi="Arial"/>
          <w:sz w:val="17"/>
          <w:szCs w:val="17"/>
          <w:color w:val="191919"/>
        </w:rPr>
        <w:t>Ý</w:t>
      </w:r>
      <w:r>
        <w:rPr>
          <w:rFonts w:ascii="PMingLiU" w:cs="PMingLiU" w:eastAsia="PMingLiU" w:hAnsi="PMingLiU"/>
          <w:sz w:val="17"/>
          <w:szCs w:val="17"/>
          <w:color w:val="191919"/>
        </w:rPr>
        <w:t></w:t>
      </w:r>
      <w:r>
        <w:rPr>
          <w:rFonts w:ascii="Arial" w:cs="Arial" w:eastAsia="Arial" w:hAnsi="Arial"/>
          <w:sz w:val="17"/>
          <w:szCs w:val="17"/>
          <w:color w:val="191919"/>
        </w:rPr>
        <w:t xml:space="preserve"> «Ä</w:t>
      </w:r>
      <w:r>
        <w:rPr>
          <w:rFonts w:ascii="PMingLiU" w:cs="PMingLiU" w:eastAsia="PMingLiU" w:hAnsi="PMingLiU"/>
          <w:sz w:val="17"/>
          <w:szCs w:val="17"/>
          <w:color w:val="191919"/>
        </w:rPr>
        <w:t></w:t>
      </w:r>
      <w:r>
        <w:rPr>
          <w:rFonts w:ascii="Arial" w:cs="Arial" w:eastAsia="Arial" w:hAnsi="Arial"/>
          <w:sz w:val="17"/>
          <w:szCs w:val="17"/>
          <w:color w:val="191919"/>
        </w:rPr>
        <w:t>½é</w:t>
      </w:r>
      <w:r>
        <w:rPr>
          <w:rFonts w:ascii="PMingLiU" w:cs="PMingLiU" w:eastAsia="PMingLiU" w:hAnsi="PMingLiU"/>
          <w:sz w:val="17"/>
          <w:szCs w:val="17"/>
          <w:color w:val="191919"/>
        </w:rPr>
        <w:t></w:t>
      </w:r>
      <w:r>
        <w:rPr>
          <w:rFonts w:ascii="Arial" w:cs="Arial" w:eastAsia="Arial" w:hAnsi="Arial"/>
          <w:sz w:val="17"/>
          <w:szCs w:val="17"/>
          <w:color w:val="191919"/>
        </w:rPr>
        <w:t xml:space="preserve"> ¢é</w:t>
      </w:r>
      <w:r>
        <w:rPr>
          <w:rFonts w:ascii="PMingLiU" w:cs="PMingLiU" w:eastAsia="PMingLiU" w:hAnsi="PMingLiU"/>
          <w:sz w:val="17"/>
          <w:szCs w:val="17"/>
          <w:color w:val="191919"/>
        </w:rPr>
        <w:t></w:t>
      </w:r>
      <w:r>
        <w:rPr>
          <w:rFonts w:ascii="Arial" w:cs="Arial" w:eastAsia="Arial" w:hAnsi="Arial"/>
          <w:sz w:val="17"/>
          <w:szCs w:val="17"/>
          <w:color w:val="191919"/>
        </w:rPr>
        <w:t>½ÝǏ ½é</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ÄäÝǏ</w:t>
      </w:r>
    </w:p>
    <w:p>
      <w:pPr>
        <w:spacing w:after="0" w:line="34" w:lineRule="exact"/>
        <w:rPr>
          <w:sz w:val="20"/>
          <w:szCs w:val="20"/>
          <w:color w:val="auto"/>
        </w:rPr>
      </w:pPr>
    </w:p>
    <w:p>
      <w:pPr>
        <w:ind w:left="360"/>
        <w:spacing w:after="0" w:line="194" w:lineRule="exact"/>
        <w:rPr>
          <w:sz w:val="20"/>
          <w:szCs w:val="20"/>
          <w:color w:val="auto"/>
        </w:rPr>
      </w:pP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 xml:space="preserve"> ¢«½ÃÝǏ </w:t>
      </w:r>
      <w:r>
        <w:rPr>
          <w:rFonts w:ascii="PMingLiU" w:cs="PMingLiU" w:eastAsia="PMingLiU" w:hAnsi="PMingLiU"/>
          <w:sz w:val="16"/>
          <w:szCs w:val="16"/>
          <w:color w:val="191919"/>
        </w:rPr>
        <w:t></w:t>
      </w:r>
      <w:r>
        <w:rPr>
          <w:rFonts w:ascii="Arial" w:cs="Arial" w:eastAsia="Arial" w:hAnsi="Arial"/>
          <w:sz w:val="16"/>
          <w:szCs w:val="16"/>
          <w:color w:val="191919"/>
        </w:rPr>
        <w:t>Ý õ</w:t>
      </w:r>
      <w:r>
        <w:rPr>
          <w:rFonts w:ascii="PMingLiU" w:cs="PMingLiU" w:eastAsia="PMingLiU" w:hAnsi="PMingLiU"/>
          <w:sz w:val="16"/>
          <w:szCs w:val="16"/>
          <w:color w:val="191919"/>
        </w:rPr>
        <w:t></w:t>
      </w:r>
      <w:r>
        <w:rPr>
          <w:rFonts w:ascii="Arial" w:cs="Arial" w:eastAsia="Arial" w:hAnsi="Arial"/>
          <w:sz w:val="16"/>
          <w:szCs w:val="16"/>
          <w:color w:val="191919"/>
        </w:rPr>
        <w:t xml:space="preserve">½½ </w:t>
      </w:r>
      <w:r>
        <w:rPr>
          <w:rFonts w:ascii="PMingLiU" w:cs="PMingLiU" w:eastAsia="PMingLiU" w:hAnsi="PMingLiU"/>
          <w:sz w:val="16"/>
          <w:szCs w:val="16"/>
          <w:color w:val="191919"/>
        </w:rPr>
        <w:t></w:t>
      </w:r>
      <w:r>
        <w:rPr>
          <w:rFonts w:ascii="Arial" w:cs="Arial" w:eastAsia="Arial" w:hAnsi="Arial"/>
          <w:sz w:val="16"/>
          <w:szCs w:val="16"/>
          <w:color w:val="191919"/>
        </w:rPr>
        <w:t>Ý ä¨</w:t>
      </w:r>
      <w:r>
        <w:rPr>
          <w:rFonts w:ascii="PMingLiU" w:cs="PMingLiU" w:eastAsia="PMingLiU" w:hAnsi="PMingLiU"/>
          <w:sz w:val="16"/>
          <w:szCs w:val="16"/>
          <w:color w:val="191919"/>
        </w:rPr>
        <w:t></w:t>
      </w:r>
      <w:r>
        <w:rPr>
          <w:rFonts w:ascii="Arial" w:cs="Arial" w:eastAsia="Arial" w:hAnsi="Arial"/>
          <w:sz w:val="16"/>
          <w:szCs w:val="16"/>
          <w:color w:val="191919"/>
        </w:rPr>
        <w:t xml:space="preserve"> Ã</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Ù«</w:t>
      </w:r>
      <w:r>
        <w:rPr>
          <w:rFonts w:ascii="PMingLiU" w:cs="PMingLiU" w:eastAsia="PMingLiU" w:hAnsi="PMingLiU"/>
          <w:sz w:val="16"/>
          <w:szCs w:val="16"/>
          <w:color w:val="191919"/>
        </w:rPr>
        <w:t></w:t>
      </w:r>
      <w:r>
        <w:rPr>
          <w:rFonts w:ascii="Arial" w:cs="Arial" w:eastAsia="Arial" w:hAnsi="Arial"/>
          <w:sz w:val="16"/>
          <w:szCs w:val="16"/>
          <w:color w:val="191919"/>
        </w:rPr>
        <w:t>½Ý éÝ</w:t>
      </w:r>
      <w:r>
        <w:rPr>
          <w:rFonts w:ascii="PMingLiU" w:cs="PMingLiU" w:eastAsia="PMingLiU" w:hAnsi="PMingLiU"/>
          <w:sz w:val="16"/>
          <w:szCs w:val="16"/>
          <w:color w:val="191919"/>
        </w:rPr>
        <w:t></w:t>
      </w:r>
      <w:r>
        <w:rPr>
          <w:rFonts w:ascii="Arial" w:cs="Arial" w:eastAsia="Arial" w:hAnsi="Arial"/>
          <w:sz w:val="16"/>
          <w:szCs w:val="16"/>
          <w:color w:val="191919"/>
        </w:rPr>
        <w:t xml:space="preserve"> «Ä Ö</w:t>
      </w:r>
      <w:r>
        <w:rPr>
          <w:rFonts w:ascii="PMingLiU" w:cs="PMingLiU" w:eastAsia="PMingLiU" w:hAnsi="PMingLiU"/>
          <w:sz w:val="16"/>
          <w:szCs w:val="16"/>
          <w:color w:val="191919"/>
        </w:rPr>
        <w:t></w:t>
      </w:r>
      <w:r>
        <w:rPr>
          <w:rFonts w:ascii="Arial" w:cs="Arial" w:eastAsia="Arial" w:hAnsi="Arial"/>
          <w:sz w:val="16"/>
          <w:szCs w:val="16"/>
          <w:color w:val="191919"/>
        </w:rPr>
        <w:t>º</w:t>
      </w:r>
      <w:r>
        <w:rPr>
          <w:rFonts w:ascii="PMingLiU" w:cs="PMingLiU" w:eastAsia="PMingLiU" w:hAnsi="PMingLiU"/>
          <w:sz w:val="16"/>
          <w:szCs w:val="16"/>
          <w:color w:val="191919"/>
        </w:rPr>
        <w:t></w:t>
      </w:r>
      <w:r>
        <w:rPr>
          <w:rFonts w:ascii="Arial" w:cs="Arial" w:eastAsia="Arial" w:hAnsi="Arial"/>
          <w:sz w:val="16"/>
          <w:szCs w:val="16"/>
          <w:color w:val="191919"/>
        </w:rPr>
        <w:t>£«Ä£Ǐ Ã</w:t>
      </w:r>
      <w:r>
        <w:rPr>
          <w:rFonts w:ascii="PMingLiU" w:cs="PMingLiU" w:eastAsia="PMingLiU" w:hAnsi="PMingLiU"/>
          <w:sz w:val="16"/>
          <w:szCs w:val="16"/>
          <w:color w:val="191919"/>
        </w:rPr>
        <w:t></w:t>
      </w:r>
      <w:r>
        <w:rPr>
          <w:rFonts w:ascii="Arial" w:cs="Arial" w:eastAsia="Arial" w:hAnsi="Arial"/>
          <w:sz w:val="16"/>
          <w:szCs w:val="16"/>
          <w:color w:val="191919"/>
        </w:rPr>
        <w:t>«</w:t>
      </w:r>
      <w:r>
        <w:rPr>
          <w:rFonts w:ascii="PMingLiU" w:cs="PMingLiU" w:eastAsia="PMingLiU" w:hAnsi="PMingLiU"/>
          <w:sz w:val="16"/>
          <w:szCs w:val="16"/>
          <w:color w:val="191919"/>
        </w:rPr>
        <w:t></w:t>
      </w:r>
      <w:r>
        <w:rPr>
          <w:rFonts w:ascii="Arial" w:cs="Arial" w:eastAsia="Arial" w:hAnsi="Arial"/>
          <w:sz w:val="16"/>
          <w:szCs w:val="16"/>
          <w:color w:val="191919"/>
        </w:rPr>
        <w:t xml:space="preserve">½ </w:t>
      </w:r>
      <w:r>
        <w:rPr>
          <w:rFonts w:ascii="PMingLiU" w:cs="PMingLiU" w:eastAsia="PMingLiU" w:hAnsi="PMingLiU"/>
          <w:sz w:val="16"/>
          <w:szCs w:val="16"/>
          <w:color w:val="191919"/>
        </w:rPr>
        <w:t></w:t>
      </w:r>
      <w:r>
        <w:rPr>
          <w:rFonts w:ascii="Arial" w:cs="Arial" w:eastAsia="Arial" w:hAnsi="Arial"/>
          <w:sz w:val="16"/>
          <w:szCs w:val="16"/>
          <w:color w:val="191919"/>
        </w:rPr>
        <w:t>Øé«ÖÃ</w:t>
      </w:r>
      <w:r>
        <w:rPr>
          <w:rFonts w:ascii="PMingLiU" w:cs="PMingLiU" w:eastAsia="PMingLiU" w:hAnsi="PMingLiU"/>
          <w:sz w:val="16"/>
          <w:szCs w:val="16"/>
          <w:color w:val="191919"/>
        </w:rPr>
        <w:t></w:t>
      </w:r>
      <w:r>
        <w:rPr>
          <w:rFonts w:ascii="Arial" w:cs="Arial" w:eastAsia="Arial" w:hAnsi="Arial"/>
          <w:sz w:val="16"/>
          <w:szCs w:val="16"/>
          <w:color w:val="191919"/>
        </w:rPr>
        <w:t>ÄäǏ</w:t>
      </w:r>
    </w:p>
    <w:p>
      <w:pPr>
        <w:spacing w:after="0" w:line="46" w:lineRule="exact"/>
        <w:rPr>
          <w:sz w:val="20"/>
          <w:szCs w:val="20"/>
          <w:color w:val="auto"/>
        </w:rPr>
      </w:pPr>
    </w:p>
    <w:p>
      <w:pPr>
        <w:ind w:left="360"/>
        <w:spacing w:after="0" w:line="207" w:lineRule="exact"/>
        <w:rPr>
          <w:sz w:val="20"/>
          <w:szCs w:val="20"/>
          <w:color w:val="auto"/>
        </w:rPr>
      </w:pPr>
      <w:r>
        <w:rPr>
          <w:rFonts w:ascii="Arial" w:cs="Arial" w:eastAsia="Arial" w:hAnsi="Arial"/>
          <w:sz w:val="17"/>
          <w:szCs w:val="17"/>
          <w:color w:val="191919"/>
        </w:rPr>
        <w:t>Ö½</w:t>
      </w:r>
      <w:r>
        <w:rPr>
          <w:rFonts w:ascii="PMingLiU" w:cs="PMingLiU" w:eastAsia="PMingLiU" w:hAnsi="PMingLiU"/>
          <w:sz w:val="17"/>
          <w:szCs w:val="17"/>
          <w:color w:val="191919"/>
        </w:rPr>
        <w:t></w:t>
      </w:r>
      <w:r>
        <w:rPr>
          <w:rFonts w:ascii="Arial" w:cs="Arial" w:eastAsia="Arial" w:hAnsi="Arial"/>
          <w:sz w:val="17"/>
          <w:szCs w:val="17"/>
          <w:color w:val="191919"/>
        </w:rPr>
        <w:t>Ýä«</w:t>
      </w:r>
      <w:r>
        <w:rPr>
          <w:rFonts w:ascii="PMingLiU" w:cs="PMingLiU" w:eastAsia="PMingLiU" w:hAnsi="PMingLiU"/>
          <w:sz w:val="17"/>
          <w:szCs w:val="17"/>
          <w:color w:val="191919"/>
        </w:rPr>
        <w:t></w:t>
      </w:r>
      <w:r>
        <w:rPr>
          <w:rFonts w:ascii="Arial" w:cs="Arial" w:eastAsia="Arial" w:hAnsi="Arial"/>
          <w:sz w:val="17"/>
          <w:szCs w:val="17"/>
          <w:color w:val="191919"/>
        </w:rPr>
        <w:t xml:space="preserve">ÝǏ </w:t>
      </w:r>
      <w:r>
        <w:rPr>
          <w:rFonts w:ascii="PMingLiU" w:cs="PMingLiU" w:eastAsia="PMingLiU" w:hAnsi="PMingLiU"/>
          <w:sz w:val="17"/>
          <w:szCs w:val="17"/>
          <w:color w:val="191919"/>
        </w:rPr>
        <w:t></w:t>
      </w:r>
      <w:r>
        <w:rPr>
          <w:rFonts w:ascii="Arial" w:cs="Arial" w:eastAsia="Arial" w:hAnsi="Arial"/>
          <w:sz w:val="17"/>
          <w:szCs w:val="17"/>
          <w:color w:val="191919"/>
        </w:rPr>
        <w:t>Ù Ö</w:t>
      </w:r>
      <w:r>
        <w:rPr>
          <w:rFonts w:ascii="PMingLiU" w:cs="PMingLiU" w:eastAsia="PMingLiU" w:hAnsi="PMingLiU"/>
          <w:sz w:val="17"/>
          <w:szCs w:val="17"/>
          <w:color w:val="191919"/>
        </w:rPr>
        <w:t></w:t>
      </w:r>
      <w:r>
        <w:rPr>
          <w:rFonts w:ascii="Arial" w:cs="Arial" w:eastAsia="Arial" w:hAnsi="Arial"/>
          <w:sz w:val="17"/>
          <w:szCs w:val="17"/>
          <w:color w:val="191919"/>
        </w:rPr>
        <w:t>ÙäÝǏ ÃË</w:t>
      </w:r>
      <w:r>
        <w:rPr>
          <w:rFonts w:ascii="PMingLiU" w:cs="PMingLiU" w:eastAsia="PMingLiU" w:hAnsi="PMingLiU"/>
          <w:sz w:val="17"/>
          <w:szCs w:val="17"/>
          <w:color w:val="191919"/>
        </w:rPr>
        <w:t></w:t>
      </w:r>
      <w:r>
        <w:rPr>
          <w:rFonts w:ascii="Arial" w:cs="Arial" w:eastAsia="Arial" w:hAnsi="Arial"/>
          <w:sz w:val="17"/>
          <w:szCs w:val="17"/>
          <w:color w:val="191919"/>
        </w:rPr>
        <w:t>«½</w:t>
      </w:r>
      <w:r>
        <w:rPr>
          <w:rFonts w:ascii="PMingLiU" w:cs="PMingLiU" w:eastAsia="PMingLiU" w:hAnsi="PMingLiU"/>
          <w:sz w:val="17"/>
          <w:szCs w:val="17"/>
          <w:color w:val="191919"/>
        </w:rPr>
        <w:t> </w:t>
      </w:r>
      <w:r>
        <w:rPr>
          <w:rFonts w:ascii="Arial" w:cs="Arial" w:eastAsia="Arial" w:hAnsi="Arial"/>
          <w:sz w:val="17"/>
          <w:szCs w:val="17"/>
          <w:color w:val="191919"/>
        </w:rPr>
        <w:t>ô«</w:t>
      </w:r>
      <w:r>
        <w:rPr>
          <w:rFonts w:ascii="PMingLiU" w:cs="PMingLiU" w:eastAsia="PMingLiU" w:hAnsi="PMingLiU"/>
          <w:sz w:val="17"/>
          <w:szCs w:val="17"/>
          <w:color w:val="191919"/>
        </w:rPr>
        <w:t></w:t>
      </w:r>
      <w:r>
        <w:rPr>
          <w:rFonts w:ascii="Arial" w:cs="Arial" w:eastAsia="Arial" w:hAnsi="Arial"/>
          <w:sz w:val="17"/>
          <w:szCs w:val="17"/>
          <w:color w:val="191919"/>
        </w:rPr>
        <w:t xml:space="preserve">ÝǏ </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 </w:t>
      </w:r>
      <w:r>
        <w:rPr>
          <w:rFonts w:ascii="Arial" w:cs="Arial" w:eastAsia="Arial" w:hAnsi="Arial"/>
          <w:sz w:val="17"/>
          <w:szCs w:val="17"/>
          <w:color w:val="191919"/>
        </w:rPr>
        <w:t>ËéÄä½</w:t>
      </w:r>
      <w:r>
        <w:rPr>
          <w:rFonts w:ascii="PMingLiU" w:cs="PMingLiU" w:eastAsia="PMingLiU" w:hAnsi="PMingLiU"/>
          <w:sz w:val="17"/>
          <w:szCs w:val="17"/>
          <w:color w:val="191919"/>
        </w:rPr>
        <w:t></w:t>
      </w:r>
      <w:r>
        <w:rPr>
          <w:rFonts w:ascii="Arial" w:cs="Arial" w:eastAsia="Arial" w:hAnsi="Arial"/>
          <w:sz w:val="17"/>
          <w:szCs w:val="17"/>
          <w:color w:val="191919"/>
        </w:rPr>
        <w:t>ÝÝ Ëä¨</w:t>
      </w:r>
      <w:r>
        <w:rPr>
          <w:rFonts w:ascii="PMingLiU" w:cs="PMingLiU" w:eastAsia="PMingLiU" w:hAnsi="PMingLiU"/>
          <w:sz w:val="17"/>
          <w:szCs w:val="17"/>
          <w:color w:val="191919"/>
        </w:rPr>
        <w:t></w:t>
      </w:r>
      <w:r>
        <w:rPr>
          <w:rFonts w:ascii="Arial" w:cs="Arial" w:eastAsia="Arial" w:hAnsi="Arial"/>
          <w:sz w:val="17"/>
          <w:szCs w:val="17"/>
          <w:color w:val="191919"/>
        </w:rPr>
        <w:t xml:space="preserve">Ù </w:t>
      </w:r>
      <w:r>
        <w:rPr>
          <w:rFonts w:ascii="PMingLiU" w:cs="PMingLiU" w:eastAsia="PMingLiU" w:hAnsi="PMingLiU"/>
          <w:sz w:val="17"/>
          <w:szCs w:val="17"/>
          <w:color w:val="191919"/>
        </w:rPr>
        <w:t></w:t>
      </w:r>
      <w:r>
        <w:rPr>
          <w:rFonts w:ascii="Arial" w:cs="Arial" w:eastAsia="Arial" w:hAnsi="Arial"/>
          <w:sz w:val="17"/>
          <w:szCs w:val="17"/>
          <w:color w:val="191919"/>
        </w:rPr>
        <w:t>ËÄÝéÃ</w:t>
      </w:r>
      <w:r>
        <w:rPr>
          <w:rFonts w:ascii="PMingLiU" w:cs="PMingLiU" w:eastAsia="PMingLiU" w:hAnsi="PMingLiU"/>
          <w:sz w:val="17"/>
          <w:szCs w:val="17"/>
          <w:color w:val="191919"/>
        </w:rPr>
        <w:t></w:t>
      </w:r>
      <w:r>
        <w:rPr>
          <w:rFonts w:ascii="Arial" w:cs="Arial" w:eastAsia="Arial" w:hAnsi="Arial"/>
          <w:sz w:val="17"/>
          <w:szCs w:val="17"/>
          <w:color w:val="191919"/>
        </w:rPr>
        <w:t>Ù £ËË</w:t>
      </w:r>
      <w:r>
        <w:rPr>
          <w:rFonts w:ascii="PMingLiU" w:cs="PMingLiU" w:eastAsia="PMingLiU" w:hAnsi="PMingLiU"/>
          <w:sz w:val="17"/>
          <w:szCs w:val="17"/>
          <w:color w:val="191919"/>
        </w:rPr>
        <w:t></w:t>
      </w:r>
      <w:r>
        <w:rPr>
          <w:rFonts w:ascii="Arial" w:cs="Arial" w:eastAsia="Arial" w:hAnsi="Arial"/>
          <w:sz w:val="17"/>
          <w:szCs w:val="17"/>
          <w:color w:val="191919"/>
        </w:rPr>
        <w:t>Ý</w:t>
      </w:r>
    </w:p>
    <w:p>
      <w:pPr>
        <w:spacing w:after="0" w:line="32" w:lineRule="exact"/>
        <w:rPr>
          <w:sz w:val="20"/>
          <w:szCs w:val="20"/>
          <w:color w:val="auto"/>
        </w:rPr>
      </w:pPr>
    </w:p>
    <w:p>
      <w:pPr>
        <w:ind w:left="360"/>
        <w:spacing w:after="0" w:line="243" w:lineRule="exact"/>
        <w:rPr>
          <w:sz w:val="20"/>
          <w:szCs w:val="20"/>
          <w:color w:val="auto"/>
        </w:rPr>
      </w:pPr>
      <w:r>
        <w:rPr>
          <w:rFonts w:ascii="Arial" w:cs="Arial" w:eastAsia="Arial" w:hAnsi="Arial"/>
          <w:sz w:val="20"/>
          <w:szCs w:val="20"/>
          <w:color w:val="191919"/>
        </w:rPr>
        <w:t>Ǥ ÖÙË</w:t>
      </w:r>
      <w:r>
        <w:rPr>
          <w:rFonts w:ascii="PMingLiU" w:cs="PMingLiU" w:eastAsia="PMingLiU" w:hAnsi="PMingLiU"/>
          <w:sz w:val="20"/>
          <w:szCs w:val="20"/>
          <w:color w:val="191919"/>
        </w:rPr>
        <w:t></w:t>
      </w:r>
      <w:r>
        <w:rPr>
          <w:rFonts w:ascii="Arial" w:cs="Arial" w:eastAsia="Arial" w:hAnsi="Arial"/>
          <w:sz w:val="20"/>
          <w:szCs w:val="20"/>
          <w:color w:val="191919"/>
        </w:rPr>
        <w:t>é</w:t>
      </w:r>
      <w:r>
        <w:rPr>
          <w:rFonts w:ascii="PMingLiU" w:cs="PMingLiU" w:eastAsia="PMingLiU" w:hAnsi="PMingLiU"/>
          <w:sz w:val="20"/>
          <w:szCs w:val="20"/>
          <w:color w:val="191919"/>
        </w:rPr>
        <w:t></w:t>
      </w:r>
      <w:r>
        <w:rPr>
          <w:rFonts w:ascii="Arial" w:cs="Arial" w:eastAsia="Arial" w:hAnsi="Arial"/>
          <w:sz w:val="20"/>
          <w:szCs w:val="20"/>
          <w:color w:val="191919"/>
        </w:rPr>
        <w:t>äÝ õ</w:t>
      </w:r>
      <w:r>
        <w:rPr>
          <w:rFonts w:ascii="PMingLiU" w:cs="PMingLiU" w:eastAsia="PMingLiU" w:hAnsi="PMingLiU"/>
          <w:sz w:val="20"/>
          <w:szCs w:val="20"/>
          <w:color w:val="191919"/>
        </w:rPr>
        <w:t> </w:t>
      </w:r>
      <w:r>
        <w:rPr>
          <w:rFonts w:ascii="Arial" w:cs="Arial" w:eastAsia="Arial" w:hAnsi="Arial"/>
          <w:sz w:val="20"/>
          <w:szCs w:val="20"/>
          <w:color w:val="191919"/>
        </w:rPr>
        <w:t>½½ Ä</w:t>
      </w:r>
      <w:r>
        <w:rPr>
          <w:rFonts w:ascii="PMingLiU" w:cs="PMingLiU" w:eastAsia="PMingLiU" w:hAnsi="PMingLiU"/>
          <w:sz w:val="20"/>
          <w:szCs w:val="20"/>
          <w:color w:val="191919"/>
        </w:rPr>
        <w:t> </w:t>
      </w:r>
      <w:r>
        <w:rPr>
          <w:rFonts w:ascii="Arial" w:cs="Arial" w:eastAsia="Arial" w:hAnsi="Arial"/>
          <w:sz w:val="20"/>
          <w:szCs w:val="20"/>
          <w:color w:val="191919"/>
        </w:rPr>
        <w:t>Ä</w:t>
      </w:r>
      <w:r>
        <w:rPr>
          <w:rFonts w:ascii="PMingLiU" w:cs="PMingLiU" w:eastAsia="PMingLiU" w:hAnsi="PMingLiU"/>
          <w:sz w:val="20"/>
          <w:szCs w:val="20"/>
          <w:color w:val="191919"/>
        </w:rPr>
        <w:t></w:t>
      </w:r>
      <w:r>
        <w:rPr>
          <w:rFonts w:ascii="Arial" w:cs="Arial" w:eastAsia="Arial" w:hAnsi="Arial"/>
          <w:sz w:val="20"/>
          <w:szCs w:val="20"/>
          <w:color w:val="191919"/>
        </w:rPr>
        <w:t xml:space="preserve"> éÝ</w:t>
      </w:r>
      <w:r>
        <w:rPr>
          <w:rFonts w:ascii="PMingLiU" w:cs="PMingLiU" w:eastAsia="PMingLiU" w:hAnsi="PMingLiU"/>
          <w:sz w:val="20"/>
          <w:szCs w:val="20"/>
          <w:color w:val="191919"/>
        </w:rPr>
        <w:t> </w:t>
      </w:r>
      <w:r>
        <w:rPr>
          <w:rFonts w:ascii="Arial" w:cs="Arial" w:eastAsia="Arial" w:hAnsi="Arial"/>
          <w:sz w:val="20"/>
          <w:szCs w:val="20"/>
          <w:color w:val="191919"/>
        </w:rPr>
        <w:t>ô</w:t>
      </w:r>
      <w:r>
        <w:rPr>
          <w:rFonts w:ascii="PMingLiU" w:cs="PMingLiU" w:eastAsia="PMingLiU" w:hAnsi="PMingLiU"/>
          <w:sz w:val="20"/>
          <w:szCs w:val="20"/>
          <w:color w:val="191919"/>
        </w:rPr>
        <w:t></w:t>
      </w:r>
      <w:r>
        <w:rPr>
          <w:rFonts w:ascii="Arial" w:cs="Arial" w:eastAsia="Arial" w:hAnsi="Arial"/>
          <w:sz w:val="20"/>
          <w:szCs w:val="20"/>
          <w:color w:val="191919"/>
        </w:rPr>
        <w:t xml:space="preserve">Ùû </w:t>
      </w:r>
      <w:r>
        <w:rPr>
          <w:rFonts w:ascii="PMingLiU" w:cs="PMingLiU" w:eastAsia="PMingLiU" w:hAnsi="PMingLiU"/>
          <w:sz w:val="20"/>
          <w:szCs w:val="20"/>
          <w:color w:val="191919"/>
        </w:rPr>
        <w:t></w:t>
      </w:r>
      <w:r>
        <w:rPr>
          <w:rFonts w:ascii="Arial" w:cs="Arial" w:eastAsia="Arial" w:hAnsi="Arial"/>
          <w:sz w:val="20"/>
          <w:szCs w:val="20"/>
          <w:color w:val="191919"/>
        </w:rPr>
        <w:t>ûǔ</w:t>
      </w:r>
    </w:p>
    <w:p>
      <w:pPr>
        <w:spacing w:after="0" w:line="236" w:lineRule="exact"/>
        <w:rPr>
          <w:sz w:val="20"/>
          <w:szCs w:val="20"/>
          <w:color w:val="auto"/>
        </w:rPr>
      </w:pPr>
    </w:p>
    <w:p>
      <w:pPr>
        <w:ind w:left="360" w:right="260"/>
        <w:spacing w:after="0" w:line="240" w:lineRule="exact"/>
        <w:rPr>
          <w:sz w:val="20"/>
          <w:szCs w:val="20"/>
          <w:color w:val="auto"/>
        </w:rPr>
      </w:pPr>
      <w:r>
        <w:rPr>
          <w:rFonts w:ascii="Arial" w:cs="Arial" w:eastAsia="Arial" w:hAnsi="Arial"/>
          <w:sz w:val="17"/>
          <w:szCs w:val="17"/>
          <w:color w:val="191919"/>
        </w:rPr>
        <w:t xml:space="preserve">IéÙ </w:t>
      </w:r>
      <w:r>
        <w:rPr>
          <w:rFonts w:ascii="PMingLiU" w:cs="PMingLiU" w:eastAsia="PMingLiU" w:hAnsi="PMingLiU"/>
          <w:sz w:val="17"/>
          <w:szCs w:val="17"/>
          <w:color w:val="191919"/>
        </w:rPr>
        <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Ù£û TÙË</w:t>
      </w:r>
      <w:r>
        <w:rPr>
          <w:rFonts w:ascii="PMingLiU" w:cs="PMingLiU" w:eastAsia="PMingLiU" w:hAnsi="PMingLiU"/>
          <w:sz w:val="17"/>
          <w:szCs w:val="17"/>
          <w:color w:val="191919"/>
        </w:rPr>
        <w:t></w:t>
      </w:r>
      <w:r>
        <w:rPr>
          <w:rFonts w:ascii="Arial" w:cs="Arial" w:eastAsia="Arial" w:hAnsi="Arial"/>
          <w:sz w:val="17"/>
          <w:szCs w:val="17"/>
          <w:color w:val="191919"/>
        </w:rPr>
        <w:t>é</w:t>
      </w:r>
      <w:r>
        <w:rPr>
          <w:rFonts w:ascii="PMingLiU" w:cs="PMingLiU" w:eastAsia="PMingLiU" w:hAnsi="PMingLiU"/>
          <w:sz w:val="17"/>
          <w:szCs w:val="17"/>
          <w:color w:val="191919"/>
        </w:rPr>
        <w:t></w:t>
      </w:r>
      <w:r>
        <w:rPr>
          <w:rFonts w:ascii="Arial" w:cs="Arial" w:eastAsia="Arial" w:hAnsi="Arial"/>
          <w:sz w:val="17"/>
          <w:szCs w:val="17"/>
          <w:color w:val="191919"/>
        </w:rPr>
        <w:t xml:space="preserve">äÝ ÖËÙä¢Ë½«Ë </w:t>
      </w:r>
      <w:r>
        <w:rPr>
          <w:rFonts w:ascii="PMingLiU" w:cs="PMingLiU" w:eastAsia="PMingLiU" w:hAnsi="PMingLiU"/>
          <w:sz w:val="17"/>
          <w:szCs w:val="17"/>
          <w:color w:val="191919"/>
        </w:rPr>
        <w:t></w:t>
      </w:r>
      <w:r>
        <w:rPr>
          <w:rFonts w:ascii="Arial" w:cs="Arial" w:eastAsia="Arial" w:hAnsi="Arial"/>
          <w:sz w:val="17"/>
          <w:szCs w:val="17"/>
          <w:color w:val="191919"/>
        </w:rPr>
        <w:t>½«ô</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 xml:space="preserve"> Ù</w:t>
      </w:r>
      <w:r>
        <w:rPr>
          <w:rFonts w:ascii="PMingLiU" w:cs="PMingLiU" w:eastAsia="PMingLiU" w:hAnsi="PMingLiU"/>
          <w:sz w:val="17"/>
          <w:szCs w:val="17"/>
          <w:color w:val="191919"/>
        </w:rPr>
        <w:t></w:t>
      </w:r>
      <w:r>
        <w:rPr>
          <w:rFonts w:ascii="Arial" w:cs="Arial" w:eastAsia="Arial" w:hAnsi="Arial"/>
          <w:sz w:val="17"/>
          <w:szCs w:val="17"/>
          <w:color w:val="191919"/>
        </w:rPr>
        <w:t>ËÙ</w:t>
      </w:r>
      <w:r>
        <w:rPr>
          <w:rFonts w:ascii="PMingLiU" w:cs="PMingLiU" w:eastAsia="PMingLiU" w:hAnsi="PMingLiU"/>
          <w:sz w:val="17"/>
          <w:szCs w:val="17"/>
          <w:color w:val="191919"/>
        </w:rPr>
        <w:t></w:t>
      </w:r>
      <w:r>
        <w:rPr>
          <w:rFonts w:ascii="Arial" w:cs="Arial" w:eastAsia="Arial" w:hAnsi="Arial"/>
          <w:sz w:val="17"/>
          <w:szCs w:val="17"/>
          <w:color w:val="191919"/>
        </w:rPr>
        <w:t xml:space="preserve"> £½Ë</w:t>
      </w:r>
      <w:r>
        <w:rPr>
          <w:rFonts w:ascii="PMingLiU" w:cs="PMingLiU" w:eastAsia="PMingLiU" w:hAnsi="PMingLiU"/>
          <w:sz w:val="17"/>
          <w:szCs w:val="17"/>
          <w:color w:val="191919"/>
        </w:rPr>
        <w:t></w:t>
      </w:r>
      <w:r>
        <w:rPr>
          <w:rFonts w:ascii="Arial" w:cs="Arial" w:eastAsia="Arial" w:hAnsi="Arial"/>
          <w:sz w:val="17"/>
          <w:szCs w:val="17"/>
          <w:color w:val="191919"/>
        </w:rPr>
        <w:t>½ Ù</w:t>
      </w:r>
      <w:r>
        <w:rPr>
          <w:rFonts w:ascii="PMingLiU" w:cs="PMingLiU" w:eastAsia="PMingLiU" w:hAnsi="PMingLiU"/>
          <w:sz w:val="17"/>
          <w:szCs w:val="17"/>
          <w:color w:val="191919"/>
        </w:rPr>
        <w:t></w:t>
      </w:r>
      <w:r>
        <w:rPr>
          <w:rFonts w:ascii="Arial" w:cs="Arial" w:eastAsia="Arial" w:hAnsi="Arial"/>
          <w:sz w:val="17"/>
          <w:szCs w:val="17"/>
          <w:color w:val="191919"/>
        </w:rPr>
        <w:t>¢«Ä«Ä£ ä¨ÙËé£¨Öéä «Ä ƍƋƍƎǏ</w:t>
      </w:r>
      <w:r>
        <w:rPr>
          <w:rFonts w:ascii="Arial" w:cs="Arial" w:eastAsia="Arial" w:hAnsi="Arial"/>
          <w:sz w:val="20"/>
          <w:szCs w:val="20"/>
          <w:color w:val="191919"/>
          <w:vertAlign w:val="superscript"/>
        </w:rPr>
        <w:t>Ǝ</w:t>
      </w:r>
      <w:r>
        <w:rPr>
          <w:rFonts w:ascii="Arial" w:cs="Arial" w:eastAsia="Arial" w:hAnsi="Arial"/>
          <w:sz w:val="17"/>
          <w:szCs w:val="17"/>
          <w:color w:val="191919"/>
        </w:rPr>
        <w:t xml:space="preserve"> ä¨</w:t>
      </w:r>
      <w:r>
        <w:rPr>
          <w:rFonts w:ascii="PMingLiU" w:cs="PMingLiU" w:eastAsia="PMingLiU" w:hAnsi="PMingLiU"/>
          <w:sz w:val="17"/>
          <w:szCs w:val="17"/>
          <w:color w:val="191919"/>
        </w:rPr>
        <w:t></w:t>
      </w:r>
      <w:r>
        <w:rPr>
          <w:rFonts w:ascii="Arial" w:cs="Arial" w:eastAsia="Arial" w:hAnsi="Arial"/>
          <w:sz w:val="17"/>
          <w:szCs w:val="17"/>
          <w:color w:val="191919"/>
        </w:rPr>
        <w:t>ÄºÝ äË Ù</w:t>
      </w:r>
      <w:r>
        <w:rPr>
          <w:rFonts w:ascii="PMingLiU" w:cs="PMingLiU" w:eastAsia="PMingLiU" w:hAnsi="PMingLiU"/>
          <w:sz w:val="17"/>
          <w:szCs w:val="17"/>
          <w:color w:val="191919"/>
        </w:rPr>
        <w:t></w:t>
      </w:r>
      <w:r>
        <w:rPr>
          <w:rFonts w:ascii="Arial" w:cs="Arial" w:eastAsia="Arial" w:hAnsi="Arial"/>
          <w:sz w:val="17"/>
          <w:szCs w:val="17"/>
          <w:color w:val="191919"/>
        </w:rPr>
        <w:t>ËÙ</w:t>
      </w:r>
      <w:r>
        <w:rPr>
          <w:rFonts w:ascii="PMingLiU" w:cs="PMingLiU" w:eastAsia="PMingLiU" w:hAnsi="PMingLiU"/>
          <w:sz w:val="17"/>
          <w:szCs w:val="17"/>
          <w:color w:val="191919"/>
        </w:rPr>
        <w:t></w:t>
      </w:r>
      <w:r>
        <w:rPr>
          <w:rFonts w:ascii="Arial" w:cs="Arial" w:eastAsia="Arial" w:hAnsi="Arial"/>
          <w:sz w:val="17"/>
          <w:szCs w:val="17"/>
          <w:color w:val="191919"/>
        </w:rPr>
        <w:t xml:space="preserve"> Ù</w:t>
      </w:r>
      <w:r>
        <w:rPr>
          <w:rFonts w:ascii="PMingLiU" w:cs="PMingLiU" w:eastAsia="PMingLiU" w:hAnsi="PMingLiU"/>
          <w:sz w:val="17"/>
          <w:szCs w:val="17"/>
          <w:color w:val="191919"/>
        </w:rPr>
        <w:t></w:t>
      </w:r>
      <w:r>
        <w:rPr>
          <w:rFonts w:ascii="Arial" w:cs="Arial" w:eastAsia="Arial" w:hAnsi="Arial"/>
          <w:sz w:val="17"/>
          <w:szCs w:val="17"/>
          <w:color w:val="191919"/>
        </w:rPr>
        <w:t>½«</w:t>
      </w:r>
      <w:r>
        <w:rPr>
          <w:rFonts w:ascii="PMingLiU" w:cs="PMingLiU" w:eastAsia="PMingLiU" w:hAnsi="PMingLiU"/>
          <w:sz w:val="17"/>
          <w:szCs w:val="17"/>
          <w:color w:val="191919"/>
        </w:rPr>
        <w:t></w:t>
      </w:r>
      <w:r>
        <w:rPr>
          <w:rFonts w:ascii="Arial" w:cs="Arial" w:eastAsia="Arial" w:hAnsi="Arial"/>
          <w:sz w:val="17"/>
          <w:szCs w:val="17"/>
          <w:color w:val="191919"/>
        </w:rPr>
        <w:t>«½«äû</w:t>
      </w:r>
      <w:r>
        <w:rPr>
          <w:rFonts w:ascii="Arial" w:cs="Arial" w:eastAsia="Arial" w:hAnsi="Arial"/>
          <w:sz w:val="20"/>
          <w:szCs w:val="20"/>
          <w:color w:val="191919"/>
          <w:vertAlign w:val="superscript"/>
        </w:rPr>
        <w:t>ƌƍ</w:t>
      </w:r>
      <w:r>
        <w:rPr>
          <w:rFonts w:ascii="Arial" w:cs="Arial" w:eastAsia="Arial" w:hAnsi="Arial"/>
          <w:sz w:val="17"/>
          <w:szCs w:val="17"/>
          <w:color w:val="191919"/>
        </w:rPr>
        <w:t xml:space="preserve"> </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 xml:space="preserve"> ä¨</w:t>
      </w:r>
      <w:r>
        <w:rPr>
          <w:rFonts w:ascii="PMingLiU" w:cs="PMingLiU" w:eastAsia="PMingLiU" w:hAnsi="PMingLiU"/>
          <w:sz w:val="17"/>
          <w:szCs w:val="17"/>
          <w:color w:val="191919"/>
        </w:rPr>
        <w:t></w:t>
      </w:r>
      <w:r>
        <w:rPr>
          <w:rFonts w:ascii="Arial" w:cs="Arial" w:eastAsia="Arial" w:hAnsi="Arial"/>
          <w:sz w:val="17"/>
          <w:szCs w:val="17"/>
          <w:color w:val="191919"/>
        </w:rPr>
        <w:t xml:space="preserve"> Ýä</w:t>
      </w:r>
      <w:r>
        <w:rPr>
          <w:rFonts w:ascii="PMingLiU" w:cs="PMingLiU" w:eastAsia="PMingLiU" w:hAnsi="PMingLiU"/>
          <w:sz w:val="17"/>
          <w:szCs w:val="17"/>
          <w:color w:val="191919"/>
        </w:rPr>
        <w:t></w:t>
      </w:r>
      <w:r>
        <w:rPr>
          <w:rFonts w:ascii="Arial" w:cs="Arial" w:eastAsia="Arial" w:hAnsi="Arial"/>
          <w:sz w:val="17"/>
          <w:szCs w:val="17"/>
          <w:color w:val="191919"/>
        </w:rPr>
        <w:t>ÙäǥéÖ Ë¢ ËéÙ Ù</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 xml:space="preserve">Ùû </w:t>
      </w:r>
      <w:r>
        <w:rPr>
          <w:rFonts w:ascii="PMingLiU" w:cs="PMingLiU" w:eastAsia="PMingLiU" w:hAnsi="PMingLiU"/>
          <w:sz w:val="17"/>
          <w:szCs w:val="17"/>
          <w:color w:val="191919"/>
        </w:rPr>
        <w:t></w:t>
      </w:r>
      <w:r>
        <w:rPr>
          <w:rFonts w:ascii="Arial" w:cs="Arial" w:eastAsia="Arial" w:hAnsi="Arial"/>
          <w:sz w:val="17"/>
          <w:szCs w:val="17"/>
          <w:color w:val="191919"/>
        </w:rPr>
        <w:t>úÖ</w:t>
      </w:r>
      <w:r>
        <w:rPr>
          <w:rFonts w:ascii="PMingLiU" w:cs="PMingLiU" w:eastAsia="PMingLiU" w:hAnsi="PMingLiU"/>
          <w:sz w:val="17"/>
          <w:szCs w:val="17"/>
          <w:color w:val="191919"/>
        </w:rPr>
        <w:t></w:t>
      </w:r>
      <w:r>
        <w:rPr>
          <w:rFonts w:ascii="Arial" w:cs="Arial" w:eastAsia="Arial" w:hAnsi="Arial"/>
          <w:sz w:val="17"/>
          <w:szCs w:val="17"/>
          <w:color w:val="191919"/>
        </w:rPr>
        <w:t xml:space="preserve">ÄÝ«ËÄ «Ä </w:t>
      </w:r>
      <w:r>
        <w:rPr>
          <w:rFonts w:ascii="PMingLiU" w:cs="PMingLiU" w:eastAsia="PMingLiU" w:hAnsi="PMingLiU"/>
          <w:sz w:val="17"/>
          <w:szCs w:val="17"/>
          <w:color w:val="191919"/>
        </w:rPr>
        <w:t></w:t>
      </w:r>
      <w:r>
        <w:rPr>
          <w:rFonts w:ascii="Arial" w:cs="Arial" w:eastAsia="Arial" w:hAnsi="Arial"/>
          <w:sz w:val="17"/>
          <w:szCs w:val="17"/>
          <w:color w:val="191919"/>
        </w:rPr>
        <w:t>éÃËÄäǏ b</w:t>
      </w:r>
      <w:r>
        <w:rPr>
          <w:rFonts w:ascii="PMingLiU" w:cs="PMingLiU" w:eastAsia="PMingLiU" w:hAnsi="PMingLiU"/>
          <w:sz w:val="17"/>
          <w:szCs w:val="17"/>
          <w:color w:val="191919"/>
        </w:rPr>
        <w:t></w:t>
      </w:r>
      <w:r>
        <w:rPr>
          <w:rFonts w:ascii="Arial" w:cs="Arial" w:eastAsia="Arial" w:hAnsi="Arial"/>
          <w:sz w:val="17"/>
          <w:szCs w:val="17"/>
          <w:color w:val="191919"/>
        </w:rPr>
        <w:t>ú</w:t>
      </w:r>
      <w:r>
        <w:rPr>
          <w:rFonts w:ascii="PMingLiU" w:cs="PMingLiU" w:eastAsia="PMingLiU" w:hAnsi="PMingLiU"/>
          <w:sz w:val="17"/>
          <w:szCs w:val="17"/>
          <w:color w:val="191919"/>
        </w:rPr>
        <w:t></w:t>
      </w:r>
      <w:r>
        <w:rPr>
          <w:rFonts w:ascii="Arial" w:cs="Arial" w:eastAsia="Arial" w:hAnsi="Arial"/>
          <w:sz w:val="17"/>
          <w:szCs w:val="17"/>
          <w:color w:val="191919"/>
        </w:rPr>
        <w:t>Ý Ǥ ä¨</w:t>
      </w:r>
      <w:r>
        <w:rPr>
          <w:rFonts w:ascii="PMingLiU" w:cs="PMingLiU" w:eastAsia="PMingLiU" w:hAnsi="PMingLiU"/>
          <w:sz w:val="17"/>
          <w:szCs w:val="17"/>
          <w:color w:val="191919"/>
        </w:rPr>
        <w:t></w:t>
      </w:r>
      <w:r>
        <w:rPr>
          <w:rFonts w:ascii="Arial" w:cs="Arial" w:eastAsia="Arial" w:hAnsi="Arial"/>
          <w:sz w:val="17"/>
          <w:szCs w:val="17"/>
          <w:color w:val="191919"/>
        </w:rPr>
        <w:t xml:space="preserve"> ½</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Ýä «Ä</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Ý</w:t>
      </w:r>
      <w:r>
        <w:rPr>
          <w:rFonts w:ascii="PMingLiU" w:cs="PMingLiU" w:eastAsia="PMingLiU" w:hAnsi="PMingLiU"/>
          <w:sz w:val="17"/>
          <w:szCs w:val="17"/>
          <w:color w:val="191919"/>
        </w:rPr>
        <w:t></w:t>
      </w:r>
      <w:r>
        <w:rPr>
          <w:rFonts w:ascii="Arial" w:cs="Arial" w:eastAsia="Arial" w:hAnsi="Arial"/>
          <w:sz w:val="17"/>
          <w:szCs w:val="17"/>
          <w:color w:val="191919"/>
        </w:rPr>
        <w:t xml:space="preserve"> «Ä gǔ[ǔ Ù</w:t>
      </w:r>
      <w:r>
        <w:rPr>
          <w:rFonts w:ascii="PMingLiU" w:cs="PMingLiU" w:eastAsia="PMingLiU" w:hAnsi="PMingLiU"/>
          <w:sz w:val="17"/>
          <w:szCs w:val="17"/>
          <w:color w:val="191919"/>
        </w:rPr>
        <w:t></w:t>
      </w:r>
      <w:r>
        <w:rPr>
          <w:rFonts w:ascii="Arial" w:cs="Arial" w:eastAsia="Arial" w:hAnsi="Arial"/>
          <w:sz w:val="17"/>
          <w:szCs w:val="17"/>
          <w:color w:val="191919"/>
        </w:rPr>
        <w:t xml:space="preserve">¢«Ä«Ä£ </w:t>
      </w:r>
      <w:r>
        <w:rPr>
          <w:rFonts w:ascii="PMingLiU" w:cs="PMingLiU" w:eastAsia="PMingLiU" w:hAnsi="PMingLiU"/>
          <w:sz w:val="17"/>
          <w:szCs w:val="17"/>
          <w:color w:val="191919"/>
        </w:rPr>
        <w:t></w:t>
      </w:r>
      <w:r>
        <w:rPr>
          <w:rFonts w:ascii="Arial" w:cs="Arial" w:eastAsia="Arial" w:hAnsi="Arial"/>
          <w:sz w:val="17"/>
          <w:szCs w:val="17"/>
          <w:color w:val="191919"/>
        </w:rPr>
        <w:t>Ö</w:t>
      </w:r>
      <w:r>
        <w:rPr>
          <w:rFonts w:ascii="PMingLiU" w:cs="PMingLiU" w:eastAsia="PMingLiU" w:hAnsi="PMingLiU"/>
          <w:sz w:val="17"/>
          <w:szCs w:val="17"/>
          <w:color w:val="191919"/>
        </w:rPr>
        <w:t></w:t>
      </w:r>
      <w:r>
        <w:rPr>
          <w:rFonts w:ascii="Arial" w:cs="Arial" w:eastAsia="Arial" w:hAnsi="Arial"/>
          <w:sz w:val="17"/>
          <w:szCs w:val="17"/>
          <w:color w:val="191919"/>
        </w:rPr>
        <w:t>«äû «Ä ÃËÙ</w:t>
      </w:r>
      <w:r>
        <w:rPr>
          <w:rFonts w:ascii="PMingLiU" w:cs="PMingLiU" w:eastAsia="PMingLiU" w:hAnsi="PMingLiU"/>
          <w:sz w:val="17"/>
          <w:szCs w:val="17"/>
          <w:color w:val="191919"/>
        </w:rPr>
        <w:t></w:t>
      </w:r>
      <w:r>
        <w:rPr>
          <w:rFonts w:ascii="Arial" w:cs="Arial" w:eastAsia="Arial" w:hAnsi="Arial"/>
          <w:sz w:val="17"/>
          <w:szCs w:val="17"/>
          <w:color w:val="191919"/>
        </w:rPr>
        <w:t xml:space="preserve"> ä¨</w:t>
      </w:r>
      <w:r>
        <w:rPr>
          <w:rFonts w:ascii="PMingLiU" w:cs="PMingLiU" w:eastAsia="PMingLiU" w:hAnsi="PMingLiU"/>
          <w:sz w:val="17"/>
          <w:szCs w:val="17"/>
          <w:color w:val="191919"/>
        </w:rPr>
        <w:t></w:t>
      </w:r>
      <w:r>
        <w:rPr>
          <w:rFonts w:ascii="Arial" w:cs="Arial" w:eastAsia="Arial" w:hAnsi="Arial"/>
          <w:sz w:val="17"/>
          <w:szCs w:val="17"/>
          <w:color w:val="191919"/>
        </w:rPr>
        <w:t xml:space="preserve">Ä </w:t>
      </w:r>
      <w:r>
        <w:rPr>
          <w:rFonts w:ascii="PMingLiU" w:cs="PMingLiU" w:eastAsia="PMingLiU" w:hAnsi="PMingLiU"/>
          <w:sz w:val="17"/>
          <w:szCs w:val="17"/>
          <w:color w:val="191919"/>
        </w:rPr>
        <w:t> </w:t>
      </w:r>
      <w:r>
        <w:rPr>
          <w:rFonts w:ascii="Arial" w:cs="Arial" w:eastAsia="Arial" w:hAnsi="Arial"/>
          <w:sz w:val="17"/>
          <w:szCs w:val="17"/>
          <w:color w:val="191919"/>
        </w:rPr>
        <w:t xml:space="preserve">ǔ -Ä </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Ǐ õ</w:t>
      </w:r>
      <w:r>
        <w:rPr>
          <w:rFonts w:ascii="PMingLiU" w:cs="PMingLiU" w:eastAsia="PMingLiU" w:hAnsi="PMingLiU"/>
          <w:sz w:val="17"/>
          <w:szCs w:val="17"/>
          <w:color w:val="191919"/>
        </w:rPr>
        <w:t> </w:t>
      </w:r>
      <w:r>
        <w:rPr>
          <w:rFonts w:ascii="Arial" w:cs="Arial" w:eastAsia="Arial" w:hAnsi="Arial"/>
          <w:sz w:val="17"/>
          <w:szCs w:val="17"/>
          <w:color w:val="191919"/>
        </w:rPr>
        <w:t>ô</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 xml:space="preserve"> </w:t>
      </w:r>
      <w:r>
        <w:rPr>
          <w:rFonts w:ascii="PMingLiU" w:cs="PMingLiU" w:eastAsia="PMingLiU" w:hAnsi="PMingLiU"/>
          <w:sz w:val="17"/>
          <w:szCs w:val="17"/>
          <w:color w:val="191919"/>
        </w:rPr>
        <w:t></w:t>
      </w:r>
      <w:r>
        <w:rPr>
          <w:rFonts w:ascii="Arial" w:cs="Arial" w:eastAsia="Arial" w:hAnsi="Arial"/>
          <w:sz w:val="17"/>
          <w:szCs w:val="17"/>
          <w:color w:val="191919"/>
        </w:rPr>
        <w:t xml:space="preserve"> ƍƋǏƋƋƋ </w:t>
      </w:r>
      <w:r>
        <w:rPr>
          <w:rFonts w:ascii="PMingLiU" w:cs="PMingLiU" w:eastAsia="PMingLiU" w:hAnsi="PMingLiU"/>
          <w:sz w:val="17"/>
          <w:szCs w:val="17"/>
          <w:color w:val="191919"/>
        </w:rPr>
        <w:t></w:t>
      </w:r>
      <w:r>
        <w:rPr>
          <w:rFonts w:ascii="Arial" w:cs="Arial" w:eastAsia="Arial" w:hAnsi="Arial"/>
          <w:sz w:val="17"/>
          <w:szCs w:val="17"/>
          <w:color w:val="191919"/>
        </w:rPr>
        <w:t>ÙÙ</w:t>
      </w:r>
      <w:r>
        <w:rPr>
          <w:rFonts w:ascii="PMingLiU" w:cs="PMingLiU" w:eastAsia="PMingLiU" w:hAnsi="PMingLiU"/>
          <w:sz w:val="17"/>
          <w:szCs w:val="17"/>
          <w:color w:val="191919"/>
        </w:rPr>
        <w:t></w:t>
      </w:r>
      <w:r>
        <w:rPr>
          <w:rFonts w:ascii="Arial" w:cs="Arial" w:eastAsia="Arial" w:hAnsi="Arial"/>
          <w:sz w:val="17"/>
          <w:szCs w:val="17"/>
          <w:color w:val="191919"/>
        </w:rPr>
        <w:t>½ǥÖ</w:t>
      </w:r>
      <w:r>
        <w:rPr>
          <w:rFonts w:ascii="PMingLiU" w:cs="PMingLiU" w:eastAsia="PMingLiU" w:hAnsi="PMingLiU"/>
          <w:sz w:val="17"/>
          <w:szCs w:val="17"/>
          <w:color w:val="191919"/>
        </w:rPr>
        <w:t></w:t>
      </w:r>
      <w:r>
        <w:rPr>
          <w:rFonts w:ascii="Arial" w:cs="Arial" w:eastAsia="Arial" w:hAnsi="Arial"/>
          <w:sz w:val="17"/>
          <w:szCs w:val="17"/>
          <w:color w:val="191919"/>
        </w:rPr>
        <w:t>Ùǥ</w:t>
      </w:r>
      <w:r>
        <w:rPr>
          <w:rFonts w:ascii="PMingLiU" w:cs="PMingLiU" w:eastAsia="PMingLiU" w:hAnsi="PMingLiU"/>
          <w:sz w:val="17"/>
          <w:szCs w:val="17"/>
          <w:color w:val="191919"/>
        </w:rPr>
        <w:t></w:t>
      </w:r>
      <w:r>
        <w:rPr>
          <w:rFonts w:ascii="Arial" w:cs="Arial" w:eastAsia="Arial" w:hAnsi="Arial"/>
          <w:sz w:val="17"/>
          <w:szCs w:val="17"/>
          <w:color w:val="191919"/>
        </w:rPr>
        <w:t>û Ù</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õ</w:t>
      </w:r>
      <w:r>
        <w:rPr>
          <w:rFonts w:ascii="PMingLiU" w:cs="PMingLiU" w:eastAsia="PMingLiU" w:hAnsi="PMingLiU"/>
          <w:sz w:val="17"/>
          <w:szCs w:val="17"/>
          <w:color w:val="191919"/>
        </w:rPr>
        <w:t></w:t>
      </w:r>
      <w:r>
        <w:rPr>
          <w:rFonts w:ascii="Arial" w:cs="Arial" w:eastAsia="Arial" w:hAnsi="Arial"/>
          <w:sz w:val="17"/>
          <w:szCs w:val="17"/>
          <w:color w:val="191919"/>
        </w:rPr>
        <w:t>½</w:t>
      </w:r>
      <w:r>
        <w:rPr>
          <w:rFonts w:ascii="PMingLiU" w:cs="PMingLiU" w:eastAsia="PMingLiU" w:hAnsi="PMingLiU"/>
          <w:sz w:val="17"/>
          <w:szCs w:val="17"/>
          <w:color w:val="191919"/>
        </w:rPr>
        <w:t> </w:t>
      </w:r>
      <w:r>
        <w:rPr>
          <w:rFonts w:ascii="Arial" w:cs="Arial" w:eastAsia="Arial" w:hAnsi="Arial"/>
          <w:sz w:val="17"/>
          <w:szCs w:val="17"/>
          <w:color w:val="191919"/>
        </w:rPr>
        <w:t>«</w:t>
      </w:r>
      <w:r>
        <w:rPr>
          <w:rFonts w:ascii="PMingLiU" w:cs="PMingLiU" w:eastAsia="PMingLiU" w:hAnsi="PMingLiU"/>
          <w:sz w:val="17"/>
          <w:szCs w:val="17"/>
          <w:color w:val="191919"/>
        </w:rPr>
        <w:t></w:t>
      </w:r>
      <w:r>
        <w:rPr>
          <w:rFonts w:ascii="Arial" w:cs="Arial" w:eastAsia="Arial" w:hAnsi="Arial"/>
          <w:sz w:val="17"/>
          <w:szCs w:val="17"/>
          <w:color w:val="191919"/>
        </w:rPr>
        <w:t>Ý</w:t>
      </w:r>
      <w:r>
        <w:rPr>
          <w:rFonts w:ascii="PMingLiU" w:cs="PMingLiU" w:eastAsia="PMingLiU" w:hAnsi="PMingLiU"/>
          <w:sz w:val="17"/>
          <w:szCs w:val="17"/>
          <w:color w:val="191919"/>
        </w:rPr>
        <w:t></w:t>
      </w:r>
      <w:r>
        <w:rPr>
          <w:rFonts w:ascii="Arial" w:cs="Arial" w:eastAsia="Arial" w:hAnsi="Arial"/>
          <w:sz w:val="17"/>
          <w:szCs w:val="17"/>
          <w:color w:val="191919"/>
        </w:rPr>
        <w:t>½ ¢</w:t>
      </w:r>
      <w:r>
        <w:rPr>
          <w:rFonts w:ascii="PMingLiU" w:cs="PMingLiU" w:eastAsia="PMingLiU" w:hAnsi="PMingLiU"/>
          <w:sz w:val="17"/>
          <w:szCs w:val="17"/>
          <w:color w:val="191919"/>
        </w:rPr>
        <w:t></w:t>
      </w:r>
      <w:r>
        <w:rPr>
          <w:rFonts w:ascii="Arial" w:cs="Arial" w:eastAsia="Arial" w:hAnsi="Arial"/>
          <w:sz w:val="17"/>
          <w:szCs w:val="17"/>
          <w:color w:val="191919"/>
        </w:rPr>
        <w:t xml:space="preserve">«½«äû </w:t>
      </w:r>
      <w:r>
        <w:rPr>
          <w:rFonts w:ascii="PMingLiU" w:cs="PMingLiU" w:eastAsia="PMingLiU" w:hAnsi="PMingLiU"/>
          <w:sz w:val="17"/>
          <w:szCs w:val="17"/>
          <w:color w:val="191919"/>
        </w:rPr>
        <w:t></w:t>
      </w:r>
      <w:r>
        <w:rPr>
          <w:rFonts w:ascii="Arial" w:cs="Arial" w:eastAsia="Arial" w:hAnsi="Arial"/>
          <w:sz w:val="17"/>
          <w:szCs w:val="17"/>
          <w:color w:val="191919"/>
        </w:rPr>
        <w:t>ä ä¨</w:t>
      </w:r>
      <w:r>
        <w:rPr>
          <w:rFonts w:ascii="PMingLiU" w:cs="PMingLiU" w:eastAsia="PMingLiU" w:hAnsi="PMingLiU"/>
          <w:sz w:val="17"/>
          <w:szCs w:val="17"/>
          <w:color w:val="191919"/>
        </w:rPr>
        <w:t></w:t>
      </w:r>
      <w:r>
        <w:rPr>
          <w:rFonts w:ascii="Arial" w:cs="Arial" w:eastAsia="Arial" w:hAnsi="Arial"/>
          <w:sz w:val="17"/>
          <w:szCs w:val="17"/>
          <w:color w:val="191919"/>
        </w:rPr>
        <w:t xml:space="preserve"> [äÙ</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ËÄ</w:t>
      </w:r>
      <w:r>
        <w:rPr>
          <w:rFonts w:ascii="PMingLiU" w:cs="PMingLiU" w:eastAsia="PMingLiU" w:hAnsi="PMingLiU"/>
          <w:sz w:val="17"/>
          <w:szCs w:val="17"/>
          <w:color w:val="191919"/>
        </w:rPr>
        <w:t></w:t>
      </w:r>
      <w:r>
        <w:rPr>
          <w:rFonts w:ascii="Arial" w:cs="Arial" w:eastAsia="Arial" w:hAnsi="Arial"/>
          <w:sz w:val="17"/>
          <w:szCs w:val="17"/>
          <w:color w:val="191919"/>
        </w:rPr>
        <w:t xml:space="preserve"> Ù</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Ùû õ«ä¨ ËéÙ Ã</w:t>
      </w:r>
      <w:r>
        <w:rPr>
          <w:rFonts w:ascii="PMingLiU" w:cs="PMingLiU" w:eastAsia="PMingLiU" w:hAnsi="PMingLiU"/>
          <w:sz w:val="17"/>
          <w:szCs w:val="17"/>
          <w:color w:val="191919"/>
        </w:rPr>
        <w:t></w:t>
      </w:r>
      <w:r>
        <w:rPr>
          <w:rFonts w:ascii="Arial" w:cs="Arial" w:eastAsia="Arial" w:hAnsi="Arial"/>
          <w:sz w:val="17"/>
          <w:szCs w:val="17"/>
          <w:color w:val="191919"/>
        </w:rPr>
        <w:t>·ËÙ«äûǥËõÄ</w:t>
      </w:r>
      <w:r>
        <w:rPr>
          <w:rFonts w:ascii="PMingLiU" w:cs="PMingLiU" w:eastAsia="PMingLiU" w:hAnsi="PMingLiU"/>
          <w:sz w:val="17"/>
          <w:szCs w:val="17"/>
          <w:color w:val="191919"/>
        </w:rPr>
        <w:t> </w:t>
      </w:r>
      <w:r>
        <w:rPr>
          <w:rFonts w:ascii="Arial" w:cs="Arial" w:eastAsia="Arial" w:hAnsi="Arial"/>
          <w:sz w:val="17"/>
          <w:szCs w:val="17"/>
          <w:color w:val="191919"/>
        </w:rPr>
        <w:t>¢¢«½«</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 xml:space="preserve"> -ÃÖ</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½ I«½ Ǥ ËÄ</w:t>
      </w:r>
      <w:r>
        <w:rPr>
          <w:rFonts w:ascii="PMingLiU" w:cs="PMingLiU" w:eastAsia="PMingLiU" w:hAnsi="PMingLiU"/>
          <w:sz w:val="17"/>
          <w:szCs w:val="17"/>
          <w:color w:val="191919"/>
        </w:rPr>
        <w:t></w:t>
      </w:r>
      <w:r>
        <w:rPr>
          <w:rFonts w:ascii="Arial" w:cs="Arial" w:eastAsia="Arial" w:hAnsi="Arial"/>
          <w:sz w:val="17"/>
          <w:szCs w:val="17"/>
          <w:color w:val="191919"/>
        </w:rPr>
        <w:t xml:space="preserve"> Ë¢ ƌƍ </w:t>
      </w:r>
      <w:r>
        <w:rPr>
          <w:rFonts w:ascii="PMingLiU" w:cs="PMingLiU" w:eastAsia="PMingLiU" w:hAnsi="PMingLiU"/>
          <w:sz w:val="17"/>
          <w:szCs w:val="17"/>
          <w:color w:val="191919"/>
        </w:rPr>
        <w:t></w:t>
      </w:r>
      <w:r>
        <w:rPr>
          <w:rFonts w:ascii="Arial" w:cs="Arial" w:eastAsia="Arial" w:hAnsi="Arial"/>
          <w:sz w:val="17"/>
          <w:szCs w:val="17"/>
          <w:color w:val="191919"/>
        </w:rPr>
        <w:t>«Ë¢é</w:t>
      </w:r>
      <w:r>
        <w:rPr>
          <w:rFonts w:ascii="PMingLiU" w:cs="PMingLiU" w:eastAsia="PMingLiU" w:hAnsi="PMingLiU"/>
          <w:sz w:val="17"/>
          <w:szCs w:val="17"/>
          <w:color w:val="191919"/>
        </w:rPr>
        <w:t></w:t>
      </w:r>
      <w:r>
        <w:rPr>
          <w:rFonts w:ascii="Arial" w:cs="Arial" w:eastAsia="Arial" w:hAnsi="Arial"/>
          <w:sz w:val="17"/>
          <w:szCs w:val="17"/>
          <w:color w:val="191919"/>
        </w:rPr>
        <w:t>½Ý ÖÙË·</w:t>
      </w:r>
      <w:r>
        <w:rPr>
          <w:rFonts w:ascii="PMingLiU" w:cs="PMingLiU" w:eastAsia="PMingLiU" w:hAnsi="PMingLiU"/>
          <w:sz w:val="17"/>
          <w:szCs w:val="17"/>
          <w:color w:val="191919"/>
        </w:rPr>
        <w:t></w:t>
      </w:r>
      <w:r>
        <w:rPr>
          <w:rFonts w:ascii="Arial" w:cs="Arial" w:eastAsia="Arial" w:hAnsi="Arial"/>
          <w:sz w:val="17"/>
          <w:szCs w:val="17"/>
          <w:color w:val="191919"/>
        </w:rPr>
        <w:t>äÝ õ</w:t>
      </w:r>
      <w:r>
        <w:rPr>
          <w:rFonts w:ascii="PMingLiU" w:cs="PMingLiU" w:eastAsia="PMingLiU" w:hAnsi="PMingLiU"/>
          <w:sz w:val="17"/>
          <w:szCs w:val="17"/>
          <w:color w:val="191919"/>
        </w:rPr>
        <w:t> </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 xml:space="preserve"> ÖéÙÝé«Ä£ </w:t>
      </w:r>
      <w:r>
        <w:rPr>
          <w:rFonts w:ascii="PMingLiU" w:cs="PMingLiU" w:eastAsia="PMingLiU" w:hAnsi="PMingLiU"/>
          <w:sz w:val="17"/>
          <w:szCs w:val="17"/>
          <w:color w:val="191919"/>
        </w:rPr>
        <w:t></w:t>
      </w:r>
      <w:r>
        <w:rPr>
          <w:rFonts w:ascii="Arial" w:cs="Arial" w:eastAsia="Arial" w:hAnsi="Arial"/>
          <w:sz w:val="17"/>
          <w:szCs w:val="17"/>
          <w:color w:val="191919"/>
        </w:rPr>
        <w:t>ÙËéÄ</w:t>
      </w:r>
      <w:r>
        <w:rPr>
          <w:rFonts w:ascii="PMingLiU" w:cs="PMingLiU" w:eastAsia="PMingLiU" w:hAnsi="PMingLiU"/>
          <w:sz w:val="17"/>
          <w:szCs w:val="17"/>
          <w:color w:val="191919"/>
        </w:rPr>
        <w:t></w:t>
      </w:r>
      <w:r>
        <w:rPr>
          <w:rFonts w:ascii="Arial" w:cs="Arial" w:eastAsia="Arial" w:hAnsi="Arial"/>
          <w:sz w:val="17"/>
          <w:szCs w:val="17"/>
          <w:color w:val="191919"/>
        </w:rPr>
        <w:t xml:space="preserve"> ä¨</w:t>
      </w:r>
      <w:r>
        <w:rPr>
          <w:rFonts w:ascii="PMingLiU" w:cs="PMingLiU" w:eastAsia="PMingLiU" w:hAnsi="PMingLiU"/>
          <w:sz w:val="17"/>
          <w:szCs w:val="17"/>
          <w:color w:val="191919"/>
        </w:rPr>
        <w:t></w:t>
      </w:r>
      <w:r>
        <w:rPr>
          <w:rFonts w:ascii="Arial" w:cs="Arial" w:eastAsia="Arial" w:hAnsi="Arial"/>
          <w:sz w:val="17"/>
          <w:szCs w:val="17"/>
          <w:color w:val="191919"/>
        </w:rPr>
        <w:t xml:space="preserve"> õËÙ½</w:t>
      </w:r>
      <w:r>
        <w:rPr>
          <w:rFonts w:ascii="PMingLiU" w:cs="PMingLiU" w:eastAsia="PMingLiU" w:hAnsi="PMingLiU"/>
          <w:sz w:val="17"/>
          <w:szCs w:val="17"/>
          <w:color w:val="191919"/>
        </w:rPr>
        <w:t></w:t>
      </w:r>
      <w:r>
        <w:rPr>
          <w:rFonts w:ascii="Arial" w:cs="Arial" w:eastAsia="Arial" w:hAnsi="Arial"/>
          <w:sz w:val="17"/>
          <w:szCs w:val="17"/>
          <w:color w:val="191919"/>
        </w:rPr>
        <w:t>ǔ</w:t>
      </w:r>
    </w:p>
    <w:p>
      <w:pPr>
        <w:spacing w:after="0" w:line="240" w:lineRule="exact"/>
        <w:rPr>
          <w:sz w:val="20"/>
          <w:szCs w:val="20"/>
          <w:color w:val="auto"/>
        </w:rPr>
      </w:pPr>
    </w:p>
    <w:p>
      <w:pPr>
        <w:ind w:left="360"/>
        <w:spacing w:after="0" w:line="219" w:lineRule="exact"/>
        <w:rPr>
          <w:sz w:val="20"/>
          <w:szCs w:val="20"/>
          <w:color w:val="auto"/>
        </w:rPr>
      </w:pPr>
      <w:r>
        <w:rPr>
          <w:rFonts w:ascii="Arial" w:cs="Arial" w:eastAsia="Arial" w:hAnsi="Arial"/>
          <w:sz w:val="18"/>
          <w:szCs w:val="18"/>
          <w:color w:val="191919"/>
        </w:rPr>
        <w:t xml:space="preserve">-Ä </w:t>
      </w:r>
      <w:r>
        <w:rPr>
          <w:rFonts w:ascii="PMingLiU" w:cs="PMingLiU" w:eastAsia="PMingLiU" w:hAnsi="PMingLiU"/>
          <w:sz w:val="18"/>
          <w:szCs w:val="18"/>
          <w:color w:val="191919"/>
        </w:rPr>
        <w:t/>
      </w:r>
      <w:r>
        <w:rPr>
          <w:rFonts w:ascii="Arial" w:cs="Arial" w:eastAsia="Arial" w:hAnsi="Arial"/>
          <w:sz w:val="18"/>
          <w:szCs w:val="18"/>
          <w:color w:val="191919"/>
        </w:rPr>
        <w:t>¨</w:t>
      </w:r>
      <w:r>
        <w:rPr>
          <w:rFonts w:ascii="PMingLiU" w:cs="PMingLiU" w:eastAsia="PMingLiU" w:hAnsi="PMingLiU"/>
          <w:sz w:val="18"/>
          <w:szCs w:val="18"/>
          <w:color w:val="191919"/>
        </w:rPr>
        <w:t></w:t>
      </w:r>
      <w:r>
        <w:rPr>
          <w:rFonts w:ascii="Arial" w:cs="Arial" w:eastAsia="Arial" w:hAnsi="Arial"/>
          <w:sz w:val="18"/>
          <w:szCs w:val="18"/>
          <w:color w:val="191919"/>
        </w:rPr>
        <w:t>Ã«</w:t>
      </w:r>
      <w:r>
        <w:rPr>
          <w:rFonts w:ascii="PMingLiU" w:cs="PMingLiU" w:eastAsia="PMingLiU" w:hAnsi="PMingLiU"/>
          <w:sz w:val="18"/>
          <w:szCs w:val="18"/>
          <w:color w:val="191919"/>
        </w:rPr>
        <w:t></w:t>
      </w:r>
      <w:r>
        <w:rPr>
          <w:rFonts w:ascii="Arial" w:cs="Arial" w:eastAsia="Arial" w:hAnsi="Arial"/>
          <w:sz w:val="18"/>
          <w:szCs w:val="18"/>
          <w:color w:val="191919"/>
        </w:rPr>
        <w:t>½ TÙË</w:t>
      </w:r>
      <w:r>
        <w:rPr>
          <w:rFonts w:ascii="PMingLiU" w:cs="PMingLiU" w:eastAsia="PMingLiU" w:hAnsi="PMingLiU"/>
          <w:sz w:val="18"/>
          <w:szCs w:val="18"/>
          <w:color w:val="191919"/>
        </w:rPr>
        <w:t></w:t>
      </w:r>
      <w:r>
        <w:rPr>
          <w:rFonts w:ascii="Arial" w:cs="Arial" w:eastAsia="Arial" w:hAnsi="Arial"/>
          <w:sz w:val="18"/>
          <w:szCs w:val="18"/>
          <w:color w:val="191919"/>
        </w:rPr>
        <w:t>é</w:t>
      </w:r>
      <w:r>
        <w:rPr>
          <w:rFonts w:ascii="PMingLiU" w:cs="PMingLiU" w:eastAsia="PMingLiU" w:hAnsi="PMingLiU"/>
          <w:sz w:val="18"/>
          <w:szCs w:val="18"/>
          <w:color w:val="191919"/>
        </w:rPr>
        <w:t></w:t>
      </w:r>
      <w:r>
        <w:rPr>
          <w:rFonts w:ascii="Arial" w:cs="Arial" w:eastAsia="Arial" w:hAnsi="Arial"/>
          <w:sz w:val="18"/>
          <w:szCs w:val="18"/>
          <w:color w:val="191919"/>
        </w:rPr>
        <w:t xml:space="preserve">äÝǏ ËéÙ </w:t>
      </w:r>
      <w:r>
        <w:rPr>
          <w:rFonts w:ascii="PMingLiU" w:cs="PMingLiU" w:eastAsia="PMingLiU" w:hAnsi="PMingLiU"/>
          <w:sz w:val="18"/>
          <w:szCs w:val="18"/>
          <w:color w:val="191919"/>
        </w:rPr>
        <w:t></w:t>
      </w:r>
      <w:r>
        <w:rPr>
          <w:rFonts w:ascii="Arial" w:cs="Arial" w:eastAsia="Arial" w:hAnsi="Arial"/>
          <w:sz w:val="18"/>
          <w:szCs w:val="18"/>
          <w:color w:val="191919"/>
        </w:rPr>
        <w:t>úÖ</w:t>
      </w:r>
      <w:r>
        <w:rPr>
          <w:rFonts w:ascii="PMingLiU" w:cs="PMingLiU" w:eastAsia="PMingLiU" w:hAnsi="PMingLiU"/>
          <w:sz w:val="18"/>
          <w:szCs w:val="18"/>
          <w:color w:val="191919"/>
        </w:rPr>
        <w:t></w:t>
      </w:r>
      <w:r>
        <w:rPr>
          <w:rFonts w:ascii="Arial" w:cs="Arial" w:eastAsia="Arial" w:hAnsi="Arial"/>
          <w:sz w:val="18"/>
          <w:szCs w:val="18"/>
          <w:color w:val="191919"/>
        </w:rPr>
        <w:t xml:space="preserve">ÄÝ«ËÄ «Ä </w:t>
      </w:r>
      <w:r>
        <w:rPr>
          <w:rFonts w:ascii="PMingLiU" w:cs="PMingLiU" w:eastAsia="PMingLiU" w:hAnsi="PMingLiU"/>
          <w:sz w:val="18"/>
          <w:szCs w:val="18"/>
          <w:color w:val="191919"/>
        </w:rPr>
        <w:t></w:t>
      </w:r>
      <w:r>
        <w:rPr>
          <w:rFonts w:ascii="Arial" w:cs="Arial" w:eastAsia="Arial" w:hAnsi="Arial"/>
          <w:sz w:val="18"/>
          <w:szCs w:val="18"/>
          <w:color w:val="191919"/>
        </w:rPr>
        <w:t>ûäËõÄǏ b</w:t>
      </w:r>
      <w:r>
        <w:rPr>
          <w:rFonts w:ascii="PMingLiU" w:cs="PMingLiU" w:eastAsia="PMingLiU" w:hAnsi="PMingLiU"/>
          <w:sz w:val="18"/>
          <w:szCs w:val="18"/>
          <w:color w:val="191919"/>
        </w:rPr>
        <w:t></w:t>
      </w:r>
      <w:r>
        <w:rPr>
          <w:rFonts w:ascii="Arial" w:cs="Arial" w:eastAsia="Arial" w:hAnsi="Arial"/>
          <w:sz w:val="18"/>
          <w:szCs w:val="18"/>
          <w:color w:val="191919"/>
        </w:rPr>
        <w:t>ú</w:t>
      </w:r>
      <w:r>
        <w:rPr>
          <w:rFonts w:ascii="PMingLiU" w:cs="PMingLiU" w:eastAsia="PMingLiU" w:hAnsi="PMingLiU"/>
          <w:sz w:val="18"/>
          <w:szCs w:val="18"/>
          <w:color w:val="191919"/>
        </w:rPr>
        <w:t></w:t>
      </w:r>
      <w:r>
        <w:rPr>
          <w:rFonts w:ascii="Arial" w:cs="Arial" w:eastAsia="Arial" w:hAnsi="Arial"/>
          <w:sz w:val="18"/>
          <w:szCs w:val="18"/>
          <w:color w:val="191919"/>
        </w:rPr>
        <w:t>ÝǏ Ýä</w:t>
      </w:r>
      <w:r>
        <w:rPr>
          <w:rFonts w:ascii="PMingLiU" w:cs="PMingLiU" w:eastAsia="PMingLiU" w:hAnsi="PMingLiU"/>
          <w:sz w:val="18"/>
          <w:szCs w:val="18"/>
          <w:color w:val="191919"/>
        </w:rPr>
        <w:t></w:t>
      </w:r>
      <w:r>
        <w:rPr>
          <w:rFonts w:ascii="Arial" w:cs="Arial" w:eastAsia="Arial" w:hAnsi="Arial"/>
          <w:sz w:val="18"/>
          <w:szCs w:val="18"/>
          <w:color w:val="191919"/>
        </w:rPr>
        <w:t>Ùä</w:t>
      </w:r>
      <w:r>
        <w:rPr>
          <w:rFonts w:ascii="PMingLiU" w:cs="PMingLiU" w:eastAsia="PMingLiU" w:hAnsi="PMingLiU"/>
          <w:sz w:val="18"/>
          <w:szCs w:val="18"/>
          <w:color w:val="191919"/>
        </w:rPr>
        <w:t></w:t>
      </w:r>
      <w:r>
        <w:rPr>
          <w:rFonts w:ascii="Arial" w:cs="Arial" w:eastAsia="Arial" w:hAnsi="Arial"/>
          <w:sz w:val="18"/>
          <w:szCs w:val="18"/>
          <w:color w:val="191919"/>
        </w:rPr>
        <w:t xml:space="preserve"> éÖ «Ä</w:t>
      </w:r>
    </w:p>
    <w:p>
      <w:pPr>
        <w:spacing w:after="0" w:line="26" w:lineRule="exact"/>
        <w:rPr>
          <w:sz w:val="20"/>
          <w:szCs w:val="20"/>
          <w:color w:val="auto"/>
        </w:rPr>
      </w:pPr>
    </w:p>
    <w:p>
      <w:pPr>
        <w:ind w:left="360"/>
        <w:spacing w:after="0" w:line="219" w:lineRule="exact"/>
        <w:rPr>
          <w:sz w:val="20"/>
          <w:szCs w:val="20"/>
          <w:color w:val="auto"/>
        </w:rPr>
      </w:pPr>
      <w:r>
        <w:rPr>
          <w:rFonts w:ascii="Arial" w:cs="Arial" w:eastAsia="Arial" w:hAnsi="Arial"/>
          <w:sz w:val="18"/>
          <w:szCs w:val="18"/>
          <w:color w:val="191919"/>
        </w:rPr>
        <w:t>[</w:t>
      </w:r>
      <w:r>
        <w:rPr>
          <w:rFonts w:ascii="PMingLiU" w:cs="PMingLiU" w:eastAsia="PMingLiU" w:hAnsi="PMingLiU"/>
          <w:sz w:val="18"/>
          <w:szCs w:val="18"/>
          <w:color w:val="191919"/>
        </w:rPr>
        <w:t></w:t>
      </w:r>
      <w:r>
        <w:rPr>
          <w:rFonts w:ascii="Arial" w:cs="Arial" w:eastAsia="Arial" w:hAnsi="Arial"/>
          <w:sz w:val="18"/>
          <w:szCs w:val="18"/>
          <w:color w:val="191919"/>
        </w:rPr>
        <w:t>Öä</w:t>
      </w:r>
      <w:r>
        <w:rPr>
          <w:rFonts w:ascii="PMingLiU" w:cs="PMingLiU" w:eastAsia="PMingLiU" w:hAnsi="PMingLiU"/>
          <w:sz w:val="18"/>
          <w:szCs w:val="18"/>
          <w:color w:val="191919"/>
        </w:rPr>
        <w:t></w:t>
      </w:r>
      <w:r>
        <w:rPr>
          <w:rFonts w:ascii="Arial" w:cs="Arial" w:eastAsia="Arial" w:hAnsi="Arial"/>
          <w:sz w:val="18"/>
          <w:szCs w:val="18"/>
          <w:color w:val="191919"/>
        </w:rPr>
        <w:t>Ã</w:t>
      </w:r>
      <w:r>
        <w:rPr>
          <w:rFonts w:ascii="PMingLiU" w:cs="PMingLiU" w:eastAsia="PMingLiU" w:hAnsi="PMingLiU"/>
          <w:sz w:val="18"/>
          <w:szCs w:val="18"/>
          <w:color w:val="191919"/>
        </w:rPr>
        <w:t></w:t>
      </w:r>
      <w:r>
        <w:rPr>
          <w:rFonts w:ascii="Arial" w:cs="Arial" w:eastAsia="Arial" w:hAnsi="Arial"/>
          <w:sz w:val="18"/>
          <w:szCs w:val="18"/>
          <w:color w:val="191919"/>
        </w:rPr>
        <w:t xml:space="preserve">Ù </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 </w:t>
      </w:r>
      <w:r>
        <w:rPr>
          <w:rFonts w:ascii="Arial" w:cs="Arial" w:eastAsia="Arial" w:hAnsi="Arial"/>
          <w:sz w:val="18"/>
          <w:szCs w:val="18"/>
          <w:color w:val="191919"/>
        </w:rPr>
        <w:t>ËÄä«Äé</w:t>
      </w:r>
      <w:r>
        <w:rPr>
          <w:rFonts w:ascii="PMingLiU" w:cs="PMingLiU" w:eastAsia="PMingLiU" w:hAnsi="PMingLiU"/>
          <w:sz w:val="18"/>
          <w:szCs w:val="18"/>
          <w:color w:val="191919"/>
        </w:rPr>
        <w:t></w:t>
      </w:r>
      <w:r>
        <w:rPr>
          <w:rFonts w:ascii="Arial" w:cs="Arial" w:eastAsia="Arial" w:hAnsi="Arial"/>
          <w:sz w:val="18"/>
          <w:szCs w:val="18"/>
          <w:color w:val="191919"/>
        </w:rPr>
        <w:t>Ý äË £ÙËõ ôË½éÃ</w:t>
      </w:r>
      <w:r>
        <w:rPr>
          <w:rFonts w:ascii="PMingLiU" w:cs="PMingLiU" w:eastAsia="PMingLiU" w:hAnsi="PMingLiU"/>
          <w:sz w:val="18"/>
          <w:szCs w:val="18"/>
          <w:color w:val="191919"/>
        </w:rPr>
        <w:t></w:t>
      </w:r>
      <w:r>
        <w:rPr>
          <w:rFonts w:ascii="Arial" w:cs="Arial" w:eastAsia="Arial" w:hAnsi="Arial"/>
          <w:sz w:val="18"/>
          <w:szCs w:val="18"/>
          <w:color w:val="191919"/>
        </w:rPr>
        <w:t xml:space="preserve">Ý </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w:t>
      </w:r>
      <w:r>
        <w:rPr>
          <w:rFonts w:ascii="Arial" w:cs="Arial" w:eastAsia="Arial" w:hAnsi="Arial"/>
          <w:sz w:val="18"/>
          <w:szCs w:val="18"/>
          <w:color w:val="191919"/>
        </w:rPr>
        <w:t xml:space="preserve"> «ÃÖÙËô</w:t>
      </w:r>
      <w:r>
        <w:rPr>
          <w:rFonts w:ascii="PMingLiU" w:cs="PMingLiU" w:eastAsia="PMingLiU" w:hAnsi="PMingLiU"/>
          <w:sz w:val="18"/>
          <w:szCs w:val="18"/>
          <w:color w:val="191919"/>
        </w:rPr>
        <w:t></w:t>
      </w:r>
      <w:r>
        <w:rPr>
          <w:rFonts w:ascii="Arial" w:cs="Arial" w:eastAsia="Arial" w:hAnsi="Arial"/>
          <w:sz w:val="18"/>
          <w:szCs w:val="18"/>
          <w:color w:val="191919"/>
        </w:rPr>
        <w:t xml:space="preserve"> ÖÙË</w:t>
      </w:r>
      <w:r>
        <w:rPr>
          <w:rFonts w:ascii="PMingLiU" w:cs="PMingLiU" w:eastAsia="PMingLiU" w:hAnsi="PMingLiU"/>
          <w:sz w:val="18"/>
          <w:szCs w:val="18"/>
          <w:color w:val="191919"/>
        </w:rPr>
        <w:t></w:t>
      </w:r>
      <w:r>
        <w:rPr>
          <w:rFonts w:ascii="Arial" w:cs="Arial" w:eastAsia="Arial" w:hAnsi="Arial"/>
          <w:sz w:val="18"/>
          <w:szCs w:val="18"/>
          <w:color w:val="191919"/>
        </w:rPr>
        <w:t>é</w:t>
      </w:r>
      <w:r>
        <w:rPr>
          <w:rFonts w:ascii="PMingLiU" w:cs="PMingLiU" w:eastAsia="PMingLiU" w:hAnsi="PMingLiU"/>
          <w:sz w:val="18"/>
          <w:szCs w:val="18"/>
          <w:color w:val="191919"/>
        </w:rPr>
        <w:t></w:t>
      </w:r>
      <w:r>
        <w:rPr>
          <w:rFonts w:ascii="Arial" w:cs="Arial" w:eastAsia="Arial" w:hAnsi="Arial"/>
          <w:sz w:val="18"/>
          <w:szCs w:val="18"/>
          <w:color w:val="191919"/>
        </w:rPr>
        <w:t>ä Ã«úǔ</w:t>
      </w:r>
    </w:p>
    <w:p>
      <w:pPr>
        <w:spacing w:after="0" w:line="22" w:lineRule="exact"/>
        <w:rPr>
          <w:sz w:val="20"/>
          <w:szCs w:val="20"/>
          <w:color w:val="auto"/>
        </w:rPr>
      </w:pPr>
    </w:p>
    <w:p>
      <w:pPr>
        <w:ind w:left="360"/>
        <w:spacing w:after="0" w:line="219" w:lineRule="exact"/>
        <w:rPr>
          <w:sz w:val="20"/>
          <w:szCs w:val="20"/>
          <w:color w:val="auto"/>
        </w:rPr>
      </w:pPr>
      <w:r>
        <w:rPr>
          <w:rFonts w:ascii="Arial" w:cs="Arial" w:eastAsia="Arial" w:hAnsi="Arial"/>
          <w:sz w:val="18"/>
          <w:szCs w:val="18"/>
          <w:color w:val="191919"/>
        </w:rPr>
        <w:t>b¨«Ý «Ä</w:t>
      </w:r>
      <w:r>
        <w:rPr>
          <w:rFonts w:ascii="PMingLiU" w:cs="PMingLiU" w:eastAsia="PMingLiU" w:hAnsi="PMingLiU"/>
          <w:sz w:val="18"/>
          <w:szCs w:val="18"/>
          <w:color w:val="191919"/>
        </w:rPr>
        <w:t></w:t>
      </w:r>
      <w:r>
        <w:rPr>
          <w:rFonts w:ascii="Arial" w:cs="Arial" w:eastAsia="Arial" w:hAnsi="Arial"/>
          <w:sz w:val="18"/>
          <w:szCs w:val="18"/>
          <w:color w:val="191919"/>
        </w:rPr>
        <w:t>½é</w:t>
      </w:r>
      <w:r>
        <w:rPr>
          <w:rFonts w:ascii="PMingLiU" w:cs="PMingLiU" w:eastAsia="PMingLiU" w:hAnsi="PMingLiU"/>
          <w:sz w:val="18"/>
          <w:szCs w:val="18"/>
          <w:color w:val="191919"/>
        </w:rPr>
        <w:t></w:t>
      </w:r>
      <w:r>
        <w:rPr>
          <w:rFonts w:ascii="Arial" w:cs="Arial" w:eastAsia="Arial" w:hAnsi="Arial"/>
          <w:sz w:val="18"/>
          <w:szCs w:val="18"/>
          <w:color w:val="191919"/>
        </w:rPr>
        <w:t xml:space="preserve">Ý </w:t>
      </w:r>
      <w:r>
        <w:rPr>
          <w:rFonts w:ascii="PMingLiU" w:cs="PMingLiU" w:eastAsia="PMingLiU" w:hAnsi="PMingLiU"/>
          <w:sz w:val="18"/>
          <w:szCs w:val="18"/>
          <w:color w:val="191919"/>
        </w:rPr>
        <w:t></w:t>
      </w:r>
      <w:r>
        <w:rPr>
          <w:rFonts w:ascii="Arial" w:cs="Arial" w:eastAsia="Arial" w:hAnsi="Arial"/>
          <w:sz w:val="18"/>
          <w:szCs w:val="18"/>
          <w:color w:val="191919"/>
        </w:rPr>
        <w:t xml:space="preserve"> Ä</w:t>
      </w:r>
      <w:r>
        <w:rPr>
          <w:rFonts w:ascii="PMingLiU" w:cs="PMingLiU" w:eastAsia="PMingLiU" w:hAnsi="PMingLiU"/>
          <w:sz w:val="18"/>
          <w:szCs w:val="18"/>
          <w:color w:val="191919"/>
        </w:rPr>
        <w:t></w:t>
      </w:r>
      <w:r>
        <w:rPr>
          <w:rFonts w:ascii="Arial" w:cs="Arial" w:eastAsia="Arial" w:hAnsi="Arial"/>
          <w:sz w:val="18"/>
          <w:szCs w:val="18"/>
          <w:color w:val="191919"/>
        </w:rPr>
        <w:t>õ Ö</w:t>
      </w:r>
      <w:r>
        <w:rPr>
          <w:rFonts w:ascii="PMingLiU" w:cs="PMingLiU" w:eastAsia="PMingLiU" w:hAnsi="PMingLiU"/>
          <w:sz w:val="18"/>
          <w:szCs w:val="18"/>
          <w:color w:val="191919"/>
        </w:rPr>
        <w:t></w:t>
      </w:r>
      <w:r>
        <w:rPr>
          <w:rFonts w:ascii="Arial" w:cs="Arial" w:eastAsia="Arial" w:hAnsi="Arial"/>
          <w:sz w:val="18"/>
          <w:szCs w:val="18"/>
          <w:color w:val="191919"/>
        </w:rPr>
        <w:t>Ù¢ËÙÃ</w:t>
      </w:r>
      <w:r>
        <w:rPr>
          <w:rFonts w:ascii="PMingLiU" w:cs="PMingLiU" w:eastAsia="PMingLiU" w:hAnsi="PMingLiU"/>
          <w:sz w:val="18"/>
          <w:szCs w:val="18"/>
          <w:color w:val="191919"/>
        </w:rPr>
        <w:t></w:t>
      </w:r>
      <w:r>
        <w:rPr>
          <w:rFonts w:ascii="Arial" w:cs="Arial" w:eastAsia="Arial" w:hAnsi="Arial"/>
          <w:sz w:val="18"/>
          <w:szCs w:val="18"/>
          <w:color w:val="191919"/>
        </w:rPr>
        <w:t>Ä</w:t>
      </w:r>
      <w:r>
        <w:rPr>
          <w:rFonts w:ascii="PMingLiU" w:cs="PMingLiU" w:eastAsia="PMingLiU" w:hAnsi="PMingLiU"/>
          <w:sz w:val="18"/>
          <w:szCs w:val="18"/>
          <w:color w:val="191919"/>
        </w:rPr>
        <w:t></w:t>
      </w:r>
      <w:r>
        <w:rPr>
          <w:rFonts w:ascii="Arial" w:cs="Arial" w:eastAsia="Arial" w:hAnsi="Arial"/>
          <w:sz w:val="18"/>
          <w:szCs w:val="18"/>
          <w:color w:val="191919"/>
        </w:rPr>
        <w:t xml:space="preserve"> ÖË½ûÃ</w:t>
      </w:r>
      <w:r>
        <w:rPr>
          <w:rFonts w:ascii="PMingLiU" w:cs="PMingLiU" w:eastAsia="PMingLiU" w:hAnsi="PMingLiU"/>
          <w:sz w:val="18"/>
          <w:szCs w:val="18"/>
          <w:color w:val="191919"/>
        </w:rPr>
        <w:t></w:t>
      </w:r>
      <w:r>
        <w:rPr>
          <w:rFonts w:ascii="Arial" w:cs="Arial" w:eastAsia="Arial" w:hAnsi="Arial"/>
          <w:sz w:val="18"/>
          <w:szCs w:val="18"/>
          <w:color w:val="191919"/>
        </w:rPr>
        <w:t>ÙÝ ½«Ä</w:t>
      </w:r>
      <w:r>
        <w:rPr>
          <w:rFonts w:ascii="PMingLiU" w:cs="PMingLiU" w:eastAsia="PMingLiU" w:hAnsi="PMingLiU"/>
          <w:sz w:val="18"/>
          <w:szCs w:val="18"/>
          <w:color w:val="191919"/>
        </w:rPr>
        <w:t></w:t>
      </w:r>
      <w:r>
        <w:rPr>
          <w:rFonts w:ascii="Arial" w:cs="Arial" w:eastAsia="Arial" w:hAnsi="Arial"/>
          <w:sz w:val="18"/>
          <w:szCs w:val="18"/>
          <w:color w:val="191919"/>
        </w:rPr>
        <w:t xml:space="preserve"> õ«ä¨ ä¨</w:t>
      </w:r>
      <w:r>
        <w:rPr>
          <w:rFonts w:ascii="PMingLiU" w:cs="PMingLiU" w:eastAsia="PMingLiU" w:hAnsi="PMingLiU"/>
          <w:sz w:val="18"/>
          <w:szCs w:val="18"/>
          <w:color w:val="191919"/>
        </w:rPr>
        <w:t> </w:t>
      </w:r>
      <w:r>
        <w:rPr>
          <w:rFonts w:ascii="Arial" w:cs="Arial" w:eastAsia="Arial" w:hAnsi="Arial"/>
          <w:sz w:val="18"/>
          <w:szCs w:val="18"/>
          <w:color w:val="191919"/>
        </w:rPr>
        <w:t>Ö</w:t>
      </w:r>
      <w:r>
        <w:rPr>
          <w:rFonts w:ascii="PMingLiU" w:cs="PMingLiU" w:eastAsia="PMingLiU" w:hAnsi="PMingLiU"/>
          <w:sz w:val="18"/>
          <w:szCs w:val="18"/>
          <w:color w:val="191919"/>
        </w:rPr>
        <w:t></w:t>
      </w:r>
      <w:r>
        <w:rPr>
          <w:rFonts w:ascii="Arial" w:cs="Arial" w:eastAsia="Arial" w:hAnsi="Arial"/>
          <w:sz w:val="18"/>
          <w:szCs w:val="18"/>
          <w:color w:val="191919"/>
        </w:rPr>
        <w:t>«äû äË</w:t>
      </w:r>
    </w:p>
    <w:p>
      <w:pPr>
        <w:spacing w:after="0" w:line="22" w:lineRule="exact"/>
        <w:rPr>
          <w:sz w:val="20"/>
          <w:szCs w:val="20"/>
          <w:color w:val="auto"/>
        </w:rPr>
      </w:pPr>
    </w:p>
    <w:p>
      <w:pPr>
        <w:ind w:left="360"/>
        <w:spacing w:after="0" w:line="207" w:lineRule="exact"/>
        <w:rPr>
          <w:sz w:val="20"/>
          <w:szCs w:val="20"/>
          <w:color w:val="auto"/>
        </w:rPr>
      </w:pPr>
      <w:r>
        <w:rPr>
          <w:rFonts w:ascii="Arial" w:cs="Arial" w:eastAsia="Arial" w:hAnsi="Arial"/>
          <w:sz w:val="17"/>
          <w:szCs w:val="17"/>
          <w:color w:val="191919"/>
        </w:rPr>
        <w:t>ÖÙË</w:t>
      </w:r>
      <w:r>
        <w:rPr>
          <w:rFonts w:ascii="PMingLiU" w:cs="PMingLiU" w:eastAsia="PMingLiU" w:hAnsi="PMingLiU"/>
          <w:sz w:val="17"/>
          <w:szCs w:val="17"/>
          <w:color w:val="191919"/>
        </w:rPr>
        <w:t></w:t>
      </w:r>
      <w:r>
        <w:rPr>
          <w:rFonts w:ascii="Arial" w:cs="Arial" w:eastAsia="Arial" w:hAnsi="Arial"/>
          <w:sz w:val="17"/>
          <w:szCs w:val="17"/>
          <w:color w:val="191919"/>
        </w:rPr>
        <w:t>é</w:t>
      </w:r>
      <w:r>
        <w:rPr>
          <w:rFonts w:ascii="PMingLiU" w:cs="PMingLiU" w:eastAsia="PMingLiU" w:hAnsi="PMingLiU"/>
          <w:sz w:val="17"/>
          <w:szCs w:val="17"/>
          <w:color w:val="191919"/>
        </w:rPr>
        <w:t></w:t>
      </w:r>
      <w:r>
        <w:rPr>
          <w:rFonts w:ascii="Arial" w:cs="Arial" w:eastAsia="Arial" w:hAnsi="Arial"/>
          <w:sz w:val="17"/>
          <w:szCs w:val="17"/>
          <w:color w:val="191919"/>
        </w:rPr>
        <w:t xml:space="preserve"> ƏƋƋǏƋƋƋ Ã</w:t>
      </w:r>
      <w:r>
        <w:rPr>
          <w:rFonts w:ascii="PMingLiU" w:cs="PMingLiU" w:eastAsia="PMingLiU" w:hAnsi="PMingLiU"/>
          <w:sz w:val="17"/>
          <w:szCs w:val="17"/>
          <w:color w:val="191919"/>
        </w:rPr>
        <w:t></w:t>
      </w:r>
      <w:r>
        <w:rPr>
          <w:rFonts w:ascii="Arial" w:cs="Arial" w:eastAsia="Arial" w:hAnsi="Arial"/>
          <w:sz w:val="17"/>
          <w:szCs w:val="17"/>
          <w:color w:val="191919"/>
        </w:rPr>
        <w:t>äÙ«</w:t>
      </w:r>
      <w:r>
        <w:rPr>
          <w:rFonts w:ascii="PMingLiU" w:cs="PMingLiU" w:eastAsia="PMingLiU" w:hAnsi="PMingLiU"/>
          <w:sz w:val="17"/>
          <w:szCs w:val="17"/>
          <w:color w:val="191919"/>
        </w:rPr>
        <w:t></w:t>
      </w:r>
      <w:r>
        <w:rPr>
          <w:rFonts w:ascii="Arial" w:cs="Arial" w:eastAsia="Arial" w:hAnsi="Arial"/>
          <w:sz w:val="17"/>
          <w:szCs w:val="17"/>
          <w:color w:val="191919"/>
        </w:rPr>
        <w:t xml:space="preserve"> äËÄÝ Ö</w:t>
      </w:r>
      <w:r>
        <w:rPr>
          <w:rFonts w:ascii="PMingLiU" w:cs="PMingLiU" w:eastAsia="PMingLiU" w:hAnsi="PMingLiU"/>
          <w:sz w:val="17"/>
          <w:szCs w:val="17"/>
          <w:color w:val="191919"/>
        </w:rPr>
        <w:t></w:t>
      </w:r>
      <w:r>
        <w:rPr>
          <w:rFonts w:ascii="Arial" w:cs="Arial" w:eastAsia="Arial" w:hAnsi="Arial"/>
          <w:sz w:val="17"/>
          <w:szCs w:val="17"/>
          <w:color w:val="191919"/>
        </w:rPr>
        <w:t>Ù û</w:t>
      </w:r>
      <w:r>
        <w:rPr>
          <w:rFonts w:ascii="PMingLiU" w:cs="PMingLiU" w:eastAsia="PMingLiU" w:hAnsi="PMingLiU"/>
          <w:sz w:val="17"/>
          <w:szCs w:val="17"/>
          <w:color w:val="191919"/>
        </w:rPr>
        <w:t></w:t>
      </w:r>
      <w:r>
        <w:rPr>
          <w:rFonts w:ascii="Arial" w:cs="Arial" w:eastAsia="Arial" w:hAnsi="Arial"/>
          <w:sz w:val="17"/>
          <w:szCs w:val="17"/>
          <w:color w:val="191919"/>
        </w:rPr>
        <w:t>Ù Ë¢ r«Ýä</w:t>
      </w:r>
      <w:r>
        <w:rPr>
          <w:rFonts w:ascii="PMingLiU" w:cs="PMingLiU" w:eastAsia="PMingLiU" w:hAnsi="PMingLiU"/>
          <w:sz w:val="17"/>
          <w:szCs w:val="17"/>
          <w:color w:val="191919"/>
        </w:rPr>
        <w:t></w:t>
      </w:r>
      <w:r>
        <w:rPr>
          <w:rFonts w:ascii="Arial" w:cs="Arial" w:eastAsia="Arial" w:hAnsi="Arial"/>
          <w:sz w:val="17"/>
          <w:szCs w:val="17"/>
          <w:color w:val="191919"/>
        </w:rPr>
        <w:t>Ã</w:t>
      </w:r>
      <w:r>
        <w:rPr>
          <w:rFonts w:ascii="PMingLiU" w:cs="PMingLiU" w:eastAsia="PMingLiU" w:hAnsi="PMingLiU"/>
          <w:sz w:val="17"/>
          <w:szCs w:val="17"/>
          <w:color w:val="191919"/>
        </w:rPr>
        <w:t></w:t>
      </w:r>
      <w:r>
        <w:rPr>
          <w:rFonts w:ascii="Arial" w:cs="Arial" w:eastAsia="Arial" w:hAnsi="Arial"/>
          <w:sz w:val="17"/>
          <w:szCs w:val="17"/>
          <w:color w:val="191919"/>
        </w:rPr>
        <w:t xml:space="preserve">úúȧ </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 </w:t>
      </w:r>
      <w:r>
        <w:rPr>
          <w:rFonts w:ascii="Arial" w:cs="Arial" w:eastAsia="Arial" w:hAnsi="Arial"/>
          <w:sz w:val="17"/>
          <w:szCs w:val="17"/>
          <w:color w:val="191919"/>
        </w:rPr>
        <w:t>ú</w:t>
      </w:r>
      <w:r>
        <w:rPr>
          <w:rFonts w:ascii="PMingLiU" w:cs="PMingLiU" w:eastAsia="PMingLiU" w:hAnsi="PMingLiU"/>
          <w:sz w:val="17"/>
          <w:szCs w:val="17"/>
          <w:color w:val="191919"/>
        </w:rPr>
        <w:t></w:t>
      </w:r>
      <w:r>
        <w:rPr>
          <w:rFonts w:ascii="Arial" w:cs="Arial" w:eastAsia="Arial" w:hAnsi="Arial"/>
          <w:sz w:val="17"/>
          <w:szCs w:val="17"/>
          <w:color w:val="191919"/>
        </w:rPr>
        <w:t xml:space="preserve">äȧǔ -ä </w:t>
      </w:r>
      <w:r>
        <w:rPr>
          <w:rFonts w:ascii="PMingLiU" w:cs="PMingLiU" w:eastAsia="PMingLiU" w:hAnsi="PMingLiU"/>
          <w:sz w:val="17"/>
          <w:szCs w:val="17"/>
          <w:color w:val="191919"/>
        </w:rPr>
        <w:t></w:t>
      </w:r>
      <w:r>
        <w:rPr>
          <w:rFonts w:ascii="Arial" w:cs="Arial" w:eastAsia="Arial" w:hAnsi="Arial"/>
          <w:sz w:val="17"/>
          <w:szCs w:val="17"/>
          <w:color w:val="191919"/>
        </w:rPr>
        <w:t>½ÝË</w:t>
      </w:r>
    </w:p>
    <w:p>
      <w:pPr>
        <w:spacing w:after="0" w:line="34" w:lineRule="exact"/>
        <w:rPr>
          <w:sz w:val="20"/>
          <w:szCs w:val="20"/>
          <w:color w:val="auto"/>
        </w:rPr>
      </w:pPr>
    </w:p>
    <w:p>
      <w:pPr>
        <w:ind w:left="360"/>
        <w:spacing w:after="0" w:line="194" w:lineRule="exact"/>
        <w:rPr>
          <w:sz w:val="20"/>
          <w:szCs w:val="20"/>
          <w:color w:val="auto"/>
        </w:rPr>
      </w:pP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½é</w:t>
      </w:r>
      <w:r>
        <w:rPr>
          <w:rFonts w:ascii="PMingLiU" w:cs="PMingLiU" w:eastAsia="PMingLiU" w:hAnsi="PMingLiU"/>
          <w:sz w:val="16"/>
          <w:szCs w:val="16"/>
          <w:color w:val="191919"/>
        </w:rPr>
        <w:t></w:t>
      </w:r>
      <w:r>
        <w:rPr>
          <w:rFonts w:ascii="Arial" w:cs="Arial" w:eastAsia="Arial" w:hAnsi="Arial"/>
          <w:sz w:val="16"/>
          <w:szCs w:val="16"/>
          <w:color w:val="191919"/>
        </w:rPr>
        <w:t xml:space="preserve">Ý </w:t>
      </w:r>
      <w:r>
        <w:rPr>
          <w:rFonts w:ascii="PMingLiU" w:cs="PMingLiU" w:eastAsia="PMingLiU" w:hAnsi="PMingLiU"/>
          <w:sz w:val="16"/>
          <w:szCs w:val="16"/>
          <w:color w:val="191919"/>
        </w:rPr>
        <w:t></w:t>
      </w:r>
      <w:r>
        <w:rPr>
          <w:rFonts w:ascii="Arial" w:cs="Arial" w:eastAsia="Arial" w:hAnsi="Arial"/>
          <w:sz w:val="16"/>
          <w:szCs w:val="16"/>
          <w:color w:val="191919"/>
        </w:rPr>
        <w:t xml:space="preserve"> ½«Ä</w:t>
      </w:r>
      <w:r>
        <w:rPr>
          <w:rFonts w:ascii="PMingLiU" w:cs="PMingLiU" w:eastAsia="PMingLiU" w:hAnsi="PMingLiU"/>
          <w:sz w:val="16"/>
          <w:szCs w:val="16"/>
          <w:color w:val="191919"/>
        </w:rPr>
        <w:t></w:t>
      </w:r>
      <w:r>
        <w:rPr>
          <w:rFonts w:ascii="Arial" w:cs="Arial" w:eastAsia="Arial" w:hAnsi="Arial"/>
          <w:sz w:val="16"/>
          <w:szCs w:val="16"/>
          <w:color w:val="191919"/>
        </w:rPr>
        <w:t xml:space="preserve">Ù </w:t>
      </w:r>
      <w:r>
        <w:rPr>
          <w:rFonts w:ascii="PMingLiU" w:cs="PMingLiU" w:eastAsia="PMingLiU" w:hAnsi="PMingLiU"/>
          <w:sz w:val="16"/>
          <w:szCs w:val="16"/>
          <w:color w:val="191919"/>
        </w:rPr>
        <w:t></w:t>
      </w:r>
      <w:r>
        <w:rPr>
          <w:rFonts w:ascii="Arial" w:cs="Arial" w:eastAsia="Arial" w:hAnsi="Arial"/>
          <w:sz w:val="16"/>
          <w:szCs w:val="16"/>
          <w:color w:val="191919"/>
        </w:rPr>
        <w:t>½Ö¨</w:t>
      </w:r>
      <w:r>
        <w:rPr>
          <w:rFonts w:ascii="PMingLiU" w:cs="PMingLiU" w:eastAsia="PMingLiU" w:hAnsi="PMingLiU"/>
          <w:sz w:val="16"/>
          <w:szCs w:val="16"/>
          <w:color w:val="191919"/>
        </w:rPr>
        <w:t></w:t>
      </w:r>
      <w:r>
        <w:rPr>
          <w:rFonts w:ascii="Arial" w:cs="Arial" w:eastAsia="Arial" w:hAnsi="Arial"/>
          <w:sz w:val="16"/>
          <w:szCs w:val="16"/>
          <w:color w:val="191919"/>
        </w:rPr>
        <w:t xml:space="preserve"> Ë½</w:t>
      </w:r>
      <w:r>
        <w:rPr>
          <w:rFonts w:ascii="PMingLiU" w:cs="PMingLiU" w:eastAsia="PMingLiU" w:hAnsi="PMingLiU"/>
          <w:sz w:val="16"/>
          <w:szCs w:val="16"/>
          <w:color w:val="191919"/>
        </w:rPr>
        <w:t></w:t>
      </w:r>
      <w:r>
        <w:rPr>
          <w:rFonts w:ascii="Arial" w:cs="Arial" w:eastAsia="Arial" w:hAnsi="Arial"/>
          <w:sz w:val="16"/>
          <w:szCs w:val="16"/>
          <w:color w:val="191919"/>
        </w:rPr>
        <w:t>¢«ÄÝ éÄ«äǏ Ã</w:t>
      </w:r>
      <w:r>
        <w:rPr>
          <w:rFonts w:ascii="PMingLiU" w:cs="PMingLiU" w:eastAsia="PMingLiU" w:hAnsi="PMingLiU"/>
          <w:sz w:val="16"/>
          <w:szCs w:val="16"/>
          <w:color w:val="191919"/>
        </w:rPr>
        <w:t></w:t>
      </w:r>
      <w:r>
        <w:rPr>
          <w:rFonts w:ascii="Arial" w:cs="Arial" w:eastAsia="Arial" w:hAnsi="Arial"/>
          <w:sz w:val="16"/>
          <w:szCs w:val="16"/>
          <w:color w:val="191919"/>
        </w:rPr>
        <w:t xml:space="preserve">Ùº«Ä£ ËéÙ </w:t>
      </w:r>
      <w:r>
        <w:rPr>
          <w:rFonts w:ascii="PMingLiU" w:cs="PMingLiU" w:eastAsia="PMingLiU" w:hAnsi="PMingLiU"/>
          <w:sz w:val="16"/>
          <w:szCs w:val="16"/>
          <w:color w:val="191919"/>
        </w:rPr>
        <w:t></w:t>
      </w:r>
      <w:r>
        <w:rPr>
          <w:rFonts w:ascii="Arial" w:cs="Arial" w:eastAsia="Arial" w:hAnsi="Arial"/>
          <w:sz w:val="16"/>
          <w:szCs w:val="16"/>
          <w:color w:val="191919"/>
        </w:rPr>
        <w:t>ÄäÙû «ÄäË ä¨«Ý Ã</w:t>
      </w:r>
      <w:r>
        <w:rPr>
          <w:rFonts w:ascii="PMingLiU" w:cs="PMingLiU" w:eastAsia="PMingLiU" w:hAnsi="PMingLiU"/>
          <w:sz w:val="16"/>
          <w:szCs w:val="16"/>
          <w:color w:val="191919"/>
        </w:rPr>
        <w:t></w:t>
      </w:r>
      <w:r>
        <w:rPr>
          <w:rFonts w:ascii="Arial" w:cs="Arial" w:eastAsia="Arial" w:hAnsi="Arial"/>
          <w:sz w:val="16"/>
          <w:szCs w:val="16"/>
          <w:color w:val="191919"/>
        </w:rPr>
        <w:t>Ùº</w:t>
      </w:r>
      <w:r>
        <w:rPr>
          <w:rFonts w:ascii="PMingLiU" w:cs="PMingLiU" w:eastAsia="PMingLiU" w:hAnsi="PMingLiU"/>
          <w:sz w:val="16"/>
          <w:szCs w:val="16"/>
          <w:color w:val="191919"/>
        </w:rPr>
        <w:t></w:t>
      </w:r>
      <w:r>
        <w:rPr>
          <w:rFonts w:ascii="Arial" w:cs="Arial" w:eastAsia="Arial" w:hAnsi="Arial"/>
          <w:sz w:val="16"/>
          <w:szCs w:val="16"/>
          <w:color w:val="191919"/>
        </w:rPr>
        <w:t>ä</w:t>
      </w:r>
    </w:p>
    <w:p>
      <w:pPr>
        <w:spacing w:after="0" w:line="46" w:lineRule="exact"/>
        <w:rPr>
          <w:sz w:val="20"/>
          <w:szCs w:val="20"/>
          <w:color w:val="auto"/>
        </w:rPr>
      </w:pPr>
    </w:p>
    <w:p>
      <w:pPr>
        <w:ind w:left="360"/>
        <w:spacing w:after="0" w:line="207" w:lineRule="exact"/>
        <w:rPr>
          <w:sz w:val="20"/>
          <w:szCs w:val="20"/>
          <w:color w:val="auto"/>
        </w:rPr>
      </w:pPr>
      <w:r>
        <w:rPr>
          <w:rFonts w:ascii="Arial" w:cs="Arial" w:eastAsia="Arial" w:hAnsi="Arial"/>
          <w:sz w:val="17"/>
          <w:szCs w:val="17"/>
          <w:color w:val="191919"/>
        </w:rPr>
        <w:t>õ«ä¨ ƎƐƋǏƋƋƋ äËÄÝ Ö</w:t>
      </w:r>
      <w:r>
        <w:rPr>
          <w:rFonts w:ascii="PMingLiU" w:cs="PMingLiU" w:eastAsia="PMingLiU" w:hAnsi="PMingLiU"/>
          <w:sz w:val="17"/>
          <w:szCs w:val="17"/>
          <w:color w:val="191919"/>
        </w:rPr>
        <w:t></w:t>
      </w:r>
      <w:r>
        <w:rPr>
          <w:rFonts w:ascii="Arial" w:cs="Arial" w:eastAsia="Arial" w:hAnsi="Arial"/>
          <w:sz w:val="17"/>
          <w:szCs w:val="17"/>
          <w:color w:val="191919"/>
        </w:rPr>
        <w:t>Ù û</w:t>
      </w:r>
      <w:r>
        <w:rPr>
          <w:rFonts w:ascii="PMingLiU" w:cs="PMingLiU" w:eastAsia="PMingLiU" w:hAnsi="PMingLiU"/>
          <w:sz w:val="17"/>
          <w:szCs w:val="17"/>
          <w:color w:val="191919"/>
        </w:rPr>
        <w:t></w:t>
      </w:r>
      <w:r>
        <w:rPr>
          <w:rFonts w:ascii="Arial" w:cs="Arial" w:eastAsia="Arial" w:hAnsi="Arial"/>
          <w:sz w:val="17"/>
          <w:szCs w:val="17"/>
          <w:color w:val="191919"/>
        </w:rPr>
        <w:t xml:space="preserve">Ù Ë¢ </w:t>
      </w:r>
      <w:r>
        <w:rPr>
          <w:rFonts w:ascii="PMingLiU" w:cs="PMingLiU" w:eastAsia="PMingLiU" w:hAnsi="PMingLiU"/>
          <w:sz w:val="17"/>
          <w:szCs w:val="17"/>
          <w:color w:val="191919"/>
        </w:rPr>
        <w:t/>
      </w:r>
      <w:r>
        <w:rPr>
          <w:rFonts w:ascii="Arial" w:cs="Arial" w:eastAsia="Arial" w:hAnsi="Arial"/>
          <w:sz w:val="17"/>
          <w:szCs w:val="17"/>
          <w:color w:val="191919"/>
        </w:rPr>
        <w:t>½</w:t>
      </w:r>
      <w:r>
        <w:rPr>
          <w:rFonts w:ascii="PMingLiU" w:cs="PMingLiU" w:eastAsia="PMingLiU" w:hAnsi="PMingLiU"/>
          <w:sz w:val="17"/>
          <w:szCs w:val="17"/>
          <w:color w:val="191919"/>
        </w:rPr>
        <w:t></w:t>
      </w:r>
      <w:r>
        <w:rPr>
          <w:rFonts w:ascii="Arial" w:cs="Arial" w:eastAsia="Arial" w:hAnsi="Arial"/>
          <w:sz w:val="17"/>
          <w:szCs w:val="17"/>
          <w:color w:val="191919"/>
        </w:rPr>
        <w:t>ô</w:t>
      </w:r>
      <w:r>
        <w:rPr>
          <w:rFonts w:ascii="PMingLiU" w:cs="PMingLiU" w:eastAsia="PMingLiU" w:hAnsi="PMingLiU"/>
          <w:sz w:val="17"/>
          <w:szCs w:val="17"/>
          <w:color w:val="191919"/>
        </w:rPr>
        <w:t></w:t>
      </w:r>
      <w:r>
        <w:rPr>
          <w:rFonts w:ascii="Arial" w:cs="Arial" w:eastAsia="Arial" w:hAnsi="Arial"/>
          <w:sz w:val="17"/>
          <w:szCs w:val="17"/>
          <w:color w:val="191919"/>
        </w:rPr>
        <w:t>úúȧǥ</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 xml:space="preserve"> ÖÙË</w:t>
      </w:r>
      <w:r>
        <w:rPr>
          <w:rFonts w:ascii="PMingLiU" w:cs="PMingLiU" w:eastAsia="PMingLiU" w:hAnsi="PMingLiU"/>
          <w:sz w:val="17"/>
          <w:szCs w:val="17"/>
          <w:color w:val="191919"/>
        </w:rPr>
        <w:t></w:t>
      </w:r>
      <w:r>
        <w:rPr>
          <w:rFonts w:ascii="Arial" w:cs="Arial" w:eastAsia="Arial" w:hAnsi="Arial"/>
          <w:sz w:val="17"/>
          <w:szCs w:val="17"/>
          <w:color w:val="191919"/>
        </w:rPr>
        <w:t>é</w:t>
      </w:r>
      <w:r>
        <w:rPr>
          <w:rFonts w:ascii="PMingLiU" w:cs="PMingLiU" w:eastAsia="PMingLiU" w:hAnsi="PMingLiU"/>
          <w:sz w:val="17"/>
          <w:szCs w:val="17"/>
          <w:color w:val="191919"/>
        </w:rPr>
        <w:t></w:t>
      </w:r>
      <w:r>
        <w:rPr>
          <w:rFonts w:ascii="Arial" w:cs="Arial" w:eastAsia="Arial" w:hAnsi="Arial"/>
          <w:sz w:val="17"/>
          <w:szCs w:val="17"/>
          <w:color w:val="191919"/>
        </w:rPr>
        <w:t>äÝ Ù</w:t>
      </w:r>
      <w:r>
        <w:rPr>
          <w:rFonts w:ascii="PMingLiU" w:cs="PMingLiU" w:eastAsia="PMingLiU" w:hAnsi="PMingLiU"/>
          <w:sz w:val="17"/>
          <w:szCs w:val="17"/>
          <w:color w:val="191919"/>
        </w:rPr>
        <w:t></w:t>
      </w:r>
      <w:r>
        <w:rPr>
          <w:rFonts w:ascii="Arial" w:cs="Arial" w:eastAsia="Arial" w:hAnsi="Arial"/>
          <w:sz w:val="17"/>
          <w:szCs w:val="17"/>
          <w:color w:val="191919"/>
        </w:rPr>
        <w:t>Ä£«Ä£ ¢ÙËÃ</w:t>
      </w:r>
    </w:p>
    <w:p>
      <w:pPr>
        <w:spacing w:after="0" w:line="32" w:lineRule="exact"/>
        <w:rPr>
          <w:sz w:val="20"/>
          <w:szCs w:val="20"/>
          <w:color w:val="auto"/>
        </w:rPr>
      </w:pPr>
    </w:p>
    <w:p>
      <w:pPr>
        <w:ind w:left="360"/>
        <w:spacing w:after="0" w:line="243" w:lineRule="exact"/>
        <w:rPr>
          <w:sz w:val="20"/>
          <w:szCs w:val="20"/>
          <w:color w:val="auto"/>
        </w:rPr>
      </w:pPr>
      <w:r>
        <w:rPr>
          <w:rFonts w:ascii="Arial" w:cs="Arial" w:eastAsia="Arial" w:hAnsi="Arial"/>
          <w:sz w:val="20"/>
          <w:szCs w:val="20"/>
          <w:color w:val="191919"/>
        </w:rPr>
        <w:t>½é</w:t>
      </w:r>
      <w:r>
        <w:rPr>
          <w:rFonts w:ascii="PMingLiU" w:cs="PMingLiU" w:eastAsia="PMingLiU" w:hAnsi="PMingLiU"/>
          <w:sz w:val="20"/>
          <w:szCs w:val="20"/>
          <w:color w:val="191919"/>
        </w:rPr>
        <w:t></w:t>
      </w:r>
      <w:r>
        <w:rPr>
          <w:rFonts w:ascii="Arial" w:cs="Arial" w:eastAsia="Arial" w:hAnsi="Arial"/>
          <w:sz w:val="20"/>
          <w:szCs w:val="20"/>
          <w:color w:val="191919"/>
        </w:rPr>
        <w:t>Ù«</w:t>
      </w:r>
      <w:r>
        <w:rPr>
          <w:rFonts w:ascii="PMingLiU" w:cs="PMingLiU" w:eastAsia="PMingLiU" w:hAnsi="PMingLiU"/>
          <w:sz w:val="20"/>
          <w:szCs w:val="20"/>
          <w:color w:val="191919"/>
        </w:rPr>
        <w:t></w:t>
      </w:r>
      <w:r>
        <w:rPr>
          <w:rFonts w:ascii="Arial" w:cs="Arial" w:eastAsia="Arial" w:hAnsi="Arial"/>
          <w:sz w:val="20"/>
          <w:szCs w:val="20"/>
          <w:color w:val="191919"/>
        </w:rPr>
        <w:t>ÄäÝ äË Ö½</w:t>
      </w:r>
      <w:r>
        <w:rPr>
          <w:rFonts w:ascii="PMingLiU" w:cs="PMingLiU" w:eastAsia="PMingLiU" w:hAnsi="PMingLiU"/>
          <w:sz w:val="20"/>
          <w:szCs w:val="20"/>
          <w:color w:val="191919"/>
        </w:rPr>
        <w:t></w:t>
      </w:r>
      <w:r>
        <w:rPr>
          <w:rFonts w:ascii="Arial" w:cs="Arial" w:eastAsia="Arial" w:hAnsi="Arial"/>
          <w:sz w:val="20"/>
          <w:szCs w:val="20"/>
          <w:color w:val="191919"/>
        </w:rPr>
        <w:t>Ýä«</w:t>
      </w:r>
      <w:r>
        <w:rPr>
          <w:rFonts w:ascii="PMingLiU" w:cs="PMingLiU" w:eastAsia="PMingLiU" w:hAnsi="PMingLiU"/>
          <w:sz w:val="20"/>
          <w:szCs w:val="20"/>
          <w:color w:val="191919"/>
        </w:rPr>
        <w:t></w:t>
      </w:r>
      <w:r>
        <w:rPr>
          <w:rFonts w:ascii="Arial" w:cs="Arial" w:eastAsia="Arial" w:hAnsi="Arial"/>
          <w:sz w:val="20"/>
          <w:szCs w:val="20"/>
          <w:color w:val="191919"/>
        </w:rPr>
        <w:t>Ýǔ</w:t>
      </w:r>
    </w:p>
    <w:p>
      <w:pPr>
        <w:spacing w:after="0" w:line="236" w:lineRule="exact"/>
        <w:rPr>
          <w:sz w:val="20"/>
          <w:szCs w:val="20"/>
          <w:color w:val="auto"/>
        </w:rPr>
      </w:pPr>
    </w:p>
    <w:p>
      <w:pPr>
        <w:ind w:left="360"/>
        <w:spacing w:after="0" w:line="194" w:lineRule="exact"/>
        <w:rPr>
          <w:sz w:val="20"/>
          <w:szCs w:val="20"/>
          <w:color w:val="auto"/>
        </w:rPr>
      </w:pPr>
      <w:r>
        <w:rPr>
          <w:rFonts w:ascii="Arial" w:cs="Arial" w:eastAsia="Arial" w:hAnsi="Arial"/>
          <w:sz w:val="16"/>
          <w:szCs w:val="16"/>
          <w:color w:val="191919"/>
        </w:rPr>
        <w:t>-Ä [Ö</w:t>
      </w:r>
      <w:r>
        <w:rPr>
          <w:rFonts w:ascii="PMingLiU" w:cs="PMingLiU" w:eastAsia="PMingLiU" w:hAnsi="PMingLiU"/>
          <w:sz w:val="16"/>
          <w:szCs w:val="16"/>
          <w:color w:val="191919"/>
        </w:rPr>
        <w:t></w:t>
      </w:r>
      <w:r>
        <w:rPr>
          <w:rFonts w:ascii="Arial" w:cs="Arial" w:eastAsia="Arial" w:hAnsi="Arial"/>
          <w:sz w:val="16"/>
          <w:szCs w:val="16"/>
          <w:color w:val="191919"/>
        </w:rPr>
        <w:t>«</w:t>
      </w:r>
      <w:r>
        <w:rPr>
          <w:rFonts w:ascii="PMingLiU" w:cs="PMingLiU" w:eastAsia="PMingLiU" w:hAnsi="PMingLiU"/>
          <w:sz w:val="16"/>
          <w:szCs w:val="16"/>
          <w:color w:val="191919"/>
        </w:rPr>
        <w:t></w:t>
      </w:r>
      <w:r>
        <w:rPr>
          <w:rFonts w:ascii="Arial" w:cs="Arial" w:eastAsia="Arial" w:hAnsi="Arial"/>
          <w:sz w:val="16"/>
          <w:szCs w:val="16"/>
          <w:color w:val="191919"/>
        </w:rPr>
        <w:t>½äû TÙË</w:t>
      </w:r>
      <w:r>
        <w:rPr>
          <w:rFonts w:ascii="PMingLiU" w:cs="PMingLiU" w:eastAsia="PMingLiU" w:hAnsi="PMingLiU"/>
          <w:sz w:val="16"/>
          <w:szCs w:val="16"/>
          <w:color w:val="191919"/>
        </w:rPr>
        <w:t></w:t>
      </w:r>
      <w:r>
        <w:rPr>
          <w:rFonts w:ascii="Arial" w:cs="Arial" w:eastAsia="Arial" w:hAnsi="Arial"/>
          <w:sz w:val="16"/>
          <w:szCs w:val="16"/>
          <w:color w:val="191919"/>
        </w:rPr>
        <w:t>é</w:t>
      </w:r>
      <w:r>
        <w:rPr>
          <w:rFonts w:ascii="PMingLiU" w:cs="PMingLiU" w:eastAsia="PMingLiU" w:hAnsi="PMingLiU"/>
          <w:sz w:val="16"/>
          <w:szCs w:val="16"/>
          <w:color w:val="191919"/>
        </w:rPr>
        <w:t></w:t>
      </w:r>
      <w:r>
        <w:rPr>
          <w:rFonts w:ascii="Arial" w:cs="Arial" w:eastAsia="Arial" w:hAnsi="Arial"/>
          <w:sz w:val="16"/>
          <w:szCs w:val="16"/>
          <w:color w:val="191919"/>
        </w:rPr>
        <w:t>äÝǏ ¨«£¨ǥô</w:t>
      </w:r>
      <w:r>
        <w:rPr>
          <w:rFonts w:ascii="PMingLiU" w:cs="PMingLiU" w:eastAsia="PMingLiU" w:hAnsi="PMingLiU"/>
          <w:sz w:val="16"/>
          <w:szCs w:val="16"/>
          <w:color w:val="191919"/>
        </w:rPr>
        <w:t></w:t>
      </w:r>
      <w:r>
        <w:rPr>
          <w:rFonts w:ascii="Arial" w:cs="Arial" w:eastAsia="Arial" w:hAnsi="Arial"/>
          <w:sz w:val="16"/>
          <w:szCs w:val="16"/>
          <w:color w:val="191919"/>
        </w:rPr>
        <w:t>½é</w:t>
      </w:r>
      <w:r>
        <w:rPr>
          <w:rFonts w:ascii="PMingLiU" w:cs="PMingLiU" w:eastAsia="PMingLiU" w:hAnsi="PMingLiU"/>
          <w:sz w:val="16"/>
          <w:szCs w:val="16"/>
          <w:color w:val="191919"/>
        </w:rPr>
        <w:t></w:t>
      </w:r>
      <w:r>
        <w:rPr>
          <w:rFonts w:ascii="Arial" w:cs="Arial" w:eastAsia="Arial" w:hAnsi="Arial"/>
          <w:sz w:val="16"/>
          <w:szCs w:val="16"/>
          <w:color w:val="191919"/>
        </w:rPr>
        <w:t xml:space="preserve"> ÖÙË</w:t>
      </w:r>
      <w:r>
        <w:rPr>
          <w:rFonts w:ascii="PMingLiU" w:cs="PMingLiU" w:eastAsia="PMingLiU" w:hAnsi="PMingLiU"/>
          <w:sz w:val="16"/>
          <w:szCs w:val="16"/>
          <w:color w:val="191919"/>
        </w:rPr>
        <w:t></w:t>
      </w:r>
      <w:r>
        <w:rPr>
          <w:rFonts w:ascii="Arial" w:cs="Arial" w:eastAsia="Arial" w:hAnsi="Arial"/>
          <w:sz w:val="16"/>
          <w:szCs w:val="16"/>
          <w:color w:val="191919"/>
        </w:rPr>
        <w:t>é</w:t>
      </w:r>
      <w:r>
        <w:rPr>
          <w:rFonts w:ascii="PMingLiU" w:cs="PMingLiU" w:eastAsia="PMingLiU" w:hAnsi="PMingLiU"/>
          <w:sz w:val="16"/>
          <w:szCs w:val="16"/>
          <w:color w:val="191919"/>
        </w:rPr>
        <w:t></w:t>
      </w:r>
      <w:r>
        <w:rPr>
          <w:rFonts w:ascii="Arial" w:cs="Arial" w:eastAsia="Arial" w:hAnsi="Arial"/>
          <w:sz w:val="16"/>
          <w:szCs w:val="16"/>
          <w:color w:val="191919"/>
        </w:rPr>
        <w:t>äÝ Ã</w:t>
      </w:r>
      <w:r>
        <w:rPr>
          <w:rFonts w:ascii="PMingLiU" w:cs="PMingLiU" w:eastAsia="PMingLiU" w:hAnsi="PMingLiU"/>
          <w:sz w:val="16"/>
          <w:szCs w:val="16"/>
          <w:color w:val="191919"/>
        </w:rPr>
        <w:t></w:t>
      </w:r>
      <w:r>
        <w:rPr>
          <w:rFonts w:ascii="Arial" w:cs="Arial" w:eastAsia="Arial" w:hAnsi="Arial"/>
          <w:sz w:val="16"/>
          <w:szCs w:val="16"/>
          <w:color w:val="191919"/>
        </w:rPr>
        <w:t>º</w:t>
      </w:r>
      <w:r>
        <w:rPr>
          <w:rFonts w:ascii="PMingLiU" w:cs="PMingLiU" w:eastAsia="PMingLiU" w:hAnsi="PMingLiU"/>
          <w:sz w:val="16"/>
          <w:szCs w:val="16"/>
          <w:color w:val="191919"/>
        </w:rPr>
        <w:t></w:t>
      </w:r>
      <w:r>
        <w:rPr>
          <w:rFonts w:ascii="Arial" w:cs="Arial" w:eastAsia="Arial" w:hAnsi="Arial"/>
          <w:sz w:val="16"/>
          <w:szCs w:val="16"/>
          <w:color w:val="191919"/>
        </w:rPr>
        <w:t xml:space="preserve"> éÖ ƒƋȐ Ë¢ ËéÙ ÖËÙä¢Ë½«Ë</w:t>
      </w:r>
    </w:p>
    <w:p>
      <w:pPr>
        <w:spacing w:after="0" w:line="50" w:lineRule="exact"/>
        <w:rPr>
          <w:sz w:val="20"/>
          <w:szCs w:val="20"/>
          <w:color w:val="auto"/>
        </w:rPr>
      </w:pPr>
    </w:p>
    <w:p>
      <w:pPr>
        <w:ind w:left="360"/>
        <w:spacing w:after="0" w:line="207" w:lineRule="exact"/>
        <w:rPr>
          <w:sz w:val="20"/>
          <w:szCs w:val="20"/>
          <w:color w:val="auto"/>
        </w:rPr>
      </w:pPr>
      <w:r>
        <w:rPr>
          <w:rFonts w:ascii="Arial" w:cs="Arial" w:eastAsia="Arial" w:hAnsi="Arial"/>
          <w:sz w:val="17"/>
          <w:szCs w:val="17"/>
          <w:color w:val="191919"/>
        </w:rPr>
        <w:t xml:space="preserve">Ë¢ ÝäÙËÄ£Ǐ </w:t>
      </w:r>
      <w:r>
        <w:rPr>
          <w:rFonts w:ascii="PMingLiU" w:cs="PMingLiU" w:eastAsia="PMingLiU" w:hAnsi="PMingLiU"/>
          <w:sz w:val="17"/>
          <w:szCs w:val="17"/>
          <w:color w:val="191919"/>
        </w:rPr>
        <w:t></w:t>
      </w:r>
      <w:r>
        <w:rPr>
          <w:rFonts w:ascii="Arial" w:cs="Arial" w:eastAsia="Arial" w:hAnsi="Arial"/>
          <w:sz w:val="17"/>
          <w:szCs w:val="17"/>
          <w:color w:val="191919"/>
        </w:rPr>
        <w:t>«¢¢</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Ää«</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 </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Ýǔ b¨«Ý «Ä</w:t>
      </w:r>
      <w:r>
        <w:rPr>
          <w:rFonts w:ascii="PMingLiU" w:cs="PMingLiU" w:eastAsia="PMingLiU" w:hAnsi="PMingLiU"/>
          <w:sz w:val="17"/>
          <w:szCs w:val="17"/>
          <w:color w:val="191919"/>
        </w:rPr>
        <w:t></w:t>
      </w:r>
      <w:r>
        <w:rPr>
          <w:rFonts w:ascii="Arial" w:cs="Arial" w:eastAsia="Arial" w:hAnsi="Arial"/>
          <w:sz w:val="17"/>
          <w:szCs w:val="17"/>
          <w:color w:val="191919"/>
        </w:rPr>
        <w:t>½é</w:t>
      </w:r>
      <w:r>
        <w:rPr>
          <w:rFonts w:ascii="PMingLiU" w:cs="PMingLiU" w:eastAsia="PMingLiU" w:hAnsi="PMingLiU"/>
          <w:sz w:val="17"/>
          <w:szCs w:val="17"/>
          <w:color w:val="191919"/>
        </w:rPr>
        <w:t></w:t>
      </w:r>
      <w:r>
        <w:rPr>
          <w:rFonts w:ascii="Arial" w:cs="Arial" w:eastAsia="Arial" w:hAnsi="Arial"/>
          <w:sz w:val="17"/>
          <w:szCs w:val="17"/>
          <w:color w:val="191919"/>
        </w:rPr>
        <w:t>Ý Ö</w:t>
      </w:r>
      <w:r>
        <w:rPr>
          <w:rFonts w:ascii="PMingLiU" w:cs="PMingLiU" w:eastAsia="PMingLiU" w:hAnsi="PMingLiU"/>
          <w:sz w:val="17"/>
          <w:szCs w:val="17"/>
          <w:color w:val="191919"/>
        </w:rPr>
        <w:t></w:t>
      </w:r>
      <w:r>
        <w:rPr>
          <w:rFonts w:ascii="Arial" w:cs="Arial" w:eastAsia="Arial" w:hAnsi="Arial"/>
          <w:sz w:val="17"/>
          <w:szCs w:val="17"/>
          <w:color w:val="191919"/>
        </w:rPr>
        <w:t>Ù¢ËÙÃ</w:t>
      </w:r>
      <w:r>
        <w:rPr>
          <w:rFonts w:ascii="PMingLiU" w:cs="PMingLiU" w:eastAsia="PMingLiU" w:hAnsi="PMingLiU"/>
          <w:sz w:val="17"/>
          <w:szCs w:val="17"/>
          <w:color w:val="191919"/>
        </w:rPr>
        <w:t></w:t>
      </w:r>
      <w:r>
        <w:rPr>
          <w:rFonts w:ascii="Arial" w:cs="Arial" w:eastAsia="Arial" w:hAnsi="Arial"/>
          <w:sz w:val="17"/>
          <w:szCs w:val="17"/>
          <w:color w:val="191919"/>
        </w:rPr>
        <w:t>Ä</w:t>
      </w:r>
      <w:r>
        <w:rPr>
          <w:rFonts w:ascii="PMingLiU" w:cs="PMingLiU" w:eastAsia="PMingLiU" w:hAnsi="PMingLiU"/>
          <w:sz w:val="17"/>
          <w:szCs w:val="17"/>
          <w:color w:val="191919"/>
        </w:rPr>
        <w:t></w:t>
      </w:r>
      <w:r>
        <w:rPr>
          <w:rFonts w:ascii="Arial" w:cs="Arial" w:eastAsia="Arial" w:hAnsi="Arial"/>
          <w:sz w:val="17"/>
          <w:szCs w:val="17"/>
          <w:color w:val="191919"/>
        </w:rPr>
        <w:t xml:space="preserve"> ½é</w:t>
      </w:r>
      <w:r>
        <w:rPr>
          <w:rFonts w:ascii="PMingLiU" w:cs="PMingLiU" w:eastAsia="PMingLiU" w:hAnsi="PMingLiU"/>
          <w:sz w:val="17"/>
          <w:szCs w:val="17"/>
          <w:color w:val="191919"/>
        </w:rPr>
        <w:t></w:t>
      </w:r>
      <w:r>
        <w:rPr>
          <w:rFonts w:ascii="Arial" w:cs="Arial" w:eastAsia="Arial" w:hAnsi="Arial"/>
          <w:sz w:val="17"/>
          <w:szCs w:val="17"/>
          <w:color w:val="191919"/>
        </w:rPr>
        <w:t>Ù«</w:t>
      </w:r>
      <w:r>
        <w:rPr>
          <w:rFonts w:ascii="PMingLiU" w:cs="PMingLiU" w:eastAsia="PMingLiU" w:hAnsi="PMingLiU"/>
          <w:sz w:val="17"/>
          <w:szCs w:val="17"/>
          <w:color w:val="191919"/>
        </w:rPr>
        <w:t></w:t>
      </w:r>
      <w:r>
        <w:rPr>
          <w:rFonts w:ascii="Arial" w:cs="Arial" w:eastAsia="Arial" w:hAnsi="Arial"/>
          <w:sz w:val="17"/>
          <w:szCs w:val="17"/>
          <w:color w:val="191919"/>
        </w:rPr>
        <w:t>ÄäÝ</w:t>
      </w:r>
    </w:p>
    <w:p>
      <w:pPr>
        <w:spacing w:after="0" w:line="34" w:lineRule="exact"/>
        <w:rPr>
          <w:sz w:val="20"/>
          <w:szCs w:val="20"/>
          <w:color w:val="auto"/>
        </w:rPr>
      </w:pPr>
    </w:p>
    <w:p>
      <w:pPr>
        <w:ind w:left="360"/>
        <w:spacing w:after="0" w:line="253" w:lineRule="exact"/>
        <w:rPr>
          <w:sz w:val="20"/>
          <w:szCs w:val="20"/>
          <w:color w:val="auto"/>
        </w:rPr>
      </w:pPr>
      <w:r>
        <w:rPr>
          <w:rFonts w:ascii="PMingLiU" w:cs="PMingLiU" w:eastAsia="PMingLiU" w:hAnsi="PMingLiU"/>
          <w:sz w:val="19"/>
          <w:szCs w:val="19"/>
          <w:color w:val="191919"/>
        </w:rPr>
        <w:t></w:t>
      </w:r>
      <w:r>
        <w:rPr>
          <w:rFonts w:ascii="Arial" w:cs="Arial" w:eastAsia="Arial" w:hAnsi="Arial"/>
          <w:sz w:val="19"/>
          <w:szCs w:val="19"/>
          <w:color w:val="191919"/>
        </w:rPr>
        <w:t>Ä</w:t>
      </w:r>
      <w:r>
        <w:rPr>
          <w:rFonts w:ascii="PMingLiU" w:cs="PMingLiU" w:eastAsia="PMingLiU" w:hAnsi="PMingLiU"/>
          <w:sz w:val="19"/>
          <w:szCs w:val="19"/>
          <w:color w:val="191919"/>
        </w:rPr>
        <w:t></w:t>
      </w:r>
      <w:r>
        <w:rPr>
          <w:rFonts w:ascii="Arial" w:cs="Arial" w:eastAsia="Arial" w:hAnsi="Arial"/>
          <w:sz w:val="19"/>
          <w:szCs w:val="19"/>
          <w:color w:val="191919"/>
        </w:rPr>
        <w:t>½</w:t>
      </w:r>
      <w:r>
        <w:rPr>
          <w:rFonts w:ascii="PMingLiU" w:cs="PMingLiU" w:eastAsia="PMingLiU" w:hAnsi="PMingLiU"/>
          <w:sz w:val="19"/>
          <w:szCs w:val="19"/>
          <w:color w:val="191919"/>
        </w:rPr>
        <w:t> </w:t>
      </w:r>
      <w:r>
        <w:rPr>
          <w:rFonts w:ascii="Arial" w:cs="Arial" w:eastAsia="Arial" w:hAnsi="Arial"/>
          <w:sz w:val="19"/>
          <w:szCs w:val="19"/>
          <w:color w:val="191919"/>
        </w:rPr>
        <w:t>û ÖÙËÖÙ«</w:t>
      </w:r>
      <w:r>
        <w:rPr>
          <w:rFonts w:ascii="PMingLiU" w:cs="PMingLiU" w:eastAsia="PMingLiU" w:hAnsi="PMingLiU"/>
          <w:sz w:val="19"/>
          <w:szCs w:val="19"/>
          <w:color w:val="191919"/>
        </w:rPr>
        <w:t></w:t>
      </w:r>
      <w:r>
        <w:rPr>
          <w:rFonts w:ascii="Arial" w:cs="Arial" w:eastAsia="Arial" w:hAnsi="Arial"/>
          <w:sz w:val="19"/>
          <w:szCs w:val="19"/>
          <w:color w:val="191919"/>
        </w:rPr>
        <w:t>ä</w:t>
      </w:r>
      <w:r>
        <w:rPr>
          <w:rFonts w:ascii="PMingLiU" w:cs="PMingLiU" w:eastAsia="PMingLiU" w:hAnsi="PMingLiU"/>
          <w:sz w:val="19"/>
          <w:szCs w:val="19"/>
          <w:color w:val="191919"/>
        </w:rPr>
        <w:t></w:t>
      </w:r>
      <w:r>
        <w:rPr>
          <w:rFonts w:ascii="Arial" w:cs="Arial" w:eastAsia="Arial" w:hAnsi="Arial"/>
          <w:sz w:val="19"/>
          <w:szCs w:val="19"/>
          <w:color w:val="191919"/>
        </w:rPr>
        <w:t>Ùû ä</w:t>
      </w:r>
      <w:r>
        <w:rPr>
          <w:rFonts w:ascii="PMingLiU" w:cs="PMingLiU" w:eastAsia="PMingLiU" w:hAnsi="PMingLiU"/>
          <w:sz w:val="19"/>
          <w:szCs w:val="19"/>
          <w:color w:val="191919"/>
        </w:rPr>
        <w:t></w:t>
      </w:r>
      <w:r>
        <w:rPr>
          <w:rFonts w:ascii="Arial" w:cs="Arial" w:eastAsia="Arial" w:hAnsi="Arial"/>
          <w:sz w:val="19"/>
          <w:szCs w:val="19"/>
          <w:color w:val="191919"/>
        </w:rPr>
        <w:t>¨ÄË½Ë£ûǏ Ýé</w:t>
      </w:r>
      <w:r>
        <w:rPr>
          <w:rFonts w:ascii="PMingLiU" w:cs="PMingLiU" w:eastAsia="PMingLiU" w:hAnsi="PMingLiU"/>
          <w:sz w:val="19"/>
          <w:szCs w:val="19"/>
          <w:color w:val="191919"/>
        </w:rPr>
        <w:t></w:t>
      </w:r>
      <w:r>
        <w:rPr>
          <w:rFonts w:ascii="Arial" w:cs="Arial" w:eastAsia="Arial" w:hAnsi="Arial"/>
          <w:sz w:val="19"/>
          <w:szCs w:val="19"/>
          <w:color w:val="191919"/>
        </w:rPr>
        <w:t xml:space="preserve">¨ </w:t>
      </w:r>
      <w:r>
        <w:rPr>
          <w:rFonts w:ascii="PMingLiU" w:cs="PMingLiU" w:eastAsia="PMingLiU" w:hAnsi="PMingLiU"/>
          <w:sz w:val="19"/>
          <w:szCs w:val="19"/>
          <w:color w:val="191919"/>
        </w:rPr>
        <w:t></w:t>
      </w:r>
      <w:r>
        <w:rPr>
          <w:rFonts w:ascii="Arial" w:cs="Arial" w:eastAsia="Arial" w:hAnsi="Arial"/>
          <w:sz w:val="19"/>
          <w:szCs w:val="19"/>
          <w:color w:val="191919"/>
        </w:rPr>
        <w:t>Ý BË</w:t>
      </w:r>
      <w:r>
        <w:rPr>
          <w:rFonts w:ascii="PMingLiU" w:cs="PMingLiU" w:eastAsia="PMingLiU" w:hAnsi="PMingLiU"/>
          <w:sz w:val="19"/>
          <w:szCs w:val="19"/>
          <w:color w:val="191919"/>
        </w:rPr>
        <w:t></w:t>
      </w:r>
      <w:r>
        <w:rPr>
          <w:rFonts w:ascii="Arial" w:cs="Arial" w:eastAsia="Arial" w:hAnsi="Arial"/>
          <w:sz w:val="19"/>
          <w:szCs w:val="19"/>
          <w:color w:val="191919"/>
        </w:rPr>
        <w:t>«½ ƌ</w:t>
      </w:r>
      <w:r>
        <w:rPr>
          <w:rFonts w:ascii="Arial" w:cs="Arial" w:eastAsia="Arial" w:hAnsi="Arial"/>
          <w:sz w:val="22"/>
          <w:szCs w:val="22"/>
          <w:color w:val="191919"/>
          <w:vertAlign w:val="superscript"/>
        </w:rPr>
        <w:t>bB</w:t>
      </w:r>
      <w:r>
        <w:rPr>
          <w:rFonts w:ascii="Arial" w:cs="Arial" w:eastAsia="Arial" w:hAnsi="Arial"/>
          <w:sz w:val="19"/>
          <w:szCs w:val="19"/>
          <w:color w:val="191919"/>
        </w:rPr>
        <w:t xml:space="preserve"> Ǥ ä¨</w:t>
      </w:r>
      <w:r>
        <w:rPr>
          <w:rFonts w:ascii="PMingLiU" w:cs="PMingLiU" w:eastAsia="PMingLiU" w:hAnsi="PMingLiU"/>
          <w:sz w:val="19"/>
          <w:szCs w:val="19"/>
          <w:color w:val="191919"/>
        </w:rPr>
        <w:t></w:t>
      </w:r>
      <w:r>
        <w:rPr>
          <w:rFonts w:ascii="Arial" w:cs="Arial" w:eastAsia="Arial" w:hAnsi="Arial"/>
          <w:sz w:val="19"/>
          <w:szCs w:val="19"/>
          <w:color w:val="191919"/>
        </w:rPr>
        <w:t xml:space="preserve"> õËÙ½</w:t>
      </w:r>
      <w:r>
        <w:rPr>
          <w:rFonts w:ascii="PMingLiU" w:cs="PMingLiU" w:eastAsia="PMingLiU" w:hAnsi="PMingLiU"/>
          <w:sz w:val="19"/>
          <w:szCs w:val="19"/>
          <w:color w:val="191919"/>
        </w:rPr>
        <w:t></w:t>
      </w:r>
      <w:r>
        <w:rPr>
          <w:rFonts w:ascii="Arial" w:cs="Arial" w:eastAsia="Arial" w:hAnsi="Arial"/>
          <w:sz w:val="19"/>
          <w:szCs w:val="19"/>
          <w:color w:val="191919"/>
        </w:rPr>
        <w:t>ǯÝ</w:t>
      </w:r>
    </w:p>
    <w:p>
      <w:pPr>
        <w:spacing w:after="0" w:line="23" w:lineRule="exact"/>
        <w:rPr>
          <w:sz w:val="20"/>
          <w:szCs w:val="20"/>
          <w:color w:val="auto"/>
        </w:rPr>
      </w:pPr>
    </w:p>
    <w:p>
      <w:pPr>
        <w:ind w:left="360"/>
        <w:spacing w:after="0" w:line="194" w:lineRule="exact"/>
        <w:rPr>
          <w:sz w:val="20"/>
          <w:szCs w:val="20"/>
          <w:color w:val="auto"/>
        </w:rPr>
      </w:pPr>
      <w:r>
        <w:rPr>
          <w:rFonts w:ascii="Arial" w:cs="Arial" w:eastAsia="Arial" w:hAnsi="Arial"/>
          <w:sz w:val="16"/>
          <w:szCs w:val="16"/>
          <w:color w:val="191919"/>
        </w:rPr>
        <w:t>½</w:t>
      </w:r>
      <w:r>
        <w:rPr>
          <w:rFonts w:ascii="PMingLiU" w:cs="PMingLiU" w:eastAsia="PMingLiU" w:hAnsi="PMingLiU"/>
          <w:sz w:val="16"/>
          <w:szCs w:val="16"/>
          <w:color w:val="191919"/>
        </w:rPr>
        <w:t></w:t>
      </w:r>
      <w:r>
        <w:rPr>
          <w:rFonts w:ascii="Arial" w:cs="Arial" w:eastAsia="Arial" w:hAnsi="Arial"/>
          <w:sz w:val="16"/>
          <w:szCs w:val="16"/>
          <w:color w:val="191919"/>
        </w:rPr>
        <w:t>«Ä£ ÝûÄä¨</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 xml:space="preserve"> ÃËäËÙ Ë«½ </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 xml:space="preserve"> ËÄ</w:t>
      </w:r>
      <w:r>
        <w:rPr>
          <w:rFonts w:ascii="PMingLiU" w:cs="PMingLiU" w:eastAsia="PMingLiU" w:hAnsi="PMingLiU"/>
          <w:sz w:val="16"/>
          <w:szCs w:val="16"/>
          <w:color w:val="191919"/>
        </w:rPr>
        <w:t></w:t>
      </w:r>
      <w:r>
        <w:rPr>
          <w:rFonts w:ascii="Arial" w:cs="Arial" w:eastAsia="Arial" w:hAnsi="Arial"/>
          <w:sz w:val="16"/>
          <w:szCs w:val="16"/>
          <w:color w:val="191919"/>
        </w:rPr>
        <w:t xml:space="preserve"> Ë¢ Ãé½ä«Ö½</w:t>
      </w:r>
      <w:r>
        <w:rPr>
          <w:rFonts w:ascii="PMingLiU" w:cs="PMingLiU" w:eastAsia="PMingLiU" w:hAnsi="PMingLiU"/>
          <w:sz w:val="16"/>
          <w:szCs w:val="16"/>
          <w:color w:val="191919"/>
        </w:rPr>
        <w:t></w:t>
      </w:r>
      <w:r>
        <w:rPr>
          <w:rFonts w:ascii="Arial" w:cs="Arial" w:eastAsia="Arial" w:hAnsi="Arial"/>
          <w:sz w:val="16"/>
          <w:szCs w:val="16"/>
          <w:color w:val="191919"/>
        </w:rPr>
        <w:t xml:space="preserve"> Ö</w:t>
      </w:r>
      <w:r>
        <w:rPr>
          <w:rFonts w:ascii="PMingLiU" w:cs="PMingLiU" w:eastAsia="PMingLiU" w:hAnsi="PMingLiU"/>
          <w:sz w:val="16"/>
          <w:szCs w:val="16"/>
          <w:color w:val="191919"/>
        </w:rPr>
        <w:t></w:t>
      </w:r>
      <w:r>
        <w:rPr>
          <w:rFonts w:ascii="Arial" w:cs="Arial" w:eastAsia="Arial" w:hAnsi="Arial"/>
          <w:sz w:val="16"/>
          <w:szCs w:val="16"/>
          <w:color w:val="191919"/>
        </w:rPr>
        <w:t>Ù¢ËÙÃ</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ǥ½é</w:t>
      </w:r>
      <w:r>
        <w:rPr>
          <w:rFonts w:ascii="PMingLiU" w:cs="PMingLiU" w:eastAsia="PMingLiU" w:hAnsi="PMingLiU"/>
          <w:sz w:val="16"/>
          <w:szCs w:val="16"/>
          <w:color w:val="191919"/>
        </w:rPr>
        <w:t></w:t>
      </w:r>
      <w:r>
        <w:rPr>
          <w:rFonts w:ascii="Arial" w:cs="Arial" w:eastAsia="Arial" w:hAnsi="Arial"/>
          <w:sz w:val="16"/>
          <w:szCs w:val="16"/>
          <w:color w:val="191919"/>
        </w:rPr>
        <w:t>Ù«</w:t>
      </w:r>
      <w:r>
        <w:rPr>
          <w:rFonts w:ascii="PMingLiU" w:cs="PMingLiU" w:eastAsia="PMingLiU" w:hAnsi="PMingLiU"/>
          <w:sz w:val="16"/>
          <w:szCs w:val="16"/>
          <w:color w:val="191919"/>
        </w:rPr>
        <w:t></w:t>
      </w:r>
      <w:r>
        <w:rPr>
          <w:rFonts w:ascii="Arial" w:cs="Arial" w:eastAsia="Arial" w:hAnsi="Arial"/>
          <w:sz w:val="16"/>
          <w:szCs w:val="16"/>
          <w:color w:val="191919"/>
        </w:rPr>
        <w:t>Ää</w:t>
      </w:r>
    </w:p>
    <w:p>
      <w:pPr>
        <w:spacing w:after="0" w:line="8" w:lineRule="exact"/>
        <w:rPr>
          <w:sz w:val="20"/>
          <w:szCs w:val="20"/>
          <w:color w:val="auto"/>
        </w:rPr>
      </w:pPr>
    </w:p>
    <w:p>
      <w:pPr>
        <w:ind w:left="360"/>
        <w:spacing w:after="0" w:line="243" w:lineRule="exact"/>
        <w:rPr>
          <w:sz w:val="20"/>
          <w:szCs w:val="20"/>
          <w:color w:val="auto"/>
        </w:rPr>
      </w:pPr>
      <w:r>
        <w:rPr>
          <w:rFonts w:ascii="Arial" w:cs="Arial" w:eastAsia="Arial" w:hAnsi="Arial"/>
          <w:sz w:val="20"/>
          <w:szCs w:val="20"/>
          <w:color w:val="191919"/>
        </w:rPr>
        <w:t>£Ù</w:t>
      </w:r>
      <w:r>
        <w:rPr>
          <w:rFonts w:ascii="PMingLiU" w:cs="PMingLiU" w:eastAsia="PMingLiU" w:hAnsi="PMingLiU"/>
          <w:sz w:val="20"/>
          <w:szCs w:val="20"/>
          <w:color w:val="191919"/>
        </w:rPr>
        <w:t></w:t>
      </w:r>
      <w:r>
        <w:rPr>
          <w:rFonts w:ascii="Arial" w:cs="Arial" w:eastAsia="Arial" w:hAnsi="Arial"/>
          <w:sz w:val="20"/>
          <w:szCs w:val="20"/>
          <w:color w:val="191919"/>
        </w:rPr>
        <w:t xml:space="preserve">Ý äË </w:t>
      </w:r>
      <w:r>
        <w:rPr>
          <w:rFonts w:ascii="PMingLiU" w:cs="PMingLiU" w:eastAsia="PMingLiU" w:hAnsi="PMingLiU"/>
          <w:sz w:val="20"/>
          <w:szCs w:val="20"/>
          <w:color w:val="191919"/>
        </w:rPr>
        <w:t></w:t>
      </w:r>
      <w:r>
        <w:rPr>
          <w:rFonts w:ascii="Arial" w:cs="Arial" w:eastAsia="Arial" w:hAnsi="Arial"/>
          <w:sz w:val="20"/>
          <w:szCs w:val="20"/>
          <w:color w:val="191919"/>
        </w:rPr>
        <w:t>Ù</w:t>
      </w:r>
      <w:r>
        <w:rPr>
          <w:rFonts w:ascii="PMingLiU" w:cs="PMingLiU" w:eastAsia="PMingLiU" w:hAnsi="PMingLiU"/>
          <w:sz w:val="20"/>
          <w:szCs w:val="20"/>
          <w:color w:val="191919"/>
        </w:rPr>
        <w:t></w:t>
      </w:r>
      <w:r>
        <w:rPr>
          <w:rFonts w:ascii="Arial" w:cs="Arial" w:eastAsia="Arial" w:hAnsi="Arial"/>
          <w:sz w:val="20"/>
          <w:szCs w:val="20"/>
          <w:color w:val="191919"/>
        </w:rPr>
        <w:t>º Ý</w:t>
      </w:r>
      <w:r>
        <w:rPr>
          <w:rFonts w:ascii="PMingLiU" w:cs="PMingLiU" w:eastAsia="PMingLiU" w:hAnsi="PMingLiU"/>
          <w:sz w:val="20"/>
          <w:szCs w:val="20"/>
          <w:color w:val="191919"/>
        </w:rPr>
        <w:t></w:t>
      </w:r>
      <w:r>
        <w:rPr>
          <w:rFonts w:ascii="Arial" w:cs="Arial" w:eastAsia="Arial" w:hAnsi="Arial"/>
          <w:sz w:val="20"/>
          <w:szCs w:val="20"/>
          <w:color w:val="191919"/>
        </w:rPr>
        <w:t>½</w:t>
      </w:r>
      <w:r>
        <w:rPr>
          <w:rFonts w:ascii="PMingLiU" w:cs="PMingLiU" w:eastAsia="PMingLiU" w:hAnsi="PMingLiU"/>
          <w:sz w:val="20"/>
          <w:szCs w:val="20"/>
          <w:color w:val="191919"/>
        </w:rPr>
        <w:t></w:t>
      </w:r>
      <w:r>
        <w:rPr>
          <w:rFonts w:ascii="Arial" w:cs="Arial" w:eastAsia="Arial" w:hAnsi="Arial"/>
          <w:sz w:val="20"/>
          <w:szCs w:val="20"/>
          <w:color w:val="191919"/>
        </w:rPr>
        <w:t>Ý Ù</w:t>
      </w:r>
      <w:r>
        <w:rPr>
          <w:rFonts w:ascii="PMingLiU" w:cs="PMingLiU" w:eastAsia="PMingLiU" w:hAnsi="PMingLiU"/>
          <w:sz w:val="20"/>
          <w:szCs w:val="20"/>
          <w:color w:val="191919"/>
        </w:rPr>
        <w:t></w:t>
      </w:r>
      <w:r>
        <w:rPr>
          <w:rFonts w:ascii="Arial" w:cs="Arial" w:eastAsia="Arial" w:hAnsi="Arial"/>
          <w:sz w:val="20"/>
          <w:szCs w:val="20"/>
          <w:color w:val="191919"/>
        </w:rPr>
        <w:t>ËÙ</w:t>
      </w:r>
      <w:r>
        <w:rPr>
          <w:rFonts w:ascii="PMingLiU" w:cs="PMingLiU" w:eastAsia="PMingLiU" w:hAnsi="PMingLiU"/>
          <w:sz w:val="20"/>
          <w:szCs w:val="20"/>
          <w:color w:val="191919"/>
        </w:rPr>
        <w:t></w:t>
      </w:r>
      <w:r>
        <w:rPr>
          <w:rFonts w:ascii="Arial" w:cs="Arial" w:eastAsia="Arial" w:hAnsi="Arial"/>
          <w:sz w:val="20"/>
          <w:szCs w:val="20"/>
          <w:color w:val="191919"/>
        </w:rPr>
        <w:t>Ý «Ä ƍƋƍƎǔ</w:t>
      </w:r>
    </w:p>
    <w:p>
      <w:pPr>
        <w:spacing w:after="0" w:line="236" w:lineRule="exact"/>
        <w:rPr>
          <w:sz w:val="20"/>
          <w:szCs w:val="20"/>
          <w:color w:val="auto"/>
        </w:rPr>
      </w:pPr>
    </w:p>
    <w:p>
      <w:pPr>
        <w:ind w:left="360"/>
        <w:spacing w:after="0" w:line="243" w:lineRule="exact"/>
        <w:rPr>
          <w:sz w:val="20"/>
          <w:szCs w:val="20"/>
          <w:color w:val="auto"/>
        </w:rPr>
      </w:pPr>
      <w:r>
        <w:rPr>
          <w:rFonts w:ascii="PMingLiU" w:cs="PMingLiU" w:eastAsia="PMingLiU" w:hAnsi="PMingLiU"/>
          <w:sz w:val="20"/>
          <w:szCs w:val="20"/>
          <w:b w:val="1"/>
          <w:bCs w:val="1"/>
          <w:color w:val="191919"/>
        </w:rPr>
        <w:t/>
      </w:r>
      <w:r>
        <w:rPr>
          <w:rFonts w:ascii="Arial" w:cs="Arial" w:eastAsia="Arial" w:hAnsi="Arial"/>
          <w:sz w:val="20"/>
          <w:szCs w:val="20"/>
          <w:b w:val="1"/>
          <w:bCs w:val="1"/>
          <w:color w:val="191919"/>
        </w:rPr>
        <w:t>úÖ</w:t>
      </w:r>
      <w:r>
        <w:rPr>
          <w:rFonts w:ascii="PMingLiU" w:cs="PMingLiU" w:eastAsia="PMingLiU" w:hAnsi="PMingLiU"/>
          <w:sz w:val="20"/>
          <w:szCs w:val="20"/>
          <w:b w:val="1"/>
          <w:bCs w:val="1"/>
          <w:color w:val="191919"/>
        </w:rPr>
        <w:t></w:t>
      </w:r>
      <w:r>
        <w:rPr>
          <w:rFonts w:ascii="Arial" w:cs="Arial" w:eastAsia="Arial" w:hAnsi="Arial"/>
          <w:sz w:val="20"/>
          <w:szCs w:val="20"/>
          <w:b w:val="1"/>
          <w:bCs w:val="1"/>
          <w:color w:val="191919"/>
        </w:rPr>
        <w:t>Ä</w:t>
      </w:r>
      <w:r>
        <w:rPr>
          <w:rFonts w:ascii="PMingLiU" w:cs="PMingLiU" w:eastAsia="PMingLiU" w:hAnsi="PMingLiU"/>
          <w:sz w:val="20"/>
          <w:szCs w:val="20"/>
          <w:b w:val="1"/>
          <w:bCs w:val="1"/>
          <w:color w:val="191919"/>
        </w:rPr>
        <w:t></w:t>
      </w:r>
      <w:r>
        <w:rPr>
          <w:rFonts w:ascii="Arial" w:cs="Arial" w:eastAsia="Arial" w:hAnsi="Arial"/>
          <w:sz w:val="20"/>
          <w:szCs w:val="20"/>
          <w:b w:val="1"/>
          <w:bCs w:val="1"/>
          <w:color w:val="191919"/>
        </w:rPr>
        <w:t>«Ä£ Ö½</w:t>
      </w:r>
      <w:r>
        <w:rPr>
          <w:rFonts w:ascii="PMingLiU" w:cs="PMingLiU" w:eastAsia="PMingLiU" w:hAnsi="PMingLiU"/>
          <w:sz w:val="20"/>
          <w:szCs w:val="20"/>
          <w:b w:val="1"/>
          <w:bCs w:val="1"/>
          <w:color w:val="191919"/>
        </w:rPr>
        <w:t></w:t>
      </w:r>
      <w:r>
        <w:rPr>
          <w:rFonts w:ascii="Arial" w:cs="Arial" w:eastAsia="Arial" w:hAnsi="Arial"/>
          <w:sz w:val="20"/>
          <w:szCs w:val="20"/>
          <w:b w:val="1"/>
          <w:bCs w:val="1"/>
          <w:color w:val="191919"/>
        </w:rPr>
        <w:t>Ýä«</w:t>
      </w:r>
      <w:r>
        <w:rPr>
          <w:rFonts w:ascii="PMingLiU" w:cs="PMingLiU" w:eastAsia="PMingLiU" w:hAnsi="PMingLiU"/>
          <w:sz w:val="20"/>
          <w:szCs w:val="20"/>
          <w:b w:val="1"/>
          <w:bCs w:val="1"/>
          <w:color w:val="191919"/>
        </w:rPr>
        <w:t></w:t>
      </w:r>
      <w:r>
        <w:rPr>
          <w:rFonts w:ascii="Arial" w:cs="Arial" w:eastAsia="Arial" w:hAnsi="Arial"/>
          <w:sz w:val="20"/>
          <w:szCs w:val="20"/>
          <w:b w:val="1"/>
          <w:bCs w:val="1"/>
          <w:color w:val="191919"/>
        </w:rPr>
        <w:t xml:space="preserve">Ý </w:t>
      </w:r>
      <w:r>
        <w:rPr>
          <w:rFonts w:ascii="PMingLiU" w:cs="PMingLiU" w:eastAsia="PMingLiU" w:hAnsi="PMingLiU"/>
          <w:sz w:val="20"/>
          <w:szCs w:val="20"/>
          <w:b w:val="1"/>
          <w:bCs w:val="1"/>
          <w:color w:val="191919"/>
        </w:rPr>
        <w:t></w:t>
      </w:r>
      <w:r>
        <w:rPr>
          <w:rFonts w:ascii="Arial" w:cs="Arial" w:eastAsia="Arial" w:hAnsi="Arial"/>
          <w:sz w:val="20"/>
          <w:szCs w:val="20"/>
          <w:b w:val="1"/>
          <w:bCs w:val="1"/>
          <w:color w:val="191919"/>
        </w:rPr>
        <w:t>«Ù</w:t>
      </w:r>
      <w:r>
        <w:rPr>
          <w:rFonts w:ascii="PMingLiU" w:cs="PMingLiU" w:eastAsia="PMingLiU" w:hAnsi="PMingLiU"/>
          <w:sz w:val="20"/>
          <w:szCs w:val="20"/>
          <w:b w:val="1"/>
          <w:bCs w:val="1"/>
          <w:color w:val="191919"/>
        </w:rPr>
        <w:t></w:t>
      </w:r>
      <w:r>
        <w:rPr>
          <w:rFonts w:ascii="Arial" w:cs="Arial" w:eastAsia="Arial" w:hAnsi="Arial"/>
          <w:sz w:val="20"/>
          <w:szCs w:val="20"/>
          <w:b w:val="1"/>
          <w:bCs w:val="1"/>
          <w:color w:val="191919"/>
        </w:rPr>
        <w:t>é½</w:t>
      </w:r>
      <w:r>
        <w:rPr>
          <w:rFonts w:ascii="PMingLiU" w:cs="PMingLiU" w:eastAsia="PMingLiU" w:hAnsi="PMingLiU"/>
          <w:sz w:val="20"/>
          <w:szCs w:val="20"/>
          <w:b w:val="1"/>
          <w:bCs w:val="1"/>
          <w:color w:val="191919"/>
        </w:rPr>
        <w:t></w:t>
      </w:r>
      <w:r>
        <w:rPr>
          <w:rFonts w:ascii="Arial" w:cs="Arial" w:eastAsia="Arial" w:hAnsi="Arial"/>
          <w:sz w:val="20"/>
          <w:szCs w:val="20"/>
          <w:b w:val="1"/>
          <w:bCs w:val="1"/>
          <w:color w:val="191919"/>
        </w:rPr>
        <w:t>Ù«äû</w:t>
      </w:r>
    </w:p>
    <w:p>
      <w:pPr>
        <w:spacing w:after="0" w:line="2" w:lineRule="exact"/>
        <w:rPr>
          <w:sz w:val="20"/>
          <w:szCs w:val="20"/>
          <w:color w:val="auto"/>
        </w:rPr>
      </w:pPr>
    </w:p>
    <w:p>
      <w:pPr>
        <w:ind w:left="360"/>
        <w:spacing w:after="0" w:line="240" w:lineRule="exact"/>
        <w:rPr>
          <w:sz w:val="20"/>
          <w:szCs w:val="20"/>
          <w:color w:val="auto"/>
        </w:rPr>
      </w:pPr>
      <w:r>
        <w:rPr>
          <w:rFonts w:ascii="PMingLiU" w:cs="PMingLiU" w:eastAsia="PMingLiU" w:hAnsi="PMingLiU"/>
          <w:sz w:val="16"/>
          <w:szCs w:val="16"/>
          <w:color w:val="191919"/>
        </w:rPr>
        <w:t/>
      </w:r>
      <w:r>
        <w:rPr>
          <w:rFonts w:ascii="Arial" w:cs="Arial" w:eastAsia="Arial" w:hAnsi="Arial"/>
          <w:sz w:val="16"/>
          <w:szCs w:val="16"/>
          <w:color w:val="191919"/>
        </w:rPr>
        <w:t>éÙ«Ä£ «äÝ ¢«ÙÝä ¢é½½ û</w:t>
      </w:r>
      <w:r>
        <w:rPr>
          <w:rFonts w:ascii="PMingLiU" w:cs="PMingLiU" w:eastAsia="PMingLiU" w:hAnsi="PMingLiU"/>
          <w:sz w:val="16"/>
          <w:szCs w:val="16"/>
          <w:color w:val="191919"/>
        </w:rPr>
        <w:t></w:t>
      </w:r>
      <w:r>
        <w:rPr>
          <w:rFonts w:ascii="Arial" w:cs="Arial" w:eastAsia="Arial" w:hAnsi="Arial"/>
          <w:sz w:val="16"/>
          <w:szCs w:val="16"/>
          <w:color w:val="191919"/>
        </w:rPr>
        <w:t xml:space="preserve">Ù Ë¢ </w:t>
      </w:r>
      <w:r>
        <w:rPr>
          <w:rFonts w:ascii="PMingLiU" w:cs="PMingLiU" w:eastAsia="PMingLiU" w:hAnsi="PMingLiU"/>
          <w:sz w:val="16"/>
          <w:szCs w:val="16"/>
          <w:color w:val="191919"/>
        </w:rPr>
        <w:t></w:t>
      </w:r>
      <w:r>
        <w:rPr>
          <w:rFonts w:ascii="Arial" w:cs="Arial" w:eastAsia="Arial" w:hAnsi="Arial"/>
          <w:sz w:val="16"/>
          <w:szCs w:val="16"/>
          <w:color w:val="191919"/>
        </w:rPr>
        <w:t>ËÃÃ</w:t>
      </w:r>
      <w:r>
        <w:rPr>
          <w:rFonts w:ascii="PMingLiU" w:cs="PMingLiU" w:eastAsia="PMingLiU" w:hAnsi="PMingLiU"/>
          <w:sz w:val="16"/>
          <w:szCs w:val="16"/>
          <w:color w:val="191919"/>
        </w:rPr>
        <w:t></w:t>
      </w:r>
      <w:r>
        <w:rPr>
          <w:rFonts w:ascii="Arial" w:cs="Arial" w:eastAsia="Arial" w:hAnsi="Arial"/>
          <w:sz w:val="16"/>
          <w:szCs w:val="16"/>
          <w:color w:val="191919"/>
        </w:rPr>
        <w:t>Ù</w:t>
      </w:r>
      <w:r>
        <w:rPr>
          <w:rFonts w:ascii="PMingLiU" w:cs="PMingLiU" w:eastAsia="PMingLiU" w:hAnsi="PMingLiU"/>
          <w:sz w:val="16"/>
          <w:szCs w:val="16"/>
          <w:color w:val="191919"/>
        </w:rPr>
        <w:t></w:t>
      </w:r>
      <w:r>
        <w:rPr>
          <w:rFonts w:ascii="Arial" w:cs="Arial" w:eastAsia="Arial" w:hAnsi="Arial"/>
          <w:sz w:val="16"/>
          <w:szCs w:val="16"/>
          <w:color w:val="191919"/>
        </w:rPr>
        <w:t>«</w:t>
      </w:r>
      <w:r>
        <w:rPr>
          <w:rFonts w:ascii="PMingLiU" w:cs="PMingLiU" w:eastAsia="PMingLiU" w:hAnsi="PMingLiU"/>
          <w:sz w:val="16"/>
          <w:szCs w:val="16"/>
          <w:color w:val="191919"/>
        </w:rPr>
        <w:t></w:t>
      </w:r>
      <w:r>
        <w:rPr>
          <w:rFonts w:ascii="Arial" w:cs="Arial" w:eastAsia="Arial" w:hAnsi="Arial"/>
          <w:sz w:val="16"/>
          <w:szCs w:val="16"/>
          <w:color w:val="191919"/>
        </w:rPr>
        <w:t>½ǥÝ</w:t>
      </w:r>
      <w:r>
        <w:rPr>
          <w:rFonts w:ascii="PMingLiU" w:cs="PMingLiU" w:eastAsia="PMingLiU" w:hAnsi="PMingLiU"/>
          <w:sz w:val="16"/>
          <w:szCs w:val="16"/>
          <w:color w:val="191919"/>
        </w:rPr>
        <w:t></w:t>
      </w:r>
      <w:r>
        <w:rPr>
          <w:rFonts w:ascii="Arial" w:cs="Arial" w:eastAsia="Arial" w:hAnsi="Arial"/>
          <w:sz w:val="16"/>
          <w:szCs w:val="16"/>
          <w:color w:val="191919"/>
        </w:rPr>
        <w:t>½</w:t>
      </w:r>
      <w:r>
        <w:rPr>
          <w:rFonts w:ascii="PMingLiU" w:cs="PMingLiU" w:eastAsia="PMingLiU" w:hAnsi="PMingLiU"/>
          <w:sz w:val="16"/>
          <w:szCs w:val="16"/>
          <w:color w:val="191919"/>
        </w:rPr>
        <w:t></w:t>
      </w:r>
      <w:r>
        <w:rPr>
          <w:rFonts w:ascii="Arial" w:cs="Arial" w:eastAsia="Arial" w:hAnsi="Arial"/>
          <w:sz w:val="16"/>
          <w:szCs w:val="16"/>
          <w:color w:val="191919"/>
        </w:rPr>
        <w:t xml:space="preserve"> ËÖ</w:t>
      </w:r>
      <w:r>
        <w:rPr>
          <w:rFonts w:ascii="PMingLiU" w:cs="PMingLiU" w:eastAsia="PMingLiU" w:hAnsi="PMingLiU"/>
          <w:sz w:val="16"/>
          <w:szCs w:val="16"/>
          <w:color w:val="191919"/>
        </w:rPr>
        <w:t></w:t>
      </w:r>
      <w:r>
        <w:rPr>
          <w:rFonts w:ascii="Arial" w:cs="Arial" w:eastAsia="Arial" w:hAnsi="Arial"/>
          <w:sz w:val="16"/>
          <w:szCs w:val="16"/>
          <w:color w:val="191919"/>
        </w:rPr>
        <w:t>Ù</w:t>
      </w:r>
      <w:r>
        <w:rPr>
          <w:rFonts w:ascii="PMingLiU" w:cs="PMingLiU" w:eastAsia="PMingLiU" w:hAnsi="PMingLiU"/>
          <w:sz w:val="16"/>
          <w:szCs w:val="16"/>
          <w:color w:val="191919"/>
        </w:rPr>
        <w:t></w:t>
      </w:r>
      <w:r>
        <w:rPr>
          <w:rFonts w:ascii="Arial" w:cs="Arial" w:eastAsia="Arial" w:hAnsi="Arial"/>
          <w:sz w:val="16"/>
          <w:szCs w:val="16"/>
          <w:color w:val="191919"/>
        </w:rPr>
        <w:t xml:space="preserve">ä«ËÄÝǏ ËéÙ </w:t>
      </w:r>
      <w:r>
        <w:rPr>
          <w:rFonts w:ascii="PMingLiU" w:cs="PMingLiU" w:eastAsia="PMingLiU" w:hAnsi="PMingLiU"/>
          <w:sz w:val="16"/>
          <w:szCs w:val="16"/>
          <w:color w:val="191919"/>
        </w:rPr>
        <w:t></w:t>
      </w:r>
      <w:r>
        <w:rPr>
          <w:rFonts w:ascii="Arial" w:cs="Arial" w:eastAsia="Arial" w:hAnsi="Arial"/>
          <w:sz w:val="16"/>
          <w:szCs w:val="16"/>
          <w:color w:val="191919"/>
        </w:rPr>
        <w:t>ô</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 xml:space="preserve"> Ù</w:t>
      </w:r>
      <w:r>
        <w:rPr>
          <w:rFonts w:ascii="PMingLiU" w:cs="PMingLiU" w:eastAsia="PMingLiU" w:hAnsi="PMingLiU"/>
          <w:sz w:val="16"/>
          <w:szCs w:val="16"/>
          <w:color w:val="191919"/>
        </w:rPr>
        <w:t></w:t>
      </w:r>
      <w:r>
        <w:rPr>
          <w:rFonts w:ascii="Arial" w:cs="Arial" w:eastAsia="Arial" w:hAnsi="Arial"/>
          <w:sz w:val="16"/>
          <w:szCs w:val="16"/>
          <w:color w:val="191919"/>
        </w:rPr>
        <w:t>û</w:t>
      </w:r>
      <w:r>
        <w:rPr>
          <w:rFonts w:ascii="PMingLiU" w:cs="PMingLiU" w:eastAsia="PMingLiU" w:hAnsi="PMingLiU"/>
          <w:sz w:val="16"/>
          <w:szCs w:val="16"/>
          <w:color w:val="191919"/>
        </w:rPr>
        <w:t></w:t>
      </w:r>
      <w:r>
        <w:rPr>
          <w:rFonts w:ascii="Arial" w:cs="Arial" w:eastAsia="Arial" w:hAnsi="Arial"/>
          <w:sz w:val="16"/>
          <w:szCs w:val="16"/>
          <w:color w:val="191919"/>
        </w:rPr>
        <w:t>½«Ä£ ¢</w:t>
      </w:r>
      <w:r>
        <w:rPr>
          <w:rFonts w:ascii="PMingLiU" w:cs="PMingLiU" w:eastAsia="PMingLiU" w:hAnsi="PMingLiU"/>
          <w:sz w:val="16"/>
          <w:szCs w:val="16"/>
          <w:color w:val="191919"/>
        </w:rPr>
        <w:t></w:t>
      </w:r>
      <w:r>
        <w:rPr>
          <w:rFonts w:ascii="Arial" w:cs="Arial" w:eastAsia="Arial" w:hAnsi="Arial"/>
          <w:sz w:val="16"/>
          <w:szCs w:val="16"/>
          <w:color w:val="191919"/>
        </w:rPr>
        <w:t xml:space="preserve">«½«äû «Ä </w:t>
      </w:r>
      <w:r>
        <w:rPr>
          <w:rFonts w:ascii="PMingLiU" w:cs="PMingLiU" w:eastAsia="PMingLiU" w:hAnsi="PMingLiU"/>
          <w:sz w:val="16"/>
          <w:szCs w:val="16"/>
          <w:color w:val="191919"/>
        </w:rPr>
        <w:t></w:t>
      </w:r>
      <w:r>
        <w:rPr>
          <w:rFonts w:ascii="Arial" w:cs="Arial" w:eastAsia="Arial" w:hAnsi="Arial"/>
          <w:sz w:val="16"/>
          <w:szCs w:val="16"/>
          <w:color w:val="191919"/>
        </w:rPr>
        <w:t>ûäËõÄ ÖÙË</w:t>
      </w:r>
      <w:r>
        <w:rPr>
          <w:rFonts w:ascii="PMingLiU" w:cs="PMingLiU" w:eastAsia="PMingLiU" w:hAnsi="PMingLiU"/>
          <w:sz w:val="16"/>
          <w:szCs w:val="16"/>
          <w:color w:val="191919"/>
        </w:rPr>
        <w:t></w:t>
      </w:r>
      <w:r>
        <w:rPr>
          <w:rFonts w:ascii="Arial" w:cs="Arial" w:eastAsia="Arial" w:hAnsi="Arial"/>
          <w:sz w:val="16"/>
          <w:szCs w:val="16"/>
          <w:color w:val="191919"/>
        </w:rPr>
        <w:t>ÝÝ</w:t>
      </w:r>
      <w:r>
        <w:rPr>
          <w:rFonts w:ascii="PMingLiU" w:cs="PMingLiU" w:eastAsia="PMingLiU" w:hAnsi="PMingLiU"/>
          <w:sz w:val="16"/>
          <w:szCs w:val="16"/>
          <w:color w:val="191919"/>
        </w:rPr>
        <w:t></w:t>
      </w:r>
      <w:r>
        <w:rPr>
          <w:rFonts w:ascii="Arial" w:cs="Arial" w:eastAsia="Arial" w:hAnsi="Arial"/>
          <w:sz w:val="16"/>
          <w:szCs w:val="16"/>
          <w:color w:val="191919"/>
        </w:rPr>
        <w:t xml:space="preserve"> ÃËÙ</w:t>
      </w:r>
      <w:r>
        <w:rPr>
          <w:rFonts w:ascii="PMingLiU" w:cs="PMingLiU" w:eastAsia="PMingLiU" w:hAnsi="PMingLiU"/>
          <w:sz w:val="16"/>
          <w:szCs w:val="16"/>
          <w:color w:val="191919"/>
        </w:rPr>
        <w:t></w:t>
      </w:r>
      <w:r>
        <w:rPr>
          <w:rFonts w:ascii="Arial" w:cs="Arial" w:eastAsia="Arial" w:hAnsi="Arial"/>
          <w:sz w:val="16"/>
          <w:szCs w:val="16"/>
          <w:color w:val="191919"/>
        </w:rPr>
        <w:t xml:space="preserve"> ä¨</w:t>
      </w:r>
      <w:r>
        <w:rPr>
          <w:rFonts w:ascii="PMingLiU" w:cs="PMingLiU" w:eastAsia="PMingLiU" w:hAnsi="PMingLiU"/>
          <w:sz w:val="16"/>
          <w:szCs w:val="16"/>
          <w:color w:val="191919"/>
        </w:rPr>
        <w:t></w:t>
      </w:r>
      <w:r>
        <w:rPr>
          <w:rFonts w:ascii="Arial" w:cs="Arial" w:eastAsia="Arial" w:hAnsi="Arial"/>
          <w:sz w:val="16"/>
          <w:szCs w:val="16"/>
          <w:color w:val="191919"/>
        </w:rPr>
        <w:t>Ä ƏƐ Ã«½½«ËÄ ÖËéÄ</w:t>
      </w:r>
      <w:r>
        <w:rPr>
          <w:rFonts w:ascii="PMingLiU" w:cs="PMingLiU" w:eastAsia="PMingLiU" w:hAnsi="PMingLiU"/>
          <w:sz w:val="16"/>
          <w:szCs w:val="16"/>
          <w:color w:val="191919"/>
        </w:rPr>
        <w:t></w:t>
      </w:r>
      <w:r>
        <w:rPr>
          <w:rFonts w:ascii="Arial" w:cs="Arial" w:eastAsia="Arial" w:hAnsi="Arial"/>
          <w:sz w:val="16"/>
          <w:szCs w:val="16"/>
          <w:color w:val="191919"/>
        </w:rPr>
        <w:t>Ý Ë¢ Ö½</w:t>
      </w:r>
      <w:r>
        <w:rPr>
          <w:rFonts w:ascii="PMingLiU" w:cs="PMingLiU" w:eastAsia="PMingLiU" w:hAnsi="PMingLiU"/>
          <w:sz w:val="16"/>
          <w:szCs w:val="16"/>
          <w:color w:val="191919"/>
        </w:rPr>
        <w:t></w:t>
      </w:r>
      <w:r>
        <w:rPr>
          <w:rFonts w:ascii="Arial" w:cs="Arial" w:eastAsia="Arial" w:hAnsi="Arial"/>
          <w:sz w:val="16"/>
          <w:szCs w:val="16"/>
          <w:color w:val="191919"/>
        </w:rPr>
        <w:t>Ýä«</w:t>
      </w:r>
      <w:r>
        <w:rPr>
          <w:rFonts w:ascii="PMingLiU" w:cs="PMingLiU" w:eastAsia="PMingLiU" w:hAnsi="PMingLiU"/>
          <w:sz w:val="16"/>
          <w:szCs w:val="16"/>
          <w:color w:val="191919"/>
        </w:rPr>
        <w:t></w:t>
      </w:r>
      <w:r>
        <w:rPr>
          <w:rFonts w:ascii="Arial" w:cs="Arial" w:eastAsia="Arial" w:hAnsi="Arial"/>
          <w:sz w:val="16"/>
          <w:szCs w:val="16"/>
          <w:color w:val="191919"/>
        </w:rPr>
        <w:t xml:space="preserve"> õ</w:t>
      </w:r>
      <w:r>
        <w:rPr>
          <w:rFonts w:ascii="PMingLiU" w:cs="PMingLiU" w:eastAsia="PMingLiU" w:hAnsi="PMingLiU"/>
          <w:sz w:val="16"/>
          <w:szCs w:val="16"/>
          <w:color w:val="191919"/>
        </w:rPr>
        <w:t></w:t>
      </w:r>
      <w:r>
        <w:rPr>
          <w:rFonts w:ascii="Arial" w:cs="Arial" w:eastAsia="Arial" w:hAnsi="Arial"/>
          <w:sz w:val="16"/>
          <w:szCs w:val="16"/>
          <w:color w:val="191919"/>
        </w:rPr>
        <w:t>Ýä</w:t>
      </w:r>
      <w:r>
        <w:rPr>
          <w:rFonts w:ascii="PMingLiU" w:cs="PMingLiU" w:eastAsia="PMingLiU" w:hAnsi="PMingLiU"/>
          <w:sz w:val="16"/>
          <w:szCs w:val="16"/>
          <w:color w:val="191919"/>
        </w:rPr>
        <w:t></w:t>
      </w:r>
      <w:r>
        <w:rPr>
          <w:rFonts w:ascii="Arial" w:cs="Arial" w:eastAsia="Arial" w:hAnsi="Arial"/>
          <w:sz w:val="16"/>
          <w:szCs w:val="16"/>
          <w:color w:val="191919"/>
        </w:rPr>
        <w:t>ǔ -äǯÝ ËÄ</w:t>
      </w:r>
      <w:r>
        <w:rPr>
          <w:rFonts w:ascii="PMingLiU" w:cs="PMingLiU" w:eastAsia="PMingLiU" w:hAnsi="PMingLiU"/>
          <w:sz w:val="16"/>
          <w:szCs w:val="16"/>
          <w:color w:val="191919"/>
        </w:rPr>
        <w:t></w:t>
      </w:r>
      <w:r>
        <w:rPr>
          <w:rFonts w:ascii="Arial" w:cs="Arial" w:eastAsia="Arial" w:hAnsi="Arial"/>
          <w:sz w:val="16"/>
          <w:szCs w:val="16"/>
          <w:color w:val="191919"/>
        </w:rPr>
        <w:t xml:space="preserve"> Ë¢ ä¨</w:t>
      </w:r>
      <w:r>
        <w:rPr>
          <w:rFonts w:ascii="PMingLiU" w:cs="PMingLiU" w:eastAsia="PMingLiU" w:hAnsi="PMingLiU"/>
          <w:sz w:val="16"/>
          <w:szCs w:val="16"/>
          <w:color w:val="191919"/>
        </w:rPr>
        <w:t></w:t>
      </w:r>
      <w:r>
        <w:rPr>
          <w:rFonts w:ascii="Arial" w:cs="Arial" w:eastAsia="Arial" w:hAnsi="Arial"/>
          <w:sz w:val="16"/>
          <w:szCs w:val="16"/>
          <w:color w:val="191919"/>
        </w:rPr>
        <w:t xml:space="preserve"> ½</w:t>
      </w:r>
      <w:r>
        <w:rPr>
          <w:rFonts w:ascii="PMingLiU" w:cs="PMingLiU" w:eastAsia="PMingLiU" w:hAnsi="PMingLiU"/>
          <w:sz w:val="16"/>
          <w:szCs w:val="16"/>
          <w:color w:val="191919"/>
        </w:rPr>
        <w:t></w:t>
      </w:r>
      <w:r>
        <w:rPr>
          <w:rFonts w:ascii="Arial" w:cs="Arial" w:eastAsia="Arial" w:hAnsi="Arial"/>
          <w:sz w:val="16"/>
          <w:szCs w:val="16"/>
          <w:color w:val="191919"/>
        </w:rPr>
        <w:t>Ù£</w:t>
      </w:r>
      <w:r>
        <w:rPr>
          <w:rFonts w:ascii="PMingLiU" w:cs="PMingLiU" w:eastAsia="PMingLiU" w:hAnsi="PMingLiU"/>
          <w:sz w:val="16"/>
          <w:szCs w:val="16"/>
          <w:color w:val="191919"/>
        </w:rPr>
        <w:t></w:t>
      </w:r>
      <w:r>
        <w:rPr>
          <w:rFonts w:ascii="Arial" w:cs="Arial" w:eastAsia="Arial" w:hAnsi="Arial"/>
          <w:sz w:val="16"/>
          <w:szCs w:val="16"/>
          <w:color w:val="191919"/>
        </w:rPr>
        <w:t xml:space="preserve">Ýä </w:t>
      </w:r>
      <w:r>
        <w:rPr>
          <w:rFonts w:ascii="PMingLiU" w:cs="PMingLiU" w:eastAsia="PMingLiU" w:hAnsi="PMingLiU"/>
          <w:sz w:val="16"/>
          <w:szCs w:val="16"/>
          <w:color w:val="191919"/>
        </w:rPr>
        <w:t></w:t>
      </w:r>
      <w:r>
        <w:rPr>
          <w:rFonts w:ascii="Arial" w:cs="Arial" w:eastAsia="Arial" w:hAnsi="Arial"/>
          <w:sz w:val="16"/>
          <w:szCs w:val="16"/>
          <w:color w:val="191919"/>
        </w:rPr>
        <w:t>ô</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 xml:space="preserve"> Ù</w:t>
      </w:r>
      <w:r>
        <w:rPr>
          <w:rFonts w:ascii="PMingLiU" w:cs="PMingLiU" w:eastAsia="PMingLiU" w:hAnsi="PMingLiU"/>
          <w:sz w:val="16"/>
          <w:szCs w:val="16"/>
          <w:color w:val="191919"/>
        </w:rPr>
        <w:t></w:t>
      </w:r>
      <w:r>
        <w:rPr>
          <w:rFonts w:ascii="Arial" w:cs="Arial" w:eastAsia="Arial" w:hAnsi="Arial"/>
          <w:sz w:val="16"/>
          <w:szCs w:val="16"/>
          <w:color w:val="191919"/>
        </w:rPr>
        <w:t>û</w:t>
      </w:r>
      <w:r>
        <w:rPr>
          <w:rFonts w:ascii="PMingLiU" w:cs="PMingLiU" w:eastAsia="PMingLiU" w:hAnsi="PMingLiU"/>
          <w:sz w:val="16"/>
          <w:szCs w:val="16"/>
          <w:color w:val="191919"/>
        </w:rPr>
        <w:t></w:t>
      </w:r>
      <w:r>
        <w:rPr>
          <w:rFonts w:ascii="Arial" w:cs="Arial" w:eastAsia="Arial" w:hAnsi="Arial"/>
          <w:sz w:val="16"/>
          <w:szCs w:val="16"/>
          <w:color w:val="191919"/>
        </w:rPr>
        <w:t>½«Ä£ ¢</w:t>
      </w:r>
      <w:r>
        <w:rPr>
          <w:rFonts w:ascii="PMingLiU" w:cs="PMingLiU" w:eastAsia="PMingLiU" w:hAnsi="PMingLiU"/>
          <w:sz w:val="16"/>
          <w:szCs w:val="16"/>
          <w:color w:val="191919"/>
        </w:rPr>
        <w:t></w:t>
      </w:r>
      <w:r>
        <w:rPr>
          <w:rFonts w:ascii="Arial" w:cs="Arial" w:eastAsia="Arial" w:hAnsi="Arial"/>
          <w:sz w:val="16"/>
          <w:szCs w:val="16"/>
          <w:color w:val="191919"/>
        </w:rPr>
        <w:t>«½«ä«</w:t>
      </w:r>
      <w:r>
        <w:rPr>
          <w:rFonts w:ascii="PMingLiU" w:cs="PMingLiU" w:eastAsia="PMingLiU" w:hAnsi="PMingLiU"/>
          <w:sz w:val="16"/>
          <w:szCs w:val="16"/>
          <w:color w:val="191919"/>
        </w:rPr>
        <w:t></w:t>
      </w:r>
      <w:r>
        <w:rPr>
          <w:rFonts w:ascii="Arial" w:cs="Arial" w:eastAsia="Arial" w:hAnsi="Arial"/>
          <w:sz w:val="16"/>
          <w:szCs w:val="16"/>
          <w:color w:val="191919"/>
        </w:rPr>
        <w:t xml:space="preserve">Ý «Ä CËÙä¨ </w:t>
      </w:r>
      <w:r>
        <w:rPr>
          <w:rFonts w:ascii="PMingLiU" w:cs="PMingLiU" w:eastAsia="PMingLiU" w:hAnsi="PMingLiU"/>
          <w:sz w:val="16"/>
          <w:szCs w:val="16"/>
          <w:color w:val="191919"/>
        </w:rPr>
        <w:t/>
      </w:r>
      <w:r>
        <w:rPr>
          <w:rFonts w:ascii="Arial" w:cs="Arial" w:eastAsia="Arial" w:hAnsi="Arial"/>
          <w:sz w:val="16"/>
          <w:szCs w:val="16"/>
          <w:color w:val="191919"/>
        </w:rPr>
        <w:t>Ã</w:t>
      </w:r>
      <w:r>
        <w:rPr>
          <w:rFonts w:ascii="PMingLiU" w:cs="PMingLiU" w:eastAsia="PMingLiU" w:hAnsi="PMingLiU"/>
          <w:sz w:val="16"/>
          <w:szCs w:val="16"/>
          <w:color w:val="191919"/>
        </w:rPr>
        <w:t></w:t>
      </w:r>
      <w:r>
        <w:rPr>
          <w:rFonts w:ascii="Arial" w:cs="Arial" w:eastAsia="Arial" w:hAnsi="Arial"/>
          <w:sz w:val="16"/>
          <w:szCs w:val="16"/>
          <w:color w:val="191919"/>
        </w:rPr>
        <w:t>Ù«</w:t>
      </w:r>
      <w:r>
        <w:rPr>
          <w:rFonts w:ascii="PMingLiU" w:cs="PMingLiU" w:eastAsia="PMingLiU" w:hAnsi="PMingLiU"/>
          <w:sz w:val="16"/>
          <w:szCs w:val="16"/>
          <w:color w:val="191919"/>
        </w:rPr>
        <w:t> </w:t>
      </w:r>
      <w:r>
        <w:rPr>
          <w:rFonts w:ascii="Arial" w:cs="Arial" w:eastAsia="Arial" w:hAnsi="Arial"/>
          <w:sz w:val="16"/>
          <w:szCs w:val="16"/>
          <w:color w:val="191919"/>
        </w:rPr>
        <w:t>Ä</w:t>
      </w:r>
      <w:r>
        <w:rPr>
          <w:rFonts w:ascii="PMingLiU" w:cs="PMingLiU" w:eastAsia="PMingLiU" w:hAnsi="PMingLiU"/>
          <w:sz w:val="16"/>
          <w:szCs w:val="16"/>
          <w:color w:val="191919"/>
        </w:rPr>
        <w:t> </w:t>
      </w:r>
      <w:r>
        <w:rPr>
          <w:rFonts w:ascii="Arial" w:cs="Arial" w:eastAsia="Arial" w:hAnsi="Arial"/>
          <w:sz w:val="16"/>
          <w:szCs w:val="16"/>
          <w:color w:val="191919"/>
        </w:rPr>
        <w:t>Ä «ÃÖËÙä</w:t>
      </w:r>
      <w:r>
        <w:rPr>
          <w:rFonts w:ascii="PMingLiU" w:cs="PMingLiU" w:eastAsia="PMingLiU" w:hAnsi="PMingLiU"/>
          <w:sz w:val="16"/>
          <w:szCs w:val="16"/>
          <w:color w:val="191919"/>
        </w:rPr>
        <w:t></w:t>
      </w:r>
      <w:r>
        <w:rPr>
          <w:rFonts w:ascii="Arial" w:cs="Arial" w:eastAsia="Arial" w:hAnsi="Arial"/>
          <w:sz w:val="16"/>
          <w:szCs w:val="16"/>
          <w:color w:val="191919"/>
        </w:rPr>
        <w:t>Ää Ö</w:t>
      </w:r>
      <w:r>
        <w:rPr>
          <w:rFonts w:ascii="PMingLiU" w:cs="PMingLiU" w:eastAsia="PMingLiU" w:hAnsi="PMingLiU"/>
          <w:sz w:val="16"/>
          <w:szCs w:val="16"/>
          <w:color w:val="191919"/>
        </w:rPr>
        <w:t></w:t>
      </w:r>
      <w:r>
        <w:rPr>
          <w:rFonts w:ascii="Arial" w:cs="Arial" w:eastAsia="Arial" w:hAnsi="Arial"/>
          <w:sz w:val="16"/>
          <w:szCs w:val="16"/>
          <w:color w:val="191919"/>
        </w:rPr>
        <w:t xml:space="preserve">Ùä Ë¢ ËéÙ õËÙº äË </w:t>
      </w:r>
      <w:r>
        <w:rPr>
          <w:rFonts w:ascii="PMingLiU" w:cs="PMingLiU" w:eastAsia="PMingLiU" w:hAnsi="PMingLiU"/>
          <w:sz w:val="16"/>
          <w:szCs w:val="16"/>
          <w:color w:val="191919"/>
        </w:rPr>
        <w:t></w:t>
      </w:r>
      <w:r>
        <w:rPr>
          <w:rFonts w:ascii="Arial" w:cs="Arial" w:eastAsia="Arial" w:hAnsi="Arial"/>
          <w:sz w:val="16"/>
          <w:szCs w:val="16"/>
          <w:color w:val="191919"/>
        </w:rPr>
        <w:t>é«½</w:t>
      </w:r>
      <w:r>
        <w:rPr>
          <w:rFonts w:ascii="PMingLiU" w:cs="PMingLiU" w:eastAsia="PMingLiU" w:hAnsi="PMingLiU"/>
          <w:sz w:val="16"/>
          <w:szCs w:val="16"/>
          <w:color w:val="191919"/>
        </w:rPr>
        <w:t> </w:t>
      </w:r>
      <w:r>
        <w:rPr>
          <w:rFonts w:ascii="Arial" w:cs="Arial" w:eastAsia="Arial" w:hAnsi="Arial"/>
          <w:sz w:val="16"/>
          <w:szCs w:val="16"/>
          <w:color w:val="191919"/>
        </w:rPr>
        <w:t xml:space="preserve">Ëéä ƌ </w:t>
      </w:r>
      <w:r>
        <w:rPr>
          <w:rFonts w:ascii="PMingLiU" w:cs="PMingLiU" w:eastAsia="PMingLiU" w:hAnsi="PMingLiU"/>
          <w:sz w:val="16"/>
          <w:szCs w:val="16"/>
          <w:color w:val="191919"/>
        </w:rPr>
        <w:t></w:t>
      </w:r>
      <w:r>
        <w:rPr>
          <w:rFonts w:ascii="Arial" w:cs="Arial" w:eastAsia="Arial" w:hAnsi="Arial"/>
          <w:sz w:val="16"/>
          <w:szCs w:val="16"/>
          <w:color w:val="191919"/>
        </w:rPr>
        <w:t>«½½«ËÄ ÖËéÄ</w:t>
      </w:r>
      <w:r>
        <w:rPr>
          <w:rFonts w:ascii="PMingLiU" w:cs="PMingLiU" w:eastAsia="PMingLiU" w:hAnsi="PMingLiU"/>
          <w:sz w:val="16"/>
          <w:szCs w:val="16"/>
          <w:color w:val="191919"/>
        </w:rPr>
        <w:t></w:t>
      </w:r>
      <w:r>
        <w:rPr>
          <w:rFonts w:ascii="Arial" w:cs="Arial" w:eastAsia="Arial" w:hAnsi="Arial"/>
          <w:sz w:val="16"/>
          <w:szCs w:val="16"/>
          <w:color w:val="191919"/>
        </w:rPr>
        <w:t xml:space="preserve">Ý Ë¢ </w:t>
      </w:r>
      <w:r>
        <w:rPr>
          <w:rFonts w:ascii="PMingLiU" w:cs="PMingLiU" w:eastAsia="PMingLiU" w:hAnsi="PMingLiU"/>
          <w:sz w:val="16"/>
          <w:szCs w:val="16"/>
          <w:color w:val="191919"/>
        </w:rPr>
        <w:t></w:t>
      </w:r>
      <w:r>
        <w:rPr>
          <w:rFonts w:ascii="Arial" w:cs="Arial" w:eastAsia="Arial" w:hAnsi="Arial"/>
          <w:sz w:val="16"/>
          <w:szCs w:val="16"/>
          <w:color w:val="191919"/>
        </w:rPr>
        <w:t>ÄÄé</w:t>
      </w:r>
      <w:r>
        <w:rPr>
          <w:rFonts w:ascii="PMingLiU" w:cs="PMingLiU" w:eastAsia="PMingLiU" w:hAnsi="PMingLiU"/>
          <w:sz w:val="16"/>
          <w:szCs w:val="16"/>
          <w:color w:val="191919"/>
        </w:rPr>
        <w:t></w:t>
      </w:r>
      <w:r>
        <w:rPr>
          <w:rFonts w:ascii="Arial" w:cs="Arial" w:eastAsia="Arial" w:hAnsi="Arial"/>
          <w:sz w:val="16"/>
          <w:szCs w:val="16"/>
          <w:color w:val="191919"/>
        </w:rPr>
        <w:t xml:space="preserve">½ </w:t>
      </w:r>
      <w:r>
        <w:rPr>
          <w:rFonts w:ascii="PMingLiU" w:cs="PMingLiU" w:eastAsia="PMingLiU" w:hAnsi="PMingLiU"/>
          <w:sz w:val="16"/>
          <w:szCs w:val="16"/>
          <w:color w:val="191919"/>
        </w:rPr>
        <w:t></w:t>
      </w:r>
      <w:r>
        <w:rPr>
          <w:rFonts w:ascii="Arial" w:cs="Arial" w:eastAsia="Arial" w:hAnsi="Arial"/>
          <w:sz w:val="16"/>
          <w:szCs w:val="16"/>
          <w:color w:val="191919"/>
        </w:rPr>
        <w:t>ô</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 xml:space="preserve"> Ù</w:t>
      </w:r>
      <w:r>
        <w:rPr>
          <w:rFonts w:ascii="PMingLiU" w:cs="PMingLiU" w:eastAsia="PMingLiU" w:hAnsi="PMingLiU"/>
          <w:sz w:val="16"/>
          <w:szCs w:val="16"/>
          <w:color w:val="191919"/>
        </w:rPr>
        <w:t></w:t>
      </w:r>
      <w:r>
        <w:rPr>
          <w:rFonts w:ascii="Arial" w:cs="Arial" w:eastAsia="Arial" w:hAnsi="Arial"/>
          <w:sz w:val="16"/>
          <w:szCs w:val="16"/>
          <w:color w:val="191919"/>
        </w:rPr>
        <w:t>û</w:t>
      </w:r>
      <w:r>
        <w:rPr>
          <w:rFonts w:ascii="PMingLiU" w:cs="PMingLiU" w:eastAsia="PMingLiU" w:hAnsi="PMingLiU"/>
          <w:sz w:val="16"/>
          <w:szCs w:val="16"/>
          <w:color w:val="191919"/>
        </w:rPr>
        <w:t></w:t>
      </w:r>
      <w:r>
        <w:rPr>
          <w:rFonts w:ascii="Arial" w:cs="Arial" w:eastAsia="Arial" w:hAnsi="Arial"/>
          <w:sz w:val="16"/>
          <w:szCs w:val="16"/>
          <w:color w:val="191919"/>
        </w:rPr>
        <w:t xml:space="preserve">½«Ä£ </w:t>
      </w:r>
      <w:r>
        <w:rPr>
          <w:rFonts w:ascii="PMingLiU" w:cs="PMingLiU" w:eastAsia="PMingLiU" w:hAnsi="PMingLiU"/>
          <w:sz w:val="16"/>
          <w:szCs w:val="16"/>
          <w:color w:val="191919"/>
        </w:rPr>
        <w:t></w:t>
      </w:r>
      <w:r>
        <w:rPr>
          <w:rFonts w:ascii="Arial" w:cs="Arial" w:eastAsia="Arial" w:hAnsi="Arial"/>
          <w:sz w:val="16"/>
          <w:szCs w:val="16"/>
          <w:color w:val="191919"/>
        </w:rPr>
        <w:t>Ö</w:t>
      </w:r>
      <w:r>
        <w:rPr>
          <w:rFonts w:ascii="PMingLiU" w:cs="PMingLiU" w:eastAsia="PMingLiU" w:hAnsi="PMingLiU"/>
          <w:sz w:val="16"/>
          <w:szCs w:val="16"/>
          <w:color w:val="191919"/>
        </w:rPr>
        <w:t></w:t>
      </w:r>
      <w:r>
        <w:rPr>
          <w:rFonts w:ascii="Arial" w:cs="Arial" w:eastAsia="Arial" w:hAnsi="Arial"/>
          <w:sz w:val="16"/>
          <w:szCs w:val="16"/>
          <w:color w:val="191919"/>
        </w:rPr>
        <w:t xml:space="preserve">«äû </w:t>
      </w:r>
      <w:r>
        <w:rPr>
          <w:rFonts w:ascii="PMingLiU" w:cs="PMingLiU" w:eastAsia="PMingLiU" w:hAnsi="PMingLiU"/>
          <w:sz w:val="16"/>
          <w:szCs w:val="16"/>
          <w:color w:val="191919"/>
        </w:rPr>
        <w:t></w:t>
      </w:r>
      <w:r>
        <w:rPr>
          <w:rFonts w:ascii="Arial" w:cs="Arial" w:eastAsia="Arial" w:hAnsi="Arial"/>
          <w:sz w:val="16"/>
          <w:szCs w:val="16"/>
          <w:color w:val="191919"/>
        </w:rPr>
        <w:t>û û</w:t>
      </w:r>
      <w:r>
        <w:rPr>
          <w:rFonts w:ascii="PMingLiU" w:cs="PMingLiU" w:eastAsia="PMingLiU" w:hAnsi="PMingLiU"/>
          <w:sz w:val="16"/>
          <w:szCs w:val="16"/>
          <w:color w:val="191919"/>
        </w:rPr>
        <w:t></w:t>
      </w:r>
      <w:r>
        <w:rPr>
          <w:rFonts w:ascii="Arial" w:cs="Arial" w:eastAsia="Arial" w:hAnsi="Arial"/>
          <w:sz w:val="16"/>
          <w:szCs w:val="16"/>
          <w:color w:val="191919"/>
        </w:rPr>
        <w:t>Ùǥ</w:t>
      </w:r>
      <w:r>
        <w:rPr>
          <w:rFonts w:ascii="PMingLiU" w:cs="PMingLiU" w:eastAsia="PMingLiU" w:hAnsi="PMingLiU"/>
          <w:sz w:val="16"/>
          <w:szCs w:val="16"/>
          <w:color w:val="191919"/>
        </w:rPr>
        <w:t></w:t>
      </w:r>
      <w:r>
        <w:rPr>
          <w:rFonts w:ascii="Arial" w:cs="Arial" w:eastAsia="Arial" w:hAnsi="Arial"/>
          <w:sz w:val="16"/>
          <w:szCs w:val="16"/>
          <w:color w:val="191919"/>
        </w:rPr>
        <w:t>Ä</w:t>
      </w:r>
      <w:r>
        <w:rPr>
          <w:rFonts w:ascii="PMingLiU" w:cs="PMingLiU" w:eastAsia="PMingLiU" w:hAnsi="PMingLiU"/>
          <w:sz w:val="16"/>
          <w:szCs w:val="16"/>
          <w:color w:val="191919"/>
        </w:rPr>
        <w:t></w:t>
      </w:r>
      <w:r>
        <w:rPr>
          <w:rFonts w:ascii="Arial" w:cs="Arial" w:eastAsia="Arial" w:hAnsi="Arial"/>
          <w:sz w:val="16"/>
          <w:szCs w:val="16"/>
          <w:color w:val="191919"/>
        </w:rPr>
        <w:t xml:space="preserve"> ƍƋƍƑǔ</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0"/>
        <w:spacing w:after="0" w:line="194" w:lineRule="exact"/>
        <w:rPr>
          <w:sz w:val="20"/>
          <w:szCs w:val="20"/>
          <w:color w:val="auto"/>
        </w:rPr>
      </w:pP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ÙÙ</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½Ý Ö</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 xml:space="preserve">Ù </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û Ë¢ £½Ë</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½ Ù</w:t>
      </w:r>
      <w:r>
        <w:rPr>
          <w:rFonts w:ascii="PMingLiU" w:cs="PMingLiU" w:eastAsia="PMingLiU" w:hAnsi="PMingLiU"/>
          <w:sz w:val="16"/>
          <w:szCs w:val="16"/>
          <w:b w:val="1"/>
          <w:bCs w:val="1"/>
          <w:color w:val="333333"/>
        </w:rPr>
        <w:t></w:t>
      </w:r>
      <w:r>
        <w:rPr>
          <w:rFonts w:ascii="Arial" w:cs="Arial" w:eastAsia="Arial" w:hAnsi="Arial"/>
          <w:sz w:val="16"/>
          <w:szCs w:val="16"/>
          <w:b w:val="1"/>
          <w:bCs w:val="1"/>
          <w:color w:val="333333"/>
        </w:rPr>
        <w:t>¢«Ä«Ä£</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-720725</wp:posOffset>
            </wp:positionV>
            <wp:extent cx="1015365" cy="452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1015365" cy="452755"/>
                    </a:xfrm>
                    <a:prstGeom prst="rect">
                      <a:avLst/>
                    </a:prstGeom>
                    <a:noFill/>
                  </pic:spPr>
                </pic:pic>
              </a:graphicData>
            </a:graphic>
          </wp:anchor>
        </w:drawing>
      </w:r>
    </w:p>
    <w:p>
      <w:pPr>
        <w:spacing w:after="0" w:line="3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333333"/>
        </w:rPr>
        <w:t>ä¨ÙËé£¨Öéä</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222885</wp:posOffset>
            </wp:positionV>
            <wp:extent cx="455295" cy="452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455295" cy="45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0"/>
        <w:spacing w:after="0" w:line="243" w:lineRule="exact"/>
        <w:rPr>
          <w:sz w:val="20"/>
          <w:szCs w:val="20"/>
          <w:color w:val="auto"/>
        </w:rPr>
      </w:pPr>
      <w:r>
        <w:rPr>
          <w:rFonts w:ascii="Arial" w:cs="Arial" w:eastAsia="Arial" w:hAnsi="Arial"/>
          <w:sz w:val="20"/>
          <w:szCs w:val="20"/>
          <w:b w:val="1"/>
          <w:bCs w:val="1"/>
          <w:color w:val="333333"/>
        </w:rPr>
        <w:t>ÖËéÄ</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 xml:space="preserve">Ý Ë¢ </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ô</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Ä</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 xml:space="preserve"> Ù</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û</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½«Ä£</w:t>
      </w:r>
    </w:p>
    <w:p>
      <w:pPr>
        <w:jc w:val="center"/>
        <w:ind w:right="200"/>
        <w:spacing w:after="0" w:line="243" w:lineRule="exact"/>
        <w:rPr>
          <w:sz w:val="20"/>
          <w:szCs w:val="20"/>
          <w:color w:val="auto"/>
        </w:rPr>
      </w:pP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Ö</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 xml:space="preserve">«äû </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û û</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Ùǥ</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Ä</w:t>
      </w:r>
      <w:r>
        <w:rPr>
          <w:rFonts w:ascii="PMingLiU" w:cs="PMingLiU" w:eastAsia="PMingLiU" w:hAnsi="PMingLiU"/>
          <w:sz w:val="20"/>
          <w:szCs w:val="20"/>
          <w:b w:val="1"/>
          <w:bCs w:val="1"/>
          <w:color w:val="333333"/>
        </w:rPr>
        <w:t></w:t>
      </w:r>
      <w:r>
        <w:rPr>
          <w:rFonts w:ascii="Arial" w:cs="Arial" w:eastAsia="Arial" w:hAnsi="Arial"/>
          <w:sz w:val="20"/>
          <w:szCs w:val="20"/>
          <w:b w:val="1"/>
          <w:bCs w:val="1"/>
          <w:color w:val="333333"/>
        </w:rPr>
        <w:t xml:space="preserve"> ƍƋƍƑ</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2057400" cy="179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2057400" cy="179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19" w:lineRule="exact"/>
        <w:rPr>
          <w:sz w:val="20"/>
          <w:szCs w:val="20"/>
          <w:color w:val="auto"/>
        </w:rPr>
      </w:pPr>
      <w:r>
        <w:rPr>
          <w:rFonts w:ascii="Arial" w:cs="Arial" w:eastAsia="Arial" w:hAnsi="Arial"/>
          <w:sz w:val="17"/>
          <w:szCs w:val="17"/>
          <w:b w:val="1"/>
          <w:bCs w:val="1"/>
          <w:color w:val="191919"/>
        </w:rPr>
        <w:t>TÙËúú«Ã</w:t>
      </w:r>
      <w:r>
        <w:rPr>
          <w:rFonts w:ascii="PMingLiU" w:cs="PMingLiU" w:eastAsia="PMingLiU" w:hAnsi="PMingLiU"/>
          <w:sz w:val="17"/>
          <w:szCs w:val="17"/>
          <w:b w:val="1"/>
          <w:bCs w:val="1"/>
          <w:color w:val="191919"/>
        </w:rPr>
        <w:t></w:t>
      </w:r>
      <w:r>
        <w:rPr>
          <w:rFonts w:ascii="Arial" w:cs="Arial" w:eastAsia="Arial" w:hAnsi="Arial"/>
          <w:sz w:val="19"/>
          <w:szCs w:val="19"/>
          <w:b w:val="1"/>
          <w:bCs w:val="1"/>
          <w:color w:val="191919"/>
          <w:vertAlign w:val="superscript"/>
        </w:rPr>
        <w:t>bB</w:t>
      </w:r>
      <w:r>
        <w:rPr>
          <w:rFonts w:ascii="Arial" w:cs="Arial" w:eastAsia="Arial" w:hAnsi="Arial"/>
          <w:sz w:val="17"/>
          <w:szCs w:val="17"/>
          <w:b w:val="1"/>
          <w:bCs w:val="1"/>
          <w:color w:val="191919"/>
        </w:rPr>
        <w:t xml:space="preserve"> «Ý </w:t>
      </w:r>
      <w:r>
        <w:rPr>
          <w:rFonts w:ascii="PMingLiU" w:cs="PMingLiU" w:eastAsia="PMingLiU" w:hAnsi="PMingLiU"/>
          <w:sz w:val="17"/>
          <w:szCs w:val="17"/>
          <w:b w:val="1"/>
          <w:bCs w:val="1"/>
          <w:color w:val="191919"/>
        </w:rPr>
        <w:t></w:t>
      </w:r>
      <w:r>
        <w:rPr>
          <w:rFonts w:ascii="Arial" w:cs="Arial" w:eastAsia="Arial" w:hAnsi="Arial"/>
          <w:sz w:val="17"/>
          <w:szCs w:val="17"/>
          <w:b w:val="1"/>
          <w:bCs w:val="1"/>
          <w:color w:val="191919"/>
        </w:rPr>
        <w:t xml:space="preserve"> Ä</w:t>
      </w:r>
      <w:r>
        <w:rPr>
          <w:rFonts w:ascii="PMingLiU" w:cs="PMingLiU" w:eastAsia="PMingLiU" w:hAnsi="PMingLiU"/>
          <w:sz w:val="17"/>
          <w:szCs w:val="17"/>
          <w:b w:val="1"/>
          <w:bCs w:val="1"/>
          <w:color w:val="191919"/>
        </w:rPr>
        <w:t></w:t>
      </w:r>
      <w:r>
        <w:rPr>
          <w:rFonts w:ascii="Arial" w:cs="Arial" w:eastAsia="Arial" w:hAnsi="Arial"/>
          <w:sz w:val="17"/>
          <w:szCs w:val="17"/>
          <w:b w:val="1"/>
          <w:bCs w:val="1"/>
          <w:color w:val="191919"/>
        </w:rPr>
        <w:t>õ Ù</w:t>
      </w:r>
      <w:r>
        <w:rPr>
          <w:rFonts w:ascii="PMingLiU" w:cs="PMingLiU" w:eastAsia="PMingLiU" w:hAnsi="PMingLiU"/>
          <w:sz w:val="17"/>
          <w:szCs w:val="17"/>
          <w:b w:val="1"/>
          <w:bCs w:val="1"/>
          <w:color w:val="191919"/>
        </w:rPr>
        <w:t></w:t>
      </w:r>
      <w:r>
        <w:rPr>
          <w:rFonts w:ascii="Arial" w:cs="Arial" w:eastAsia="Arial" w:hAnsi="Arial"/>
          <w:sz w:val="17"/>
          <w:szCs w:val="17"/>
          <w:b w:val="1"/>
          <w:bCs w:val="1"/>
          <w:color w:val="191919"/>
        </w:rPr>
        <w:t xml:space="preserve">Ý«Ä </w:t>
      </w:r>
      <w:r>
        <w:rPr>
          <w:rFonts w:ascii="PMingLiU" w:cs="PMingLiU" w:eastAsia="PMingLiU" w:hAnsi="PMingLiU"/>
          <w:sz w:val="17"/>
          <w:szCs w:val="17"/>
          <w:b w:val="1"/>
          <w:bCs w:val="1"/>
          <w:color w:val="191919"/>
        </w:rPr>
        <w:t></w:t>
      </w:r>
      <w:r>
        <w:rPr>
          <w:rFonts w:ascii="Arial" w:cs="Arial" w:eastAsia="Arial" w:hAnsi="Arial"/>
          <w:sz w:val="17"/>
          <w:szCs w:val="17"/>
          <w:b w:val="1"/>
          <w:bCs w:val="1"/>
          <w:color w:val="191919"/>
        </w:rPr>
        <w:t>Ù</w:t>
      </w:r>
      <w:r>
        <w:rPr>
          <w:rFonts w:ascii="PMingLiU" w:cs="PMingLiU" w:eastAsia="PMingLiU" w:hAnsi="PMingLiU"/>
          <w:sz w:val="17"/>
          <w:szCs w:val="17"/>
          <w:b w:val="1"/>
          <w:bCs w:val="1"/>
          <w:color w:val="191919"/>
        </w:rPr>
        <w:t></w:t>
      </w:r>
      <w:r>
        <w:rPr>
          <w:rFonts w:ascii="Arial" w:cs="Arial" w:eastAsia="Arial" w:hAnsi="Arial"/>
          <w:sz w:val="17"/>
          <w:szCs w:val="17"/>
          <w:b w:val="1"/>
          <w:bCs w:val="1"/>
          <w:color w:val="191919"/>
        </w:rPr>
        <w:t>ä</w:t>
      </w:r>
      <w:r>
        <w:rPr>
          <w:rFonts w:ascii="PMingLiU" w:cs="PMingLiU" w:eastAsia="PMingLiU" w:hAnsi="PMingLiU"/>
          <w:sz w:val="17"/>
          <w:szCs w:val="17"/>
          <w:b w:val="1"/>
          <w:bCs w:val="1"/>
          <w:color w:val="191919"/>
        </w:rPr>
        <w:t> </w:t>
      </w:r>
      <w:r>
        <w:rPr>
          <w:rFonts w:ascii="Arial" w:cs="Arial" w:eastAsia="Arial" w:hAnsi="Arial"/>
          <w:sz w:val="17"/>
          <w:szCs w:val="17"/>
          <w:b w:val="1"/>
          <w:bCs w:val="1"/>
          <w:color w:val="191919"/>
        </w:rPr>
        <w:t>û</w:t>
      </w:r>
    </w:p>
    <w:p>
      <w:pPr>
        <w:spacing w:after="0" w:line="25" w:lineRule="exact"/>
        <w:rPr>
          <w:sz w:val="20"/>
          <w:szCs w:val="20"/>
          <w:color w:val="auto"/>
        </w:rPr>
      </w:pPr>
    </w:p>
    <w:p>
      <w:pPr>
        <w:ind w:right="300" w:firstLine="1"/>
        <w:spacing w:after="0" w:line="216" w:lineRule="exact"/>
        <w:rPr>
          <w:sz w:val="20"/>
          <w:szCs w:val="20"/>
          <w:color w:val="auto"/>
        </w:rPr>
      </w:pPr>
      <w:r>
        <w:rPr>
          <w:rFonts w:ascii="Arial" w:cs="Arial" w:eastAsia="Arial" w:hAnsi="Arial"/>
          <w:sz w:val="14"/>
          <w:szCs w:val="14"/>
          <w:b w:val="1"/>
          <w:bCs w:val="1"/>
          <w:color w:val="191919"/>
        </w:rPr>
        <w:t>äÙ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ÄÝ¢ËÙÃ«Ä£ ½Ëõ</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Ùǥô</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½Ý «ÄäË ¨«£¨ǥ ô</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Ã</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äéÙ«Ä£ Ã</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½Ý õ«ä¨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õ</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 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 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Ä¨ËéÝ</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Ý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Ã«ÝÝ«ËÄÝǔ CË</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 TÙ«Ā</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õ«ÄÄ«Ä£ 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¨ÄË½Ë£ûǏ TÙËúú«Ã</w:t>
      </w:r>
      <w:r>
        <w:rPr>
          <w:rFonts w:ascii="PMingLiU" w:cs="PMingLiU" w:eastAsia="PMingLiU" w:hAnsi="PMingLiU"/>
          <w:sz w:val="14"/>
          <w:szCs w:val="14"/>
          <w:b w:val="1"/>
          <w:bCs w:val="1"/>
          <w:color w:val="191919"/>
        </w:rPr>
        <w:t></w:t>
      </w:r>
      <w:r>
        <w:rPr>
          <w:rFonts w:ascii="Arial" w:cs="Arial" w:eastAsia="Arial" w:hAnsi="Arial"/>
          <w:sz w:val="15"/>
          <w:szCs w:val="15"/>
          <w:b w:val="1"/>
          <w:bCs w:val="1"/>
          <w:color w:val="191919"/>
          <w:vertAlign w:val="superscript"/>
        </w:rPr>
        <w:t>bB</w:t>
      </w:r>
      <w:r>
        <w:rPr>
          <w:rFonts w:ascii="Arial" w:cs="Arial" w:eastAsia="Arial" w:hAnsi="Arial"/>
          <w:sz w:val="14"/>
          <w:szCs w:val="14"/>
          <w:b w:val="1"/>
          <w:bCs w:val="1"/>
          <w:color w:val="191919"/>
        </w:rPr>
        <w:t xml:space="preserve"> «Ý ÃËÙ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Ù</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Ý«Ýä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Ää äË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ËÙÙËÝ«ËÄǏ Øé«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º</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Ù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éÙ«Ä£Ǐ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½«£¨ä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 õ</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 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Ä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½ä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ÙÄ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ä«ô</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ÖÙË</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äÝ Ýé</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Ý Ýä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½ </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Ý«½«</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ËÄ</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 xml:space="preserve"> ¢ËÙ Ã</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Äû éÝ</w:t>
      </w:r>
      <w:r>
        <w:rPr>
          <w:rFonts w:ascii="PMingLiU" w:cs="PMingLiU" w:eastAsia="PMingLiU" w:hAnsi="PMingLiU"/>
          <w:sz w:val="14"/>
          <w:szCs w:val="14"/>
          <w:b w:val="1"/>
          <w:bCs w:val="1"/>
          <w:color w:val="191919"/>
        </w:rPr>
        <w:t></w:t>
      </w:r>
      <w:r>
        <w:rPr>
          <w:rFonts w:ascii="Arial" w:cs="Arial" w:eastAsia="Arial" w:hAnsi="Arial"/>
          <w:sz w:val="14"/>
          <w:szCs w:val="14"/>
          <w:b w:val="1"/>
          <w:bCs w:val="1"/>
          <w:color w:val="191919"/>
        </w:rPr>
        <w:t>Ýǔ</w:t>
      </w:r>
    </w:p>
    <w:p>
      <w:pPr>
        <w:spacing w:after="0" w:line="197" w:lineRule="exact"/>
        <w:rPr>
          <w:sz w:val="20"/>
          <w:szCs w:val="20"/>
          <w:color w:val="auto"/>
        </w:rPr>
      </w:pPr>
    </w:p>
    <w:p>
      <w:pPr>
        <w:sectPr>
          <w:pgSz w:w="11880" w:h="15480" w:orient="portrait"/>
          <w:cols w:equalWidth="0" w:num="2">
            <w:col w:w="6480" w:space="720"/>
            <w:col w:w="3440"/>
          </w:cols>
          <w:pgMar w:left="720" w:top="682" w:right="520" w:bottom="0" w:gutter="0" w:footer="0" w:header="0"/>
          <w:type w:val="continuous"/>
        </w:sectPr>
      </w:pPr>
    </w:p>
    <w:p>
      <w:pPr>
        <w:ind w:left="10520"/>
        <w:spacing w:after="0"/>
        <w:rPr>
          <w:sz w:val="20"/>
          <w:szCs w:val="20"/>
          <w:color w:val="auto"/>
        </w:rPr>
      </w:pPr>
      <w:r>
        <w:rPr>
          <w:rFonts w:ascii="Arial" w:cs="Arial" w:eastAsia="Arial" w:hAnsi="Arial"/>
          <w:sz w:val="7"/>
          <w:szCs w:val="7"/>
          <w:color w:val="00014F"/>
        </w:rPr>
        <w:t>- - -</w:t>
      </w:r>
    </w:p>
    <w:p>
      <w:pPr>
        <w:sectPr>
          <w:pgSz w:w="11880" w:h="15480" w:orient="portrait"/>
          <w:cols w:equalWidth="0" w:num="1">
            <w:col w:w="10640"/>
          </w:cols>
          <w:pgMar w:left="720" w:top="682" w:right="520" w:bottom="0" w:gutter="0" w:footer="0" w:header="0"/>
          <w:type w:val="continuous"/>
        </w:sectPr>
      </w:pPr>
    </w:p>
    <w:bookmarkStart w:id="5" w:name="page6"/>
    <w:bookmarkEnd w:id="5"/>
    <w:p>
      <w:pPr>
        <w:ind w:left="200"/>
        <w:spacing w:after="0"/>
        <w:rPr>
          <w:sz w:val="20"/>
          <w:szCs w:val="20"/>
          <w:color w:val="auto"/>
        </w:rPr>
      </w:pPr>
      <w:r>
        <w:rPr>
          <w:rFonts w:ascii="Arial" w:cs="Arial" w:eastAsia="Arial" w:hAnsi="Arial"/>
          <w:sz w:val="36"/>
          <w:szCs w:val="36"/>
          <w:color w:val="0066B3"/>
        </w:rPr>
        <w:t>Low Carbon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127635</wp:posOffset>
            </wp:positionV>
            <wp:extent cx="6629400" cy="2807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6629400" cy="280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0" w:right="1440"/>
        <w:spacing w:after="0" w:line="254" w:lineRule="auto"/>
        <w:rPr>
          <w:sz w:val="20"/>
          <w:szCs w:val="20"/>
          <w:color w:val="auto"/>
        </w:rPr>
      </w:pPr>
      <w:r>
        <w:rPr>
          <w:rFonts w:ascii="Arial" w:cs="Arial" w:eastAsia="Arial" w:hAnsi="Arial"/>
          <w:sz w:val="18"/>
          <w:szCs w:val="18"/>
          <w:b w:val="1"/>
          <w:bCs w:val="1"/>
          <w:color w:val="FFFFFF"/>
        </w:rPr>
        <w:t>In Rose, Texas, we drilled a new well – not for oil and gas operations, but for gathering information about an underground site that could store CO</w:t>
      </w:r>
      <w:r>
        <w:rPr>
          <w:rFonts w:ascii="Arial" w:cs="Arial" w:eastAsia="Arial" w:hAnsi="Arial"/>
          <w:sz w:val="23"/>
          <w:szCs w:val="23"/>
          <w:b w:val="1"/>
          <w:bCs w:val="1"/>
          <w:color w:val="FFFFFF"/>
          <w:vertAlign w:val="subscript"/>
        </w:rPr>
        <w:t>2</w:t>
      </w:r>
      <w:r>
        <w:rPr>
          <w:rFonts w:ascii="Arial" w:cs="Arial" w:eastAsia="Arial" w:hAnsi="Arial"/>
          <w:sz w:val="18"/>
          <w:szCs w:val="18"/>
          <w:b w:val="1"/>
          <w:bCs w:val="1"/>
          <w:color w:val="FFFFFF"/>
        </w:rPr>
        <w:t xml:space="preserve"> emissions captured from area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120015</wp:posOffset>
            </wp:positionV>
            <wp:extent cx="6629400" cy="5725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6629400" cy="5725795"/>
                    </a:xfrm>
                    <a:prstGeom prst="rect">
                      <a:avLst/>
                    </a:prstGeom>
                    <a:noFill/>
                  </pic:spPr>
                </pic:pic>
              </a:graphicData>
            </a:graphic>
          </wp:anchor>
        </w:drawing>
      </w:r>
    </w:p>
    <w:p>
      <w:pPr>
        <w:sectPr>
          <w:pgSz w:w="11880" w:h="15480" w:orient="portrait"/>
          <w:cols w:equalWidth="0" w:num="1">
            <w:col w:w="10640"/>
          </w:cols>
          <w:pgMar w:left="520" w:top="645" w:right="720" w:bottom="0" w:gutter="0" w:footer="0" w:header="0"/>
        </w:sectPr>
      </w:pPr>
    </w:p>
    <w:p>
      <w:pPr>
        <w:spacing w:after="0" w:line="200" w:lineRule="exact"/>
        <w:rPr>
          <w:sz w:val="20"/>
          <w:szCs w:val="20"/>
          <w:color w:val="auto"/>
        </w:rPr>
      </w:pPr>
    </w:p>
    <w:p>
      <w:pPr>
        <w:spacing w:after="0" w:line="368" w:lineRule="exact"/>
        <w:rPr>
          <w:sz w:val="20"/>
          <w:szCs w:val="20"/>
          <w:color w:val="auto"/>
        </w:rPr>
      </w:pPr>
    </w:p>
    <w:p>
      <w:pPr>
        <w:ind w:left="560" w:right="20"/>
        <w:spacing w:after="0" w:line="271" w:lineRule="auto"/>
        <w:rPr>
          <w:sz w:val="20"/>
          <w:szCs w:val="20"/>
          <w:color w:val="auto"/>
        </w:rPr>
      </w:pPr>
      <w:r>
        <w:rPr>
          <w:rFonts w:ascii="Arial" w:cs="Arial" w:eastAsia="Arial" w:hAnsi="Arial"/>
          <w:sz w:val="19"/>
          <w:szCs w:val="19"/>
          <w:color w:val="545355"/>
        </w:rPr>
        <w:t>Emission-reduction markets have the potential to grow rapidly in a world progressing toward net zero. This provides great opportunities for our Low Carbon Solutions business, which represents an important element of our plans to profitably grow for many years to come.</w:t>
      </w:r>
    </w:p>
    <w:p>
      <w:pPr>
        <w:spacing w:after="0" w:line="213" w:lineRule="exact"/>
        <w:rPr>
          <w:sz w:val="20"/>
          <w:szCs w:val="20"/>
          <w:color w:val="auto"/>
        </w:rPr>
      </w:pPr>
    </w:p>
    <w:p>
      <w:pPr>
        <w:ind w:left="560" w:right="120"/>
        <w:spacing w:after="0" w:line="254" w:lineRule="auto"/>
        <w:rPr>
          <w:sz w:val="20"/>
          <w:szCs w:val="20"/>
          <w:color w:val="auto"/>
        </w:rPr>
      </w:pPr>
      <w:r>
        <w:rPr>
          <w:rFonts w:ascii="Arial" w:cs="Arial" w:eastAsia="Arial" w:hAnsi="Arial"/>
          <w:sz w:val="20"/>
          <w:szCs w:val="20"/>
          <w:color w:val="545355"/>
        </w:rPr>
        <w:t>We’re clear-eyed on the challenges, and we understand the unique contributions we can make. Our strategy is geared toward ensuring strong returns with a focus on carbon capture and storage, hydrogen, lower-emission fuels, and lithium.</w:t>
      </w:r>
    </w:p>
    <w:p>
      <w:pPr>
        <w:spacing w:after="0" w:line="226" w:lineRule="exact"/>
        <w:rPr>
          <w:sz w:val="20"/>
          <w:szCs w:val="20"/>
          <w:color w:val="auto"/>
        </w:rPr>
      </w:pPr>
    </w:p>
    <w:p>
      <w:pPr>
        <w:ind w:left="560" w:right="20"/>
        <w:spacing w:after="0" w:line="234" w:lineRule="auto"/>
        <w:rPr>
          <w:sz w:val="20"/>
          <w:szCs w:val="20"/>
          <w:color w:val="auto"/>
        </w:rPr>
      </w:pPr>
      <w:r>
        <w:rPr>
          <w:rFonts w:ascii="Arial" w:cs="Arial" w:eastAsia="Arial" w:hAnsi="Arial"/>
          <w:sz w:val="20"/>
          <w:szCs w:val="20"/>
          <w:color w:val="545355"/>
        </w:rPr>
        <w:t>Our Low Carbon Solutions business made remarkable progress in 2023. We acquired the largest owned and operated network of CO</w:t>
      </w:r>
      <w:r>
        <w:rPr>
          <w:rFonts w:ascii="Arial" w:cs="Arial" w:eastAsia="Arial" w:hAnsi="Arial"/>
          <w:sz w:val="23"/>
          <w:szCs w:val="23"/>
          <w:color w:val="545355"/>
          <w:vertAlign w:val="subscript"/>
        </w:rPr>
        <w:t>2</w:t>
      </w:r>
      <w:r>
        <w:rPr>
          <w:rFonts w:ascii="Arial" w:cs="Arial" w:eastAsia="Arial" w:hAnsi="Arial"/>
          <w:sz w:val="20"/>
          <w:szCs w:val="20"/>
          <w:color w:val="545355"/>
        </w:rPr>
        <w:t xml:space="preserve"> pipelines in the United States – roughly 70% of which are located in Louisiana, Texas, and Mississippi. The Gulf Coast is one of the largest U.S. markets for CO</w:t>
      </w:r>
      <w:r>
        <w:rPr>
          <w:rFonts w:ascii="Arial" w:cs="Arial" w:eastAsia="Arial" w:hAnsi="Arial"/>
          <w:sz w:val="23"/>
          <w:szCs w:val="23"/>
          <w:color w:val="545355"/>
          <w:vertAlign w:val="subscript"/>
        </w:rPr>
        <w:t>2</w:t>
      </w:r>
      <w:r>
        <w:rPr>
          <w:rFonts w:ascii="Arial" w:cs="Arial" w:eastAsia="Arial" w:hAnsi="Arial"/>
          <w:sz w:val="20"/>
          <w:szCs w:val="20"/>
          <w:color w:val="545355"/>
        </w:rPr>
        <w:t xml:space="preserve"> reduction and an area where we see the potential to capture more than 100 million metric tons per year of CO</w:t>
      </w:r>
      <w:r>
        <w:rPr>
          <w:rFonts w:ascii="Arial" w:cs="Arial" w:eastAsia="Arial" w:hAnsi="Arial"/>
          <w:sz w:val="23"/>
          <w:szCs w:val="23"/>
          <w:color w:val="545355"/>
          <w:vertAlign w:val="subscript"/>
        </w:rPr>
        <w:t>2</w:t>
      </w:r>
      <w:r>
        <w:rPr>
          <w:rFonts w:ascii="Arial" w:cs="Arial" w:eastAsia="Arial" w:hAnsi="Arial"/>
          <w:sz w:val="20"/>
          <w:szCs w:val="20"/>
          <w:color w:val="545355"/>
        </w:rPr>
        <w:t xml:space="preserve"> .</w:t>
      </w:r>
      <w:r>
        <w:rPr>
          <w:rFonts w:ascii="Arial" w:cs="Arial" w:eastAsia="Arial" w:hAnsi="Arial"/>
          <w:sz w:val="11"/>
          <w:szCs w:val="11"/>
          <w:color w:val="545355"/>
        </w:rPr>
        <w:t>13</w:t>
      </w:r>
      <w:r>
        <w:rPr>
          <w:rFonts w:ascii="Arial" w:cs="Arial" w:eastAsia="Arial" w:hAnsi="Arial"/>
          <w:sz w:val="20"/>
          <w:szCs w:val="20"/>
          <w:color w:val="545355"/>
        </w:rPr>
        <w:t xml:space="preserve"> To date, we have signed contracts to safely capture and store up to 5 million metric tons per year of CO</w:t>
      </w:r>
      <w:r>
        <w:rPr>
          <w:rFonts w:ascii="Arial" w:cs="Arial" w:eastAsia="Arial" w:hAnsi="Arial"/>
          <w:sz w:val="23"/>
          <w:szCs w:val="23"/>
          <w:color w:val="545355"/>
          <w:vertAlign w:val="subscript"/>
        </w:rPr>
        <w:t>2</w:t>
      </w:r>
      <w:r>
        <w:rPr>
          <w:rFonts w:ascii="Arial" w:cs="Arial" w:eastAsia="Arial" w:hAnsi="Arial"/>
          <w:sz w:val="20"/>
          <w:szCs w:val="20"/>
          <w:color w:val="545355"/>
        </w:rPr>
        <w:t xml:space="preserve"> – equal to replacing nearly 2 million cars with electric vehicles.</w:t>
      </w:r>
      <w:r>
        <w:rPr>
          <w:rFonts w:ascii="Arial" w:cs="Arial" w:eastAsia="Arial" w:hAnsi="Arial"/>
          <w:sz w:val="11"/>
          <w:szCs w:val="11"/>
          <w:color w:val="545355"/>
        </w:rPr>
        <w:t>14</w:t>
      </w:r>
    </w:p>
    <w:p>
      <w:pPr>
        <w:spacing w:after="0" w:line="247" w:lineRule="exact"/>
        <w:rPr>
          <w:sz w:val="20"/>
          <w:szCs w:val="20"/>
          <w:color w:val="auto"/>
        </w:rPr>
      </w:pPr>
    </w:p>
    <w:p>
      <w:pPr>
        <w:jc w:val="both"/>
        <w:ind w:left="560" w:right="240"/>
        <w:spacing w:after="0" w:line="263" w:lineRule="auto"/>
        <w:rPr>
          <w:sz w:val="20"/>
          <w:szCs w:val="20"/>
          <w:color w:val="auto"/>
        </w:rPr>
      </w:pPr>
      <w:r>
        <w:rPr>
          <w:rFonts w:ascii="Arial" w:cs="Arial" w:eastAsia="Arial" w:hAnsi="Arial"/>
          <w:sz w:val="19"/>
          <w:szCs w:val="19"/>
          <w:color w:val="545355"/>
        </w:rPr>
        <w:t>Also along the U.S. Gulf Coast, we’re working to develop the world’s largest hydrogen production facility that could supply local industrial customers and our own operations with low-carbon hydrogen. This single plant could reduce our emissions at the complex by up to 30% and ultimately produce up to 1 billion cubic feet of hydrogen per day</w:t>
      </w:r>
    </w:p>
    <w:p>
      <w:pPr>
        <w:spacing w:after="0" w:line="3" w:lineRule="exact"/>
        <w:rPr>
          <w:sz w:val="20"/>
          <w:szCs w:val="20"/>
          <w:color w:val="auto"/>
        </w:rPr>
      </w:pPr>
    </w:p>
    <w:p>
      <w:pPr>
        <w:ind w:left="560" w:right="100"/>
        <w:spacing w:after="0" w:line="262" w:lineRule="auto"/>
        <w:rPr>
          <w:sz w:val="20"/>
          <w:szCs w:val="20"/>
          <w:color w:val="auto"/>
        </w:rPr>
      </w:pPr>
      <w:r>
        <w:rPr>
          <w:rFonts w:ascii="Arial" w:cs="Arial" w:eastAsia="Arial" w:hAnsi="Arial"/>
          <w:sz w:val="20"/>
          <w:szCs w:val="20"/>
          <w:color w:val="545355"/>
        </w:rPr>
        <w:t>– nearly 10% of the goal in the U.S. National Clean Hydrogen Strategy and Roadmap.</w:t>
      </w:r>
    </w:p>
    <w:p>
      <w:pPr>
        <w:spacing w:after="0" w:line="218" w:lineRule="exact"/>
        <w:rPr>
          <w:sz w:val="20"/>
          <w:szCs w:val="20"/>
          <w:color w:val="auto"/>
        </w:rPr>
      </w:pPr>
    </w:p>
    <w:p>
      <w:pPr>
        <w:ind w:left="560" w:right="60"/>
        <w:spacing w:after="0" w:line="269" w:lineRule="auto"/>
        <w:rPr>
          <w:sz w:val="20"/>
          <w:szCs w:val="20"/>
          <w:color w:val="auto"/>
        </w:rPr>
      </w:pPr>
      <w:r>
        <w:rPr>
          <w:rFonts w:ascii="Arial" w:cs="Arial" w:eastAsia="Arial" w:hAnsi="Arial"/>
          <w:sz w:val="19"/>
          <w:szCs w:val="19"/>
          <w:color w:val="545355"/>
        </w:rPr>
        <w:t>In addition, we introduced Mobil</w:t>
      </w:r>
      <w:r>
        <w:rPr>
          <w:rFonts w:ascii="Arial" w:cs="Arial" w:eastAsia="Arial" w:hAnsi="Arial"/>
          <w:sz w:val="11"/>
          <w:szCs w:val="11"/>
          <w:color w:val="545355"/>
        </w:rPr>
        <w:t>TM</w:t>
      </w:r>
      <w:r>
        <w:rPr>
          <w:rFonts w:ascii="Arial" w:cs="Arial" w:eastAsia="Arial" w:hAnsi="Arial"/>
          <w:sz w:val="19"/>
          <w:szCs w:val="19"/>
          <w:color w:val="545355"/>
        </w:rPr>
        <w:t xml:space="preserve"> Lithium, applying our skills in subsurface exploration, drilling, refining, and chemicals to produce this critical mineral more efficiently and with fewer environmental impacts than traditional open-pit mining. By 2030, we see the opportunity to produce enough lithium to supply 1 million electric vehicles per year.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16"/>
          <w:szCs w:val="116"/>
          <w:color w:val="00AAE7"/>
          <w:vertAlign w:val="superscript"/>
        </w:rPr>
        <w:t>&gt;</w:t>
      </w:r>
      <w:r>
        <w:rPr>
          <w:rFonts w:ascii="Arial" w:cs="Arial" w:eastAsia="Arial" w:hAnsi="Arial"/>
          <w:sz w:val="100"/>
          <w:szCs w:val="100"/>
          <w:color w:val="00AAE7"/>
        </w:rPr>
        <w:t>50</w:t>
      </w:r>
      <w:r>
        <w:rPr>
          <w:rFonts w:ascii="Arial" w:cs="Arial" w:eastAsia="Arial" w:hAnsi="Arial"/>
          <w:sz w:val="60"/>
          <w:szCs w:val="60"/>
          <w:color w:val="00AAE7"/>
        </w:rPr>
        <w:t>Mta</w:t>
      </w:r>
    </w:p>
    <w:p>
      <w:pPr>
        <w:jc w:val="center"/>
        <w:spacing w:after="0"/>
        <w:rPr>
          <w:sz w:val="20"/>
          <w:szCs w:val="20"/>
          <w:color w:val="auto"/>
        </w:rPr>
      </w:pPr>
      <w:r>
        <w:rPr>
          <w:rFonts w:ascii="Arial" w:cs="Arial" w:eastAsia="Arial" w:hAnsi="Arial"/>
          <w:sz w:val="20"/>
          <w:szCs w:val="20"/>
          <w:b w:val="1"/>
          <w:bCs w:val="1"/>
          <w:color w:val="58595B"/>
        </w:rPr>
        <w:t>potential reductions in third-party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58595B"/>
        </w:rPr>
        <w:t>emissions by 2030</w:t>
      </w:r>
      <w:r>
        <w:rPr>
          <w:rFonts w:ascii="Arial" w:cs="Arial" w:eastAsia="Arial" w:hAnsi="Arial"/>
          <w:sz w:val="11"/>
          <w:szCs w:val="11"/>
          <w:b w:val="1"/>
          <w:bCs w:val="1"/>
          <w:color w:val="58595B"/>
        </w:rPr>
        <w:t>15</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86"/>
          <w:szCs w:val="86"/>
          <w:color w:val="00AAE7"/>
        </w:rPr>
        <w:t>1,300</w:t>
      </w:r>
      <w:r>
        <w:rPr>
          <w:rFonts w:ascii="Arial" w:cs="Arial" w:eastAsia="Arial" w:hAnsi="Arial"/>
          <w:sz w:val="44"/>
          <w:szCs w:val="44"/>
          <w:color w:val="00AAE7"/>
        </w:rPr>
        <w:t>miles</w:t>
      </w:r>
    </w:p>
    <w:p>
      <w:pPr>
        <w:spacing w:after="0" w:line="197"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58595B"/>
        </w:rPr>
        <w:t>CO</w:t>
      </w:r>
      <w:r>
        <w:rPr>
          <w:rFonts w:ascii="Arial" w:cs="Arial" w:eastAsia="Arial" w:hAnsi="Arial"/>
          <w:sz w:val="21"/>
          <w:szCs w:val="21"/>
          <w:b w:val="1"/>
          <w:bCs w:val="1"/>
          <w:color w:val="58595B"/>
          <w:vertAlign w:val="subscript"/>
        </w:rPr>
        <w:t>2</w:t>
      </w:r>
      <w:r>
        <w:rPr>
          <w:rFonts w:ascii="Arial" w:cs="Arial" w:eastAsia="Arial" w:hAnsi="Arial"/>
          <w:sz w:val="18"/>
          <w:szCs w:val="18"/>
          <w:b w:val="1"/>
          <w:bCs w:val="1"/>
          <w:color w:val="58595B"/>
        </w:rPr>
        <w:t xml:space="preserve"> pipeline network; largest owned and operated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414042"/>
        </w:rPr>
        <w:t>We recently completed the construction of a direct air capture (DAC) pilot plant in Baytown, Texas, to further develop a proprietary technology with the potential to significantly lower the cost of DAC.</w:t>
      </w:r>
    </w:p>
    <w:p>
      <w:pPr>
        <w:spacing w:after="0" w:line="166" w:lineRule="exact"/>
        <w:rPr>
          <w:sz w:val="20"/>
          <w:szCs w:val="20"/>
          <w:color w:val="auto"/>
        </w:rPr>
      </w:pPr>
    </w:p>
    <w:p>
      <w:pPr>
        <w:sectPr>
          <w:pgSz w:w="11880" w:h="15480" w:orient="portrait"/>
          <w:cols w:equalWidth="0" w:num="2">
            <w:col w:w="6680" w:space="720"/>
            <w:col w:w="3240"/>
          </w:cols>
          <w:pgMar w:left="520" w:top="645" w:right="720" w:bottom="0" w:gutter="0" w:footer="0" w:header="0"/>
          <w:type w:val="continuous"/>
        </w:sectPr>
      </w:pPr>
    </w:p>
    <w:p>
      <w:pPr>
        <w:spacing w:after="0"/>
        <w:rPr>
          <w:sz w:val="20"/>
          <w:szCs w:val="20"/>
          <w:color w:val="auto"/>
        </w:rPr>
      </w:pPr>
      <w:r>
        <w:rPr>
          <w:rFonts w:ascii="Arial" w:cs="Arial" w:eastAsia="Arial" w:hAnsi="Arial"/>
          <w:sz w:val="11"/>
          <w:szCs w:val="11"/>
          <w:color w:val="00437B"/>
        </w:rPr>
        <w:t>I V</w:t>
      </w:r>
    </w:p>
    <w:p>
      <w:pPr>
        <w:sectPr>
          <w:pgSz w:w="11880" w:h="15480" w:orient="portrait"/>
          <w:cols w:equalWidth="0" w:num="1">
            <w:col w:w="10640"/>
          </w:cols>
          <w:pgMar w:left="520" w:top="645" w:right="720" w:bottom="0" w:gutter="0" w:footer="0" w:header="0"/>
          <w:type w:val="continuous"/>
        </w:sectPr>
      </w:pPr>
    </w:p>
    <w:bookmarkStart w:id="6" w:name="page7"/>
    <w:bookmarkEnd w:id="6"/>
    <w:p>
      <w:pPr>
        <w:ind w:left="5100"/>
        <w:spacing w:after="0"/>
        <w:rPr>
          <w:sz w:val="20"/>
          <w:szCs w:val="20"/>
          <w:color w:val="auto"/>
        </w:rPr>
      </w:pPr>
      <w:r>
        <w:rPr>
          <w:rFonts w:ascii="Times New Roman" w:cs="Times New Roman" w:eastAsia="Times New Roman" w:hAnsi="Times New Roman"/>
          <w:sz w:val="24"/>
          <w:szCs w:val="2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16510</wp:posOffset>
            </wp:positionV>
            <wp:extent cx="6375400"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6375400" cy="55880"/>
                    </a:xfrm>
                    <a:prstGeom prst="rect">
                      <a:avLst/>
                    </a:prstGeom>
                    <a:noFill/>
                  </pic:spPr>
                </pic:pic>
              </a:graphicData>
            </a:graphic>
          </wp:anchor>
        </w:drawing>
      </w:r>
    </w:p>
    <w:p>
      <w:pPr>
        <w:spacing w:after="0" w:line="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48260</wp:posOffset>
            </wp:positionV>
            <wp:extent cx="1847850" cy="386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18478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2" w:lineRule="exact"/>
        <w:rPr>
          <w:sz w:val="20"/>
          <w:szCs w:val="20"/>
          <w:color w:val="auto"/>
        </w:rPr>
      </w:pPr>
    </w:p>
    <w:p>
      <w:pPr>
        <w:ind w:left="2180" w:hanging="246"/>
        <w:spacing w:after="0"/>
        <w:tabs>
          <w:tab w:leader="none" w:pos="21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4"/>
          <w:szCs w:val="24"/>
          <w:b w:val="1"/>
          <w:bCs w:val="1"/>
          <w:color w:val="auto"/>
        </w:rPr>
        <w:t>ANNUAL REPORT PURSUANT TO SECTION 13 OR 15(d)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2023</w:t>
      </w:r>
    </w:p>
    <w:p>
      <w:pPr>
        <w:jc w:val="center"/>
        <w:spacing w:after="0" w:line="228" w:lineRule="auto"/>
        <w:rPr>
          <w:sz w:val="20"/>
          <w:szCs w:val="20"/>
          <w:color w:val="auto"/>
        </w:rPr>
      </w:pPr>
      <w:r>
        <w:rPr>
          <w:rFonts w:ascii="Times New Roman" w:cs="Times New Roman" w:eastAsia="Times New Roman" w:hAnsi="Times New Roman"/>
          <w:sz w:val="16"/>
          <w:szCs w:val="16"/>
          <w:color w:val="auto"/>
        </w:rPr>
        <w:t>or</w:t>
      </w:r>
    </w:p>
    <w:p>
      <w:pPr>
        <w:ind w:left="1940" w:hanging="244"/>
        <w:spacing w:after="0"/>
        <w:tabs>
          <w:tab w:leader="none" w:pos="1940" w:val="left"/>
        </w:tabs>
        <w:numPr>
          <w:ilvl w:val="0"/>
          <w:numId w:val="3"/>
        </w:numPr>
        <w:rPr>
          <w:rFonts w:ascii="MS PGothic" w:cs="MS PGothic" w:eastAsia="MS PGothic" w:hAnsi="MS PGothic"/>
          <w:sz w:val="24"/>
          <w:szCs w:val="24"/>
          <w:color w:val="auto"/>
        </w:rPr>
      </w:pPr>
      <w:r>
        <w:rPr>
          <w:rFonts w:ascii="Times New Roman" w:cs="Times New Roman" w:eastAsia="Times New Roman" w:hAnsi="Times New Roman"/>
          <w:sz w:val="24"/>
          <w:szCs w:val="24"/>
          <w:b w:val="1"/>
          <w:bCs w:val="1"/>
          <w:color w:val="auto"/>
        </w:rPr>
        <w:t>TRANSITION REPORT PURSUANT TO SECTION 13 OR 15(d)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THE SECURITIES EXCHANGE ACT OF 1934</w:t>
      </w: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tcPr>
          <w:p>
            <w:pPr>
              <w:ind w:left="900"/>
              <w:spacing w:after="0" w:line="178" w:lineRule="exact"/>
              <w:rPr>
                <w:sz w:val="20"/>
                <w:szCs w:val="20"/>
                <w:color w:val="auto"/>
              </w:rPr>
            </w:pPr>
            <w:r>
              <w:rPr>
                <w:rFonts w:ascii="Times New Roman" w:cs="Times New Roman" w:eastAsia="Times New Roman" w:hAnsi="Times New Roman"/>
                <w:sz w:val="16"/>
                <w:szCs w:val="16"/>
                <w:color w:val="auto"/>
                <w:w w:val="98"/>
              </w:rPr>
              <w:t>For the transition period from</w:t>
            </w:r>
          </w:p>
        </w:tc>
        <w:tc>
          <w:tcPr>
            <w:tcW w:w="560" w:type="dxa"/>
            <w:vAlign w:val="bottom"/>
            <w:tcBorders>
              <w:bottom w:val="single" w:sz="8" w:color="auto"/>
            </w:tcBorders>
          </w:tcPr>
          <w:p>
            <w:pPr>
              <w:spacing w:after="0"/>
              <w:rPr>
                <w:sz w:val="15"/>
                <w:szCs w:val="15"/>
                <w:color w:val="auto"/>
              </w:rPr>
            </w:pPr>
          </w:p>
        </w:tc>
        <w:tc>
          <w:tcPr>
            <w:tcW w:w="200" w:type="dxa"/>
            <w:vAlign w:val="bottom"/>
          </w:tcPr>
          <w:p>
            <w:pPr>
              <w:ind w:left="40"/>
              <w:spacing w:after="0" w:line="178" w:lineRule="exact"/>
              <w:rPr>
                <w:sz w:val="20"/>
                <w:szCs w:val="20"/>
                <w:color w:val="auto"/>
              </w:rPr>
            </w:pPr>
            <w:r>
              <w:rPr>
                <w:rFonts w:ascii="Times New Roman" w:cs="Times New Roman" w:eastAsia="Times New Roman" w:hAnsi="Times New Roman"/>
                <w:sz w:val="16"/>
                <w:szCs w:val="16"/>
                <w:color w:val="auto"/>
              </w:rPr>
              <w:t>to</w:t>
            </w:r>
          </w:p>
        </w:tc>
        <w:tc>
          <w:tcPr>
            <w:tcW w:w="540" w:type="dxa"/>
            <w:vAlign w:val="bottom"/>
            <w:tcBorders>
              <w:bottom w:val="single" w:sz="8" w:color="auto"/>
            </w:tcBorders>
          </w:tcPr>
          <w:p>
            <w:pPr>
              <w:spacing w:after="0"/>
              <w:rPr>
                <w:sz w:val="15"/>
                <w:szCs w:val="15"/>
                <w:color w:val="auto"/>
              </w:rPr>
            </w:pPr>
          </w:p>
        </w:tc>
        <w:tc>
          <w:tcPr>
            <w:tcW w:w="3740" w:type="dxa"/>
            <w:vAlign w:val="bottom"/>
            <w:gridSpan w:val="2"/>
          </w:tcPr>
          <w:p>
            <w:pPr>
              <w:spacing w:after="0"/>
              <w:rPr>
                <w:sz w:val="15"/>
                <w:szCs w:val="15"/>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40" w:type="dxa"/>
            <w:vAlign w:val="bottom"/>
            <w:gridSpan w:val="6"/>
          </w:tcPr>
          <w:p>
            <w:pPr>
              <w:jc w:val="center"/>
              <w:ind w:right="2762"/>
              <w:spacing w:after="0" w:line="158" w:lineRule="exact"/>
              <w:rPr>
                <w:sz w:val="20"/>
                <w:szCs w:val="20"/>
                <w:color w:val="auto"/>
              </w:rPr>
            </w:pPr>
            <w:r>
              <w:rPr>
                <w:rFonts w:ascii="Times New Roman" w:cs="Times New Roman" w:eastAsia="Times New Roman" w:hAnsi="Times New Roman"/>
                <w:sz w:val="16"/>
                <w:szCs w:val="16"/>
                <w:color w:val="auto"/>
                <w:w w:val="98"/>
              </w:rPr>
              <w:t>Commission File Number 1-2256</w:t>
            </w:r>
          </w:p>
        </w:tc>
      </w:tr>
      <w:tr>
        <w:trPr>
          <w:trHeight w:val="521"/>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gridSpan w:val="6"/>
          </w:tcPr>
          <w:p>
            <w:pPr>
              <w:jc w:val="center"/>
              <w:ind w:right="2762"/>
              <w:spacing w:after="0"/>
              <w:rPr>
                <w:sz w:val="20"/>
                <w:szCs w:val="20"/>
                <w:color w:val="auto"/>
              </w:rPr>
            </w:pPr>
            <w:r>
              <w:rPr>
                <w:rFonts w:ascii="Times New Roman" w:cs="Times New Roman" w:eastAsia="Times New Roman" w:hAnsi="Times New Roman"/>
                <w:sz w:val="39"/>
                <w:szCs w:val="39"/>
                <w:b w:val="1"/>
                <w:bCs w:val="1"/>
                <w:color w:val="auto"/>
              </w:rPr>
              <w:t>Exxon Mobil Corporation</w:t>
            </w:r>
          </w:p>
        </w:tc>
      </w:tr>
      <w:tr>
        <w:trPr>
          <w:trHeight w:val="242"/>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40" w:type="dxa"/>
            <w:vAlign w:val="bottom"/>
            <w:gridSpan w:val="6"/>
          </w:tcPr>
          <w:p>
            <w:pPr>
              <w:jc w:val="center"/>
              <w:ind w:right="2762"/>
              <w:spacing w:after="0"/>
              <w:rPr>
                <w:sz w:val="20"/>
                <w:szCs w:val="20"/>
                <w:color w:val="auto"/>
              </w:rPr>
            </w:pPr>
            <w:r>
              <w:rPr>
                <w:rFonts w:ascii="Times New Roman" w:cs="Times New Roman" w:eastAsia="Times New Roman" w:hAnsi="Times New Roman"/>
                <w:sz w:val="16"/>
                <w:szCs w:val="16"/>
                <w:color w:val="auto"/>
                <w:w w:val="97"/>
              </w:rPr>
              <w:t>(Exact name of registrant as specified in its charter)</w:t>
            </w:r>
          </w:p>
        </w:tc>
      </w:tr>
      <w:tr>
        <w:trPr>
          <w:trHeight w:val="276"/>
        </w:trPr>
        <w:tc>
          <w:tcPr>
            <w:tcW w:w="2620" w:type="dxa"/>
            <w:vAlign w:val="bottom"/>
          </w:tcPr>
          <w:p>
            <w:pPr>
              <w:jc w:val="center"/>
              <w:ind w:left="479"/>
              <w:spacing w:after="0"/>
              <w:rPr>
                <w:sz w:val="20"/>
                <w:szCs w:val="20"/>
                <w:color w:val="auto"/>
              </w:rPr>
            </w:pPr>
            <w:r>
              <w:rPr>
                <w:rFonts w:ascii="Times New Roman" w:cs="Times New Roman" w:eastAsia="Times New Roman" w:hAnsi="Times New Roman"/>
                <w:sz w:val="20"/>
                <w:szCs w:val="20"/>
                <w:b w:val="1"/>
                <w:bCs w:val="1"/>
                <w:color w:val="auto"/>
                <w:w w:val="96"/>
              </w:rPr>
              <w:t>New Jersey</w:t>
            </w:r>
          </w:p>
        </w:tc>
        <w:tc>
          <w:tcPr>
            <w:tcW w:w="2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80" w:type="dxa"/>
            <w:vAlign w:val="bottom"/>
            <w:gridSpan w:val="4"/>
          </w:tcPr>
          <w:p>
            <w:pPr>
              <w:jc w:val="center"/>
              <w:ind w:left="1232"/>
              <w:spacing w:after="0"/>
              <w:rPr>
                <w:sz w:val="20"/>
                <w:szCs w:val="20"/>
                <w:color w:val="auto"/>
              </w:rPr>
            </w:pPr>
            <w:r>
              <w:rPr>
                <w:rFonts w:ascii="Times New Roman" w:cs="Times New Roman" w:eastAsia="Times New Roman" w:hAnsi="Times New Roman"/>
                <w:sz w:val="20"/>
                <w:szCs w:val="20"/>
                <w:b w:val="1"/>
                <w:bCs w:val="1"/>
                <w:color w:val="auto"/>
                <w:w w:val="99"/>
              </w:rPr>
              <w:t>13-5409005</w:t>
            </w:r>
          </w:p>
        </w:tc>
      </w:tr>
      <w:tr>
        <w:trPr>
          <w:trHeight w:val="183"/>
        </w:trPr>
        <w:tc>
          <w:tcPr>
            <w:tcW w:w="2620" w:type="dxa"/>
            <w:vAlign w:val="bottom"/>
          </w:tcPr>
          <w:p>
            <w:pPr>
              <w:jc w:val="center"/>
              <w:ind w:left="479"/>
              <w:spacing w:after="0" w:line="183" w:lineRule="exact"/>
              <w:rPr>
                <w:sz w:val="20"/>
                <w:szCs w:val="20"/>
                <w:color w:val="auto"/>
              </w:rPr>
            </w:pPr>
            <w:r>
              <w:rPr>
                <w:rFonts w:ascii="Times New Roman" w:cs="Times New Roman" w:eastAsia="Times New Roman" w:hAnsi="Times New Roman"/>
                <w:sz w:val="16"/>
                <w:szCs w:val="16"/>
                <w:color w:val="auto"/>
                <w:w w:val="97"/>
              </w:rPr>
              <w:t>(State or other jurisdiction of</w:t>
            </w:r>
          </w:p>
        </w:tc>
        <w:tc>
          <w:tcPr>
            <w:tcW w:w="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20" w:type="dxa"/>
            <w:vAlign w:val="bottom"/>
          </w:tcPr>
          <w:p>
            <w:pPr>
              <w:jc w:val="center"/>
              <w:ind w:right="262"/>
              <w:spacing w:after="0" w:line="183"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06"/>
        </w:trPr>
        <w:tc>
          <w:tcPr>
            <w:tcW w:w="26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8"/>
              </w:rPr>
              <w:t>incorporation or organization)</w:t>
            </w:r>
          </w:p>
        </w:tc>
        <w:tc>
          <w:tcPr>
            <w:tcW w:w="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2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7"/>
              </w:rPr>
              <w:t>Identification Number)</w:t>
            </w:r>
          </w:p>
        </w:tc>
      </w:tr>
      <w:tr>
        <w:trPr>
          <w:trHeight w:val="298"/>
        </w:trPr>
        <w:tc>
          <w:tcPr>
            <w:tcW w:w="2620" w:type="dxa"/>
            <w:vAlign w:val="bottom"/>
          </w:tcPr>
          <w:p>
            <w:pPr>
              <w:spacing w:after="0"/>
              <w:rPr>
                <w:sz w:val="24"/>
                <w:szCs w:val="24"/>
                <w:color w:val="auto"/>
              </w:rPr>
            </w:pPr>
          </w:p>
        </w:tc>
        <w:tc>
          <w:tcPr>
            <w:tcW w:w="8060" w:type="dxa"/>
            <w:vAlign w:val="bottom"/>
            <w:gridSpan w:val="7"/>
          </w:tcPr>
          <w:p>
            <w:pPr>
              <w:jc w:val="center"/>
              <w:ind w:right="2542"/>
              <w:spacing w:after="0"/>
              <w:rPr>
                <w:sz w:val="20"/>
                <w:szCs w:val="20"/>
                <w:color w:val="auto"/>
              </w:rPr>
            </w:pPr>
            <w:r>
              <w:rPr>
                <w:rFonts w:ascii="Times New Roman" w:cs="Times New Roman" w:eastAsia="Times New Roman" w:hAnsi="Times New Roman"/>
                <w:sz w:val="20"/>
                <w:szCs w:val="20"/>
                <w:b w:val="1"/>
                <w:bCs w:val="1"/>
                <w:color w:val="auto"/>
                <w:w w:val="98"/>
              </w:rPr>
              <w:t>22777 Springwoods Village Parkway, Spring, Texas 77389-1425</w:t>
            </w:r>
          </w:p>
        </w:tc>
      </w:tr>
      <w:tr>
        <w:trPr>
          <w:trHeight w:val="206"/>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40" w:type="dxa"/>
            <w:vAlign w:val="bottom"/>
            <w:gridSpan w:val="6"/>
          </w:tcPr>
          <w:p>
            <w:pPr>
              <w:jc w:val="center"/>
              <w:ind w:right="2742"/>
              <w:spacing w:after="0"/>
              <w:rPr>
                <w:sz w:val="20"/>
                <w:szCs w:val="20"/>
                <w:color w:val="auto"/>
              </w:rPr>
            </w:pPr>
            <w:r>
              <w:rPr>
                <w:rFonts w:ascii="Times New Roman" w:cs="Times New Roman" w:eastAsia="Times New Roman" w:hAnsi="Times New Roman"/>
                <w:sz w:val="16"/>
                <w:szCs w:val="16"/>
                <w:color w:val="auto"/>
                <w:w w:val="97"/>
              </w:rPr>
              <w:t>(Address of principal executive offices) (Zip Code)</w:t>
            </w:r>
          </w:p>
        </w:tc>
      </w:tr>
      <w:tr>
        <w:trPr>
          <w:trHeight w:val="257"/>
        </w:trPr>
        <w:tc>
          <w:tcPr>
            <w:tcW w:w="2620" w:type="dxa"/>
            <w:vAlign w:val="bottom"/>
          </w:tcPr>
          <w:p>
            <w:pPr>
              <w:spacing w:after="0"/>
              <w:rPr>
                <w:sz w:val="22"/>
                <w:szCs w:val="22"/>
                <w:color w:val="auto"/>
              </w:rPr>
            </w:pPr>
          </w:p>
        </w:tc>
        <w:tc>
          <w:tcPr>
            <w:tcW w:w="3580" w:type="dxa"/>
            <w:vAlign w:val="bottom"/>
            <w:gridSpan w:val="3"/>
          </w:tcPr>
          <w:p>
            <w:pPr>
              <w:jc w:val="center"/>
              <w:ind w:left="1782"/>
              <w:spacing w:after="0"/>
              <w:rPr>
                <w:sz w:val="20"/>
                <w:szCs w:val="20"/>
                <w:color w:val="auto"/>
              </w:rPr>
            </w:pPr>
            <w:r>
              <w:rPr>
                <w:rFonts w:ascii="Times New Roman" w:cs="Times New Roman" w:eastAsia="Times New Roman" w:hAnsi="Times New Roman"/>
                <w:sz w:val="20"/>
                <w:szCs w:val="20"/>
                <w:b w:val="1"/>
                <w:bCs w:val="1"/>
                <w:color w:val="auto"/>
                <w:w w:val="97"/>
              </w:rPr>
              <w:t>(972) 940-6000</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06"/>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40" w:type="dxa"/>
            <w:vAlign w:val="bottom"/>
            <w:gridSpan w:val="6"/>
          </w:tcPr>
          <w:p>
            <w:pPr>
              <w:jc w:val="center"/>
              <w:ind w:right="2742"/>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81"/>
        </w:trPr>
        <w:tc>
          <w:tcPr>
            <w:tcW w:w="2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20" w:type="dxa"/>
            <w:vAlign w:val="bottom"/>
            <w:tcBorders>
              <w:bottom w:val="single" w:sz="8" w:color="auto"/>
            </w:tcBorders>
            <w:gridSpan w:val="5"/>
          </w:tcPr>
          <w:p>
            <w:pPr>
              <w:spacing w:after="0"/>
              <w:rPr>
                <w:sz w:val="7"/>
                <w:szCs w:val="7"/>
                <w:color w:val="auto"/>
              </w:rPr>
            </w:pPr>
          </w:p>
        </w:tc>
        <w:tc>
          <w:tcPr>
            <w:tcW w:w="2820" w:type="dxa"/>
            <w:vAlign w:val="bottom"/>
          </w:tcPr>
          <w:p>
            <w:pPr>
              <w:spacing w:after="0"/>
              <w:rPr>
                <w:sz w:val="7"/>
                <w:szCs w:val="7"/>
                <w:color w:val="auto"/>
              </w:rPr>
            </w:pPr>
          </w:p>
        </w:tc>
      </w:tr>
      <w:tr>
        <w:trPr>
          <w:trHeight w:val="284"/>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gridSpan w:val="6"/>
          </w:tcPr>
          <w:p>
            <w:pPr>
              <w:jc w:val="center"/>
              <w:ind w:right="2762"/>
              <w:spacing w:after="0"/>
              <w:rPr>
                <w:sz w:val="20"/>
                <w:szCs w:val="20"/>
                <w:color w:val="auto"/>
              </w:rPr>
            </w:pPr>
            <w:r>
              <w:rPr>
                <w:rFonts w:ascii="Times New Roman" w:cs="Times New Roman" w:eastAsia="Times New Roman" w:hAnsi="Times New Roman"/>
                <w:sz w:val="20"/>
                <w:szCs w:val="20"/>
                <w:color w:val="auto"/>
                <w:w w:val="98"/>
              </w:rPr>
              <w:t>Securities registered pursuant to Section 12(b) of the Act:</w:t>
            </w:r>
          </w:p>
        </w:tc>
      </w:tr>
      <w:tr>
        <w:trPr>
          <w:trHeight w:val="362"/>
        </w:trPr>
        <w:tc>
          <w:tcPr>
            <w:tcW w:w="2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Title of Each Class</w:t>
            </w: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left="1571"/>
              <w:spacing w:after="0"/>
              <w:rPr>
                <w:sz w:val="20"/>
                <w:szCs w:val="20"/>
                <w:color w:val="auto"/>
              </w:rPr>
            </w:pPr>
            <w:r>
              <w:rPr>
                <w:rFonts w:ascii="Times New Roman" w:cs="Times New Roman" w:eastAsia="Times New Roman" w:hAnsi="Times New Roman"/>
                <w:sz w:val="16"/>
                <w:szCs w:val="16"/>
                <w:color w:val="auto"/>
                <w:w w:val="97"/>
              </w:rPr>
              <w:t>Trading Symbol</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8"/>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 without par value</w:t>
            </w:r>
          </w:p>
        </w:tc>
        <w:tc>
          <w:tcPr>
            <w:tcW w:w="220" w:type="dxa"/>
            <w:vAlign w:val="bottom"/>
          </w:tcPr>
          <w:p>
            <w:pPr>
              <w:spacing w:after="0"/>
              <w:rPr>
                <w:sz w:val="18"/>
                <w:szCs w:val="18"/>
                <w:color w:val="auto"/>
              </w:rPr>
            </w:pPr>
          </w:p>
        </w:tc>
        <w:tc>
          <w:tcPr>
            <w:tcW w:w="3360" w:type="dxa"/>
            <w:vAlign w:val="bottom"/>
            <w:gridSpan w:val="2"/>
          </w:tcPr>
          <w:p>
            <w:pPr>
              <w:jc w:val="center"/>
              <w:ind w:left="1571"/>
              <w:spacing w:after="0"/>
              <w:rPr>
                <w:sz w:val="20"/>
                <w:szCs w:val="20"/>
                <w:color w:val="auto"/>
              </w:rPr>
            </w:pPr>
            <w:r>
              <w:rPr>
                <w:rFonts w:ascii="Times New Roman" w:cs="Times New Roman" w:eastAsia="Times New Roman" w:hAnsi="Times New Roman"/>
                <w:sz w:val="16"/>
                <w:szCs w:val="16"/>
                <w:b w:val="1"/>
                <w:bCs w:val="1"/>
                <w:color w:val="auto"/>
                <w:w w:val="97"/>
              </w:rPr>
              <w:t>XOM</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23"/>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0.142% Notes due 2024</w:t>
            </w:r>
          </w:p>
        </w:tc>
        <w:tc>
          <w:tcPr>
            <w:tcW w:w="220" w:type="dxa"/>
            <w:vAlign w:val="bottom"/>
          </w:tcPr>
          <w:p>
            <w:pPr>
              <w:spacing w:after="0"/>
              <w:rPr>
                <w:sz w:val="19"/>
                <w:szCs w:val="19"/>
                <w:color w:val="auto"/>
              </w:rPr>
            </w:pPr>
          </w:p>
        </w:tc>
        <w:tc>
          <w:tcPr>
            <w:tcW w:w="3360" w:type="dxa"/>
            <w:vAlign w:val="bottom"/>
            <w:gridSpan w:val="2"/>
          </w:tcPr>
          <w:p>
            <w:pPr>
              <w:jc w:val="center"/>
              <w:ind w:left="1551"/>
              <w:spacing w:after="0"/>
              <w:rPr>
                <w:sz w:val="20"/>
                <w:szCs w:val="20"/>
                <w:color w:val="auto"/>
              </w:rPr>
            </w:pPr>
            <w:r>
              <w:rPr>
                <w:rFonts w:ascii="Times New Roman" w:cs="Times New Roman" w:eastAsia="Times New Roman" w:hAnsi="Times New Roman"/>
                <w:sz w:val="16"/>
                <w:szCs w:val="16"/>
                <w:b w:val="1"/>
                <w:bCs w:val="1"/>
                <w:color w:val="auto"/>
                <w:w w:val="97"/>
              </w:rPr>
              <w:t>XOM24B</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35"/>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0.524% Notes due 2028</w:t>
            </w:r>
          </w:p>
        </w:tc>
        <w:tc>
          <w:tcPr>
            <w:tcW w:w="220" w:type="dxa"/>
            <w:vAlign w:val="bottom"/>
          </w:tcPr>
          <w:p>
            <w:pPr>
              <w:spacing w:after="0"/>
              <w:rPr>
                <w:sz w:val="20"/>
                <w:szCs w:val="20"/>
                <w:color w:val="auto"/>
              </w:rPr>
            </w:pPr>
          </w:p>
        </w:tc>
        <w:tc>
          <w:tcPr>
            <w:tcW w:w="3360" w:type="dxa"/>
            <w:vAlign w:val="bottom"/>
            <w:gridSpan w:val="2"/>
          </w:tcPr>
          <w:p>
            <w:pPr>
              <w:jc w:val="center"/>
              <w:ind w:left="1571"/>
              <w:spacing w:after="0"/>
              <w:rPr>
                <w:sz w:val="20"/>
                <w:szCs w:val="20"/>
                <w:color w:val="auto"/>
              </w:rPr>
            </w:pPr>
            <w:r>
              <w:rPr>
                <w:rFonts w:ascii="Times New Roman" w:cs="Times New Roman" w:eastAsia="Times New Roman" w:hAnsi="Times New Roman"/>
                <w:sz w:val="16"/>
                <w:szCs w:val="16"/>
                <w:b w:val="1"/>
                <w:bCs w:val="1"/>
                <w:color w:val="auto"/>
                <w:w w:val="97"/>
              </w:rPr>
              <w:t>XOM28</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35"/>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0.835% Notes due 2032</w:t>
            </w:r>
          </w:p>
        </w:tc>
        <w:tc>
          <w:tcPr>
            <w:tcW w:w="220" w:type="dxa"/>
            <w:vAlign w:val="bottom"/>
          </w:tcPr>
          <w:p>
            <w:pPr>
              <w:spacing w:after="0"/>
              <w:rPr>
                <w:sz w:val="20"/>
                <w:szCs w:val="20"/>
                <w:color w:val="auto"/>
              </w:rPr>
            </w:pPr>
          </w:p>
        </w:tc>
        <w:tc>
          <w:tcPr>
            <w:tcW w:w="3360" w:type="dxa"/>
            <w:vAlign w:val="bottom"/>
            <w:gridSpan w:val="2"/>
          </w:tcPr>
          <w:p>
            <w:pPr>
              <w:jc w:val="center"/>
              <w:ind w:left="1571"/>
              <w:spacing w:after="0"/>
              <w:rPr>
                <w:sz w:val="20"/>
                <w:szCs w:val="20"/>
                <w:color w:val="auto"/>
              </w:rPr>
            </w:pPr>
            <w:r>
              <w:rPr>
                <w:rFonts w:ascii="Times New Roman" w:cs="Times New Roman" w:eastAsia="Times New Roman" w:hAnsi="Times New Roman"/>
                <w:sz w:val="16"/>
                <w:szCs w:val="16"/>
                <w:b w:val="1"/>
                <w:bCs w:val="1"/>
                <w:color w:val="auto"/>
                <w:w w:val="97"/>
              </w:rPr>
              <w:t>XOM32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35"/>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1.408% Notes due 2039</w:t>
            </w:r>
          </w:p>
        </w:tc>
        <w:tc>
          <w:tcPr>
            <w:tcW w:w="220" w:type="dxa"/>
            <w:vAlign w:val="bottom"/>
          </w:tcPr>
          <w:p>
            <w:pPr>
              <w:spacing w:after="0"/>
              <w:rPr>
                <w:sz w:val="20"/>
                <w:szCs w:val="20"/>
                <w:color w:val="auto"/>
              </w:rPr>
            </w:pPr>
          </w:p>
        </w:tc>
        <w:tc>
          <w:tcPr>
            <w:tcW w:w="3360" w:type="dxa"/>
            <w:vAlign w:val="bottom"/>
            <w:gridSpan w:val="2"/>
          </w:tcPr>
          <w:p>
            <w:pPr>
              <w:jc w:val="center"/>
              <w:ind w:left="1571"/>
              <w:spacing w:after="0"/>
              <w:rPr>
                <w:sz w:val="20"/>
                <w:szCs w:val="20"/>
                <w:color w:val="auto"/>
              </w:rPr>
            </w:pPr>
            <w:r>
              <w:rPr>
                <w:rFonts w:ascii="Times New Roman" w:cs="Times New Roman" w:eastAsia="Times New Roman" w:hAnsi="Times New Roman"/>
                <w:sz w:val="16"/>
                <w:szCs w:val="16"/>
                <w:b w:val="1"/>
                <w:bCs w:val="1"/>
                <w:color w:val="auto"/>
                <w:w w:val="98"/>
              </w:rPr>
              <w:t>XOM39A</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65" w:lineRule="exact"/>
        <w:rPr>
          <w:sz w:val="20"/>
          <w:szCs w:val="20"/>
          <w:color w:val="auto"/>
        </w:rPr>
      </w:pPr>
    </w:p>
    <w:p>
      <w:pPr>
        <w:ind w:right="2340"/>
        <w:spacing w:after="0" w:line="218"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0"/>
          <w:szCs w:val="20"/>
          <w:color w:val="auto"/>
        </w:rPr>
      </w:pPr>
    </w:p>
    <w:p>
      <w:pPr>
        <w:jc w:val="both"/>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0"/>
          <w:szCs w:val="20"/>
          <w:color w:val="auto"/>
        </w:rPr>
      </w:pPr>
    </w:p>
    <w:p>
      <w:pPr>
        <w:jc w:val="both"/>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9"/>
        </w:trPr>
        <w:tc>
          <w:tcPr>
            <w:tcW w:w="2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2" w:lineRule="exact"/>
        <w:rPr>
          <w:sz w:val="20"/>
          <w:szCs w:val="20"/>
          <w:color w:val="auto"/>
        </w:rPr>
      </w:pPr>
    </w:p>
    <w:p>
      <w:pPr>
        <w:spacing w:after="0" w:line="20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9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0"/>
          <w:szCs w:val="20"/>
          <w:color w:val="auto"/>
        </w:rPr>
      </w:pPr>
    </w:p>
    <w:p>
      <w:pPr>
        <w:ind w:right="100"/>
        <w:spacing w:after="0" w:line="198"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100"/>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the registrant on June 30, 2023, the last business day of the registrant’s most recently completed second fiscal quarter, based on the closing price on that date of $107.25 on the New York Stock Exchange composite tape, was in excess of $429 billion.</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2940" w:type="dxa"/>
            <w:vAlign w:val="bottom"/>
          </w:tcPr>
          <w:p>
            <w:pPr>
              <w:spacing w:after="0"/>
              <w:rPr>
                <w:sz w:val="19"/>
                <w:szCs w:val="19"/>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Outstanding as of January 31, 2024</w:t>
            </w:r>
          </w:p>
        </w:tc>
      </w:tr>
      <w:tr>
        <w:trPr>
          <w:trHeight w:val="208"/>
        </w:trPr>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stock, without par value</w:t>
            </w:r>
          </w:p>
        </w:tc>
        <w:tc>
          <w:tcPr>
            <w:tcW w:w="2940" w:type="dxa"/>
            <w:vAlign w:val="bottom"/>
          </w:tcPr>
          <w:p>
            <w:pPr>
              <w:spacing w:after="0"/>
              <w:rPr>
                <w:sz w:val="18"/>
                <w:szCs w:val="18"/>
                <w:color w:val="auto"/>
              </w:rPr>
            </w:pPr>
          </w:p>
        </w:tc>
        <w:tc>
          <w:tcPr>
            <w:tcW w:w="3440" w:type="dxa"/>
            <w:vAlign w:val="bottom"/>
          </w:tcPr>
          <w:p>
            <w:pPr>
              <w:jc w:val="right"/>
              <w:ind w:right="1162"/>
              <w:spacing w:after="0"/>
              <w:rPr>
                <w:sz w:val="20"/>
                <w:szCs w:val="20"/>
                <w:color w:val="auto"/>
              </w:rPr>
            </w:pPr>
            <w:r>
              <w:rPr>
                <w:rFonts w:ascii="Times New Roman" w:cs="Times New Roman" w:eastAsia="Times New Roman" w:hAnsi="Times New Roman"/>
                <w:sz w:val="16"/>
                <w:szCs w:val="16"/>
                <w:b w:val="1"/>
                <w:bCs w:val="1"/>
                <w:color w:val="auto"/>
              </w:rPr>
              <w:t>3,967,844,307</w:t>
            </w: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 Proxy Statement for the 2024 Annual Meeting of Shareholders (Part III)</w:t>
      </w:r>
    </w:p>
    <w:p>
      <w:pPr>
        <w:sectPr>
          <w:pgSz w:w="11880" w:h="15480" w:orient="portrait"/>
          <w:cols w:equalWidth="0" w:num="1">
            <w:col w:w="10680"/>
          </w:cols>
          <w:pgMar w:left="640" w:top="597" w:right="560" w:bottom="0" w:gutter="0" w:footer="0" w:header="0"/>
        </w:sectPr>
      </w:pPr>
    </w:p>
    <w:bookmarkStart w:id="7" w:name="page8"/>
    <w:bookmarkEnd w:id="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27"/>
          <w:szCs w:val="27"/>
          <w:b w:val="1"/>
          <w:bCs w:val="1"/>
          <w:color w:val="4C4C4C"/>
        </w:rPr>
        <w:t>EXXON MOBIL CORPORATION</w:t>
      </w:r>
    </w:p>
    <w:p>
      <w:pPr>
        <w:spacing w:after="0" w:line="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4C4C4C"/>
        </w:rPr>
        <w:t>FORM 10-K</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4C4C4C"/>
        </w:rPr>
        <w:t>FOR THE FISCAL YEAR ENDED DECEMBER 31, 2023</w:t>
      </w:r>
    </w:p>
    <w:p>
      <w:pPr>
        <w:spacing w:after="0" w:line="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4C4C4C"/>
        </w:rPr>
        <w:t>TABLE OF CONTENTS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-170815</wp:posOffset>
            </wp:positionV>
            <wp:extent cx="6727825" cy="5812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6727825" cy="58127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Business</w:t>
            </w:r>
          </w:p>
        </w:tc>
        <w:tc>
          <w:tcPr>
            <w:tcW w:w="100" w:type="dxa"/>
            <w:vAlign w:val="bottom"/>
          </w:tcPr>
          <w:p>
            <w:pPr>
              <w:spacing w:after="0"/>
              <w:rPr>
                <w:sz w:val="19"/>
                <w:szCs w:val="19"/>
                <w:color w:val="auto"/>
              </w:rPr>
            </w:pPr>
          </w:p>
        </w:tc>
        <w:tc>
          <w:tcPr>
            <w:tcW w:w="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4C4C4C"/>
                <w:w w:val="79"/>
              </w:rPr>
              <w:t>1</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Risk Factors</w:t>
            </w:r>
          </w:p>
        </w:tc>
        <w:tc>
          <w:tcPr>
            <w:tcW w:w="100" w:type="dxa"/>
            <w:vAlign w:val="bottom"/>
          </w:tcPr>
          <w:p>
            <w:pPr>
              <w:spacing w:after="0"/>
              <w:rPr>
                <w:sz w:val="23"/>
                <w:szCs w:val="23"/>
                <w:color w:val="auto"/>
              </w:rPr>
            </w:pPr>
          </w:p>
        </w:tc>
        <w:tc>
          <w:tcPr>
            <w:tcW w:w="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4C4C4C"/>
                <w:w w:val="79"/>
              </w:rPr>
              <w:t>2</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100" w:type="dxa"/>
            <w:vAlign w:val="bottom"/>
          </w:tcPr>
          <w:p>
            <w:pPr>
              <w:spacing w:after="0"/>
              <w:rPr>
                <w:sz w:val="23"/>
                <w:szCs w:val="23"/>
                <w:color w:val="auto"/>
              </w:rPr>
            </w:pPr>
          </w:p>
        </w:tc>
        <w:tc>
          <w:tcPr>
            <w:tcW w:w="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4C4C4C"/>
                <w:w w:val="79"/>
              </w:rPr>
              <w:t>7</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Cybersecurity</w:t>
            </w:r>
          </w:p>
        </w:tc>
        <w:tc>
          <w:tcPr>
            <w:tcW w:w="100" w:type="dxa"/>
            <w:vAlign w:val="bottom"/>
          </w:tcPr>
          <w:p>
            <w:pPr>
              <w:spacing w:after="0"/>
              <w:rPr>
                <w:sz w:val="23"/>
                <w:szCs w:val="23"/>
                <w:color w:val="auto"/>
              </w:rPr>
            </w:pPr>
          </w:p>
        </w:tc>
        <w:tc>
          <w:tcPr>
            <w:tcW w:w="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4C4C4C"/>
                <w:w w:val="79"/>
              </w:rPr>
              <w:t>8</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Properties</w:t>
            </w:r>
          </w:p>
        </w:tc>
        <w:tc>
          <w:tcPr>
            <w:tcW w:w="100" w:type="dxa"/>
            <w:vAlign w:val="bottom"/>
          </w:tcPr>
          <w:p>
            <w:pPr>
              <w:spacing w:after="0"/>
              <w:rPr>
                <w:sz w:val="23"/>
                <w:szCs w:val="23"/>
                <w:color w:val="auto"/>
              </w:rPr>
            </w:pPr>
          </w:p>
        </w:tc>
        <w:tc>
          <w:tcPr>
            <w:tcW w:w="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4C4C4C"/>
                <w:w w:val="79"/>
              </w:rPr>
              <w:t>9</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Legal Proceedings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28</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Mine Safety Disclosures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28</w:t>
            </w:r>
          </w:p>
        </w:tc>
      </w:tr>
      <w:tr>
        <w:trPr>
          <w:trHeight w:val="274"/>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Information about our Executive Officers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29</w:t>
            </w:r>
          </w:p>
        </w:tc>
      </w:tr>
      <w:tr>
        <w:trPr>
          <w:trHeight w:val="615"/>
        </w:trPr>
        <w:tc>
          <w:tcPr>
            <w:tcW w:w="1024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FFFFFF"/>
              </w:rPr>
              <w:t>PART II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30</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30</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30</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31</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31</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Controls and Procedures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31</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Information</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32</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32</w:t>
            </w:r>
          </w:p>
        </w:tc>
      </w:tr>
      <w:tr>
        <w:trPr>
          <w:trHeight w:val="615"/>
        </w:trPr>
        <w:tc>
          <w:tcPr>
            <w:tcW w:w="1024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FFFFFF"/>
              </w:rPr>
              <w:t>PART III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32</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Compensation</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32</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33</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33</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33</w:t>
            </w:r>
          </w:p>
        </w:tc>
      </w:tr>
      <w:tr>
        <w:trPr>
          <w:trHeight w:val="615"/>
        </w:trPr>
        <w:tc>
          <w:tcPr>
            <w:tcW w:w="1024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FFFFFF"/>
              </w:rPr>
              <w:t>PART IV</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33</w:t>
            </w:r>
          </w:p>
        </w:tc>
      </w:tr>
      <w:tr>
        <w:trPr>
          <w:trHeight w:val="27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9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10-K Summary</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33</w:t>
            </w:r>
          </w:p>
        </w:tc>
      </w:tr>
      <w:tr>
        <w:trPr>
          <w:trHeight w:val="568"/>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Section</w:t>
            </w:r>
          </w:p>
        </w:tc>
        <w:tc>
          <w:tcPr>
            <w:tcW w:w="2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4C4C4C"/>
                <w:w w:val="89"/>
              </w:rPr>
              <w:t>34</w:t>
            </w:r>
          </w:p>
        </w:tc>
      </w:tr>
      <w:tr>
        <w:trPr>
          <w:trHeight w:val="318"/>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Index to Exhibits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w w:val="97"/>
              </w:rPr>
              <w:t>Signatures</w:t>
            </w:r>
          </w:p>
        </w:tc>
        <w:tc>
          <w:tcPr>
            <w:tcW w:w="9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4"/>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 31 and 32 — Certifications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880" w:h="15480" w:orient="portrait"/>
          <w:cols w:equalWidth="0" w:num="1">
            <w:col w:w="10440"/>
          </w:cols>
          <w:pgMar w:left="720" w:top="761" w:right="720" w:bottom="978" w:gutter="0" w:footer="0" w:header="0"/>
        </w:sectPr>
      </w:pPr>
    </w:p>
    <w:bookmarkStart w:id="9" w:name="page10"/>
    <w:bookmarkEnd w:id="9"/>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7"/>
          <w:szCs w:val="27"/>
          <w:b w:val="1"/>
          <w:bCs w:val="1"/>
          <w:color w:val="4C4C4C"/>
        </w:rPr>
        <w:t>PART I</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Exxon Mobil Corporation was incorporated in the State of New Jersey in 1882. Divisions and affiliated companies of ExxonMobil operate or market products in the United States and most other countries of the world. Our principal business involves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lower-emission fuels, and lithium. Affiliates of ExxonMobil conduct extensive research programs in support of these businesses.</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Exxon Mobil Corporation has several divisions and hundreds of affiliates, many with names that include </w:t>
      </w:r>
      <w:r>
        <w:rPr>
          <w:rFonts w:ascii="Times New Roman" w:cs="Times New Roman" w:eastAsia="Times New Roman" w:hAnsi="Times New Roman"/>
          <w:sz w:val="20"/>
          <w:szCs w:val="20"/>
          <w:i w:val="1"/>
          <w:iCs w:val="1"/>
          <w:color w:val="auto"/>
        </w:rPr>
        <w:t>ExxonMobil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Exxon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Esso,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Mobil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XTO</w:t>
      </w:r>
      <w:r>
        <w:rPr>
          <w:rFonts w:ascii="Times New Roman" w:cs="Times New Roman" w:eastAsia="Times New Roman" w:hAnsi="Times New Roman"/>
          <w:sz w:val="20"/>
          <w:szCs w:val="20"/>
          <w:color w:val="auto"/>
        </w:rPr>
        <w:t>. For convenience and simplicity, in this report the terms</w:t>
      </w:r>
      <w:r>
        <w:rPr>
          <w:rFonts w:ascii="Times New Roman" w:cs="Times New Roman" w:eastAsia="Times New Roman" w:hAnsi="Times New Roman"/>
          <w:sz w:val="20"/>
          <w:szCs w:val="20"/>
          <w:i w:val="1"/>
          <w:iCs w:val="1"/>
          <w:color w:val="auto"/>
        </w:rPr>
        <w:t xml:space="preserve"> ExxonMobil, Exxon, Esso, Mobil,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XTO</w:t>
      </w:r>
      <w:r>
        <w:rPr>
          <w:rFonts w:ascii="Times New Roman" w:cs="Times New Roman" w:eastAsia="Times New Roman" w:hAnsi="Times New Roman"/>
          <w:sz w:val="20"/>
          <w:szCs w:val="20"/>
          <w:color w:val="auto"/>
        </w:rPr>
        <w:t>, as well as terms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like </w:t>
      </w:r>
      <w:r>
        <w:rPr>
          <w:rFonts w:ascii="Times New Roman" w:cs="Times New Roman" w:eastAsia="Times New Roman" w:hAnsi="Times New Roman"/>
          <w:sz w:val="20"/>
          <w:szCs w:val="20"/>
          <w:i w:val="1"/>
          <w:iCs w:val="1"/>
          <w:color w:val="auto"/>
        </w:rPr>
        <w:t>Corporation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its</w:t>
      </w:r>
      <w:r>
        <w:rPr>
          <w:rFonts w:ascii="Times New Roman" w:cs="Times New Roman" w:eastAsia="Times New Roman" w:hAnsi="Times New Roman"/>
          <w:sz w:val="20"/>
          <w:szCs w:val="20"/>
          <w:color w:val="auto"/>
        </w:rPr>
        <w:t>, are sometimes used as abbreviated references to specific affiliates or groups of affiliates. The precise meaning depends on the context in question.</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October 2023 the Corporation entered into a merger agreement with Pioneer Natural Resources Company (Pioneer), an independent oil and gas exploration and production company, in exchange for ExxonMobil common stock. The transaction is currently expected to close in the second quarter of 2024, subject to regulatory approvals. For additional information, see "Note 21: Mergers and Acquisitions" in the Financial Section of this report.</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energy and petrochemical industries are highly competitive, both within the industries and also with other industries in supplying the energy, fuel, and chemical needs of industrial and individual consumers. Certain industry participants, including ExxonMobil, are expanding investments in lower-emission energy and emission-reduction services and technologies. The Corporation competes with other firms in the sale or purchase of needed goods and services in many national and international markets and employs all methods of competition which are lawful and appropriate for such purposes.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Operating data and industry segment information for the Corporation are contained in the Financial Section of this report under the following: “Management's Discussion and Analysis of Financial Condition and Results of Operations: Business Results” and “Note</w:t>
      </w:r>
    </w:p>
    <w:p>
      <w:pPr>
        <w:spacing w:after="0" w:line="1" w:lineRule="exact"/>
        <w:rPr>
          <w:sz w:val="20"/>
          <w:szCs w:val="20"/>
          <w:color w:val="auto"/>
        </w:rPr>
      </w:pPr>
    </w:p>
    <w:p>
      <w:pPr>
        <w:jc w:val="both"/>
        <w:ind w:firstLine="8"/>
        <w:spacing w:after="0" w:line="248" w:lineRule="auto"/>
        <w:tabs>
          <w:tab w:leader="none" w:pos="33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Disclosures about Segments and Related Information”. Information on oil and gas reserves is contained in the “Oil and Gas Reserves” part of the “Supplemental Information on Oil and Gas Exploration and Production Activities” portion of the Financial Section of this report.</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ExxonMobil has a long-standing commitment to the development of proprietary technology. We have a wide array of research programs designed to meet the needs identified in each of our businesses. ExxonMobil held over 8 thousand active patents worldwide at the end of 2023. For technology licensed to third parties, revenues totaled approximately $155 million in 2023. Although technology is an important contributor to the overall operations and results of our Company, the profitability of each business segment is not dependent on any individual patent, trade secret, trademark, license, franchise, or concession.</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ExxonMobil operates in a highly complex, competitive, and changing global energy business environment where decisions and risks play out over time horizons that are often decades in length. This long-term orientation underpins the Corporation's philosophy on talent development.</w:t>
      </w:r>
    </w:p>
    <w:p>
      <w:pPr>
        <w:spacing w:after="0" w:line="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Talent development begins with recruiting exceptional candidates and continues with individually planned experiences and training designed to facilitate broad development and a deep understanding of our business across the business cycle. Our career-oriented approach to talent development results in strong retention and an average length of service of about 30 years for our career employees. Compensation, benefits, and workplace programs support the Corporation's talent management approach, and are designed to attract and retain employees for a career through compensation that is market competitive, long-term oriented, and highly differentiated by individual performance.</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Over 60 percent of our global employee workforce is from outside the U.S., and over the past decade 39 percent of our global hires for management, professional and technical positions were female and 37 percent of our U.S. hires for management, professional and technical positions were minorities. With over 160 nationalities represented in the company, we encourage and respect diversity of thought, ideas, and perspective from our workforce. We consider and monitor diversity through all stages of employment, including recruitment, training, and development of our employees. We also work closely with the communities where we operate to identify and invest in initiatives that help support local needs, including local talent and skill development.</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number of regular employees was 62 thousand, 62 thousand, and 63 thousand at years ended 2023, 2022, and 2021, respectively. Regular employees are defined as active executive, management, professional, technical, administrative, and wage employees who work full time or part time for the Corporation and are covered by the Corporation’s benefit plans and programs.</w:t>
      </w:r>
    </w:p>
    <w:p>
      <w:pPr>
        <w:sectPr>
          <w:pgSz w:w="11880" w:h="15480" w:orient="portrait"/>
          <w:cols w:equalWidth="0" w:num="1">
            <w:col w:w="10600"/>
          </w:cols>
          <w:pgMar w:left="640" w:top="69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10600"/>
          </w:cols>
          <w:pgMar w:left="640" w:top="697" w:right="640" w:bottom="0" w:gutter="0" w:footer="0" w:header="0"/>
          <w:type w:val="continuous"/>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9"/>
          <w:szCs w:val="19"/>
          <w:color w:val="auto"/>
        </w:rPr>
        <w:t>As discussed in "Item 1A. Risk Factors" in this report, compliance with existing and potential future government regulations, including taxes, environmental regulations, and other government regulations and policies that directly or indirectly affect the production and sale of our products, may have material effects on the capital expenditures, earnings, and competitive position of ExxonMobil. For additional information on the Corporation's worldwide environmental expenditures, see "Management's Discussion and Analysis of Financial Condition and Results of Operations: Environmental Matters" in the Financial Section of this report.</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Information concerning the source and availability of raw materials used in the Corporation’s business, the extent of seasonality in the business, the possibility of renegotiation of profits or termination of contracts at the election of governments, and risks attendant to foreign operations may be found in “Item 1A. Risk Factors” and “Item 2. Properties” in this report.</w:t>
      </w:r>
    </w:p>
    <w:p>
      <w:pPr>
        <w:spacing w:after="0" w:line="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ExxonMobil maintains a website at exxonmobil.com. Our annual report on Form 10-K, quarterly reports on Form 10-Q, current reports on Form 8-K, and any amendments to those reports filed or furnished pursuant to Section 13(a) of the Securities Exchange Act of 1934 are made available through our website as soon as reasonably practical after we electronically file or furnish the reports to the Securities and Exchange Commission (SEC). Also available on the Corporation’s website are the company’s Corporate Governance Guidelines, Code of Ethics and Business Conduct, and additional policies as well as the charters of the audit, compensation, and other committees of the Board of Directors. Information on our website is not incorporated into this report.</w:t>
      </w:r>
    </w:p>
    <w:p>
      <w:pPr>
        <w:spacing w:after="0" w:line="6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color w:val="auto"/>
        </w:rPr>
        <w:t>The SEC maintains an internet site (http://www.sec.gov) that contains reports, proxy and information statements, and other information regarding issuers that file electronically with the SEC.</w:t>
      </w: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18415</wp:posOffset>
            </wp:positionV>
            <wp:extent cx="482600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4826000" cy="18415"/>
                    </a:xfrm>
                    <a:prstGeom prst="rect">
                      <a:avLst/>
                    </a:prstGeom>
                    <a:noFill/>
                  </pic:spPr>
                </pic:pic>
              </a:graphicData>
            </a:graphic>
          </wp:anchor>
        </w:drawing>
      </w:r>
    </w:p>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ExxonMobil’s financial and operating results are subject to a variety of risks inherent in the global oil, gas, and petrochemical businesses and the pursuit of lower-emission business opportunities. Many of these risk factors are not within the company’s control and could adversely affect our business, our financial and operating results, or our financial condition. These risk factors include: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Supply and Demand</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oil, gas, and petrochemical businesses are fundamentally commodity businesses. This means ExxonMobil’s operations and earnings may be significantly affected by changes in oil, gas, and petrochemical prices and by changes in margins on refined products. Oil, gas, petrochemical, and product prices and margins in turn depend on local, regional, and global events or conditions that affect supply and demand for the relevant commodity or product. Any material decline in oil or natural gas prices could have a material adverse effect on the company’s operations, financial condition, and proved reserves, especially in the Upstream segment. On the other hand, a material increase in oil or natural gas prices could have a material adverse effect on the company’s operations, especially in the Energy Products, Chemical Products, and Specialty Products segments. Our pursuit of lower-emission business opportunities including carbon capture and storage, hydrogen, lower-emission fuels, and lithium also depends on the growth and development of markets for those products and services, including implementation of supportive government policies and developments in technology to enable those products and services to be provided on a cost-effective basis at commercial scale. See "Climate Change and the Energy Transition" in this Item 1A.</w:t>
      </w:r>
    </w:p>
    <w:p>
      <w:pPr>
        <w:spacing w:after="0" w:line="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Economic conditions. </w:t>
      </w:r>
      <w:r>
        <w:rPr>
          <w:rFonts w:ascii="Times New Roman" w:cs="Times New Roman" w:eastAsia="Times New Roman" w:hAnsi="Times New Roman"/>
          <w:sz w:val="20"/>
          <w:szCs w:val="20"/>
          <w:color w:val="auto"/>
        </w:rPr>
        <w:t>The demand for energy and petrochemicals is generally linked closely with broad-based economic activities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levels of prosperity. The occurrence of recessions or other periods of low or negative economic growth will typically have a direct adverse impact on our results. Other factors that affect general economic conditions in the world or in a major region, such as changes in population growth rates, periods of civil unrest, government regulation or austerity programs, trade tariffs or broader breakdowns in global trade, security or public health issues and responses, or currency exchange rate fluctuations, can also impact the demand for energy and petrochemicals. Sovereign debt downgrades, defaults, inability to access debt markets due to rating, banking, or legal constraints, liquidity crises, the breakup or restructuring of fiscal, monetary, or political systems such as the European Union, and other events or conditions that impair the functioning of financial markets and institutions also pose risks to ExxonMobil, including risks to the safety of our financial assets and to the ability of our partners and customers to fulfill their commitments to ExxonMobil. Our future business results, including cash flows and financing needs, may also be affected by the occurrence, severity, pace and rate of recovery of future public health epidemics or pandemics; the responsive actions taken by governments and others; and the resulting effects on regional and global markets and economies.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Other demand-related factors. </w:t>
      </w:r>
      <w:r>
        <w:rPr>
          <w:rFonts w:ascii="Times New Roman" w:cs="Times New Roman" w:eastAsia="Times New Roman" w:hAnsi="Times New Roman"/>
          <w:sz w:val="20"/>
          <w:szCs w:val="20"/>
          <w:color w:val="auto"/>
        </w:rPr>
        <w:t>Other factors that may affect the demand for oil, gas, petrochemicals or our other products,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therefore impact our results, include technological improvements in energy efficiency; seasonal weather patterns; increased competitiveness of, or government policy support for, alternative energy sources; changes in technology that alter fuel choices, such as technological advances in energy storage or other critical areas that make wind, solar, hydrogen, nuclear or other alternatives more competitive for power generation; changes in consumer preferences for our products, including consumer demand for alternative-fueled or electric transportation or alternatives to plastic products; and broad-based changes in personal income levels. See also “Climate Change and the Energy Transition” below.</w:t>
      </w:r>
    </w:p>
    <w:p>
      <w:pPr>
        <w:sectPr>
          <w:pgSz w:w="11880" w:h="15480" w:orient="portrait"/>
          <w:cols w:equalWidth="0" w:num="1">
            <w:col w:w="10600"/>
          </w:cols>
          <w:pgMar w:left="640" w:top="73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600"/>
          </w:cols>
          <w:pgMar w:left="640" w:top="731" w:right="640" w:bottom="0" w:gutter="0" w:footer="0" w:header="0"/>
          <w:type w:val="continuous"/>
        </w:sectPr>
      </w:pPr>
    </w:p>
    <w:bookmarkStart w:id="12" w:name="page13"/>
    <w:bookmarkEnd w:id="12"/>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Other supply-related factors. </w:t>
      </w:r>
      <w:r>
        <w:rPr>
          <w:rFonts w:ascii="Times New Roman" w:cs="Times New Roman" w:eastAsia="Times New Roman" w:hAnsi="Times New Roman"/>
          <w:sz w:val="20"/>
          <w:szCs w:val="20"/>
          <w:color w:val="auto"/>
        </w:rPr>
        <w:t>Commodity prices and margins also vary depending on a number of factors affecting supply.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example, increased supply from the development of new oil and gas supply sources and technologies to enhance recovery from existing sources tends to reduce commodity prices to the extent such supply increases are not offset by commensurate growth in demand. Similarly, increases in industry refining or petrochemical manufacturing capacity relative to demand tend to reduce margins on the affected products. World oil, gas, and petrochemical supply levels can also be affected by factors that reduce available supplies, such as the level of and adherence by participating countries to production quotas established by OPEC or "OPEC+" and other agreements among sovereigns; government policies, including actions intended to reduce greenhouse gas emissions, that restrict oil and gas production or increase associated costs; the occurrence of wars or hostile actions, including disruption of land or sea transportation routes; natural disasters; disruptions in competitors’ operations; and logistics constraints or unexpected unavailability of distribution channels that may disrupt supplies. Technological change can also alter the relative costs for competitors to find, produce and refine oil and gas, and to manufacture petrochemicals.</w:t>
      </w:r>
    </w:p>
    <w:p>
      <w:pPr>
        <w:spacing w:after="0" w:line="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Other market factors. </w:t>
      </w:r>
      <w:r>
        <w:rPr>
          <w:rFonts w:ascii="Times New Roman" w:cs="Times New Roman" w:eastAsia="Times New Roman" w:hAnsi="Times New Roman"/>
          <w:sz w:val="19"/>
          <w:szCs w:val="19"/>
          <w:color w:val="auto"/>
        </w:rPr>
        <w:t>ExxonMobil’s business results are also exposed to potential negative impacts due to changes in interest rates,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inflation, currency exchange rates, changes in usage of the U.S. dollar in global trade, and other local or regional market conditions. In addition to direct potential impacts on our costs and revenues, market factors such as rates of inflation may indirectly impact our results to the extent such factors reduce general rates of economic growth and therefore energy demand, as discussed under “Economic conditions”. Market factors may also result in losses from commodity derivatives and other instruments we use to hedge price exposures or for trading purposes. Additional information regarding the potential future impact of market factors on our businesses is included or incorporated by reference under "Item 7A. Quantitative and Qualitative Disclosures About Market Risk" in this report.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Government and Political Factors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ExxonMobil’s results can be adversely affected by political or regulatory developments affecting our operations.</w:t>
      </w:r>
    </w:p>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Access limitations. </w:t>
      </w:r>
      <w:r>
        <w:rPr>
          <w:rFonts w:ascii="Times New Roman" w:cs="Times New Roman" w:eastAsia="Times New Roman" w:hAnsi="Times New Roman"/>
          <w:sz w:val="20"/>
          <w:szCs w:val="20"/>
          <w:color w:val="auto"/>
        </w:rPr>
        <w:t>A number of countries limit access to their oil and gas resources, including by restricting leasing or permitting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activities, or may place resources off-limits from development altogether. Restrictions on production of oil and gas could increase to the extent governments view such measures as a viable approach for pursuing national and global energy and climate policies. Restrictions on foreign investment in the oil and gas sector tend to increase in times of high commodity prices or when national governments may have less need for outside sources of private capital. Many countries also restrict the import or export of certain products based on point of origin.</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Restrictions on doing business. </w:t>
      </w:r>
      <w:r>
        <w:rPr>
          <w:rFonts w:ascii="Times New Roman" w:cs="Times New Roman" w:eastAsia="Times New Roman" w:hAnsi="Times New Roman"/>
          <w:sz w:val="20"/>
          <w:szCs w:val="20"/>
          <w:color w:val="auto"/>
        </w:rPr>
        <w:t>ExxonMobil is subject to laws and sanctions imposed by the United States or by other jurisdictions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we do business that may prohibit ExxonMobil or its affiliates from doing business in certain countries or restrict the kind of business that may be conducted, including acquiring or divesting certain assets. Such restrictions may provide a competitive advantage to competitors who may not be subject to comparable restrictions.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Lack of legal certainty. </w:t>
      </w:r>
      <w:r>
        <w:rPr>
          <w:rFonts w:ascii="Times New Roman" w:cs="Times New Roman" w:eastAsia="Times New Roman" w:hAnsi="Times New Roman"/>
          <w:sz w:val="19"/>
          <w:szCs w:val="19"/>
          <w:color w:val="auto"/>
        </w:rPr>
        <w:t>Some countries in which we do business lack well-developed legal systems, have not yet adopted or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unable to maintain clear regulatory frameworks, or may have evolving and unharmonized standards that vary or conflict across jurisdictions. Lack of legal certainty exposes us to increased risk of adverse or unpredictable actions by government officials, and also makes it more difficult for us to enforce our contracts. In some cases, these risks can be partially offset by agreements to arbitrate disputes in an international forum, but the adequacy of this remedy may still depend on the local legal system to enforce an award.</w:t>
      </w:r>
    </w:p>
    <w:p>
      <w:pPr>
        <w:sectPr>
          <w:pgSz w:w="11880" w:h="15480" w:orient="portrait"/>
          <w:cols w:equalWidth="0" w:num="1">
            <w:col w:w="10600"/>
          </w:cols>
          <w:pgMar w:left="640" w:top="72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600"/>
          </w:cols>
          <w:pgMar w:left="640" w:top="727" w:right="640" w:bottom="0" w:gutter="0" w:footer="0" w:header="0"/>
          <w:type w:val="continuous"/>
        </w:sectPr>
      </w:pPr>
    </w:p>
    <w:bookmarkStart w:id="13" w:name="page14"/>
    <w:bookmarkEnd w:id="13"/>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Regulatory and litigation risks. </w:t>
      </w:r>
      <w:r>
        <w:rPr>
          <w:rFonts w:ascii="Times New Roman" w:cs="Times New Roman" w:eastAsia="Times New Roman" w:hAnsi="Times New Roman"/>
          <w:sz w:val="20"/>
          <w:szCs w:val="20"/>
          <w:color w:val="auto"/>
        </w:rPr>
        <w:t>Even in countries with well-developed legal systems where ExxonMobil does business, we remain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exposed to changes in law or interpretation of settled law (including changes that result from international treaties and accords) and changes in policy that could adversely affect our results, such as:</w:t>
      </w:r>
    </w:p>
    <w:p>
      <w:pPr>
        <w:spacing w:after="0" w:line="1" w:lineRule="exact"/>
        <w:rPr>
          <w:sz w:val="20"/>
          <w:szCs w:val="20"/>
          <w:color w:val="auto"/>
        </w:rPr>
      </w:pPr>
    </w:p>
    <w:p>
      <w:pPr>
        <w:ind w:left="720" w:hanging="359"/>
        <w:spacing w:after="0" w:line="26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taxes, duties, or government royalty rates (including retroactive claims or punitive taxes on oil, gas and petrochemical operations);</w:t>
      </w:r>
    </w:p>
    <w:p>
      <w:pPr>
        <w:spacing w:after="0" w:line="1"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controls;</w:t>
      </w:r>
    </w:p>
    <w:p>
      <w:pPr>
        <w:spacing w:after="0" w:line="44" w:lineRule="exact"/>
        <w:rPr>
          <w:rFonts w:ascii="Times New Roman" w:cs="Times New Roman" w:eastAsia="Times New Roman" w:hAnsi="Times New Roman"/>
          <w:sz w:val="20"/>
          <w:szCs w:val="20"/>
          <w:color w:val="auto"/>
        </w:rPr>
      </w:pPr>
    </w:p>
    <w:p>
      <w:pPr>
        <w:jc w:val="both"/>
        <w:ind w:left="720" w:hanging="359"/>
        <w:spacing w:after="0" w:line="254"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environmental regulations or other laws that increase our cost of operation or compliance or reduce or delay available business opportunities (including changes in laws affecting offshore drilling operations, standards to complete decommissioning, water use, emissions, hydraulic fracturing, or production or use of new or recycled plastics, as well as laws and regulations affecting trading);</w:t>
      </w:r>
    </w:p>
    <w:p>
      <w:pPr>
        <w:spacing w:after="0" w:line="6" w:lineRule="exact"/>
        <w:rPr>
          <w:rFonts w:ascii="Times New Roman" w:cs="Times New Roman" w:eastAsia="Times New Roman" w:hAnsi="Times New Roman"/>
          <w:sz w:val="20"/>
          <w:szCs w:val="20"/>
          <w:color w:val="auto"/>
        </w:rPr>
      </w:pPr>
    </w:p>
    <w:p>
      <w:pPr>
        <w:jc w:val="both"/>
        <w:ind w:left="720" w:hanging="359"/>
        <w:spacing w:after="0" w:line="25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policy-makers, regulators, or other actors to delay or deny necessary licenses and permits, restrict the availability of oil and gas leases or the transportation or export of our products, or otherwise require changes in the company's business or strategy that could result in reduced returns;</w:t>
      </w:r>
    </w:p>
    <w:p>
      <w:pPr>
        <w:ind w:left="720" w:hanging="359"/>
        <w:spacing w:after="0" w:line="26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interpretations that exclude or disfavor our products under government policies or programs intended to support new or developing markets or technologies, or that otherwise are not technology-neutral;</w:t>
      </w:r>
    </w:p>
    <w:p>
      <w:pPr>
        <w:spacing w:after="0" w:line="1"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regulations mandating efficiency standards, the use of alternative fuels or uncompetitive fuel components;</w:t>
      </w:r>
    </w:p>
    <w:p>
      <w:pPr>
        <w:spacing w:after="0" w:line="44" w:lineRule="exact"/>
        <w:rPr>
          <w:rFonts w:ascii="Times New Roman" w:cs="Times New Roman" w:eastAsia="Times New Roman" w:hAnsi="Times New Roman"/>
          <w:sz w:val="20"/>
          <w:szCs w:val="20"/>
          <w:color w:val="auto"/>
        </w:rPr>
      </w:pPr>
    </w:p>
    <w:p>
      <w:pPr>
        <w:jc w:val="both"/>
        <w:ind w:left="720" w:hanging="359"/>
        <w:spacing w:after="0" w:line="254"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disclosure regulations that could create competitive disadvantages, require us to incur disproportionate costs, or increase legal risk due to a need to rely on uncertain estimates or extrapolations (such as emissions of third parties) and lack of uniform standards across jurisdictions, or by requiring us to disclose competitively sensitive commercial information or to violate the non-disclosure laws of other countries; and</w:t>
      </w:r>
    </w:p>
    <w:p>
      <w:pPr>
        <w:spacing w:after="0" w:line="6" w:lineRule="exact"/>
        <w:rPr>
          <w:rFonts w:ascii="Times New Roman" w:cs="Times New Roman" w:eastAsia="Times New Roman" w:hAnsi="Times New Roman"/>
          <w:sz w:val="20"/>
          <w:szCs w:val="20"/>
          <w:color w:val="auto"/>
        </w:rPr>
      </w:pPr>
    </w:p>
    <w:p>
      <w:pPr>
        <w:ind w:left="720" w:hanging="359"/>
        <w:spacing w:after="0" w:line="273"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actions to cancel contracts, redenominate the official currency, renounce or default on obligations, renegotiate terms unilaterally, or expropriate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Legal remedies available to compensate us for expropriation or other takings may be inadequate.</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also may be adversely affected by the outcome of litigation, especially in countries such as the United States in which very large and unpredictable punitive damage awards may occur; by government enforcement proceedings alleging non-compliance with applicable laws or regulations; or by state and local government actors as well as private plaintiffs acting in parallel that attempt to use the legal system to promote public policy agendas (including seeking to reduce the production and sale of hydrocarbon products through litigation targeting the company or other industry participants), gain political notoriety, or obtain monetary awards from the company. The continued adoption of similar legal practices in the European Union or elsewhere would broaden this risk and has begun to be applied to some of our competitors in the European Union.</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Security concerns. </w:t>
      </w:r>
      <w:r>
        <w:rPr>
          <w:rFonts w:ascii="Times New Roman" w:cs="Times New Roman" w:eastAsia="Times New Roman" w:hAnsi="Times New Roman"/>
          <w:sz w:val="19"/>
          <w:szCs w:val="19"/>
          <w:color w:val="auto"/>
        </w:rPr>
        <w:t>Successful operation of particular facilities or projects may be disrupted by civil unrest, acts of sabotage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terrorism, cybersecurity attacks, the application of national security laws or policies that result in restricting our ability to do business in a particular jurisdiction, and other local security concerns. Such concerns may be directed specifically at our company, our industry, or as part of broader movements and may require us to incur greater costs for security or to shut down operations for a period of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Climate Change and the Energy Transition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Net-zero scenarios. </w:t>
      </w:r>
      <w:r>
        <w:rPr>
          <w:rFonts w:ascii="Times New Roman" w:cs="Times New Roman" w:eastAsia="Times New Roman" w:hAnsi="Times New Roman"/>
          <w:sz w:val="19"/>
          <w:szCs w:val="19"/>
          <w:color w:val="auto"/>
        </w:rPr>
        <w:t>Driven by concern over the risks of climate change, a number of countries have adopted, or are considering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adoption of, regulatory frameworks to reduce greenhouse gas emissions including emissions from the production and use of oil and gas and their products as well as the use or support for different emission-reduction technologies. These actions are being taken both independently by national and regional governments and within the framework of United Nations Conference of the Parties summits under which many countries of the world have endorsed objectives to reduce the atmospheric concentration of carbon dioxide (CO2) over the coming decades, with an ambition ultimately to achieve “net zero”. Net zero means that emissions of greenhouse gases from human activities would be balanced by actions that remove such gases from the atmosphere. Expectations for transition of the world’s energy system to lower-emission sources, and ultimately net-zero, derive from hypothetical scenarios that reflect many assumptions about the future and reflect substantial uncertainties. The company’s objective to play a leading role in the energy transition, including the company’s announced ambition ultimately to achieve net zero with respect to Scope 1 and 2 emissions from operations with continued technology development and policy support where ExxonMobil is the operator, carries risks that the transition, including underlying technologies, policies, and markets as discussed in more detail below, will not be available or develop at the pace or in the manner expected by current net-zero scenarios. The success of our strategy for the energy transition will also depend on our ability to recognize key signposts of changes in the global energy system on a timely basis, and our corresponding ability to direct investment to the technologies and businesses, at the appropriate stage of development, to best capitalize on our competitive strengths.</w:t>
      </w:r>
    </w:p>
    <w:p>
      <w:pPr>
        <w:sectPr>
          <w:pgSz w:w="11880" w:h="15480" w:orient="portrait"/>
          <w:cols w:equalWidth="0" w:num="1">
            <w:col w:w="10600"/>
          </w:cols>
          <w:pgMar w:left="640" w:top="72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600"/>
          </w:cols>
          <w:pgMar w:left="640" w:top="727" w:right="640" w:bottom="0" w:gutter="0" w:footer="0" w:header="0"/>
          <w:type w:val="continuous"/>
        </w:sectPr>
      </w:pPr>
    </w:p>
    <w:bookmarkStart w:id="14" w:name="page15"/>
    <w:bookmarkEnd w:id="14"/>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Greenhouse gas restrictions. </w:t>
      </w:r>
      <w:r>
        <w:rPr>
          <w:rFonts w:ascii="Times New Roman" w:cs="Times New Roman" w:eastAsia="Times New Roman" w:hAnsi="Times New Roman"/>
          <w:sz w:val="20"/>
          <w:szCs w:val="20"/>
          <w:color w:val="auto"/>
        </w:rPr>
        <w:t>Government actions intended to reduce greenhouse gas emissions include adoption of cap and trade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regimes, carbon taxes, carbon-based import duties or other trade tariffs, minimum renewable usage requirements, restrictive permitting, increased mileage and other efficiency standards, mandates for sales of electric vehicles, mandates for use of specific fuels or technologies, and other incentives or mandates designed to support certain technologies for transitioning to lower-emission energy sources. Political and other actors and their agents also increasingly seek to advance climate change objectives indirectly, such as by seeking to reduce the availability or increase the cost of financing and investment in the oil and gas sector. These actions include delaying or blocking needed infrastructure, utilizing shareholder governance mechanisms against companies or their shareholders or financial institutions in an effort to deter investment in oil and gas activities, and taking other actions intended to promote changes in business strategy for oil and gas companies. Depending on how policies are formulated and applied, such policies could negatively affect our investment returns, make our hydrocarbon-based products more expensive or less competitive, lengthen project implementation times, and reduce demand for hydrocarbons, as well as shift hydrocarbon demand toward relatively lower-carbon alternatives. Current and pending greenhouse gas regulations or policies may also increase our compliance costs, such as for monitoring or sequestering emissions.</w:t>
      </w:r>
    </w:p>
    <w:p>
      <w:pPr>
        <w:spacing w:after="0" w:line="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Technology and lower-emission solutions. </w:t>
      </w:r>
      <w:r>
        <w:rPr>
          <w:rFonts w:ascii="Times New Roman" w:cs="Times New Roman" w:eastAsia="Times New Roman" w:hAnsi="Times New Roman"/>
          <w:sz w:val="19"/>
          <w:szCs w:val="19"/>
          <w:color w:val="auto"/>
        </w:rPr>
        <w:t>Achieving societal ambitions to reduce greenhouse gas emissions and ultimately achieve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net zero will require new technologies to reduce the cost and increase the scalability of alternative energy sources, as well as technologies such as carbon capture and storage (CCS). CCS technologies, focused initially on capturing and sequestering CO2 emissions from high-intensity industrial activities, can assist in meeting society’s objective to mitigate atmospheric greenhouse gas levels while also helping ensure the availability of the reliable and affordable energy the world requires. ExxonMobil has established a Low Carbon Solutions (LCS) business unit to advance the development and deployment of these technologies and projects, including CCS, hydrogen, lower-emission fuels, and lithium, breakthrough energy efficiency processes, advanced energy-saving materials, and other technologies. The company’s efforts include both in-house research and development as well as collaborative efforts with leading universities and with commercial partners involved in advanced lower-emission energy technologies. Our future results and ability to grow our LCS business, help nations meet their emission-reduction goals, and succeed through the energy transition will depend in part on the success of these research and collaboration efforts and on our ability to adapt and apply the strengths of our current business model to providing the energy products of the future in a cost-competitive manner.</w:t>
      </w:r>
    </w:p>
    <w:p>
      <w:pPr>
        <w:spacing w:after="0" w:line="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Policy and market development. </w:t>
      </w:r>
      <w:r>
        <w:rPr>
          <w:rFonts w:ascii="Times New Roman" w:cs="Times New Roman" w:eastAsia="Times New Roman" w:hAnsi="Times New Roman"/>
          <w:sz w:val="20"/>
          <w:szCs w:val="20"/>
          <w:color w:val="auto"/>
        </w:rPr>
        <w:t>The scale of the world’s energy system means that, in addition to developments in technology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discussed above, a successful energy transition will require appropriate support from governments and private participants throughout the global economy. Our ability to develop and deploy CCS and other lower-emission energy technologies at commercial scale, and the growth and future returns of LCS and other emerging businesses in which we invest, will depend in part on the continued development of supportive government policies and markets. Failure or delay of these policies or markets to materialize or be maintained could adversely impact these investments. Policy and other actions that result in restricting the availability of hydrocarbon products without commensurate reduction in demand may have unpredictable adverse effects, including increased commodity price volatility; periods of significantly higher commodity prices and resulting inflationary pressures; and local or regional energy shortages. Such effects in turn may depress economic growth or lead to rapid or conflicting shifts in policy by different actors, with resulting adverse effects on our businesses. In addition, the existence of supportive policies in any jurisdiction is not a guarantee that those policies will continue in the future. See also the discussion of “Supply and Demand,” “Government and Political Factors,” and “Operational and Other Factors” in this Item 1A.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Operational and Other Factors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external economic and political factors, our future business results also depend on our ability to manage successfully those factors that are, at least in part, within our control, including our capital allocation into existing and new businesses. The extent to which we manage these factors will impact our performance relative to competition. For projects in which we are not the operator, we depend on the management effectiveness of one or more co-venturers whom we do not control.</w:t>
      </w:r>
    </w:p>
    <w:p>
      <w:pPr>
        <w:spacing w:after="0" w:line="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b w:val="1"/>
          <w:bCs w:val="1"/>
          <w:color w:val="auto"/>
        </w:rPr>
        <w:t xml:space="preserve">Exploration and development program. </w:t>
      </w:r>
      <w:r>
        <w:rPr>
          <w:rFonts w:ascii="Times New Roman" w:cs="Times New Roman" w:eastAsia="Times New Roman" w:hAnsi="Times New Roman"/>
          <w:sz w:val="19"/>
          <w:szCs w:val="19"/>
          <w:color w:val="auto"/>
        </w:rPr>
        <w:t>Our ability to maintain and grow our oil and gas production depends on the success of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exploration and development efforts. Among other factors, we must continuously improve our ability to identify the most promising resource prospects and apply our project management expertise to bring discovered resources online as scheduled and within budget.</w:t>
      </w:r>
    </w:p>
    <w:p>
      <w:pPr>
        <w:sectPr>
          <w:pgSz w:w="11880" w:h="15480" w:orient="portrait"/>
          <w:cols w:equalWidth="0" w:num="1">
            <w:col w:w="10600"/>
          </w:cols>
          <w:pgMar w:left="640" w:top="72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600"/>
          </w:cols>
          <w:pgMar w:left="640" w:top="727" w:right="640" w:bottom="0" w:gutter="0" w:footer="0" w:header="0"/>
          <w:type w:val="continuous"/>
        </w:sectPr>
      </w:pPr>
    </w:p>
    <w:bookmarkStart w:id="15" w:name="page16"/>
    <w:bookmarkEnd w:id="15"/>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Project and portfolio management. </w:t>
      </w:r>
      <w:r>
        <w:rPr>
          <w:rFonts w:ascii="Times New Roman" w:cs="Times New Roman" w:eastAsia="Times New Roman" w:hAnsi="Times New Roman"/>
          <w:sz w:val="20"/>
          <w:szCs w:val="20"/>
          <w:color w:val="auto"/>
        </w:rPr>
        <w:t>The long-term success of ExxonMobil’s Upstream and Product Solutions businesses,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future success of LCS and other emerging lower-emission investments, depends on complex, long-term, capital-intensive projects. These projects in turn require a high degree of project management expertise to maximize efficiency. Specific factors that can affect the performance of major projects include our ability to: negotiate successfully with joint venturers, partners, governments, suppliers, customers, or others; model and optimize reservoir performance; develop markets for project outputs, whether through long-term contracts or the development of effective spot markets; qualify for certain incentives available under supportive government policies for emerging markets and technologies; manage changes in operating conditions and costs, including costs of third party equipment or services such as drilling rigs and shipping, supply-chain disruptions, and inflationary cost pressures; prevent, to the extent possible, and respond effectively to unforeseen technical difficulties that could delay project start-up or cause unscheduled project downtime; and influence the performance of project operators where ExxonMobil does not perform that role. In addition to the effective management of individual projects, ExxonMobil’s success, including our ability to mitigate risk and provide attractive returns to shareholders, depends on our ability to successfully manage our overall portfolio, including diversification among types and locations of our projects, products produced, and strategies to acquire or divest assets. We may not be able to divest assets at a price or on the timeline we contemplate in our strategies. Additionally, we may retain certain liabilities following a divestment and could be held liable for past use or for different liabilities than anticipated.</w:t>
      </w:r>
    </w:p>
    <w:p>
      <w:pPr>
        <w:spacing w:after="0" w:line="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term “project” as used in this report can refer to a variety of different activities and does not necessarily have the same meaning as in any government payment transparency reports.</w:t>
      </w:r>
    </w:p>
    <w:p>
      <w:pPr>
        <w:spacing w:after="0" w:line="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Operational efficiency. </w:t>
      </w:r>
      <w:r>
        <w:rPr>
          <w:rFonts w:ascii="Times New Roman" w:cs="Times New Roman" w:eastAsia="Times New Roman" w:hAnsi="Times New Roman"/>
          <w:sz w:val="20"/>
          <w:szCs w:val="20"/>
          <w:color w:val="auto"/>
        </w:rPr>
        <w:t>An important component of ExxonMobil’s competitive performance, especially given the commodity-based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nature of many of our businesses, is our ability to operate efficiently, including our ability to manage expenses, improve production yields on an ongoing basis and successfully integrate and achieve the anticipated synergies of acquisitions, including the acquisition of Pioneer Natural Resources Company. This requires continuous management focus, including technology integration and improvements, cost control, productivity enhancements, harmonizing the functions, policies, procedures and processes, regular reappraisal of our asset portfolio, and the recruitment, development, and retention of high caliber employees.</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and technological change. </w:t>
      </w:r>
      <w:r>
        <w:rPr>
          <w:rFonts w:ascii="Times New Roman" w:cs="Times New Roman" w:eastAsia="Times New Roman" w:hAnsi="Times New Roman"/>
          <w:sz w:val="20"/>
          <w:szCs w:val="20"/>
          <w:color w:val="auto"/>
        </w:rPr>
        <w:t>To maintain our competitive position, especially in light of the technological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nature of our businesses and the need for continuous efficiency improvement, ExxonMobil’s technology, research, and development organizations must be successful and able to adapt to a changing market and policy environment, including continuous improvement in the efficiency of hydraulic fracturing technology and developing technologies to help reduce greenhouse gas emissions. To remain competitive, we must also continuously adapt and capture the benefits of new and emerging technologies, including successfully applying advances in the ability to process very large amounts of data to our businesses.</w:t>
      </w:r>
    </w:p>
    <w:p>
      <w:pPr>
        <w:spacing w:after="0" w:line="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Safety, business controls, and environmental risk management. </w:t>
      </w:r>
      <w:r>
        <w:rPr>
          <w:rFonts w:ascii="Times New Roman" w:cs="Times New Roman" w:eastAsia="Times New Roman" w:hAnsi="Times New Roman"/>
          <w:sz w:val="20"/>
          <w:szCs w:val="20"/>
          <w:color w:val="auto"/>
        </w:rPr>
        <w:t>Our results depend on management’s ability to minimize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inherent risks of oil, gas, and petrochemical operations, to effectively control our business activities, including trading, and to minimize the potential for human error. We apply rigorous management systems and continuous focus on workplace safety and avoiding spills or other adverse environmental events. For example, we work to minimize spills through a combined program of effective operations integrity management, ongoing upgrades, key equipment replacements, and comprehensive inspection and surveillance. Similarly, we are implementing cost-effective new technologies and adopting new operating practices to reduce emissions, not only in response to government requirements but also to address community priorities. We employ a robust and actively evolving enterprise risk management system to identify and manage risk across our businesses. We also maintain a disciplined framework of internal controls and apply a controls management system for monitoring compliance with this framework. Substantial liabilities and other adverse impacts could result if we do not timely identify and mitigate applicable risks, or if our management systems and controls do not function as intended.</w:t>
      </w:r>
    </w:p>
    <w:p>
      <w:pPr>
        <w:spacing w:after="0" w:line="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Cybersecurity. </w:t>
      </w:r>
      <w:r>
        <w:rPr>
          <w:rFonts w:ascii="Times New Roman" w:cs="Times New Roman" w:eastAsia="Times New Roman" w:hAnsi="Times New Roman"/>
          <w:sz w:val="20"/>
          <w:szCs w:val="20"/>
          <w:color w:val="auto"/>
        </w:rPr>
        <w:t>ExxonMobil is regularly subject to attempted cybersecurity disruptions from a variety of sources including state-sponsored actors. See Item 1C in this Report for information on ExxonMobil’s program for managing cybersecurity risks. If the measures we are taking to protect against cybersecurity disruptions prove to be insufficient or if our proprietary data is otherwise not protected, ExxonMobil, as well as our customers, employees, or third parties, could be adversely affected. We have limited ability to influence third parties, including our partners, suppliers and service providers (including providers of cloud-hosting services for our data or applications), to implement strong cybersecurity controls and are exposed to potential harm from cybersecurity events that may affect their operations. Cybersecurity disruptions could cause physical harm to people or the environment; damage or destroy assets; compromise business systems; result in proprietary information being altered, lost, or stolen; result in employee, customer, or third-party information being compromised; or otherwise disrupt our business operations. We could incur significant costs to remedy the effects of a major cybersecurity disruption in addition to costs in connection with resulting regulatory actions, litigation, or reputational harm.</w:t>
      </w:r>
    </w:p>
    <w:p>
      <w:pPr>
        <w:sectPr>
          <w:pgSz w:w="11880" w:h="15480" w:orient="portrait"/>
          <w:cols w:equalWidth="0" w:num="1">
            <w:col w:w="10600"/>
          </w:cols>
          <w:pgMar w:left="640" w:top="72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600"/>
          </w:cols>
          <w:pgMar w:left="640" w:top="727" w:right="640" w:bottom="0" w:gutter="0" w:footer="0" w:header="0"/>
          <w:type w:val="continuous"/>
        </w:sectPr>
      </w:pPr>
    </w:p>
    <w:bookmarkStart w:id="16" w:name="page17"/>
    <w:bookmarkEnd w:id="16"/>
    <w:p>
      <w:pPr>
        <w:jc w:val="both"/>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Preparedness. </w:t>
      </w:r>
      <w:r>
        <w:rPr>
          <w:rFonts w:ascii="Times New Roman" w:cs="Times New Roman" w:eastAsia="Times New Roman" w:hAnsi="Times New Roman"/>
          <w:sz w:val="19"/>
          <w:szCs w:val="19"/>
          <w:color w:val="auto"/>
        </w:rPr>
        <w:t>Our operations may be disrupted by severe weather events, natural disasters, human error, and similar events.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example, hurricanes may damage our offshore production facilities or coastal refining and petrochemical plants in vulnerable areas. Our facilities are designed, engineered, constructed, and operated to withstand a variety of extreme climatic and other conditions, with safety factors built in to cover a number of uncertainties, including those associated with wave, wind, and current intensity, marine ice flow patterns, permafrost stability, storm surge magnitude, temperature extremes, extreme rainfall events, and earthquakes. Our consideration of changing weather conditions and inclusion of safety factors in design covers the engineering uncertainties that climate change and other events may potentially introduce. Our ability to mitigate the adverse impacts of these events depends in part upon the effectiveness of our robust facility engineering, our rigorous disaster preparedness and response, and business continuity planning.</w:t>
      </w:r>
    </w:p>
    <w:p>
      <w:pPr>
        <w:spacing w:after="0" w:line="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Insurance limitations. </w:t>
      </w:r>
      <w:r>
        <w:rPr>
          <w:rFonts w:ascii="Times New Roman" w:cs="Times New Roman" w:eastAsia="Times New Roman" w:hAnsi="Times New Roman"/>
          <w:sz w:val="20"/>
          <w:szCs w:val="20"/>
          <w:color w:val="auto"/>
        </w:rPr>
        <w:t>The ability of the Corporation to insure against many of the risks it faces as described in this Item 1A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by the availability and cost of coverage, which may not be economic, as well as the capacity of the applicable insurance markets, which may not be sufficient.</w:t>
      </w:r>
    </w:p>
    <w:p>
      <w:pPr>
        <w:spacing w:after="0" w:line="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Competition. </w:t>
      </w:r>
      <w:r>
        <w:rPr>
          <w:rFonts w:ascii="Times New Roman" w:cs="Times New Roman" w:eastAsia="Times New Roman" w:hAnsi="Times New Roman"/>
          <w:sz w:val="20"/>
          <w:szCs w:val="20"/>
          <w:color w:val="auto"/>
        </w:rPr>
        <w:t>As noted in Item 1 above, the energy and petrochemical industries are highly competitive. We face competition not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other private firms, but also from state-owned companies that are increasingly competing for opportunities outside of their home countries and as partners with other private firms. In some cases, these state-owned companies may pursue opportunities in furtherance of strategic objectives of their government owners, with less focus on financial returns than companies owned by private shareholders, such as ExxonMobil. Technology and expertise provided by industry service companies may also enhance the competitiveness of firms that may not have the internal resources and capabilities of ExxonMobil or reduce the need for resource-owning countries to partner with private-sector oil and gas companies in order to monetize national resources. As described in more detail above, our hydrocarbon-based energy products are also subject to growing and, in many cases, government-supported competition from alternative energy sources.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Reputation. </w:t>
      </w:r>
      <w:r>
        <w:rPr>
          <w:rFonts w:ascii="Times New Roman" w:cs="Times New Roman" w:eastAsia="Times New Roman" w:hAnsi="Times New Roman"/>
          <w:sz w:val="20"/>
          <w:szCs w:val="20"/>
          <w:color w:val="auto"/>
        </w:rPr>
        <w:t>Our reputation is an important corporate asset. Factors that could have a negative impact on our reputation include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operating incident or significant cybersecurity disruption; changes in consumer views concerning our products; a perception by investors or others that the Corporation is making insufficient progress with respect to our ambition to play a leading role in the energy transition, or that pursuit of this ambition may result in allocation of capital to investments with reduced returns; and other adverse events such as those described in this Item 1A. Negative impacts on our reputation could in turn make it more difficult for us to compete successfully for new opportunities, obtain necessary regulatory approvals, obtain financing, and attract talent, or they could reduce consumer demand for our branded products. ExxonMobil’s reputation may also be harmed by events which negatively affect the image of our industry as a whole.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Projections, estimates, and descriptions of ExxonMobil’s plans and objectives included or incorporated in Items 1, 1A, 1C, 2, 5, 7, and 7A of this report are forward-looking statements. Actual future results, including project completion dates, production rates, capital expenditures, costs, and business plans could differ materially due to, among other things, the factors discussed above and elsewhere in this report.</w:t>
      </w: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1B. UNRESOLVED STAFF COMMENTS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27305</wp:posOffset>
                </wp:positionV>
                <wp:extent cx="672084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18668">
                          <a:solidFill>
                            <a:srgbClr val="4C4C4C"/>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15pt" to="529.6pt,2.15pt" o:allowincell="f" strokecolor="#4C4C4C" strokeweight="1.4699pt"/>
            </w:pict>
          </mc:Fallback>
        </mc:AlternateContent>
        <mc:AlternateContent>
          <mc:Choice Requires="wps">
            <w:drawing>
              <wp:anchor simplePos="0" relativeHeight="251657728" behindDoc="1" locked="0" layoutInCell="0" allowOverlap="1">
                <wp:simplePos x="0" y="0"/>
                <wp:positionH relativeFrom="column">
                  <wp:posOffset>5950585</wp:posOffset>
                </wp:positionH>
                <wp:positionV relativeFrom="paragraph">
                  <wp:posOffset>17780</wp:posOffset>
                </wp:positionV>
                <wp:extent cx="0" cy="190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
                        </a:xfrm>
                        <a:prstGeom prst="line">
                          <a:avLst/>
                        </a:prstGeom>
                        <a:solidFill>
                          <a:srgbClr val="FFFFFF"/>
                        </a:solidFill>
                        <a:ln w="127">
                          <a:solidFill>
                            <a:srgbClr val="4C4C4C"/>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55pt,1.4pt" to="468.55pt,2.9pt" o:allowincell="f" strokecolor="#4C4C4C" strokeweight="0.01pt"/>
            </w:pict>
          </mc:Fallback>
        </mc:AlternateContent>
        <mc:AlternateContent>
          <mc:Choice Requires="wps">
            <w:drawing>
              <wp:anchor simplePos="0" relativeHeight="251657728" behindDoc="1" locked="0" layoutInCell="0" allowOverlap="1">
                <wp:simplePos x="0" y="0"/>
                <wp:positionH relativeFrom="column">
                  <wp:posOffset>6725285</wp:posOffset>
                </wp:positionH>
                <wp:positionV relativeFrom="paragraph">
                  <wp:posOffset>17780</wp:posOffset>
                </wp:positionV>
                <wp:extent cx="0" cy="1905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
                        </a:xfrm>
                        <a:prstGeom prst="line">
                          <a:avLst/>
                        </a:prstGeom>
                        <a:solidFill>
                          <a:srgbClr val="FFFFFF"/>
                        </a:solidFill>
                        <a:ln w="63">
                          <a:solidFill>
                            <a:srgbClr val="4C4C4C"/>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55pt,1.4pt" to="529.55pt,2.9pt" o:allowincell="f" strokecolor="#4C4C4C" strokeweight="0.005pt"/>
            </w:pict>
          </mc:Fallback>
        </mc:AlternateConten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600"/>
          </w:cols>
          <w:pgMar w:left="640" w:top="72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600"/>
          </w:cols>
          <w:pgMar w:left="640" w:top="727" w:right="640" w:bottom="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24"/>
          <w:szCs w:val="24"/>
          <w:b w:val="1"/>
          <w:bCs w:val="1"/>
          <w:color w:val="4C4C4C"/>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5932805</wp:posOffset>
            </wp:positionH>
            <wp:positionV relativeFrom="paragraph">
              <wp:posOffset>18415</wp:posOffset>
            </wp:positionV>
            <wp:extent cx="79311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793115" cy="18415"/>
                    </a:xfrm>
                    <a:prstGeom prst="rect">
                      <a:avLst/>
                    </a:prstGeom>
                    <a:noFill/>
                  </pic:spPr>
                </pic:pic>
              </a:graphicData>
            </a:graphic>
          </wp:anchor>
        </w:drawing>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recognizes the importance of cybersecurity in achieving its business objectives, safeguarding its assets, and managing its daily operations. Accordingly, the Corporation integrates cybersecurity risks into its overall enterprise risk management system. The Audit Committee oversees the Corporation’s risk management approach and structure, which includes an annual review of the Corporation’s cybersecurity program.</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Corporation’s cybersecurity program is managed by the Corporation’s Vice President of IT, with support from cross-functional teams led by ExxonMobil information technology (IT) and operational technology (OT) cybersecurity operations managers (collectively, Cybersecurity Operations Managers). The Cybersecurity Operations Managers are responsible for the day-to-day management and effective functioning of the cybersecurity program, including the prevention, detection, investigation, and response to cybersecurity threats and incidents. The Cybersecurity Operations Managers collectively have many years of experience in cybersecurity operations.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IT management provides regular reports to the Corporation’s senior management throughout the year, and to the Audit Committee or the Board of Directors, as appropriate, in its annual cybersecurity review. Such reports typically address, among other things, the Corporation’s cybersecurity strategy, initiatives, key security metrics, penetration testing and benchmarking learnings, and business response plans as well as the evolving cybersecurity threat landscape.</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Corporation’s cybersecurity program includes multi-layered technological capabilities designed to prevent and detect cybersecurity disruptions and leverages industry standard frameworks, including the National Institute of Standards and Technology Cybersecurity Framework. The cybersecurity program incorporates an incident response plan to engage cross-functionally across the Corporation and report cybersecurity incidents to appropriate levels of management, including senior management, and the Audit Committee or Board of Directors, based on potential impact. The Corporation conducts annual cybersecurity awareness training and routinely tests cybersecurity awareness and business preparedness for response and recovery, which are developed based on real-world threats. In addition, the Corporation exchanges threat information with governmental and industry groups and proactively engages independent, third-party cybersecurity experts to test, evaluate and recommend improvements on the effectiveness and resiliency of its cybersecurity program through penetration testing, breach assessments, regular cybersecurity incident drill testing, threat information sharing, and industry benchmarking. The Corporation takes a risk-based approach with respect to its third-party service providers, tailoring processes according to the nature and sensitivity of the data or systems accessed by such third-party service providers and performing additional risk screenings and procedures, as appropriate.</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the date of this report, we have not identified any risks from known cybersecurity threats, including as a result of any prior cybersecurity incidents, that have materially affected, or are reasonably likely to materially affect the Corporation, including our business strategy, results of operations, or financial condition.</w:t>
      </w:r>
    </w:p>
    <w:p>
      <w:pPr>
        <w:spacing w:after="0" w:line="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the Corporation believes its cybersecurity program to be appropriate for managing constantly evolving cybersecurity risks, no program can fully protect against all possible adverse events. For additional information on these risks and potential consequences if the measures we are taking prove to be insufficient or if our proprietary data is otherwise not protected, see “Item 1A. Risk Factors: Operational and Other Factors -- Cybersecurity” in this report.</w:t>
      </w:r>
    </w:p>
    <w:p>
      <w:pPr>
        <w:sectPr>
          <w:pgSz w:w="11880" w:h="15480" w:orient="portrait"/>
          <w:cols w:equalWidth="0" w:num="1">
            <w:col w:w="10600"/>
          </w:cols>
          <w:pgMar w:left="640" w:top="78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600"/>
          </w:cols>
          <w:pgMar w:left="640" w:top="781" w:right="640" w:bottom="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24"/>
          <w:szCs w:val="24"/>
          <w:b w:val="1"/>
          <w:bCs w:val="1"/>
          <w:color w:val="4C4C4C"/>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72084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Information with regard to oil and gas producing activities follows: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1. Disclosure of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A. Summary of Oil and Gas Reserves at Year-End 2023</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table below summarizes the oil-equivalent proved reserves in each geographic area and by product type for consolidated subsidiaries and equity companies. Natural gas is converted to an oil-equivalent basis at six billion cubic feet per one million barrels. The Corporation has reported proved reserves on the basis of the average of the first-day-of-the-month price for each month during the last 12-month period. No major discovery or other favorable or adverse event has occurred since December 31, 2023 that would cause a significant change in the estimated proved reserves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130810</wp:posOffset>
            </wp:positionV>
            <wp:extent cx="6767195" cy="615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6767195" cy="615950"/>
                    </a:xfrm>
                    <a:prstGeom prst="rect">
                      <a:avLst/>
                    </a:prstGeom>
                    <a:noFill/>
                  </pic:spPr>
                </pic:pic>
              </a:graphicData>
            </a:graphic>
          </wp:anchor>
        </w:drawing>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64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Proved Reserves</w:t>
            </w:r>
          </w:p>
        </w:tc>
        <w:tc>
          <w:tcPr>
            <w:tcW w:w="12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rPr>
              <w:t>Crude</w:t>
            </w:r>
          </w:p>
        </w:tc>
        <w:tc>
          <w:tcPr>
            <w:tcW w:w="114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Natural Gas</w:t>
            </w:r>
          </w:p>
        </w:tc>
        <w:tc>
          <w:tcPr>
            <w:tcW w:w="1160" w:type="dxa"/>
            <w:vAlign w:val="bottom"/>
            <w:shd w:val="clear" w:color="auto" w:fill="4C4C4C"/>
          </w:tcPr>
          <w:p>
            <w:pPr>
              <w:spacing w:after="0"/>
              <w:rPr>
                <w:sz w:val="16"/>
                <w:szCs w:val="16"/>
                <w:color w:val="auto"/>
              </w:rPr>
            </w:pPr>
          </w:p>
        </w:tc>
        <w:tc>
          <w:tcPr>
            <w:tcW w:w="11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Synthetic</w:t>
            </w:r>
          </w:p>
        </w:tc>
        <w:tc>
          <w:tcPr>
            <w:tcW w:w="116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Natural</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Oil-Equivalent</w:t>
            </w:r>
          </w:p>
        </w:tc>
        <w:tc>
          <w:tcPr>
            <w:tcW w:w="0" w:type="dxa"/>
            <w:vAlign w:val="bottom"/>
          </w:tcPr>
          <w:p>
            <w:pPr>
              <w:spacing w:after="0"/>
              <w:rPr>
                <w:sz w:val="1"/>
                <w:szCs w:val="1"/>
                <w:color w:val="auto"/>
              </w:rPr>
            </w:pPr>
          </w:p>
        </w:tc>
      </w:tr>
      <w:tr>
        <w:trPr>
          <w:trHeight w:val="94"/>
        </w:trPr>
        <w:tc>
          <w:tcPr>
            <w:tcW w:w="3640" w:type="dxa"/>
            <w:vAlign w:val="bottom"/>
            <w:vMerge w:val="continue"/>
            <w:shd w:val="clear" w:color="auto" w:fill="4C4C4C"/>
          </w:tcPr>
          <w:p>
            <w:pPr>
              <w:spacing w:after="0"/>
              <w:rPr>
                <w:sz w:val="8"/>
                <w:szCs w:val="8"/>
                <w:color w:val="auto"/>
              </w:rPr>
            </w:pPr>
          </w:p>
        </w:tc>
        <w:tc>
          <w:tcPr>
            <w:tcW w:w="1200" w:type="dxa"/>
            <w:vAlign w:val="bottom"/>
            <w:vMerge w:val="continue"/>
            <w:shd w:val="clear" w:color="auto" w:fill="4C4C4C"/>
          </w:tcPr>
          <w:p>
            <w:pPr>
              <w:spacing w:after="0"/>
              <w:rPr>
                <w:sz w:val="8"/>
                <w:szCs w:val="8"/>
                <w:color w:val="auto"/>
              </w:rPr>
            </w:pPr>
          </w:p>
        </w:tc>
        <w:tc>
          <w:tcPr>
            <w:tcW w:w="1140" w:type="dxa"/>
            <w:vAlign w:val="bottom"/>
            <w:vMerge w:val="continue"/>
            <w:shd w:val="clear" w:color="auto" w:fill="4C4C4C"/>
          </w:tcPr>
          <w:p>
            <w:pPr>
              <w:spacing w:after="0"/>
              <w:rPr>
                <w:sz w:val="8"/>
                <w:szCs w:val="8"/>
                <w:color w:val="auto"/>
              </w:rPr>
            </w:pPr>
          </w:p>
        </w:tc>
        <w:tc>
          <w:tcPr>
            <w:tcW w:w="1160" w:type="dxa"/>
            <w:vAlign w:val="bottom"/>
            <w:vMerge w:val="restart"/>
            <w:shd w:val="clear" w:color="auto" w:fill="4C4C4C"/>
          </w:tcPr>
          <w:p>
            <w:pPr>
              <w:jc w:val="right"/>
              <w:ind w:right="252"/>
              <w:spacing w:after="0"/>
              <w:rPr>
                <w:sz w:val="20"/>
                <w:szCs w:val="20"/>
                <w:color w:val="auto"/>
              </w:rPr>
            </w:pPr>
            <w:r>
              <w:rPr>
                <w:rFonts w:ascii="Times New Roman" w:cs="Times New Roman" w:eastAsia="Times New Roman" w:hAnsi="Times New Roman"/>
                <w:sz w:val="16"/>
                <w:szCs w:val="16"/>
                <w:b w:val="1"/>
                <w:bCs w:val="1"/>
                <w:color w:val="FFFFFF"/>
              </w:rPr>
              <w:t>Bitumen</w:t>
            </w:r>
          </w:p>
        </w:tc>
        <w:tc>
          <w:tcPr>
            <w:tcW w:w="1100" w:type="dxa"/>
            <w:vAlign w:val="bottom"/>
            <w:vMerge w:val="continue"/>
            <w:shd w:val="clear" w:color="auto" w:fill="4C4C4C"/>
          </w:tcPr>
          <w:p>
            <w:pPr>
              <w:spacing w:after="0"/>
              <w:rPr>
                <w:sz w:val="8"/>
                <w:szCs w:val="8"/>
                <w:color w:val="auto"/>
              </w:rPr>
            </w:pPr>
          </w:p>
        </w:tc>
        <w:tc>
          <w:tcPr>
            <w:tcW w:w="1160" w:type="dxa"/>
            <w:vAlign w:val="bottom"/>
            <w:vMerge w:val="continue"/>
            <w:shd w:val="clear" w:color="auto" w:fill="4C4C4C"/>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w:t>
            </w:r>
          </w:p>
        </w:tc>
        <w:tc>
          <w:tcPr>
            <w:tcW w:w="0" w:type="dxa"/>
            <w:vAlign w:val="bottom"/>
          </w:tcPr>
          <w:p>
            <w:pPr>
              <w:spacing w:after="0"/>
              <w:rPr>
                <w:sz w:val="1"/>
                <w:szCs w:val="1"/>
                <w:color w:val="auto"/>
              </w:rPr>
            </w:pPr>
          </w:p>
        </w:tc>
      </w:tr>
      <w:tr>
        <w:trPr>
          <w:trHeight w:val="94"/>
        </w:trPr>
        <w:tc>
          <w:tcPr>
            <w:tcW w:w="3640" w:type="dxa"/>
            <w:vAlign w:val="bottom"/>
            <w:vMerge w:val="continue"/>
            <w:shd w:val="clear" w:color="auto" w:fill="4C4C4C"/>
          </w:tcPr>
          <w:p>
            <w:pPr>
              <w:spacing w:after="0"/>
              <w:rPr>
                <w:sz w:val="8"/>
                <w:szCs w:val="8"/>
                <w:color w:val="auto"/>
              </w:rPr>
            </w:pPr>
          </w:p>
        </w:tc>
        <w:tc>
          <w:tcPr>
            <w:tcW w:w="12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Oil</w:t>
            </w:r>
          </w:p>
        </w:tc>
        <w:tc>
          <w:tcPr>
            <w:tcW w:w="114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Liquids</w:t>
            </w:r>
          </w:p>
        </w:tc>
        <w:tc>
          <w:tcPr>
            <w:tcW w:w="1160" w:type="dxa"/>
            <w:vAlign w:val="bottom"/>
            <w:vMerge w:val="continue"/>
            <w:shd w:val="clear" w:color="auto" w:fill="4C4C4C"/>
          </w:tcPr>
          <w:p>
            <w:pPr>
              <w:spacing w:after="0"/>
              <w:rPr>
                <w:sz w:val="8"/>
                <w:szCs w:val="8"/>
                <w:color w:val="auto"/>
              </w:rPr>
            </w:pPr>
          </w:p>
        </w:tc>
        <w:tc>
          <w:tcPr>
            <w:tcW w:w="11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rPr>
              <w:t>Oil</w:t>
            </w:r>
          </w:p>
        </w:tc>
        <w:tc>
          <w:tcPr>
            <w:tcW w:w="116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Gas</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640" w:type="dxa"/>
            <w:vAlign w:val="bottom"/>
            <w:shd w:val="clear" w:color="auto" w:fill="4C4C4C"/>
          </w:tcPr>
          <w:p>
            <w:pPr>
              <w:spacing w:after="0"/>
              <w:rPr>
                <w:sz w:val="9"/>
                <w:szCs w:val="9"/>
                <w:color w:val="auto"/>
              </w:rPr>
            </w:pPr>
          </w:p>
        </w:tc>
        <w:tc>
          <w:tcPr>
            <w:tcW w:w="1200" w:type="dxa"/>
            <w:vAlign w:val="bottom"/>
            <w:vMerge w:val="continue"/>
            <w:shd w:val="clear" w:color="auto" w:fill="4C4C4C"/>
          </w:tcPr>
          <w:p>
            <w:pPr>
              <w:spacing w:after="0"/>
              <w:rPr>
                <w:sz w:val="9"/>
                <w:szCs w:val="9"/>
                <w:color w:val="auto"/>
              </w:rPr>
            </w:pPr>
          </w:p>
        </w:tc>
        <w:tc>
          <w:tcPr>
            <w:tcW w:w="1140" w:type="dxa"/>
            <w:vAlign w:val="bottom"/>
            <w:vMerge w:val="continue"/>
            <w:shd w:val="clear" w:color="auto" w:fill="4C4C4C"/>
          </w:tcPr>
          <w:p>
            <w:pPr>
              <w:spacing w:after="0"/>
              <w:rPr>
                <w:sz w:val="9"/>
                <w:szCs w:val="9"/>
                <w:color w:val="auto"/>
              </w:rPr>
            </w:pPr>
          </w:p>
        </w:tc>
        <w:tc>
          <w:tcPr>
            <w:tcW w:w="1160" w:type="dxa"/>
            <w:vAlign w:val="bottom"/>
            <w:shd w:val="clear" w:color="auto" w:fill="4C4C4C"/>
          </w:tcPr>
          <w:p>
            <w:pPr>
              <w:spacing w:after="0"/>
              <w:rPr>
                <w:sz w:val="9"/>
                <w:szCs w:val="9"/>
                <w:color w:val="auto"/>
              </w:rPr>
            </w:pPr>
          </w:p>
        </w:tc>
        <w:tc>
          <w:tcPr>
            <w:tcW w:w="1100" w:type="dxa"/>
            <w:vAlign w:val="bottom"/>
            <w:vMerge w:val="continue"/>
            <w:shd w:val="clear" w:color="auto" w:fill="4C4C4C"/>
          </w:tcPr>
          <w:p>
            <w:pPr>
              <w:spacing w:after="0"/>
              <w:rPr>
                <w:sz w:val="9"/>
                <w:szCs w:val="9"/>
                <w:color w:val="auto"/>
              </w:rPr>
            </w:pPr>
          </w:p>
        </w:tc>
        <w:tc>
          <w:tcPr>
            <w:tcW w:w="1160" w:type="dxa"/>
            <w:vAlign w:val="bottom"/>
            <w:vMerge w:val="continue"/>
            <w:shd w:val="clear" w:color="auto" w:fill="4C4C4C"/>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All Products</w:t>
            </w:r>
          </w:p>
        </w:tc>
        <w:tc>
          <w:tcPr>
            <w:tcW w:w="0" w:type="dxa"/>
            <w:vAlign w:val="bottom"/>
          </w:tcPr>
          <w:p>
            <w:pPr>
              <w:spacing w:after="0"/>
              <w:rPr>
                <w:sz w:val="1"/>
                <w:szCs w:val="1"/>
                <w:color w:val="auto"/>
              </w:rPr>
            </w:pPr>
          </w:p>
        </w:tc>
      </w:tr>
      <w:tr>
        <w:trPr>
          <w:trHeight w:val="112"/>
        </w:trPr>
        <w:tc>
          <w:tcPr>
            <w:tcW w:w="3640" w:type="dxa"/>
            <w:vAlign w:val="bottom"/>
            <w:shd w:val="clear" w:color="auto" w:fill="4C4C4C"/>
          </w:tcPr>
          <w:p>
            <w:pPr>
              <w:spacing w:after="0"/>
              <w:rPr>
                <w:sz w:val="9"/>
                <w:szCs w:val="9"/>
                <w:color w:val="auto"/>
              </w:rPr>
            </w:pPr>
          </w:p>
        </w:tc>
        <w:tc>
          <w:tcPr>
            <w:tcW w:w="1200" w:type="dxa"/>
            <w:vAlign w:val="bottom"/>
            <w:shd w:val="clear" w:color="auto" w:fill="4C4C4C"/>
          </w:tcPr>
          <w:p>
            <w:pPr>
              <w:spacing w:after="0"/>
              <w:rPr>
                <w:sz w:val="9"/>
                <w:szCs w:val="9"/>
                <w:color w:val="auto"/>
              </w:rPr>
            </w:pPr>
          </w:p>
        </w:tc>
        <w:tc>
          <w:tcPr>
            <w:tcW w:w="1140" w:type="dxa"/>
            <w:vAlign w:val="bottom"/>
            <w:shd w:val="clear" w:color="auto" w:fill="4C4C4C"/>
          </w:tcPr>
          <w:p>
            <w:pPr>
              <w:spacing w:after="0"/>
              <w:rPr>
                <w:sz w:val="9"/>
                <w:szCs w:val="9"/>
                <w:color w:val="auto"/>
              </w:rPr>
            </w:pPr>
          </w:p>
        </w:tc>
        <w:tc>
          <w:tcPr>
            <w:tcW w:w="1160" w:type="dxa"/>
            <w:vAlign w:val="bottom"/>
            <w:shd w:val="clear" w:color="auto" w:fill="4C4C4C"/>
          </w:tcPr>
          <w:p>
            <w:pPr>
              <w:spacing w:after="0"/>
              <w:rPr>
                <w:sz w:val="9"/>
                <w:szCs w:val="9"/>
                <w:color w:val="auto"/>
              </w:rPr>
            </w:pPr>
          </w:p>
        </w:tc>
        <w:tc>
          <w:tcPr>
            <w:tcW w:w="1100" w:type="dxa"/>
            <w:vAlign w:val="bottom"/>
            <w:shd w:val="clear" w:color="auto" w:fill="4C4C4C"/>
          </w:tcPr>
          <w:p>
            <w:pPr>
              <w:spacing w:after="0"/>
              <w:rPr>
                <w:sz w:val="9"/>
                <w:szCs w:val="9"/>
                <w:color w:val="auto"/>
              </w:rPr>
            </w:pPr>
          </w:p>
        </w:tc>
        <w:tc>
          <w:tcPr>
            <w:tcW w:w="1160" w:type="dxa"/>
            <w:vAlign w:val="bottom"/>
            <w:shd w:val="clear" w:color="auto" w:fill="4C4C4C"/>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120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i w:val="1"/>
                <w:iCs w:val="1"/>
                <w:color w:val="FFFFFF"/>
                <w:w w:val="96"/>
              </w:rPr>
              <w:t>(million bbls)</w:t>
            </w:r>
          </w:p>
        </w:tc>
        <w:tc>
          <w:tcPr>
            <w:tcW w:w="114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i w:val="1"/>
                <w:iCs w:val="1"/>
                <w:color w:val="FFFFFF"/>
                <w:w w:val="96"/>
              </w:rPr>
              <w:t>(million bbls)</w:t>
            </w:r>
          </w:p>
        </w:tc>
        <w:tc>
          <w:tcPr>
            <w:tcW w:w="1160" w:type="dxa"/>
            <w:vAlign w:val="bottom"/>
            <w:tcBorders>
              <w:bottom w:val="single" w:sz="8" w:color="4C4C4C"/>
            </w:tcBorders>
            <w:shd w:val="clear" w:color="auto" w:fill="4C4C4C"/>
          </w:tcPr>
          <w:p>
            <w:pPr>
              <w:jc w:val="right"/>
              <w:ind w:right="112"/>
              <w:spacing w:after="0"/>
              <w:rPr>
                <w:sz w:val="20"/>
                <w:szCs w:val="20"/>
                <w:color w:val="auto"/>
              </w:rPr>
            </w:pPr>
            <w:r>
              <w:rPr>
                <w:rFonts w:ascii="Times New Roman" w:cs="Times New Roman" w:eastAsia="Times New Roman" w:hAnsi="Times New Roman"/>
                <w:sz w:val="16"/>
                <w:szCs w:val="16"/>
                <w:i w:val="1"/>
                <w:iCs w:val="1"/>
                <w:color w:val="FFFFFF"/>
              </w:rPr>
              <w:t>(million bbls)</w:t>
            </w:r>
          </w:p>
        </w:tc>
        <w:tc>
          <w:tcPr>
            <w:tcW w:w="110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i w:val="1"/>
                <w:iCs w:val="1"/>
                <w:color w:val="FFFFFF"/>
                <w:w w:val="99"/>
              </w:rPr>
              <w:t>(million bbls)</w:t>
            </w:r>
          </w:p>
        </w:tc>
        <w:tc>
          <w:tcPr>
            <w:tcW w:w="116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i w:val="1"/>
                <w:iCs w:val="1"/>
                <w:color w:val="FFFFFF"/>
                <w:w w:val="98"/>
              </w:rPr>
              <w:t>(billion cubic ft)</w:t>
            </w:r>
          </w:p>
        </w:tc>
        <w:tc>
          <w:tcPr>
            <w:tcW w:w="114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i w:val="1"/>
                <w:iCs w:val="1"/>
                <w:color w:val="FFFFFF"/>
                <w:w w:val="96"/>
              </w:rPr>
              <w:t>(million bbls)</w:t>
            </w:r>
          </w:p>
        </w:tc>
        <w:tc>
          <w:tcPr>
            <w:tcW w:w="0" w:type="dxa"/>
            <w:vAlign w:val="bottom"/>
          </w:tcPr>
          <w:p>
            <w:pPr>
              <w:spacing w:after="0"/>
              <w:rPr>
                <w:sz w:val="1"/>
                <w:szCs w:val="1"/>
                <w:color w:val="auto"/>
              </w:rPr>
            </w:pPr>
          </w:p>
        </w:tc>
      </w:tr>
      <w:tr>
        <w:trPr>
          <w:trHeight w:val="289"/>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Developed</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1,208</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69"/>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20"/>
                <w:szCs w:val="20"/>
                <w:i w:val="1"/>
                <w:iCs w:val="1"/>
                <w:color w:val="auto"/>
                <w:vertAlign w:val="superscript"/>
              </w:rPr>
              <w:t>(1)</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433</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31"/>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1,948</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Australia/Oceania</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2"/>
        </w:trPr>
        <w:tc>
          <w:tcPr>
            <w:tcW w:w="36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Consolidated</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3,832</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598</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2,307</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417"/>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Asia</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329</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2"/>
        </w:trPr>
        <w:tc>
          <w:tcPr>
            <w:tcW w:w="36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Equity Company</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34"/>
        </w:trPr>
        <w:tc>
          <w:tcPr>
            <w:tcW w:w="36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Developed</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4,176</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711</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2,307</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19,442</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10,676</w:t>
            </w:r>
          </w:p>
        </w:tc>
        <w:tc>
          <w:tcPr>
            <w:tcW w:w="0" w:type="dxa"/>
            <w:vAlign w:val="bottom"/>
          </w:tcPr>
          <w:p>
            <w:pPr>
              <w:spacing w:after="0"/>
              <w:rPr>
                <w:sz w:val="1"/>
                <w:szCs w:val="1"/>
                <w:color w:val="auto"/>
              </w:rPr>
            </w:pPr>
          </w:p>
        </w:tc>
      </w:tr>
      <w:tr>
        <w:trPr>
          <w:trHeight w:val="413"/>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Undeveloped</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894</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604</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69"/>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20"/>
                <w:szCs w:val="20"/>
                <w:i w:val="1"/>
                <w:iCs w:val="1"/>
                <w:color w:val="auto"/>
                <w:vertAlign w:val="superscript"/>
              </w:rPr>
              <w:t>(1)</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561</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31"/>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719</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Australia/Oceania</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2"/>
        </w:trPr>
        <w:tc>
          <w:tcPr>
            <w:tcW w:w="36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Consolidated</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2,220</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638</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417"/>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Asia</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451</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32"/>
        </w:trPr>
        <w:tc>
          <w:tcPr>
            <w:tcW w:w="36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Equity Company</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451</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4"/>
        </w:trPr>
        <w:tc>
          <w:tcPr>
            <w:tcW w:w="36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Undeveloped</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2,671</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858</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15,022</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6,252</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4C4C4C"/>
            </w:tcBorders>
          </w:tcPr>
          <w:p>
            <w:pPr>
              <w:spacing w:after="0"/>
              <w:rPr>
                <w:sz w:val="14"/>
                <w:szCs w:val="14"/>
                <w:color w:val="auto"/>
              </w:rPr>
            </w:pPr>
          </w:p>
        </w:tc>
        <w:tc>
          <w:tcPr>
            <w:tcW w:w="1200" w:type="dxa"/>
            <w:vAlign w:val="bottom"/>
            <w:tcBorders>
              <w:bottom w:val="single" w:sz="8" w:color="4C4C4C"/>
            </w:tcBorders>
          </w:tcPr>
          <w:p>
            <w:pPr>
              <w:spacing w:after="0"/>
              <w:rPr>
                <w:sz w:val="14"/>
                <w:szCs w:val="14"/>
                <w:color w:val="auto"/>
              </w:rPr>
            </w:pPr>
          </w:p>
        </w:tc>
        <w:tc>
          <w:tcPr>
            <w:tcW w:w="1140" w:type="dxa"/>
            <w:vAlign w:val="bottom"/>
            <w:tcBorders>
              <w:bottom w:val="single" w:sz="8" w:color="4C4C4C"/>
            </w:tcBorders>
          </w:tcPr>
          <w:p>
            <w:pPr>
              <w:spacing w:after="0"/>
              <w:rPr>
                <w:sz w:val="14"/>
                <w:szCs w:val="14"/>
                <w:color w:val="auto"/>
              </w:rPr>
            </w:pPr>
          </w:p>
        </w:tc>
        <w:tc>
          <w:tcPr>
            <w:tcW w:w="1160" w:type="dxa"/>
            <w:vAlign w:val="bottom"/>
            <w:tcBorders>
              <w:bottom w:val="single" w:sz="8" w:color="4C4C4C"/>
            </w:tcBorders>
          </w:tcPr>
          <w:p>
            <w:pPr>
              <w:spacing w:after="0"/>
              <w:rPr>
                <w:sz w:val="14"/>
                <w:szCs w:val="14"/>
                <w:color w:val="auto"/>
              </w:rPr>
            </w:pPr>
          </w:p>
        </w:tc>
        <w:tc>
          <w:tcPr>
            <w:tcW w:w="1100" w:type="dxa"/>
            <w:vAlign w:val="bottom"/>
            <w:tcBorders>
              <w:bottom w:val="single" w:sz="8" w:color="4C4C4C"/>
            </w:tcBorders>
          </w:tcPr>
          <w:p>
            <w:pPr>
              <w:spacing w:after="0"/>
              <w:rPr>
                <w:sz w:val="14"/>
                <w:szCs w:val="14"/>
                <w:color w:val="auto"/>
              </w:rPr>
            </w:pPr>
          </w:p>
        </w:tc>
        <w:tc>
          <w:tcPr>
            <w:tcW w:w="1160" w:type="dxa"/>
            <w:vAlign w:val="bottom"/>
            <w:tcBorders>
              <w:bottom w:val="single" w:sz="8" w:color="4C4C4C"/>
            </w:tcBorders>
          </w:tcPr>
          <w:p>
            <w:pPr>
              <w:spacing w:after="0"/>
              <w:rPr>
                <w:sz w:val="14"/>
                <w:szCs w:val="14"/>
                <w:color w:val="auto"/>
              </w:rPr>
            </w:pPr>
          </w:p>
        </w:tc>
        <w:tc>
          <w:tcPr>
            <w:tcW w:w="1140" w:type="dxa"/>
            <w:vAlign w:val="bottom"/>
            <w:tcBorders>
              <w:bottom w:val="single" w:sz="8" w:color="4C4C4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Proved Reserves</w:t>
            </w:r>
          </w:p>
        </w:tc>
        <w:tc>
          <w:tcPr>
            <w:tcW w:w="12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6,847</w:t>
            </w:r>
          </w:p>
        </w:tc>
        <w:tc>
          <w:tcPr>
            <w:tcW w:w="11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1,569</w:t>
            </w:r>
          </w:p>
        </w:tc>
        <w:tc>
          <w:tcPr>
            <w:tcW w:w="11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2,414</w:t>
            </w:r>
          </w:p>
        </w:tc>
        <w:tc>
          <w:tcPr>
            <w:tcW w:w="11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34,464</w:t>
            </w:r>
          </w:p>
        </w:tc>
        <w:tc>
          <w:tcPr>
            <w:tcW w:w="11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0" w:right="360" w:firstLine="1"/>
        <w:spacing w:after="0" w:line="281" w:lineRule="auto"/>
        <w:tabs>
          <w:tab w:leader="none" w:pos="224" w:val="left"/>
        </w:tabs>
        <w:numPr>
          <w:ilvl w:val="0"/>
          <w:numId w:val="6"/>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Other Americas includes proved developed reserves of 324 million barrels of crude oil and 178 billion cubic feet of natural gas, as well as proved undeveloped reserves of 549 million barrels of crude oil and 179 billion cubic feet of natural gas.</w:t>
      </w:r>
    </w:p>
    <w:p>
      <w:pPr>
        <w:sectPr>
          <w:pgSz w:w="11880" w:h="15480" w:orient="portrait"/>
          <w:cols w:equalWidth="0" w:num="1">
            <w:col w:w="10600"/>
          </w:cols>
          <w:pgMar w:left="640" w:top="76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600"/>
          </w:cols>
          <w:pgMar w:left="640" w:top="763" w:right="640" w:bottom="0" w:gutter="0" w:footer="0" w:header="0"/>
          <w:type w:val="continuous"/>
        </w:sectPr>
      </w:pPr>
    </w:p>
    <w:bookmarkStart w:id="19" w:name="page20"/>
    <w:bookmarkEnd w:id="19"/>
    <w:p>
      <w:pPr>
        <w:jc w:val="both"/>
        <w:spacing w:after="0" w:line="300" w:lineRule="auto"/>
        <w:rPr>
          <w:sz w:val="20"/>
          <w:szCs w:val="20"/>
          <w:color w:val="auto"/>
        </w:rPr>
      </w:pPr>
      <w:r>
        <w:rPr>
          <w:rFonts w:ascii="Times New Roman" w:cs="Times New Roman" w:eastAsia="Times New Roman" w:hAnsi="Times New Roman"/>
          <w:sz w:val="19"/>
          <w:szCs w:val="19"/>
          <w:color w:val="auto"/>
        </w:rPr>
        <w:t>In the preceding reserves information, consolidated subsidiary and equity company reserves are reported separately. However, the Corporation operates its business with the same view of equity company reserves as it has for reserves from consolidated subsidiaries.</w:t>
      </w:r>
    </w:p>
    <w:p>
      <w:pPr>
        <w:spacing w:after="0" w:line="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regulatory changes; the impact of fiscal and commercial terms; asset sales; weather events; price effects on production sharing contracts; changes in the amount and timing of capital investments that may vary depending on the oil and gas price environment; international trade patterns and relations; and other factors described in "Item 1A. Risk Factors".</w:t>
      </w:r>
    </w:p>
    <w:p>
      <w:pPr>
        <w:spacing w:after="0" w:line="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estimation of proved reserves, which is based on the requirement of reasonable certainty, is an ongoing process based on rigorous technical evaluations, commercial and market assessments and detailed analysis of well and reservoir information such as flow rates and reservoir pressures. Furthermore, the Corporation only records proved reserves for projects which have received significant funding commitments by management toward the development of the reserves. Although the Corporation is reasonably certain that proved reserves will be produced, the timing and amount recovered can be affected by a number of factors including completion of development projects, reservoir performance, regulatory approvals, government policies, consumer preferences, and significant changes in crude oil and natural gas price levels. In addition, proved reserves could be affected by an extended period of low prices which could reduce the level of the Corporation’s capital spending and also impact our partners’ capacity to fund their share of joint projects.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B. Technologies Used in Establishing Proved Reserves Additions in 2023</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Additions to ExxonMobil’s proved reserves in 2023 were based on estimates generated through the integration of available and appropriate geological, engineering and production data, utilizing well-established technologies that have been demonstrated in the field to yield repeatable and consistent results.</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Data used in these integrated assessments included information obtained directly from the subsurface via wellbores, such as well logs, reservoir core samples, fluid samples, static and dynamic pressure information, production test data, and surveillance and performance information. The data utilized also included subsurface information obtained through indirect measurements including high-quality 3</w:t>
      </w:r>
      <w:r>
        <w:rPr>
          <w:rFonts w:ascii="Arial" w:cs="Arial" w:eastAsia="Arial" w:hAnsi="Arial"/>
          <w:sz w:val="20"/>
          <w:szCs w:val="20"/>
          <w:color w:val="auto"/>
        </w:rPr>
        <w:t>-</w:t>
      </w:r>
      <w:r>
        <w:rPr>
          <w:rFonts w:ascii="Times New Roman" w:cs="Times New Roman" w:eastAsia="Times New Roman" w:hAnsi="Times New Roman"/>
          <w:sz w:val="20"/>
          <w:szCs w:val="20"/>
          <w:color w:val="auto"/>
        </w:rPr>
        <w:t>D and 4</w:t>
      </w:r>
      <w:r>
        <w:rPr>
          <w:rFonts w:ascii="Arial" w:cs="Arial" w:eastAsia="Arial" w:hAnsi="Arial"/>
          <w:sz w:val="20"/>
          <w:szCs w:val="20"/>
          <w:color w:val="auto"/>
        </w:rPr>
        <w:t>-</w:t>
      </w:r>
      <w:r>
        <w:rPr>
          <w:rFonts w:ascii="Times New Roman" w:cs="Times New Roman" w:eastAsia="Times New Roman" w:hAnsi="Times New Roman"/>
          <w:sz w:val="20"/>
          <w:szCs w:val="20"/>
          <w:color w:val="auto"/>
        </w:rPr>
        <w:t>D seismic data, calibrated with available well control information. The tools used to interpret the data included seismic processing software, reservoir modeling and simulation software, and data analysis packages.</w:t>
      </w:r>
    </w:p>
    <w:p>
      <w:pPr>
        <w:spacing w:after="0" w:line="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 some circumstances, where appropriate analog reservoirs were available, reservoir parameters from these analogs were used to increase the quality of and confidence in the reserves estimates.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 Qualifications of Reserves Technical Oversight Group and Internal Controls over Proved Reserves</w:t>
      </w:r>
    </w:p>
    <w:p>
      <w:pPr>
        <w:spacing w:after="0" w:line="1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ExxonMobil has a dedicated Global Reserves and Resources group that provides technical oversight and is separate from the operating organization. Primary responsibilities of this group include oversight of the reserves estimation process for compliance with Securities and Exchange Commission (SEC) rules and regulations, review of annual changes in reserves estimates, and the reporting of ExxonMobil’s proved reserves. This group also maintains the official company reserves estimates for ExxonMobil’s proved reserves of crude oil, natural gas liquids, bitumen, synthetic oil, and natural gas. In addition, the group provides training to personnel involved in the reserves estimation and reporting process within ExxonMobil and its affiliates. The current Global Reserves and Resources Manager has more than 30 years of experience in reservoir engineering and reserves assessment, has a degree in Engineering, and served on the Oil and Gas Reserves Committee of the Society of Petroleum Engineers. The group is staffed with individuals that have an average of more than 15 years of technical experience in the petroleum industry, including expertise in the classification and categorization of reserves under SEC guidelines. This group includes individuals who hold degrees in either Engineering or Geology.</w:t>
      </w:r>
    </w:p>
    <w:p>
      <w:pPr>
        <w:spacing w:after="0" w:line="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Global Reserves and Resources group maintains a central database containing the official company reserves estimates. Appropriate controls, including limitations on database access and update capabilities, are in place to ensure data integrity within this central database. An annual review of the system’s controls is performed by internal audit. Key components of the reserves estimation process include technical evaluations, commercial and market assessments, analysis of well and field performance, and long-standing approval guidelines. No changes may be made to the reserves estimates in the central database, including additions of any new initial reserves estimates or subsequent revisions, unless these changes have been thoroughly reviewed and evaluated by duly authorized geoscience and engineering professionals within the operating organization. In addition, changes to reserves estimates that exceed certain thresholds require further review and approval by the appropriate level of management within the operating organization before the changes may be made in the central database. Endorsement by the Global Reserves and Resources group for all proved reserves changes is a mandatory component of this review process. After all changes are made, reviews are held with senior management for final endorsement.</w:t>
      </w:r>
    </w:p>
    <w:p>
      <w:pPr>
        <w:sectPr>
          <w:pgSz w:w="11880" w:h="15480" w:orient="portrait"/>
          <w:cols w:equalWidth="0" w:num="1">
            <w:col w:w="10600"/>
          </w:cols>
          <w:pgMar w:left="640" w:top="73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600"/>
          </w:cols>
          <w:pgMar w:left="640" w:top="731" w:right="6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4"/>
          <w:szCs w:val="24"/>
          <w:b w:val="1"/>
          <w:bCs w:val="1"/>
          <w:color w:val="4C4C4C"/>
        </w:rPr>
        <w:t>2. Proved Undeveloped Reserves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year-end 2023, approximately 6.3 billion oil-equivalent barrels (GOEB) of ExxonMobil’s proved reserves were classified as proved undeveloped. This represents 37 percent of the 16.9 GOEB reported in proved reserves. This compares to 6.6 GOEB of proved undeveloped reserves reported at the end of 2022. During the year, ExxonMobil conducted development activities that resulted in the transfer of approximately 0.8 GOEB from proved undeveloped to proved developed reserves by year-end. The largest transfers were related to development activities in the United States, Guyana, Australia, and the United Arab Emirates. In 2023, extensions and discoveries, primarily in the United States and Guyana, resulted in the addition of approximately 1.1 GOEB of proved undeveloped reserves. Also, the Corporation reclassified approximately 0.6 GOEB of proved undeveloped reserves which no longer met the SEC definition of proved reserves, primarily in the United States.</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investments of $14.6 billion were made by the Corporation during 2023 to progress the development of reported proved undeveloped reserves, including $14.3 billion for oil and gas producing activities, along with additional investments for other non-oil and gas producing activities such as the construction of support infrastructure and other related facilities. These investments represented 74 percent of the $19.8 billion in total reported Upstream capital and exploration expenditures.</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One of ExxonMobil’s requirements for reporting proved reserves is that management has made significant funding commitments toward the development of the reserves. ExxonMobil has a disciplined investment strategy and many major fields require long lead-time in order to be developed. Development projects typically take several years from the time of recording proved undeveloped reserves to the start of production and can exceed five years for large and complex projects. Proved undeveloped reserves in Australia, Kazakhstan, the United Arab Emirates, and the United States have remained undeveloped for five years or more primarily due to constraints on the capacity of infrastructure, as well as the time required to complete development for very large projects. The Corporation is reasonably certain that these proved reserves will be produced; however, the timing and amount recovered can be affected by a number of factors including completion of development projects, reservoir performance, regulatory approvals, government policies, consumer preferences, the pace of co-venturer/government funding, changes in the amount and timing of capital investments, and significant changes in crude oil and natural gas price levels. Of the proved undeveloped reserves that have been reported for five or more years, over 80 percent are contained in the aforementioned countries. In Australia, proved undeveloped reserves are associated with future compression for the Gorgon Jansz LNG project. In Kazakhstan, the proved undeveloped reserves are related to the remainder of the Tengizchevroil joint venture development that includes a production license in the Tengiz - Korolev field complex. The Tengizchevroil joint venture is producing, and proved undeveloped reserves will continue to move to proved developed as approved development phases progress. In the United Arab Emirates, proved undeveloped reserves are associated with an approved development plan and continued drilling investment for the producing Upper Zakum field.</w:t>
      </w:r>
    </w:p>
    <w:p>
      <w:pPr>
        <w:sectPr>
          <w:pgSz w:w="11880" w:h="15480" w:orient="portrait"/>
          <w:cols w:equalWidth="0" w:num="1">
            <w:col w:w="10600"/>
          </w:cols>
          <w:pgMar w:left="640" w:top="71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600"/>
          </w:cols>
          <w:pgMar w:left="640" w:top="711" w:right="64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4"/>
          <w:szCs w:val="24"/>
          <w:b w:val="1"/>
          <w:bCs w:val="1"/>
          <w:color w:val="4C4C4C"/>
        </w:rPr>
        <w:t>3. Oil and Gas Production, Production Prices and Production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A. Oil and Gas Production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production by final product sold and by geographic area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746240" cy="4599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6746240" cy="459930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i w:val="1"/>
                <w:iCs w:val="1"/>
                <w:color w:val="FFFFFF"/>
              </w:rPr>
              <w:t>(thousands of barrels daily)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53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5300" w:type="dxa"/>
            <w:vAlign w:val="bottom"/>
            <w:vMerge w:val="continue"/>
          </w:tcPr>
          <w:p>
            <w:pPr>
              <w:spacing w:after="0"/>
              <w:rPr>
                <w:sz w:val="8"/>
                <w:szCs w:val="8"/>
                <w:color w:val="auto"/>
              </w:rPr>
            </w:pPr>
          </w:p>
        </w:tc>
        <w:tc>
          <w:tcPr>
            <w:tcW w:w="120" w:type="dxa"/>
            <w:vAlign w:val="bottom"/>
            <w:shd w:val="clear" w:color="auto" w:fill="4C4C4C"/>
          </w:tcPr>
          <w:p>
            <w:pPr>
              <w:spacing w:after="0"/>
              <w:rPr>
                <w:sz w:val="8"/>
                <w:szCs w:val="8"/>
                <w:color w:val="auto"/>
              </w:rPr>
            </w:pPr>
          </w:p>
        </w:tc>
        <w:tc>
          <w:tcPr>
            <w:tcW w:w="1040" w:type="dxa"/>
            <w:vAlign w:val="bottom"/>
            <w:vMerge w:val="restart"/>
            <w:shd w:val="clear" w:color="auto" w:fill="4C4C4C"/>
          </w:tcPr>
          <w:p>
            <w:pPr>
              <w:jc w:val="right"/>
              <w:ind w:right="212"/>
              <w:spacing w:after="0"/>
              <w:rPr>
                <w:sz w:val="20"/>
                <w:szCs w:val="20"/>
                <w:color w:val="auto"/>
              </w:rPr>
            </w:pPr>
            <w:r>
              <w:rPr>
                <w:rFonts w:ascii="Times New Roman" w:cs="Times New Roman" w:eastAsia="Times New Roman" w:hAnsi="Times New Roman"/>
                <w:sz w:val="16"/>
                <w:szCs w:val="16"/>
                <w:color w:val="FFFFFF"/>
              </w:rPr>
              <w:t>Crude Oil</w:t>
            </w:r>
          </w:p>
        </w:tc>
        <w:tc>
          <w:tcPr>
            <w:tcW w:w="600" w:type="dxa"/>
            <w:vAlign w:val="bottom"/>
            <w:vMerge w:val="restart"/>
            <w:shd w:val="clear" w:color="auto" w:fill="4C4C4C"/>
          </w:tcPr>
          <w:p>
            <w:pPr>
              <w:jc w:val="right"/>
              <w:ind w:right="133"/>
              <w:spacing w:after="0"/>
              <w:rPr>
                <w:sz w:val="20"/>
                <w:szCs w:val="20"/>
                <w:color w:val="auto"/>
              </w:rPr>
            </w:pPr>
            <w:r>
              <w:rPr>
                <w:rFonts w:ascii="Times New Roman" w:cs="Times New Roman" w:eastAsia="Times New Roman" w:hAnsi="Times New Roman"/>
                <w:sz w:val="16"/>
                <w:szCs w:val="16"/>
                <w:color w:val="FFFFFF"/>
              </w:rPr>
              <w:t>NGL</w:t>
            </w:r>
          </w:p>
        </w:tc>
        <w:tc>
          <w:tcPr>
            <w:tcW w:w="1160" w:type="dxa"/>
            <w:vAlign w:val="bottom"/>
            <w:vMerge w:val="restart"/>
            <w:shd w:val="clear" w:color="auto" w:fill="4C4C4C"/>
          </w:tcPr>
          <w:p>
            <w:pPr>
              <w:jc w:val="right"/>
              <w:ind w:right="212"/>
              <w:spacing w:after="0"/>
              <w:rPr>
                <w:sz w:val="20"/>
                <w:szCs w:val="20"/>
                <w:color w:val="auto"/>
              </w:rPr>
            </w:pPr>
            <w:r>
              <w:rPr>
                <w:rFonts w:ascii="Times New Roman" w:cs="Times New Roman" w:eastAsia="Times New Roman" w:hAnsi="Times New Roman"/>
                <w:sz w:val="16"/>
                <w:szCs w:val="16"/>
                <w:color w:val="FFFFFF"/>
              </w:rPr>
              <w:t>Crude Oil</w:t>
            </w:r>
          </w:p>
        </w:tc>
        <w:tc>
          <w:tcPr>
            <w:tcW w:w="700" w:type="dxa"/>
            <w:vAlign w:val="bottom"/>
            <w:vMerge w:val="restart"/>
            <w:shd w:val="clear" w:color="auto" w:fill="4C4C4C"/>
          </w:tcPr>
          <w:p>
            <w:pPr>
              <w:jc w:val="right"/>
              <w:ind w:right="233"/>
              <w:spacing w:after="0"/>
              <w:rPr>
                <w:sz w:val="20"/>
                <w:szCs w:val="20"/>
                <w:color w:val="auto"/>
              </w:rPr>
            </w:pPr>
            <w:r>
              <w:rPr>
                <w:rFonts w:ascii="Times New Roman" w:cs="Times New Roman" w:eastAsia="Times New Roman" w:hAnsi="Times New Roman"/>
                <w:sz w:val="16"/>
                <w:szCs w:val="16"/>
                <w:color w:val="FFFFFF"/>
              </w:rPr>
              <w:t>NGL</w:t>
            </w:r>
          </w:p>
        </w:tc>
        <w:tc>
          <w:tcPr>
            <w:tcW w:w="1060" w:type="dxa"/>
            <w:vAlign w:val="bottom"/>
            <w:vMerge w:val="restart"/>
            <w:shd w:val="clear" w:color="auto" w:fill="4C4C4C"/>
          </w:tcPr>
          <w:p>
            <w:pPr>
              <w:jc w:val="right"/>
              <w:ind w:right="192"/>
              <w:spacing w:after="0"/>
              <w:rPr>
                <w:sz w:val="20"/>
                <w:szCs w:val="20"/>
                <w:color w:val="auto"/>
              </w:rPr>
            </w:pPr>
            <w:r>
              <w:rPr>
                <w:rFonts w:ascii="Times New Roman" w:cs="Times New Roman" w:eastAsia="Times New Roman" w:hAnsi="Times New Roman"/>
                <w:sz w:val="16"/>
                <w:szCs w:val="16"/>
                <w:color w:val="FFFFFF"/>
              </w:rPr>
              <w:t>Crude Oil</w:t>
            </w:r>
          </w:p>
        </w:tc>
        <w:tc>
          <w:tcPr>
            <w:tcW w:w="620" w:type="dxa"/>
            <w:vAlign w:val="bottom"/>
            <w:vMerge w:val="restart"/>
            <w:shd w:val="clear" w:color="auto" w:fill="4C4C4C"/>
          </w:tcPr>
          <w:p>
            <w:pPr>
              <w:jc w:val="right"/>
              <w:ind w:right="153"/>
              <w:spacing w:after="0"/>
              <w:rPr>
                <w:sz w:val="20"/>
                <w:szCs w:val="20"/>
                <w:color w:val="auto"/>
              </w:rPr>
            </w:pPr>
            <w:r>
              <w:rPr>
                <w:rFonts w:ascii="Times New Roman" w:cs="Times New Roman" w:eastAsia="Times New Roman" w:hAnsi="Times New Roman"/>
                <w:sz w:val="16"/>
                <w:szCs w:val="16"/>
                <w:color w:val="FFFFFF"/>
              </w:rPr>
              <w:t>NGL</w:t>
            </w: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120" w:type="dxa"/>
            <w:vAlign w:val="bottom"/>
            <w:tcBorders>
              <w:bottom w:val="single" w:sz="8" w:color="4C4C4C"/>
            </w:tcBorders>
            <w:shd w:val="clear" w:color="auto" w:fill="4C4C4C"/>
          </w:tcPr>
          <w:p>
            <w:pPr>
              <w:spacing w:after="0"/>
              <w:rPr>
                <w:sz w:val="11"/>
                <w:szCs w:val="11"/>
                <w:color w:val="auto"/>
              </w:rPr>
            </w:pPr>
          </w:p>
        </w:tc>
        <w:tc>
          <w:tcPr>
            <w:tcW w:w="1040" w:type="dxa"/>
            <w:vAlign w:val="bottom"/>
            <w:tcBorders>
              <w:bottom w:val="single" w:sz="8" w:color="4C4C4C"/>
            </w:tcBorders>
            <w:vMerge w:val="continue"/>
            <w:shd w:val="clear" w:color="auto" w:fill="4C4C4C"/>
          </w:tcPr>
          <w:p>
            <w:pPr>
              <w:spacing w:after="0"/>
              <w:rPr>
                <w:sz w:val="11"/>
                <w:szCs w:val="11"/>
                <w:color w:val="auto"/>
              </w:rPr>
            </w:pPr>
          </w:p>
        </w:tc>
        <w:tc>
          <w:tcPr>
            <w:tcW w:w="600" w:type="dxa"/>
            <w:vAlign w:val="bottom"/>
            <w:tcBorders>
              <w:bottom w:val="single" w:sz="8" w:color="4C4C4C"/>
            </w:tcBorders>
            <w:vMerge w:val="continue"/>
            <w:shd w:val="clear" w:color="auto" w:fill="4C4C4C"/>
          </w:tcPr>
          <w:p>
            <w:pPr>
              <w:spacing w:after="0"/>
              <w:rPr>
                <w:sz w:val="11"/>
                <w:szCs w:val="11"/>
                <w:color w:val="auto"/>
              </w:rPr>
            </w:pPr>
          </w:p>
        </w:tc>
        <w:tc>
          <w:tcPr>
            <w:tcW w:w="1160" w:type="dxa"/>
            <w:vAlign w:val="bottom"/>
            <w:tcBorders>
              <w:bottom w:val="single" w:sz="8" w:color="4C4C4C"/>
            </w:tcBorders>
            <w:vMerge w:val="continue"/>
            <w:shd w:val="clear" w:color="auto" w:fill="4C4C4C"/>
          </w:tcPr>
          <w:p>
            <w:pPr>
              <w:spacing w:after="0"/>
              <w:rPr>
                <w:sz w:val="11"/>
                <w:szCs w:val="11"/>
                <w:color w:val="auto"/>
              </w:rPr>
            </w:pPr>
          </w:p>
        </w:tc>
        <w:tc>
          <w:tcPr>
            <w:tcW w:w="700" w:type="dxa"/>
            <w:vAlign w:val="bottom"/>
            <w:tcBorders>
              <w:bottom w:val="single" w:sz="8" w:color="4C4C4C"/>
            </w:tcBorders>
            <w:vMerge w:val="continue"/>
            <w:shd w:val="clear" w:color="auto" w:fill="4C4C4C"/>
          </w:tcPr>
          <w:p>
            <w:pPr>
              <w:spacing w:after="0"/>
              <w:rPr>
                <w:sz w:val="11"/>
                <w:szCs w:val="11"/>
                <w:color w:val="auto"/>
              </w:rPr>
            </w:pPr>
          </w:p>
        </w:tc>
        <w:tc>
          <w:tcPr>
            <w:tcW w:w="1060" w:type="dxa"/>
            <w:vAlign w:val="bottom"/>
            <w:tcBorders>
              <w:bottom w:val="single" w:sz="8" w:color="4C4C4C"/>
            </w:tcBorders>
            <w:vMerge w:val="continue"/>
            <w:shd w:val="clear" w:color="auto" w:fill="4C4C4C"/>
          </w:tcPr>
          <w:p>
            <w:pPr>
              <w:spacing w:after="0"/>
              <w:rPr>
                <w:sz w:val="11"/>
                <w:szCs w:val="11"/>
                <w:color w:val="auto"/>
              </w:rPr>
            </w:pPr>
          </w:p>
        </w:tc>
        <w:tc>
          <w:tcPr>
            <w:tcW w:w="620" w:type="dxa"/>
            <w:vAlign w:val="bottom"/>
            <w:tcBorders>
              <w:bottom w:val="single" w:sz="8" w:color="4C4C4C"/>
            </w:tcBorders>
            <w:vMerge w:val="continue"/>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Crude oil and natural gas liquids production</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556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523</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211</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6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20"/>
                <w:szCs w:val="20"/>
                <w:i w:val="1"/>
                <w:iCs w:val="1"/>
                <w:color w:val="auto"/>
                <w:vertAlign w:val="superscript"/>
              </w:rPr>
              <w:t>(1)</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196</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1"/>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Africa</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233</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417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407</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Australia/Oceania</w:t>
            </w:r>
          </w:p>
        </w:tc>
        <w:tc>
          <w:tcPr>
            <w:tcW w:w="1160" w:type="dxa"/>
            <w:vAlign w:val="bottom"/>
            <w:tcBorders>
              <w:bottom w:val="single" w:sz="8" w:color="4C4C4C"/>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160" w:type="dxa"/>
            <w:vAlign w:val="bottom"/>
            <w:tcBorders>
              <w:bottom w:val="single" w:sz="8" w:color="4C4C4C"/>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1,455</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1,388</w:t>
            </w:r>
          </w:p>
        </w:tc>
        <w:tc>
          <w:tcPr>
            <w:tcW w:w="7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257</w:t>
            </w: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1,304</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417"/>
        </w:trPr>
        <w:tc>
          <w:tcPr>
            <w:tcW w:w="5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Africa</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160" w:type="dxa"/>
            <w:vAlign w:val="bottom"/>
            <w:tcBorders>
              <w:bottom w:val="single" w:sz="8" w:color="4C4C4C"/>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216</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216</w:t>
            </w:r>
          </w:p>
        </w:tc>
        <w:tc>
          <w:tcPr>
            <w:tcW w:w="7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207</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Equity Companies</w:t>
            </w:r>
          </w:p>
        </w:tc>
        <w:tc>
          <w:tcPr>
            <w:tcW w:w="1160" w:type="dxa"/>
            <w:vAlign w:val="bottom"/>
            <w:tcBorders>
              <w:bottom w:val="single" w:sz="8" w:color="4C4C4C"/>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227</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259</w:t>
            </w:r>
          </w:p>
        </w:tc>
        <w:tc>
          <w:tcPr>
            <w:tcW w:w="7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253</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crude oil and natural gas liquids production</w:t>
            </w:r>
          </w:p>
        </w:tc>
        <w:tc>
          <w:tcPr>
            <w:tcW w:w="1160" w:type="dxa"/>
            <w:vAlign w:val="bottom"/>
            <w:tcBorders>
              <w:bottom w:val="single" w:sz="8" w:color="4C4C4C"/>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1,682</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1,647</w:t>
            </w:r>
          </w:p>
        </w:tc>
        <w:tc>
          <w:tcPr>
            <w:tcW w:w="7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317</w:t>
            </w: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1,557</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0" w:type="dxa"/>
            <w:vAlign w:val="bottom"/>
          </w:tcPr>
          <w:p>
            <w:pPr>
              <w:spacing w:after="0"/>
              <w:rPr>
                <w:sz w:val="1"/>
                <w:szCs w:val="1"/>
                <w:color w:val="auto"/>
              </w:rPr>
            </w:pPr>
          </w:p>
        </w:tc>
      </w:tr>
      <w:tr>
        <w:trPr>
          <w:trHeight w:val="413"/>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Bitumen production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Canada/Other Americas</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355</w:t>
            </w:r>
          </w:p>
        </w:tc>
        <w:tc>
          <w:tcPr>
            <w:tcW w:w="6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327</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365</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Synthetic oil production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Canada/Other Americas</w:t>
            </w:r>
          </w:p>
        </w:tc>
        <w:tc>
          <w:tcPr>
            <w:tcW w:w="11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300" w:type="dxa"/>
            <w:vAlign w:val="bottom"/>
            <w:tcBorders>
              <w:bottom w:val="single" w:sz="8" w:color="4C4C4C"/>
            </w:tcBorders>
          </w:tcPr>
          <w:p>
            <w:pPr>
              <w:spacing w:after="0"/>
              <w:rPr>
                <w:sz w:val="17"/>
                <w:szCs w:val="17"/>
                <w:color w:val="auto"/>
              </w:rPr>
            </w:pPr>
          </w:p>
        </w:tc>
        <w:tc>
          <w:tcPr>
            <w:tcW w:w="1160" w:type="dxa"/>
            <w:vAlign w:val="bottom"/>
            <w:tcBorders>
              <w:bottom w:val="single" w:sz="8" w:color="4C4C4C"/>
            </w:tcBorders>
            <w:gridSpan w:val="2"/>
          </w:tcPr>
          <w:p>
            <w:pPr>
              <w:spacing w:after="0"/>
              <w:rPr>
                <w:sz w:val="17"/>
                <w:szCs w:val="17"/>
                <w:color w:val="auto"/>
              </w:rPr>
            </w:pPr>
          </w:p>
        </w:tc>
        <w:tc>
          <w:tcPr>
            <w:tcW w:w="600" w:type="dxa"/>
            <w:vAlign w:val="bottom"/>
            <w:tcBorders>
              <w:bottom w:val="single" w:sz="8" w:color="4C4C4C"/>
            </w:tcBorders>
          </w:tcPr>
          <w:p>
            <w:pPr>
              <w:spacing w:after="0"/>
              <w:rPr>
                <w:sz w:val="17"/>
                <w:szCs w:val="17"/>
                <w:color w:val="auto"/>
              </w:rPr>
            </w:pPr>
          </w:p>
        </w:tc>
        <w:tc>
          <w:tcPr>
            <w:tcW w:w="1160" w:type="dxa"/>
            <w:vAlign w:val="bottom"/>
            <w:tcBorders>
              <w:bottom w:val="single" w:sz="8" w:color="4C4C4C"/>
            </w:tcBorders>
          </w:tcPr>
          <w:p>
            <w:pPr>
              <w:spacing w:after="0"/>
              <w:rPr>
                <w:sz w:val="17"/>
                <w:szCs w:val="17"/>
                <w:color w:val="auto"/>
              </w:rPr>
            </w:pPr>
          </w:p>
        </w:tc>
        <w:tc>
          <w:tcPr>
            <w:tcW w:w="700" w:type="dxa"/>
            <w:vAlign w:val="bottom"/>
            <w:tcBorders>
              <w:bottom w:val="single" w:sz="8" w:color="4C4C4C"/>
            </w:tcBorders>
          </w:tcPr>
          <w:p>
            <w:pPr>
              <w:spacing w:after="0"/>
              <w:rPr>
                <w:sz w:val="17"/>
                <w:szCs w:val="17"/>
                <w:color w:val="auto"/>
              </w:rPr>
            </w:pPr>
          </w:p>
        </w:tc>
        <w:tc>
          <w:tcPr>
            <w:tcW w:w="1060" w:type="dxa"/>
            <w:vAlign w:val="bottom"/>
            <w:tcBorders>
              <w:bottom w:val="single" w:sz="8" w:color="4C4C4C"/>
            </w:tcBorders>
          </w:tcPr>
          <w:p>
            <w:pPr>
              <w:spacing w:after="0"/>
              <w:rPr>
                <w:sz w:val="17"/>
                <w:szCs w:val="17"/>
                <w:color w:val="auto"/>
              </w:rPr>
            </w:pPr>
          </w:p>
        </w:tc>
        <w:tc>
          <w:tcPr>
            <w:tcW w:w="62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liquids production</w:t>
            </w:r>
          </w:p>
        </w:tc>
        <w:tc>
          <w:tcPr>
            <w:tcW w:w="1160" w:type="dxa"/>
            <w:vAlign w:val="bottom"/>
            <w:tcBorders>
              <w:bottom w:val="single" w:sz="8" w:color="4C4C4C"/>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2,449</w:t>
            </w:r>
          </w:p>
        </w:tc>
        <w:tc>
          <w:tcPr>
            <w:tcW w:w="600" w:type="dxa"/>
            <w:vAlign w:val="bottom"/>
            <w:tcBorders>
              <w:bottom w:val="single" w:sz="8" w:color="4C4C4C"/>
            </w:tcBorders>
          </w:tcPr>
          <w:p>
            <w:pPr>
              <w:spacing w:after="0"/>
              <w:rPr>
                <w:sz w:val="19"/>
                <w:szCs w:val="19"/>
                <w:color w:val="auto"/>
              </w:rPr>
            </w:pP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2,354</w:t>
            </w:r>
          </w:p>
        </w:tc>
        <w:tc>
          <w:tcPr>
            <w:tcW w:w="70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2,289</w:t>
            </w:r>
          </w:p>
        </w:tc>
        <w:tc>
          <w:tcPr>
            <w:tcW w:w="620" w:type="dxa"/>
            <w:vAlign w:val="bottom"/>
            <w:tcBorders>
              <w:bottom w:val="single" w:sz="8" w:color="4C4C4C"/>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cubic feet daily)</w:t>
            </w:r>
          </w:p>
        </w:tc>
        <w:tc>
          <w:tcPr>
            <w:tcW w:w="120" w:type="dxa"/>
            <w:vAlign w:val="bottom"/>
            <w:tcBorders>
              <w:bottom w:val="single" w:sz="8" w:color="4C4C4C"/>
            </w:tcBorders>
            <w:shd w:val="clear" w:color="auto" w:fill="4C4C4C"/>
          </w:tcPr>
          <w:p>
            <w:pPr>
              <w:spacing w:after="0"/>
              <w:rPr>
                <w:sz w:val="19"/>
                <w:szCs w:val="19"/>
                <w:color w:val="auto"/>
              </w:rPr>
            </w:pPr>
          </w:p>
        </w:tc>
        <w:tc>
          <w:tcPr>
            <w:tcW w:w="1040" w:type="dxa"/>
            <w:vAlign w:val="bottom"/>
            <w:tcBorders>
              <w:bottom w:val="single" w:sz="8" w:color="4C4C4C"/>
            </w:tcBorders>
            <w:shd w:val="clear" w:color="auto" w:fill="4C4C4C"/>
          </w:tcPr>
          <w:p>
            <w:pPr>
              <w:spacing w:after="0"/>
              <w:rPr>
                <w:sz w:val="19"/>
                <w:szCs w:val="19"/>
                <w:color w:val="auto"/>
              </w:rPr>
            </w:pPr>
          </w:p>
        </w:tc>
        <w:tc>
          <w:tcPr>
            <w:tcW w:w="600" w:type="dxa"/>
            <w:vAlign w:val="bottom"/>
            <w:tcBorders>
              <w:bottom w:val="single" w:sz="8" w:color="4C4C4C"/>
            </w:tcBorders>
            <w:shd w:val="clear" w:color="auto" w:fill="4C4C4C"/>
          </w:tcPr>
          <w:p>
            <w:pPr>
              <w:spacing w:after="0"/>
              <w:rPr>
                <w:sz w:val="19"/>
                <w:szCs w:val="19"/>
                <w:color w:val="auto"/>
              </w:rPr>
            </w:pPr>
          </w:p>
        </w:tc>
        <w:tc>
          <w:tcPr>
            <w:tcW w:w="1160" w:type="dxa"/>
            <w:vAlign w:val="bottom"/>
            <w:tcBorders>
              <w:bottom w:val="single" w:sz="8" w:color="4C4C4C"/>
            </w:tcBorders>
            <w:shd w:val="clear" w:color="auto" w:fill="4C4C4C"/>
          </w:tcPr>
          <w:p>
            <w:pPr>
              <w:spacing w:after="0"/>
              <w:rPr>
                <w:sz w:val="19"/>
                <w:szCs w:val="19"/>
                <w:color w:val="auto"/>
              </w:rPr>
            </w:pPr>
          </w:p>
        </w:tc>
        <w:tc>
          <w:tcPr>
            <w:tcW w:w="700" w:type="dxa"/>
            <w:vAlign w:val="bottom"/>
            <w:tcBorders>
              <w:bottom w:val="single" w:sz="8" w:color="4C4C4C"/>
            </w:tcBorders>
            <w:shd w:val="clear" w:color="auto" w:fill="4C4C4C"/>
          </w:tcPr>
          <w:p>
            <w:pPr>
              <w:spacing w:after="0"/>
              <w:rPr>
                <w:sz w:val="19"/>
                <w:szCs w:val="19"/>
                <w:color w:val="auto"/>
              </w:rPr>
            </w:pPr>
          </w:p>
        </w:tc>
        <w:tc>
          <w:tcPr>
            <w:tcW w:w="1060" w:type="dxa"/>
            <w:vAlign w:val="bottom"/>
            <w:tcBorders>
              <w:bottom w:val="single" w:sz="8" w:color="4C4C4C"/>
            </w:tcBorders>
            <w:shd w:val="clear" w:color="auto" w:fill="4C4C4C"/>
          </w:tcPr>
          <w:p>
            <w:pPr>
              <w:spacing w:after="0"/>
              <w:rPr>
                <w:sz w:val="19"/>
                <w:szCs w:val="19"/>
                <w:color w:val="auto"/>
              </w:rPr>
            </w:pPr>
          </w:p>
        </w:tc>
        <w:tc>
          <w:tcPr>
            <w:tcW w:w="620" w:type="dxa"/>
            <w:vAlign w:val="bottom"/>
            <w:tcBorders>
              <w:bottom w:val="single" w:sz="8" w:color="4C4C4C"/>
            </w:tcBorders>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Natural gas production available for sale</w:t>
            </w:r>
          </w:p>
        </w:tc>
        <w:tc>
          <w:tcPr>
            <w:tcW w:w="120" w:type="dxa"/>
            <w:vAlign w:val="bottom"/>
          </w:tcPr>
          <w:p>
            <w:pPr>
              <w:spacing w:after="0"/>
              <w:rPr>
                <w:sz w:val="20"/>
                <w:szCs w:val="20"/>
                <w:color w:val="auto"/>
              </w:rPr>
            </w:pPr>
          </w:p>
        </w:tc>
        <w:tc>
          <w:tcPr>
            <w:tcW w:w="1040" w:type="dxa"/>
            <w:vAlign w:val="bottom"/>
            <w:shd w:val="clear" w:color="auto" w:fill="F0F0F0"/>
          </w:tcPr>
          <w:p>
            <w:pPr>
              <w:spacing w:after="0"/>
              <w:rPr>
                <w:sz w:val="20"/>
                <w:szCs w:val="20"/>
                <w:color w:val="auto"/>
              </w:rPr>
            </w:pPr>
          </w:p>
        </w:tc>
        <w:tc>
          <w:tcPr>
            <w:tcW w:w="600" w:type="dxa"/>
            <w:vAlign w:val="bottom"/>
            <w:shd w:val="clear" w:color="auto" w:fill="F0F0F0"/>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20" w:type="dxa"/>
            <w:vAlign w:val="bottom"/>
          </w:tcPr>
          <w:p>
            <w:pPr>
              <w:spacing w:after="0"/>
              <w:rPr>
                <w:sz w:val="21"/>
                <w:szCs w:val="21"/>
                <w:color w:val="auto"/>
              </w:rPr>
            </w:pPr>
          </w:p>
        </w:tc>
        <w:tc>
          <w:tcPr>
            <w:tcW w:w="1040" w:type="dxa"/>
            <w:vAlign w:val="bottom"/>
            <w:shd w:val="clear" w:color="auto" w:fill="F0F0F0"/>
          </w:tcPr>
          <w:p>
            <w:pPr>
              <w:spacing w:after="0"/>
              <w:rPr>
                <w:sz w:val="21"/>
                <w:szCs w:val="21"/>
                <w:color w:val="auto"/>
              </w:rPr>
            </w:pPr>
          </w:p>
        </w:tc>
        <w:tc>
          <w:tcPr>
            <w:tcW w:w="600" w:type="dxa"/>
            <w:vAlign w:val="bottom"/>
            <w:shd w:val="clear" w:color="auto" w:fill="F0F0F0"/>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21"/>
                <w:szCs w:val="21"/>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2,292</w:t>
            </w:r>
          </w:p>
        </w:tc>
        <w:tc>
          <w:tcPr>
            <w:tcW w:w="600" w:type="dxa"/>
            <w:vAlign w:val="bottom"/>
            <w:shd w:val="clear" w:color="auto" w:fill="F0F0F0"/>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2,531</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2,724</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20"/>
                <w:szCs w:val="20"/>
                <w:i w:val="1"/>
                <w:iCs w:val="1"/>
                <w:color w:val="auto"/>
                <w:vertAlign w:val="superscript"/>
              </w:rPr>
              <w:t>(1)</w:t>
            </w:r>
          </w:p>
        </w:tc>
        <w:tc>
          <w:tcPr>
            <w:tcW w:w="120" w:type="dxa"/>
            <w:vAlign w:val="bottom"/>
          </w:tcPr>
          <w:p>
            <w:pPr>
              <w:spacing w:after="0"/>
              <w:rPr>
                <w:sz w:val="23"/>
                <w:szCs w:val="23"/>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shd w:val="clear" w:color="auto" w:fill="F0F0F0"/>
          </w:tcPr>
          <w:p>
            <w:pPr>
              <w:spacing w:after="0"/>
              <w:rPr>
                <w:sz w:val="23"/>
                <w:szCs w:val="2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148</w:t>
            </w:r>
          </w:p>
        </w:tc>
        <w:tc>
          <w:tcPr>
            <w:tcW w:w="70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195</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20"/>
                <w:szCs w:val="20"/>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266</w:t>
            </w:r>
          </w:p>
        </w:tc>
        <w:tc>
          <w:tcPr>
            <w:tcW w:w="600" w:type="dxa"/>
            <w:vAlign w:val="bottom"/>
            <w:shd w:val="clear" w:color="auto" w:fill="F0F0F0"/>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306</w:t>
            </w:r>
          </w:p>
        </w:tc>
        <w:tc>
          <w:tcPr>
            <w:tcW w:w="70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Africa</w:t>
            </w:r>
          </w:p>
        </w:tc>
        <w:tc>
          <w:tcPr>
            <w:tcW w:w="120" w:type="dxa"/>
            <w:vAlign w:val="bottom"/>
          </w:tcPr>
          <w:p>
            <w:pPr>
              <w:spacing w:after="0"/>
              <w:rPr>
                <w:sz w:val="21"/>
                <w:szCs w:val="21"/>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shd w:val="clear" w:color="auto" w:fill="F0F0F0"/>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21"/>
                <w:szCs w:val="21"/>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915</w:t>
            </w:r>
          </w:p>
        </w:tc>
        <w:tc>
          <w:tcPr>
            <w:tcW w:w="600" w:type="dxa"/>
            <w:vAlign w:val="bottom"/>
            <w:shd w:val="clear" w:color="auto" w:fill="F0F0F0"/>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779</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807</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Australia/Oceania</w:t>
            </w:r>
          </w:p>
        </w:tc>
        <w:tc>
          <w:tcPr>
            <w:tcW w:w="120" w:type="dxa"/>
            <w:vAlign w:val="bottom"/>
            <w:tcBorders>
              <w:bottom w:val="single" w:sz="8" w:color="4C4C4C"/>
            </w:tcBorders>
          </w:tcPr>
          <w:p>
            <w:pPr>
              <w:spacing w:after="0"/>
              <w:rPr>
                <w:sz w:val="22"/>
                <w:szCs w:val="22"/>
                <w:color w:val="auto"/>
              </w:rPr>
            </w:pPr>
          </w:p>
        </w:tc>
        <w:tc>
          <w:tcPr>
            <w:tcW w:w="1040" w:type="dxa"/>
            <w:vAlign w:val="bottom"/>
            <w:tcBorders>
              <w:bottom w:val="single" w:sz="8" w:color="4C4C4C"/>
            </w:tcBorders>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1,298</w:t>
            </w:r>
          </w:p>
        </w:tc>
        <w:tc>
          <w:tcPr>
            <w:tcW w:w="600" w:type="dxa"/>
            <w:vAlign w:val="bottom"/>
            <w:tcBorders>
              <w:bottom w:val="single" w:sz="8" w:color="4C4C4C"/>
            </w:tcBorders>
            <w:shd w:val="clear" w:color="auto" w:fill="F0F0F0"/>
          </w:tcPr>
          <w:p>
            <w:pPr>
              <w:spacing w:after="0"/>
              <w:rPr>
                <w:sz w:val="22"/>
                <w:szCs w:val="22"/>
                <w:color w:val="auto"/>
              </w:rPr>
            </w:pP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1,440</w:t>
            </w:r>
          </w:p>
        </w:tc>
        <w:tc>
          <w:tcPr>
            <w:tcW w:w="700" w:type="dxa"/>
            <w:vAlign w:val="bottom"/>
            <w:tcBorders>
              <w:bottom w:val="single" w:sz="8" w:color="4C4C4C"/>
            </w:tcBorders>
          </w:tcPr>
          <w:p>
            <w:pPr>
              <w:spacing w:after="0"/>
              <w:rPr>
                <w:sz w:val="22"/>
                <w:szCs w:val="22"/>
                <w:color w:val="auto"/>
              </w:rPr>
            </w:pP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1,280</w:t>
            </w:r>
          </w:p>
        </w:tc>
        <w:tc>
          <w:tcPr>
            <w:tcW w:w="620" w:type="dxa"/>
            <w:vAlign w:val="bottom"/>
            <w:tcBorders>
              <w:bottom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20" w:type="dxa"/>
            <w:vAlign w:val="bottom"/>
            <w:tcBorders>
              <w:bottom w:val="single" w:sz="8" w:color="4C4C4C"/>
            </w:tcBorders>
          </w:tcPr>
          <w:p>
            <w:pPr>
              <w:spacing w:after="0"/>
              <w:rPr>
                <w:sz w:val="20"/>
                <w:szCs w:val="20"/>
                <w:color w:val="auto"/>
              </w:rPr>
            </w:pPr>
          </w:p>
        </w:tc>
        <w:tc>
          <w:tcPr>
            <w:tcW w:w="1040" w:type="dxa"/>
            <w:vAlign w:val="bottom"/>
            <w:tcBorders>
              <w:bottom w:val="single" w:sz="8" w:color="4C4C4C"/>
            </w:tcBorders>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4,902</w:t>
            </w:r>
          </w:p>
        </w:tc>
        <w:tc>
          <w:tcPr>
            <w:tcW w:w="600" w:type="dxa"/>
            <w:vAlign w:val="bottom"/>
            <w:tcBorders>
              <w:bottom w:val="single" w:sz="8" w:color="4C4C4C"/>
            </w:tcBorders>
            <w:shd w:val="clear" w:color="auto" w:fill="F0F0F0"/>
          </w:tcPr>
          <w:p>
            <w:pPr>
              <w:spacing w:after="0"/>
              <w:rPr>
                <w:sz w:val="20"/>
                <w:szCs w:val="20"/>
                <w:color w:val="auto"/>
              </w:rPr>
            </w:pP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5,268</w:t>
            </w:r>
          </w:p>
        </w:tc>
        <w:tc>
          <w:tcPr>
            <w:tcW w:w="700" w:type="dxa"/>
            <w:vAlign w:val="bottom"/>
            <w:tcBorders>
              <w:bottom w:val="single" w:sz="8" w:color="4C4C4C"/>
            </w:tcBorders>
          </w:tcPr>
          <w:p>
            <w:pPr>
              <w:spacing w:after="0"/>
              <w:rPr>
                <w:sz w:val="20"/>
                <w:szCs w:val="20"/>
                <w:color w:val="auto"/>
              </w:rPr>
            </w:pP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5,426</w:t>
            </w:r>
          </w:p>
        </w:tc>
        <w:tc>
          <w:tcPr>
            <w:tcW w:w="620" w:type="dxa"/>
            <w:vAlign w:val="bottom"/>
            <w:tcBorders>
              <w:bottom w:val="single" w:sz="8" w:color="4C4C4C"/>
            </w:tcBorders>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20" w:type="dxa"/>
            <w:vAlign w:val="bottom"/>
          </w:tcPr>
          <w:p>
            <w:pPr>
              <w:spacing w:after="0"/>
              <w:rPr>
                <w:sz w:val="24"/>
                <w:szCs w:val="24"/>
                <w:color w:val="auto"/>
              </w:rPr>
            </w:pPr>
          </w:p>
        </w:tc>
        <w:tc>
          <w:tcPr>
            <w:tcW w:w="1040" w:type="dxa"/>
            <w:vAlign w:val="bottom"/>
            <w:shd w:val="clear" w:color="auto" w:fill="F0F0F0"/>
          </w:tcPr>
          <w:p>
            <w:pPr>
              <w:spacing w:after="0"/>
              <w:rPr>
                <w:sz w:val="24"/>
                <w:szCs w:val="24"/>
                <w:color w:val="auto"/>
              </w:rPr>
            </w:pPr>
          </w:p>
        </w:tc>
        <w:tc>
          <w:tcPr>
            <w:tcW w:w="600" w:type="dxa"/>
            <w:vAlign w:val="bottom"/>
            <w:shd w:val="clear" w:color="auto" w:fill="F0F0F0"/>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21"/>
                <w:szCs w:val="21"/>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shd w:val="clear" w:color="auto" w:fill="F0F0F0"/>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21"/>
                <w:szCs w:val="21"/>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148</w:t>
            </w:r>
          </w:p>
        </w:tc>
        <w:tc>
          <w:tcPr>
            <w:tcW w:w="600" w:type="dxa"/>
            <w:vAlign w:val="bottom"/>
            <w:shd w:val="clear" w:color="auto" w:fill="F0F0F0"/>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361</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431</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Africa</w:t>
            </w:r>
          </w:p>
        </w:tc>
        <w:tc>
          <w:tcPr>
            <w:tcW w:w="120" w:type="dxa"/>
            <w:vAlign w:val="bottom"/>
          </w:tcPr>
          <w:p>
            <w:pPr>
              <w:spacing w:after="0"/>
              <w:rPr>
                <w:sz w:val="21"/>
                <w:szCs w:val="21"/>
                <w:color w:val="auto"/>
              </w:rPr>
            </w:pPr>
          </w:p>
        </w:tc>
        <w:tc>
          <w:tcPr>
            <w:tcW w:w="1040" w:type="dxa"/>
            <w:vAlign w:val="bottom"/>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90</w:t>
            </w:r>
          </w:p>
        </w:tc>
        <w:tc>
          <w:tcPr>
            <w:tcW w:w="600" w:type="dxa"/>
            <w:vAlign w:val="bottom"/>
            <w:shd w:val="clear" w:color="auto" w:fill="F0F0F0"/>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Borders>
              <w:bottom w:val="single" w:sz="8" w:color="4C4C4C"/>
            </w:tcBorders>
          </w:tcPr>
          <w:p>
            <w:pPr>
              <w:spacing w:after="0"/>
              <w:rPr>
                <w:sz w:val="22"/>
                <w:szCs w:val="22"/>
                <w:color w:val="auto"/>
              </w:rPr>
            </w:pPr>
          </w:p>
        </w:tc>
        <w:tc>
          <w:tcPr>
            <w:tcW w:w="1040" w:type="dxa"/>
            <w:vAlign w:val="bottom"/>
            <w:tcBorders>
              <w:bottom w:val="single" w:sz="8" w:color="4C4C4C"/>
            </w:tcBorders>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2,575</w:t>
            </w:r>
          </w:p>
        </w:tc>
        <w:tc>
          <w:tcPr>
            <w:tcW w:w="600" w:type="dxa"/>
            <w:vAlign w:val="bottom"/>
            <w:tcBorders>
              <w:bottom w:val="single" w:sz="8" w:color="4C4C4C"/>
            </w:tcBorders>
            <w:shd w:val="clear" w:color="auto" w:fill="F0F0F0"/>
          </w:tcPr>
          <w:p>
            <w:pPr>
              <w:spacing w:after="0"/>
              <w:rPr>
                <w:sz w:val="22"/>
                <w:szCs w:val="22"/>
                <w:color w:val="auto"/>
              </w:rPr>
            </w:pP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2,639</w:t>
            </w:r>
          </w:p>
        </w:tc>
        <w:tc>
          <w:tcPr>
            <w:tcW w:w="700" w:type="dxa"/>
            <w:vAlign w:val="bottom"/>
            <w:tcBorders>
              <w:bottom w:val="single" w:sz="8" w:color="4C4C4C"/>
            </w:tcBorders>
          </w:tcPr>
          <w:p>
            <w:pPr>
              <w:spacing w:after="0"/>
              <w:rPr>
                <w:sz w:val="22"/>
                <w:szCs w:val="22"/>
                <w:color w:val="auto"/>
              </w:rPr>
            </w:pP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2,658</w:t>
            </w:r>
          </w:p>
        </w:tc>
        <w:tc>
          <w:tcPr>
            <w:tcW w:w="620" w:type="dxa"/>
            <w:vAlign w:val="bottom"/>
            <w:tcBorders>
              <w:bottom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Equity Companies</w:t>
            </w:r>
          </w:p>
        </w:tc>
        <w:tc>
          <w:tcPr>
            <w:tcW w:w="120" w:type="dxa"/>
            <w:vAlign w:val="bottom"/>
            <w:tcBorders>
              <w:bottom w:val="single" w:sz="8" w:color="4C4C4C"/>
            </w:tcBorders>
          </w:tcPr>
          <w:p>
            <w:pPr>
              <w:spacing w:after="0"/>
              <w:rPr>
                <w:sz w:val="20"/>
                <w:szCs w:val="20"/>
                <w:color w:val="auto"/>
              </w:rPr>
            </w:pPr>
          </w:p>
        </w:tc>
        <w:tc>
          <w:tcPr>
            <w:tcW w:w="1040" w:type="dxa"/>
            <w:vAlign w:val="bottom"/>
            <w:tcBorders>
              <w:bottom w:val="single" w:sz="8" w:color="4C4C4C"/>
            </w:tcBorders>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color w:val="auto"/>
              </w:rPr>
              <w:t>2,832</w:t>
            </w:r>
          </w:p>
        </w:tc>
        <w:tc>
          <w:tcPr>
            <w:tcW w:w="600" w:type="dxa"/>
            <w:vAlign w:val="bottom"/>
            <w:tcBorders>
              <w:bottom w:val="single" w:sz="8" w:color="4C4C4C"/>
            </w:tcBorders>
            <w:shd w:val="clear" w:color="auto" w:fill="F0F0F0"/>
          </w:tcPr>
          <w:p>
            <w:pPr>
              <w:spacing w:after="0"/>
              <w:rPr>
                <w:sz w:val="20"/>
                <w:szCs w:val="20"/>
                <w:color w:val="auto"/>
              </w:rPr>
            </w:pP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3,027</w:t>
            </w:r>
          </w:p>
        </w:tc>
        <w:tc>
          <w:tcPr>
            <w:tcW w:w="700" w:type="dxa"/>
            <w:vAlign w:val="bottom"/>
            <w:tcBorders>
              <w:bottom w:val="single" w:sz="8" w:color="4C4C4C"/>
            </w:tcBorders>
          </w:tcPr>
          <w:p>
            <w:pPr>
              <w:spacing w:after="0"/>
              <w:rPr>
                <w:sz w:val="20"/>
                <w:szCs w:val="20"/>
                <w:color w:val="auto"/>
              </w:rPr>
            </w:pP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3,111</w:t>
            </w:r>
          </w:p>
        </w:tc>
        <w:tc>
          <w:tcPr>
            <w:tcW w:w="620" w:type="dxa"/>
            <w:vAlign w:val="bottom"/>
            <w:tcBorders>
              <w:bottom w:val="single" w:sz="8" w:color="4C4C4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natural gas production available for sale</w:t>
            </w:r>
          </w:p>
        </w:tc>
        <w:tc>
          <w:tcPr>
            <w:tcW w:w="120" w:type="dxa"/>
            <w:vAlign w:val="bottom"/>
            <w:tcBorders>
              <w:bottom w:val="single" w:sz="8" w:color="4C4C4C"/>
            </w:tcBorders>
          </w:tcPr>
          <w:p>
            <w:pPr>
              <w:spacing w:after="0"/>
              <w:rPr>
                <w:sz w:val="20"/>
                <w:szCs w:val="20"/>
                <w:color w:val="auto"/>
              </w:rPr>
            </w:pPr>
          </w:p>
        </w:tc>
        <w:tc>
          <w:tcPr>
            <w:tcW w:w="1040" w:type="dxa"/>
            <w:vAlign w:val="bottom"/>
            <w:tcBorders>
              <w:bottom w:val="single" w:sz="8" w:color="4C4C4C"/>
            </w:tcBorders>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7,734</w:t>
            </w:r>
          </w:p>
        </w:tc>
        <w:tc>
          <w:tcPr>
            <w:tcW w:w="600" w:type="dxa"/>
            <w:vAlign w:val="bottom"/>
            <w:tcBorders>
              <w:bottom w:val="single" w:sz="8" w:color="4C4C4C"/>
            </w:tcBorders>
            <w:shd w:val="clear" w:color="auto" w:fill="F0F0F0"/>
          </w:tcPr>
          <w:p>
            <w:pPr>
              <w:spacing w:after="0"/>
              <w:rPr>
                <w:sz w:val="20"/>
                <w:szCs w:val="20"/>
                <w:color w:val="auto"/>
              </w:rPr>
            </w:pP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8,295</w:t>
            </w:r>
          </w:p>
        </w:tc>
        <w:tc>
          <w:tcPr>
            <w:tcW w:w="700" w:type="dxa"/>
            <w:vAlign w:val="bottom"/>
            <w:tcBorders>
              <w:bottom w:val="single" w:sz="8" w:color="4C4C4C"/>
            </w:tcBorders>
          </w:tcPr>
          <w:p>
            <w:pPr>
              <w:spacing w:after="0"/>
              <w:rPr>
                <w:sz w:val="20"/>
                <w:szCs w:val="20"/>
                <w:color w:val="auto"/>
              </w:rPr>
            </w:pP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8,537</w:t>
            </w:r>
          </w:p>
        </w:tc>
        <w:tc>
          <w:tcPr>
            <w:tcW w:w="620" w:type="dxa"/>
            <w:vAlign w:val="bottom"/>
            <w:tcBorders>
              <w:bottom w:val="single" w:sz="8" w:color="4C4C4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shd w:val="clear" w:color="auto" w:fill="F0F0F0"/>
          </w:tcPr>
          <w:p>
            <w:pPr>
              <w:spacing w:after="0"/>
              <w:rPr>
                <w:sz w:val="15"/>
                <w:szCs w:val="15"/>
                <w:color w:val="auto"/>
              </w:rPr>
            </w:pPr>
          </w:p>
        </w:tc>
        <w:tc>
          <w:tcPr>
            <w:tcW w:w="600" w:type="dxa"/>
            <w:vAlign w:val="bottom"/>
            <w:shd w:val="clear" w:color="auto" w:fill="F0F0F0"/>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(thousands of oil-equivalent barrels daily)</w:t>
            </w:r>
          </w:p>
        </w:tc>
        <w:tc>
          <w:tcPr>
            <w:tcW w:w="120" w:type="dxa"/>
            <w:vAlign w:val="bottom"/>
            <w:tcBorders>
              <w:bottom w:val="single" w:sz="8" w:color="4C4C4C"/>
            </w:tcBorders>
            <w:shd w:val="clear" w:color="auto" w:fill="4C4C4C"/>
          </w:tcPr>
          <w:p>
            <w:pPr>
              <w:spacing w:after="0"/>
              <w:rPr>
                <w:sz w:val="19"/>
                <w:szCs w:val="19"/>
                <w:color w:val="auto"/>
              </w:rPr>
            </w:pPr>
          </w:p>
        </w:tc>
        <w:tc>
          <w:tcPr>
            <w:tcW w:w="1040" w:type="dxa"/>
            <w:vAlign w:val="bottom"/>
            <w:tcBorders>
              <w:bottom w:val="single" w:sz="8" w:color="4C4C4C"/>
            </w:tcBorders>
            <w:shd w:val="clear" w:color="auto" w:fill="4C4C4C"/>
          </w:tcPr>
          <w:p>
            <w:pPr>
              <w:spacing w:after="0"/>
              <w:rPr>
                <w:sz w:val="19"/>
                <w:szCs w:val="19"/>
                <w:color w:val="auto"/>
              </w:rPr>
            </w:pPr>
          </w:p>
        </w:tc>
        <w:tc>
          <w:tcPr>
            <w:tcW w:w="600" w:type="dxa"/>
            <w:vAlign w:val="bottom"/>
            <w:tcBorders>
              <w:bottom w:val="single" w:sz="8" w:color="4C4C4C"/>
            </w:tcBorders>
            <w:shd w:val="clear" w:color="auto" w:fill="4C4C4C"/>
          </w:tcPr>
          <w:p>
            <w:pPr>
              <w:spacing w:after="0"/>
              <w:rPr>
                <w:sz w:val="19"/>
                <w:szCs w:val="19"/>
                <w:color w:val="auto"/>
              </w:rPr>
            </w:pPr>
          </w:p>
        </w:tc>
        <w:tc>
          <w:tcPr>
            <w:tcW w:w="1160" w:type="dxa"/>
            <w:vAlign w:val="bottom"/>
            <w:tcBorders>
              <w:bottom w:val="single" w:sz="8" w:color="4C4C4C"/>
            </w:tcBorders>
            <w:shd w:val="clear" w:color="auto" w:fill="4C4C4C"/>
          </w:tcPr>
          <w:p>
            <w:pPr>
              <w:spacing w:after="0"/>
              <w:rPr>
                <w:sz w:val="19"/>
                <w:szCs w:val="19"/>
                <w:color w:val="auto"/>
              </w:rPr>
            </w:pPr>
          </w:p>
        </w:tc>
        <w:tc>
          <w:tcPr>
            <w:tcW w:w="700" w:type="dxa"/>
            <w:vAlign w:val="bottom"/>
            <w:tcBorders>
              <w:bottom w:val="single" w:sz="8" w:color="4C4C4C"/>
            </w:tcBorders>
            <w:shd w:val="clear" w:color="auto" w:fill="4C4C4C"/>
          </w:tcPr>
          <w:p>
            <w:pPr>
              <w:spacing w:after="0"/>
              <w:rPr>
                <w:sz w:val="19"/>
                <w:szCs w:val="19"/>
                <w:color w:val="auto"/>
              </w:rPr>
            </w:pPr>
          </w:p>
        </w:tc>
        <w:tc>
          <w:tcPr>
            <w:tcW w:w="1060" w:type="dxa"/>
            <w:vAlign w:val="bottom"/>
            <w:tcBorders>
              <w:bottom w:val="single" w:sz="8" w:color="4C4C4C"/>
            </w:tcBorders>
            <w:shd w:val="clear" w:color="auto" w:fill="4C4C4C"/>
          </w:tcPr>
          <w:p>
            <w:pPr>
              <w:spacing w:after="0"/>
              <w:rPr>
                <w:sz w:val="19"/>
                <w:szCs w:val="19"/>
                <w:color w:val="auto"/>
              </w:rPr>
            </w:pPr>
          </w:p>
        </w:tc>
        <w:tc>
          <w:tcPr>
            <w:tcW w:w="620" w:type="dxa"/>
            <w:vAlign w:val="bottom"/>
            <w:tcBorders>
              <w:bottom w:val="single" w:sz="8" w:color="4C4C4C"/>
            </w:tcBorders>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Oil-equivalent production</w:t>
            </w:r>
          </w:p>
        </w:tc>
        <w:tc>
          <w:tcPr>
            <w:tcW w:w="120" w:type="dxa"/>
            <w:vAlign w:val="bottom"/>
            <w:tcBorders>
              <w:bottom w:val="single" w:sz="8" w:color="4C4C4C"/>
            </w:tcBorders>
          </w:tcPr>
          <w:p>
            <w:pPr>
              <w:spacing w:after="0"/>
              <w:rPr>
                <w:sz w:val="21"/>
                <w:szCs w:val="21"/>
                <w:color w:val="auto"/>
              </w:rPr>
            </w:pPr>
          </w:p>
        </w:tc>
        <w:tc>
          <w:tcPr>
            <w:tcW w:w="1040" w:type="dxa"/>
            <w:vAlign w:val="bottom"/>
            <w:tcBorders>
              <w:bottom w:val="single" w:sz="8" w:color="4C4C4C"/>
            </w:tcBorders>
            <w:shd w:val="clear" w:color="auto" w:fill="F0F0F0"/>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3,738</w:t>
            </w:r>
          </w:p>
        </w:tc>
        <w:tc>
          <w:tcPr>
            <w:tcW w:w="600" w:type="dxa"/>
            <w:vAlign w:val="bottom"/>
            <w:tcBorders>
              <w:bottom w:val="single" w:sz="8" w:color="4C4C4C"/>
            </w:tcBorders>
            <w:shd w:val="clear" w:color="auto" w:fill="F0F0F0"/>
          </w:tcPr>
          <w:p>
            <w:pPr>
              <w:spacing w:after="0"/>
              <w:rPr>
                <w:sz w:val="21"/>
                <w:szCs w:val="21"/>
                <w:color w:val="auto"/>
              </w:rPr>
            </w:pPr>
          </w:p>
        </w:tc>
        <w:tc>
          <w:tcPr>
            <w:tcW w:w="11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3,737</w:t>
            </w:r>
          </w:p>
        </w:tc>
        <w:tc>
          <w:tcPr>
            <w:tcW w:w="700" w:type="dxa"/>
            <w:vAlign w:val="bottom"/>
            <w:tcBorders>
              <w:bottom w:val="single" w:sz="8" w:color="4C4C4C"/>
            </w:tcBorders>
          </w:tcPr>
          <w:p>
            <w:pPr>
              <w:spacing w:after="0"/>
              <w:rPr>
                <w:sz w:val="21"/>
                <w:szCs w:val="21"/>
                <w:color w:val="auto"/>
              </w:rPr>
            </w:pPr>
          </w:p>
        </w:tc>
        <w:tc>
          <w:tcPr>
            <w:tcW w:w="106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3,712</w:t>
            </w:r>
          </w:p>
        </w:tc>
        <w:tc>
          <w:tcPr>
            <w:tcW w:w="620" w:type="dxa"/>
            <w:vAlign w:val="bottom"/>
            <w:tcBorders>
              <w:bottom w:val="single" w:sz="8" w:color="4C4C4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-447675</wp:posOffset>
                </wp:positionV>
                <wp:extent cx="67214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1475" cy="4763"/>
                        </a:xfrm>
                        <a:prstGeom prst="line">
                          <a:avLst/>
                        </a:prstGeom>
                        <a:solidFill>
                          <a:srgbClr val="FFFFFF"/>
                        </a:solidFill>
                        <a:ln w="125">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5.2499pt" to="529.6pt,-35.2499pt" o:allowincell="f" strokecolor="#FFFFFF" strokeweight="0.0098pt"/>
            </w:pict>
          </mc:Fallback>
        </mc:AlternateContent>
      </w:r>
    </w:p>
    <w:p>
      <w:pPr>
        <w:spacing w:after="0" w:line="76" w:lineRule="exact"/>
        <w:rPr>
          <w:sz w:val="20"/>
          <w:szCs w:val="20"/>
          <w:color w:val="auto"/>
        </w:rPr>
      </w:pPr>
    </w:p>
    <w:p>
      <w:pPr>
        <w:ind w:left="60" w:right="280"/>
        <w:spacing w:after="0" w:line="281" w:lineRule="auto"/>
        <w:tabs>
          <w:tab w:leader="none" w:pos="204" w:val="left"/>
        </w:tabs>
        <w:numPr>
          <w:ilvl w:val="0"/>
          <w:numId w:val="7"/>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Other Americas includes crude oil production for 2023, 2022, and 2021 of 178 thousand, 120 thousand, and 48 thousand barrels daily, respectively; and natural gas production available for sale for 2023, 2022, and 2021 of 67 million, 45 million, and 36 million cubic feet daily, respectively.</w:t>
      </w:r>
    </w:p>
    <w:p>
      <w:pPr>
        <w:sectPr>
          <w:pgSz w:w="11880" w:h="15480" w:orient="portrait"/>
          <w:cols w:equalWidth="0" w:num="1">
            <w:col w:w="10600"/>
          </w:cols>
          <w:pgMar w:left="640" w:top="711" w:right="640" w:bottom="0"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600"/>
          </w:cols>
          <w:pgMar w:left="640" w:top="711" w:right="64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4C4C4C"/>
        </w:rPr>
        <w:t>B. Production Prices and Production Costs</w:t>
      </w:r>
    </w:p>
    <w:p>
      <w:pPr>
        <w:spacing w:after="0" w:line="11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The table below summarizes average production prices and average production costs by geographic area and by product type for the last three years.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540" w:type="dxa"/>
            <w:vAlign w:val="bottom"/>
            <w:shd w:val="clear" w:color="auto" w:fill="4C4C4C"/>
          </w:tcPr>
          <w:p>
            <w:pPr>
              <w:spacing w:after="0"/>
              <w:rPr>
                <w:sz w:val="20"/>
                <w:szCs w:val="20"/>
                <w:color w:val="auto"/>
              </w:rPr>
            </w:pPr>
          </w:p>
        </w:tc>
        <w:tc>
          <w:tcPr>
            <w:tcW w:w="1080" w:type="dxa"/>
            <w:vAlign w:val="bottom"/>
            <w:vMerge w:val="restart"/>
            <w:shd w:val="clear" w:color="auto" w:fill="4C4C4C"/>
          </w:tcPr>
          <w:p>
            <w:pPr>
              <w:jc w:val="right"/>
              <w:ind w:right="92"/>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9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rPr>
              <w:t>Canada/</w:t>
            </w:r>
          </w:p>
        </w:tc>
        <w:tc>
          <w:tcPr>
            <w:tcW w:w="820" w:type="dxa"/>
            <w:vAlign w:val="bottom"/>
            <w:shd w:val="clear" w:color="auto" w:fill="4C4C4C"/>
          </w:tcPr>
          <w:p>
            <w:pPr>
              <w:spacing w:after="0"/>
              <w:rPr>
                <w:sz w:val="20"/>
                <w:szCs w:val="20"/>
                <w:color w:val="auto"/>
              </w:rPr>
            </w:pPr>
          </w:p>
        </w:tc>
        <w:tc>
          <w:tcPr>
            <w:tcW w:w="840" w:type="dxa"/>
            <w:vAlign w:val="bottom"/>
            <w:shd w:val="clear" w:color="auto" w:fill="4C4C4C"/>
          </w:tcPr>
          <w:p>
            <w:pPr>
              <w:spacing w:after="0"/>
              <w:rPr>
                <w:sz w:val="20"/>
                <w:szCs w:val="20"/>
                <w:color w:val="auto"/>
              </w:rPr>
            </w:pPr>
          </w:p>
        </w:tc>
        <w:tc>
          <w:tcPr>
            <w:tcW w:w="740" w:type="dxa"/>
            <w:vAlign w:val="bottom"/>
            <w:shd w:val="clear" w:color="auto" w:fill="4C4C4C"/>
          </w:tcPr>
          <w:p>
            <w:pPr>
              <w:spacing w:after="0"/>
              <w:rPr>
                <w:sz w:val="20"/>
                <w:szCs w:val="20"/>
                <w:color w:val="auto"/>
              </w:rPr>
            </w:pPr>
          </w:p>
        </w:tc>
        <w:tc>
          <w:tcPr>
            <w:tcW w:w="940" w:type="dxa"/>
            <w:vAlign w:val="bottom"/>
            <w:vMerge w:val="restart"/>
            <w:shd w:val="clear" w:color="auto" w:fill="4C4C4C"/>
          </w:tcPr>
          <w:p>
            <w:pPr>
              <w:jc w:val="right"/>
              <w:ind w:right="72"/>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700" w:type="dxa"/>
            <w:vAlign w:val="bottom"/>
            <w:vMerge w:val="restart"/>
            <w:shd w:val="clear" w:color="auto" w:fill="4C4C4C"/>
          </w:tcPr>
          <w:p>
            <w:pPr>
              <w:jc w:val="right"/>
              <w:ind w:right="92"/>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94"/>
        </w:trPr>
        <w:tc>
          <w:tcPr>
            <w:tcW w:w="454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(dollars per unit)</w:t>
            </w:r>
          </w:p>
        </w:tc>
        <w:tc>
          <w:tcPr>
            <w:tcW w:w="1080" w:type="dxa"/>
            <w:vAlign w:val="bottom"/>
            <w:vMerge w:val="continue"/>
            <w:shd w:val="clear" w:color="auto" w:fill="4C4C4C"/>
          </w:tcPr>
          <w:p>
            <w:pPr>
              <w:spacing w:after="0"/>
              <w:rPr>
                <w:sz w:val="8"/>
                <w:szCs w:val="8"/>
                <w:color w:val="auto"/>
              </w:rPr>
            </w:pPr>
          </w:p>
        </w:tc>
        <w:tc>
          <w:tcPr>
            <w:tcW w:w="9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Other</w:t>
            </w:r>
          </w:p>
        </w:tc>
        <w:tc>
          <w:tcPr>
            <w:tcW w:w="820" w:type="dxa"/>
            <w:vAlign w:val="bottom"/>
            <w:vMerge w:val="restart"/>
            <w:shd w:val="clear" w:color="auto" w:fill="4C4C4C"/>
          </w:tcPr>
          <w:p>
            <w:pPr>
              <w:jc w:val="right"/>
              <w:ind w:right="112"/>
              <w:spacing w:after="0"/>
              <w:rPr>
                <w:sz w:val="20"/>
                <w:szCs w:val="20"/>
                <w:color w:val="auto"/>
              </w:rPr>
            </w:pPr>
            <w:r>
              <w:rPr>
                <w:rFonts w:ascii="Times New Roman" w:cs="Times New Roman" w:eastAsia="Times New Roman" w:hAnsi="Times New Roman"/>
                <w:sz w:val="16"/>
                <w:szCs w:val="16"/>
                <w:b w:val="1"/>
                <w:bCs w:val="1"/>
                <w:color w:val="FFFFFF"/>
              </w:rPr>
              <w:t>Europe</w:t>
            </w:r>
          </w:p>
        </w:tc>
        <w:tc>
          <w:tcPr>
            <w:tcW w:w="840" w:type="dxa"/>
            <w:vAlign w:val="bottom"/>
            <w:vMerge w:val="restart"/>
            <w:shd w:val="clear" w:color="auto" w:fill="4C4C4C"/>
          </w:tcPr>
          <w:p>
            <w:pPr>
              <w:jc w:val="right"/>
              <w:ind w:right="172"/>
              <w:spacing w:after="0"/>
              <w:rPr>
                <w:sz w:val="20"/>
                <w:szCs w:val="20"/>
                <w:color w:val="auto"/>
              </w:rPr>
            </w:pPr>
            <w:r>
              <w:rPr>
                <w:rFonts w:ascii="Times New Roman" w:cs="Times New Roman" w:eastAsia="Times New Roman" w:hAnsi="Times New Roman"/>
                <w:sz w:val="16"/>
                <w:szCs w:val="16"/>
                <w:b w:val="1"/>
                <w:bCs w:val="1"/>
                <w:color w:val="FFFFFF"/>
              </w:rPr>
              <w:t>Africa</w:t>
            </w:r>
          </w:p>
        </w:tc>
        <w:tc>
          <w:tcPr>
            <w:tcW w:w="740" w:type="dxa"/>
            <w:vAlign w:val="bottom"/>
            <w:vMerge w:val="restart"/>
            <w:shd w:val="clear" w:color="auto" w:fill="4C4C4C"/>
          </w:tcPr>
          <w:p>
            <w:pPr>
              <w:jc w:val="right"/>
              <w:ind w:right="172"/>
              <w:spacing w:after="0"/>
              <w:rPr>
                <w:sz w:val="20"/>
                <w:szCs w:val="20"/>
                <w:color w:val="auto"/>
              </w:rPr>
            </w:pPr>
            <w:r>
              <w:rPr>
                <w:rFonts w:ascii="Times New Roman" w:cs="Times New Roman" w:eastAsia="Times New Roman" w:hAnsi="Times New Roman"/>
                <w:sz w:val="16"/>
                <w:szCs w:val="16"/>
                <w:b w:val="1"/>
                <w:bCs w:val="1"/>
                <w:color w:val="FFFFFF"/>
              </w:rPr>
              <w:t>Asia</w:t>
            </w:r>
          </w:p>
        </w:tc>
        <w:tc>
          <w:tcPr>
            <w:tcW w:w="940" w:type="dxa"/>
            <w:vAlign w:val="bottom"/>
            <w:vMerge w:val="continue"/>
            <w:shd w:val="clear" w:color="auto" w:fill="4C4C4C"/>
          </w:tcPr>
          <w:p>
            <w:pPr>
              <w:spacing w:after="0"/>
              <w:rPr>
                <w:sz w:val="8"/>
                <w:szCs w:val="8"/>
                <w:color w:val="auto"/>
              </w:rPr>
            </w:pPr>
          </w:p>
        </w:tc>
        <w:tc>
          <w:tcPr>
            <w:tcW w:w="700" w:type="dxa"/>
            <w:vAlign w:val="bottom"/>
            <w:vMerge w:val="continue"/>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540" w:type="dxa"/>
            <w:vAlign w:val="bottom"/>
            <w:vMerge w:val="continue"/>
            <w:shd w:val="clear" w:color="auto" w:fill="4C4C4C"/>
          </w:tcPr>
          <w:p>
            <w:pPr>
              <w:spacing w:after="0"/>
              <w:rPr>
                <w:sz w:val="8"/>
                <w:szCs w:val="8"/>
                <w:color w:val="auto"/>
              </w:rPr>
            </w:pPr>
          </w:p>
        </w:tc>
        <w:tc>
          <w:tcPr>
            <w:tcW w:w="1080" w:type="dxa"/>
            <w:vAlign w:val="bottom"/>
            <w:vMerge w:val="restart"/>
            <w:shd w:val="clear" w:color="auto" w:fill="4C4C4C"/>
          </w:tcPr>
          <w:p>
            <w:pPr>
              <w:jc w:val="right"/>
              <w:ind w:right="132"/>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900" w:type="dxa"/>
            <w:vAlign w:val="bottom"/>
            <w:vMerge w:val="continue"/>
            <w:shd w:val="clear" w:color="auto" w:fill="4C4C4C"/>
          </w:tcPr>
          <w:p>
            <w:pPr>
              <w:spacing w:after="0"/>
              <w:rPr>
                <w:sz w:val="8"/>
                <w:szCs w:val="8"/>
                <w:color w:val="auto"/>
              </w:rPr>
            </w:pPr>
          </w:p>
        </w:tc>
        <w:tc>
          <w:tcPr>
            <w:tcW w:w="820" w:type="dxa"/>
            <w:vAlign w:val="bottom"/>
            <w:vMerge w:val="continue"/>
            <w:shd w:val="clear" w:color="auto" w:fill="4C4C4C"/>
          </w:tcPr>
          <w:p>
            <w:pPr>
              <w:spacing w:after="0"/>
              <w:rPr>
                <w:sz w:val="8"/>
                <w:szCs w:val="8"/>
                <w:color w:val="auto"/>
              </w:rPr>
            </w:pPr>
          </w:p>
        </w:tc>
        <w:tc>
          <w:tcPr>
            <w:tcW w:w="840" w:type="dxa"/>
            <w:vAlign w:val="bottom"/>
            <w:vMerge w:val="continue"/>
            <w:shd w:val="clear" w:color="auto" w:fill="4C4C4C"/>
          </w:tcPr>
          <w:p>
            <w:pPr>
              <w:spacing w:after="0"/>
              <w:rPr>
                <w:sz w:val="8"/>
                <w:szCs w:val="8"/>
                <w:color w:val="auto"/>
              </w:rPr>
            </w:pPr>
          </w:p>
        </w:tc>
        <w:tc>
          <w:tcPr>
            <w:tcW w:w="740" w:type="dxa"/>
            <w:vAlign w:val="bottom"/>
            <w:vMerge w:val="continue"/>
            <w:shd w:val="clear" w:color="auto" w:fill="4C4C4C"/>
          </w:tcPr>
          <w:p>
            <w:pPr>
              <w:spacing w:after="0"/>
              <w:rPr>
                <w:sz w:val="8"/>
                <w:szCs w:val="8"/>
                <w:color w:val="auto"/>
              </w:rPr>
            </w:pPr>
          </w:p>
        </w:tc>
        <w:tc>
          <w:tcPr>
            <w:tcW w:w="940" w:type="dxa"/>
            <w:vAlign w:val="bottom"/>
            <w:vMerge w:val="restart"/>
            <w:shd w:val="clear" w:color="auto" w:fill="4C4C4C"/>
          </w:tcPr>
          <w:p>
            <w:pPr>
              <w:jc w:val="right"/>
              <w:ind w:right="132"/>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700" w:type="dxa"/>
            <w:vAlign w:val="bottom"/>
            <w:vMerge w:val="continue"/>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540" w:type="dxa"/>
            <w:vAlign w:val="bottom"/>
            <w:shd w:val="clear" w:color="auto" w:fill="4C4C4C"/>
          </w:tcPr>
          <w:p>
            <w:pPr>
              <w:spacing w:after="0"/>
              <w:rPr>
                <w:sz w:val="9"/>
                <w:szCs w:val="9"/>
                <w:color w:val="auto"/>
              </w:rPr>
            </w:pPr>
          </w:p>
        </w:tc>
        <w:tc>
          <w:tcPr>
            <w:tcW w:w="1080" w:type="dxa"/>
            <w:vAlign w:val="bottom"/>
            <w:vMerge w:val="continue"/>
            <w:shd w:val="clear" w:color="auto" w:fill="4C4C4C"/>
          </w:tcPr>
          <w:p>
            <w:pPr>
              <w:spacing w:after="0"/>
              <w:rPr>
                <w:sz w:val="9"/>
                <w:szCs w:val="9"/>
                <w:color w:val="auto"/>
              </w:rPr>
            </w:pPr>
          </w:p>
        </w:tc>
        <w:tc>
          <w:tcPr>
            <w:tcW w:w="9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5"/>
              </w:rPr>
              <w:t>Americas</w:t>
            </w:r>
          </w:p>
        </w:tc>
        <w:tc>
          <w:tcPr>
            <w:tcW w:w="820" w:type="dxa"/>
            <w:vAlign w:val="bottom"/>
            <w:shd w:val="clear" w:color="auto" w:fill="4C4C4C"/>
          </w:tcPr>
          <w:p>
            <w:pPr>
              <w:spacing w:after="0"/>
              <w:rPr>
                <w:sz w:val="9"/>
                <w:szCs w:val="9"/>
                <w:color w:val="auto"/>
              </w:rPr>
            </w:pPr>
          </w:p>
        </w:tc>
        <w:tc>
          <w:tcPr>
            <w:tcW w:w="840" w:type="dxa"/>
            <w:vAlign w:val="bottom"/>
            <w:shd w:val="clear" w:color="auto" w:fill="4C4C4C"/>
          </w:tcPr>
          <w:p>
            <w:pPr>
              <w:spacing w:after="0"/>
              <w:rPr>
                <w:sz w:val="9"/>
                <w:szCs w:val="9"/>
                <w:color w:val="auto"/>
              </w:rPr>
            </w:pPr>
          </w:p>
        </w:tc>
        <w:tc>
          <w:tcPr>
            <w:tcW w:w="740" w:type="dxa"/>
            <w:vAlign w:val="bottom"/>
            <w:shd w:val="clear" w:color="auto" w:fill="4C4C4C"/>
          </w:tcPr>
          <w:p>
            <w:pPr>
              <w:spacing w:after="0"/>
              <w:rPr>
                <w:sz w:val="9"/>
                <w:szCs w:val="9"/>
                <w:color w:val="auto"/>
              </w:rPr>
            </w:pPr>
          </w:p>
        </w:tc>
        <w:tc>
          <w:tcPr>
            <w:tcW w:w="940" w:type="dxa"/>
            <w:vAlign w:val="bottom"/>
            <w:vMerge w:val="continue"/>
            <w:shd w:val="clear" w:color="auto" w:fill="4C4C4C"/>
          </w:tcPr>
          <w:p>
            <w:pPr>
              <w:spacing w:after="0"/>
              <w:rPr>
                <w:sz w:val="9"/>
                <w:szCs w:val="9"/>
                <w:color w:val="auto"/>
              </w:rPr>
            </w:pPr>
          </w:p>
        </w:tc>
        <w:tc>
          <w:tcPr>
            <w:tcW w:w="700" w:type="dxa"/>
            <w:vAlign w:val="bottom"/>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540" w:type="dxa"/>
            <w:vAlign w:val="bottom"/>
            <w:shd w:val="clear" w:color="auto" w:fill="4C4C4C"/>
          </w:tcPr>
          <w:p>
            <w:pPr>
              <w:spacing w:after="0"/>
              <w:rPr>
                <w:sz w:val="8"/>
                <w:szCs w:val="8"/>
                <w:color w:val="auto"/>
              </w:rPr>
            </w:pPr>
          </w:p>
        </w:tc>
        <w:tc>
          <w:tcPr>
            <w:tcW w:w="1080" w:type="dxa"/>
            <w:vAlign w:val="bottom"/>
            <w:shd w:val="clear" w:color="auto" w:fill="4C4C4C"/>
          </w:tcPr>
          <w:p>
            <w:pPr>
              <w:spacing w:after="0"/>
              <w:rPr>
                <w:sz w:val="8"/>
                <w:szCs w:val="8"/>
                <w:color w:val="auto"/>
              </w:rPr>
            </w:pPr>
          </w:p>
        </w:tc>
        <w:tc>
          <w:tcPr>
            <w:tcW w:w="900" w:type="dxa"/>
            <w:vAlign w:val="bottom"/>
            <w:vMerge w:val="continue"/>
            <w:shd w:val="clear" w:color="auto" w:fill="4C4C4C"/>
          </w:tcPr>
          <w:p>
            <w:pPr>
              <w:spacing w:after="0"/>
              <w:rPr>
                <w:sz w:val="8"/>
                <w:szCs w:val="8"/>
                <w:color w:val="auto"/>
              </w:rPr>
            </w:pPr>
          </w:p>
        </w:tc>
        <w:tc>
          <w:tcPr>
            <w:tcW w:w="820" w:type="dxa"/>
            <w:vAlign w:val="bottom"/>
            <w:shd w:val="clear" w:color="auto" w:fill="4C4C4C"/>
          </w:tcPr>
          <w:p>
            <w:pPr>
              <w:spacing w:after="0"/>
              <w:rPr>
                <w:sz w:val="8"/>
                <w:szCs w:val="8"/>
                <w:color w:val="auto"/>
              </w:rPr>
            </w:pPr>
          </w:p>
        </w:tc>
        <w:tc>
          <w:tcPr>
            <w:tcW w:w="840" w:type="dxa"/>
            <w:vAlign w:val="bottom"/>
            <w:shd w:val="clear" w:color="auto" w:fill="4C4C4C"/>
          </w:tcPr>
          <w:p>
            <w:pPr>
              <w:spacing w:after="0"/>
              <w:rPr>
                <w:sz w:val="8"/>
                <w:szCs w:val="8"/>
                <w:color w:val="auto"/>
              </w:rPr>
            </w:pPr>
          </w:p>
        </w:tc>
        <w:tc>
          <w:tcPr>
            <w:tcW w:w="740" w:type="dxa"/>
            <w:vAlign w:val="bottom"/>
            <w:shd w:val="clear" w:color="auto" w:fill="4C4C4C"/>
          </w:tcPr>
          <w:p>
            <w:pPr>
              <w:spacing w:after="0"/>
              <w:rPr>
                <w:sz w:val="8"/>
                <w:szCs w:val="8"/>
                <w:color w:val="auto"/>
              </w:rPr>
            </w:pPr>
          </w:p>
        </w:tc>
        <w:tc>
          <w:tcPr>
            <w:tcW w:w="940" w:type="dxa"/>
            <w:vAlign w:val="bottom"/>
            <w:shd w:val="clear" w:color="auto" w:fill="4C4C4C"/>
          </w:tcPr>
          <w:p>
            <w:pPr>
              <w:spacing w:after="0"/>
              <w:rPr>
                <w:sz w:val="8"/>
                <w:szCs w:val="8"/>
                <w:color w:val="auto"/>
              </w:rPr>
            </w:pPr>
          </w:p>
        </w:tc>
        <w:tc>
          <w:tcPr>
            <w:tcW w:w="700" w:type="dxa"/>
            <w:vAlign w:val="bottom"/>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4540" w:type="dxa"/>
            <w:vAlign w:val="bottom"/>
            <w:shd w:val="clear" w:color="auto" w:fill="4C4C4C"/>
          </w:tcPr>
          <w:p>
            <w:pPr>
              <w:spacing w:after="0"/>
              <w:rPr>
                <w:sz w:val="5"/>
                <w:szCs w:val="5"/>
                <w:color w:val="auto"/>
              </w:rPr>
            </w:pPr>
          </w:p>
        </w:tc>
        <w:tc>
          <w:tcPr>
            <w:tcW w:w="1080" w:type="dxa"/>
            <w:vAlign w:val="bottom"/>
            <w:shd w:val="clear" w:color="auto" w:fill="4C4C4C"/>
          </w:tcPr>
          <w:p>
            <w:pPr>
              <w:spacing w:after="0"/>
              <w:rPr>
                <w:sz w:val="5"/>
                <w:szCs w:val="5"/>
                <w:color w:val="auto"/>
              </w:rPr>
            </w:pPr>
          </w:p>
        </w:tc>
        <w:tc>
          <w:tcPr>
            <w:tcW w:w="900" w:type="dxa"/>
            <w:vAlign w:val="bottom"/>
            <w:shd w:val="clear" w:color="auto" w:fill="4C4C4C"/>
          </w:tcPr>
          <w:p>
            <w:pPr>
              <w:spacing w:after="0"/>
              <w:rPr>
                <w:sz w:val="5"/>
                <w:szCs w:val="5"/>
                <w:color w:val="auto"/>
              </w:rPr>
            </w:pPr>
          </w:p>
        </w:tc>
        <w:tc>
          <w:tcPr>
            <w:tcW w:w="820" w:type="dxa"/>
            <w:vAlign w:val="bottom"/>
            <w:shd w:val="clear" w:color="auto" w:fill="4C4C4C"/>
          </w:tcPr>
          <w:p>
            <w:pPr>
              <w:spacing w:after="0"/>
              <w:rPr>
                <w:sz w:val="5"/>
                <w:szCs w:val="5"/>
                <w:color w:val="auto"/>
              </w:rPr>
            </w:pPr>
          </w:p>
        </w:tc>
        <w:tc>
          <w:tcPr>
            <w:tcW w:w="840" w:type="dxa"/>
            <w:vAlign w:val="bottom"/>
            <w:shd w:val="clear" w:color="auto" w:fill="4C4C4C"/>
          </w:tcPr>
          <w:p>
            <w:pPr>
              <w:spacing w:after="0"/>
              <w:rPr>
                <w:sz w:val="5"/>
                <w:szCs w:val="5"/>
                <w:color w:val="auto"/>
              </w:rPr>
            </w:pPr>
          </w:p>
        </w:tc>
        <w:tc>
          <w:tcPr>
            <w:tcW w:w="740" w:type="dxa"/>
            <w:vAlign w:val="bottom"/>
            <w:shd w:val="clear" w:color="auto" w:fill="4C4C4C"/>
          </w:tcPr>
          <w:p>
            <w:pPr>
              <w:spacing w:after="0"/>
              <w:rPr>
                <w:sz w:val="5"/>
                <w:szCs w:val="5"/>
                <w:color w:val="auto"/>
              </w:rPr>
            </w:pPr>
          </w:p>
        </w:tc>
        <w:tc>
          <w:tcPr>
            <w:tcW w:w="940" w:type="dxa"/>
            <w:vAlign w:val="bottom"/>
            <w:shd w:val="clear" w:color="auto" w:fill="4C4C4C"/>
          </w:tcPr>
          <w:p>
            <w:pPr>
              <w:spacing w:after="0"/>
              <w:rPr>
                <w:sz w:val="5"/>
                <w:szCs w:val="5"/>
                <w:color w:val="auto"/>
              </w:rPr>
            </w:pPr>
          </w:p>
        </w:tc>
        <w:tc>
          <w:tcPr>
            <w:tcW w:w="700" w:type="dxa"/>
            <w:vAlign w:val="bottom"/>
            <w:shd w:val="clear" w:color="auto" w:fill="4C4C4C"/>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2023</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Crude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75.45</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80.51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71.99</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82.70</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79.50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NGL,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23.88</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24.44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64.10</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44.72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34.35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13.64</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2.04</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Bitumen,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49.64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Synthetic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77.56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21"/>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36.37</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20.70</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5.26</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21"/>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bitumen</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synthetic oil</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45.91</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Crude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75.48</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77.82</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71.92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74.59</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NGL,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19.13</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45.64</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5.25</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22.22</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5.89</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8.54</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53.49</w:t>
            </w:r>
          </w:p>
        </w:tc>
        <w:tc>
          <w:tcPr>
            <w:tcW w:w="9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43.99</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6.74</w:t>
            </w:r>
          </w:p>
        </w:tc>
        <w:tc>
          <w:tcPr>
            <w:tcW w:w="74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Crude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75.45</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80.51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74.13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82.66</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77.83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NGL,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23.86</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24.44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64.10</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44.72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40.59</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34.35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16.71</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Bitumen,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Synthetic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77.56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10.15</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39.09</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19.79</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bitumen</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synthetic oil</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45.91</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424"/>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2022</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Crude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93.60</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97.05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91.32</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103.45</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94.94</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94.43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NGL,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38.54</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45.22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71.43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57.83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35.77</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46.91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5.37</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21.17</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2.57</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Bitumen,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64.12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Synthetic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96.08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23.77</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21.68</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21"/>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bitumen</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synthetic oil</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51.52</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Crude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94.58</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90.91</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60.00</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94.32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NGL,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39.53</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59.52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21.10</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13.08</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40.42</w:t>
            </w:r>
          </w:p>
        </w:tc>
        <w:tc>
          <w:tcPr>
            <w:tcW w:w="9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26.86</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42.24</w:t>
            </w:r>
          </w:p>
        </w:tc>
        <w:tc>
          <w:tcPr>
            <w:tcW w:w="74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Crude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93.67</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97.05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91.15</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103.42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94.73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94.43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NGL,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38.55</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45.22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71.43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57.83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52.85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46.91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2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5.37</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21.14</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Bitumen,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64.12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0" w:type="dxa"/>
            <w:vAlign w:val="bottom"/>
          </w:tcPr>
          <w:p>
            <w:pPr>
              <w:spacing w:after="0"/>
              <w:rPr>
                <w:sz w:val="1"/>
                <w:szCs w:val="1"/>
                <w:color w:val="auto"/>
              </w:rPr>
            </w:pPr>
          </w:p>
        </w:tc>
      </w:tr>
      <w:tr>
        <w:trPr>
          <w:trHeight w:val="221"/>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Synthetic oil, per barrel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96.08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0" w:type="dxa"/>
            <w:vAlign w:val="bottom"/>
          </w:tcPr>
          <w:p>
            <w:pPr>
              <w:spacing w:after="0"/>
              <w:rPr>
                <w:sz w:val="1"/>
                <w:szCs w:val="1"/>
                <w:color w:val="auto"/>
              </w:rPr>
            </w:pPr>
          </w:p>
        </w:tc>
      </w:tr>
      <w:tr>
        <w:trPr>
          <w:trHeight w:val="221"/>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10.57</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25.43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21.79</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bitumen</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Average production costs, per barrel - synthetic oil</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51.52</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880" w:h="15480" w:orient="portrait"/>
          <w:cols w:equalWidth="0" w:num="1">
            <w:col w:w="10600"/>
          </w:cols>
          <w:pgMar w:left="640" w:top="724" w:right="640" w:bottom="0"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600"/>
          </w:cols>
          <w:pgMar w:left="640" w:top="724" w:right="640" w:bottom="0" w:gutter="0" w:footer="0" w:header="0"/>
          <w:type w:val="continuous"/>
        </w:sectPr>
      </w:pPr>
    </w:p>
    <w:bookmarkStart w:id="23" w:name="page24"/>
    <w:bookmarkEnd w:id="23"/>
    <w:tbl>
      <w:tblPr>
        <w:tblLayout w:type="fixed"/>
        <w:tblInd w:w="20" w:type="dxa"/>
        <w:tblCellMar>
          <w:top w:w="0" w:type="dxa"/>
          <w:left w:w="0" w:type="dxa"/>
          <w:bottom w:w="0" w:type="dxa"/>
          <w:right w:w="0" w:type="dxa"/>
        </w:tblCellMar>
      </w:tblPr>
      <w:tr>
        <w:trPr>
          <w:trHeight w:val="192"/>
        </w:trPr>
        <w:tc>
          <w:tcPr>
            <w:tcW w:w="4560" w:type="dxa"/>
            <w:vAlign w:val="bottom"/>
            <w:shd w:val="clear" w:color="auto" w:fill="4C4C4C"/>
          </w:tcPr>
          <w:p>
            <w:pPr>
              <w:spacing w:after="0"/>
              <w:rPr>
                <w:sz w:val="16"/>
                <w:szCs w:val="16"/>
                <w:color w:val="auto"/>
              </w:rPr>
            </w:pPr>
          </w:p>
        </w:tc>
        <w:tc>
          <w:tcPr>
            <w:tcW w:w="1060" w:type="dxa"/>
            <w:vAlign w:val="bottom"/>
            <w:vMerge w:val="restart"/>
            <w:shd w:val="clear" w:color="auto" w:fill="4C4C4C"/>
          </w:tcPr>
          <w:p>
            <w:pPr>
              <w:jc w:val="right"/>
              <w:ind w:right="93"/>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9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Canada/</w:t>
            </w:r>
          </w:p>
        </w:tc>
        <w:tc>
          <w:tcPr>
            <w:tcW w:w="820" w:type="dxa"/>
            <w:vAlign w:val="bottom"/>
            <w:shd w:val="clear" w:color="auto" w:fill="4C4C4C"/>
          </w:tcPr>
          <w:p>
            <w:pPr>
              <w:spacing w:after="0"/>
              <w:rPr>
                <w:sz w:val="16"/>
                <w:szCs w:val="16"/>
                <w:color w:val="auto"/>
              </w:rPr>
            </w:pPr>
          </w:p>
        </w:tc>
        <w:tc>
          <w:tcPr>
            <w:tcW w:w="840" w:type="dxa"/>
            <w:vAlign w:val="bottom"/>
            <w:shd w:val="clear" w:color="auto" w:fill="4C4C4C"/>
          </w:tcPr>
          <w:p>
            <w:pPr>
              <w:spacing w:after="0"/>
              <w:rPr>
                <w:sz w:val="16"/>
                <w:szCs w:val="16"/>
                <w:color w:val="auto"/>
              </w:rPr>
            </w:pPr>
          </w:p>
        </w:tc>
        <w:tc>
          <w:tcPr>
            <w:tcW w:w="720" w:type="dxa"/>
            <w:vAlign w:val="bottom"/>
            <w:shd w:val="clear" w:color="auto" w:fill="4C4C4C"/>
          </w:tcPr>
          <w:p>
            <w:pPr>
              <w:spacing w:after="0"/>
              <w:rPr>
                <w:sz w:val="16"/>
                <w:szCs w:val="16"/>
                <w:color w:val="auto"/>
              </w:rPr>
            </w:pPr>
          </w:p>
        </w:tc>
        <w:tc>
          <w:tcPr>
            <w:tcW w:w="940" w:type="dxa"/>
            <w:vAlign w:val="bottom"/>
            <w:vMerge w:val="restart"/>
            <w:shd w:val="clear" w:color="auto" w:fill="4C4C4C"/>
          </w:tcPr>
          <w:p>
            <w:pPr>
              <w:jc w:val="right"/>
              <w:ind w:right="73"/>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720" w:type="dxa"/>
            <w:vAlign w:val="bottom"/>
            <w:shd w:val="clear" w:color="auto" w:fill="4C4C4C"/>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560" w:type="dxa"/>
            <w:vAlign w:val="bottom"/>
            <w:vMerge w:val="restart"/>
            <w:shd w:val="clear" w:color="auto" w:fill="4C4C4C"/>
          </w:tcPr>
          <w:p>
            <w:pPr>
              <w:ind w:left="60"/>
              <w:spacing w:after="0" w:line="158" w:lineRule="exact"/>
              <w:rPr>
                <w:sz w:val="20"/>
                <w:szCs w:val="20"/>
                <w:color w:val="auto"/>
              </w:rPr>
            </w:pPr>
            <w:r>
              <w:rPr>
                <w:rFonts w:ascii="Times New Roman" w:cs="Times New Roman" w:eastAsia="Times New Roman" w:hAnsi="Times New Roman"/>
                <w:sz w:val="16"/>
                <w:szCs w:val="16"/>
                <w:i w:val="1"/>
                <w:iCs w:val="1"/>
                <w:color w:val="FFFFFF"/>
              </w:rPr>
              <w:t>(dollars per unit)</w:t>
            </w:r>
          </w:p>
        </w:tc>
        <w:tc>
          <w:tcPr>
            <w:tcW w:w="1060" w:type="dxa"/>
            <w:vAlign w:val="bottom"/>
            <w:vMerge w:val="continue"/>
            <w:shd w:val="clear" w:color="auto" w:fill="4C4C4C"/>
          </w:tcPr>
          <w:p>
            <w:pPr>
              <w:spacing w:after="0"/>
              <w:rPr>
                <w:sz w:val="6"/>
                <w:szCs w:val="6"/>
                <w:color w:val="auto"/>
              </w:rPr>
            </w:pPr>
          </w:p>
        </w:tc>
        <w:tc>
          <w:tcPr>
            <w:tcW w:w="900" w:type="dxa"/>
            <w:vAlign w:val="bottom"/>
            <w:vMerge w:val="restart"/>
            <w:shd w:val="clear" w:color="auto" w:fill="4C4C4C"/>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FFFFFF"/>
                <w:w w:val="97"/>
              </w:rPr>
              <w:t>Other</w:t>
            </w:r>
          </w:p>
        </w:tc>
        <w:tc>
          <w:tcPr>
            <w:tcW w:w="820" w:type="dxa"/>
            <w:vAlign w:val="bottom"/>
            <w:vMerge w:val="restart"/>
            <w:shd w:val="clear" w:color="auto" w:fill="4C4C4C"/>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FFFFFF"/>
              </w:rPr>
              <w:t>Europe</w:t>
            </w:r>
          </w:p>
        </w:tc>
        <w:tc>
          <w:tcPr>
            <w:tcW w:w="840" w:type="dxa"/>
            <w:vAlign w:val="bottom"/>
            <w:vMerge w:val="restart"/>
            <w:shd w:val="clear" w:color="auto" w:fill="4C4C4C"/>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FFFFFF"/>
              </w:rPr>
              <w:t>Africa</w:t>
            </w:r>
          </w:p>
        </w:tc>
        <w:tc>
          <w:tcPr>
            <w:tcW w:w="720" w:type="dxa"/>
            <w:vAlign w:val="bottom"/>
            <w:vMerge w:val="restart"/>
            <w:shd w:val="clear" w:color="auto" w:fill="4C4C4C"/>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FFFFFF"/>
              </w:rPr>
              <w:t>Asia</w:t>
            </w:r>
          </w:p>
        </w:tc>
        <w:tc>
          <w:tcPr>
            <w:tcW w:w="940" w:type="dxa"/>
            <w:vAlign w:val="bottom"/>
            <w:vMerge w:val="continue"/>
            <w:shd w:val="clear" w:color="auto" w:fill="4C4C4C"/>
          </w:tcPr>
          <w:p>
            <w:pPr>
              <w:spacing w:after="0"/>
              <w:rPr>
                <w:sz w:val="6"/>
                <w:szCs w:val="6"/>
                <w:color w:val="auto"/>
              </w:rPr>
            </w:pPr>
          </w:p>
        </w:tc>
        <w:tc>
          <w:tcPr>
            <w:tcW w:w="720" w:type="dxa"/>
            <w:vAlign w:val="bottom"/>
            <w:vMerge w:val="restart"/>
            <w:shd w:val="clear" w:color="auto" w:fill="4C4C4C"/>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80"/>
        </w:trPr>
        <w:tc>
          <w:tcPr>
            <w:tcW w:w="4560" w:type="dxa"/>
            <w:vAlign w:val="bottom"/>
            <w:vMerge w:val="continue"/>
            <w:shd w:val="clear" w:color="auto" w:fill="4C4C4C"/>
          </w:tcPr>
          <w:p>
            <w:pPr>
              <w:spacing w:after="0"/>
              <w:rPr>
                <w:sz w:val="6"/>
                <w:szCs w:val="6"/>
                <w:color w:val="auto"/>
              </w:rPr>
            </w:pPr>
          </w:p>
        </w:tc>
        <w:tc>
          <w:tcPr>
            <w:tcW w:w="1060" w:type="dxa"/>
            <w:vAlign w:val="bottom"/>
            <w:vMerge w:val="restart"/>
            <w:shd w:val="clear" w:color="auto" w:fill="4C4C4C"/>
          </w:tcPr>
          <w:p>
            <w:pPr>
              <w:jc w:val="right"/>
              <w:ind w:right="133"/>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900" w:type="dxa"/>
            <w:vAlign w:val="bottom"/>
            <w:vMerge w:val="continue"/>
            <w:shd w:val="clear" w:color="auto" w:fill="4C4C4C"/>
          </w:tcPr>
          <w:p>
            <w:pPr>
              <w:spacing w:after="0"/>
              <w:rPr>
                <w:sz w:val="6"/>
                <w:szCs w:val="6"/>
                <w:color w:val="auto"/>
              </w:rPr>
            </w:pPr>
          </w:p>
        </w:tc>
        <w:tc>
          <w:tcPr>
            <w:tcW w:w="820" w:type="dxa"/>
            <w:vAlign w:val="bottom"/>
            <w:vMerge w:val="continue"/>
            <w:shd w:val="clear" w:color="auto" w:fill="4C4C4C"/>
          </w:tcPr>
          <w:p>
            <w:pPr>
              <w:spacing w:after="0"/>
              <w:rPr>
                <w:sz w:val="6"/>
                <w:szCs w:val="6"/>
                <w:color w:val="auto"/>
              </w:rPr>
            </w:pPr>
          </w:p>
        </w:tc>
        <w:tc>
          <w:tcPr>
            <w:tcW w:w="840" w:type="dxa"/>
            <w:vAlign w:val="bottom"/>
            <w:vMerge w:val="continue"/>
            <w:shd w:val="clear" w:color="auto" w:fill="4C4C4C"/>
          </w:tcPr>
          <w:p>
            <w:pPr>
              <w:spacing w:after="0"/>
              <w:rPr>
                <w:sz w:val="6"/>
                <w:szCs w:val="6"/>
                <w:color w:val="auto"/>
              </w:rPr>
            </w:pPr>
          </w:p>
        </w:tc>
        <w:tc>
          <w:tcPr>
            <w:tcW w:w="720" w:type="dxa"/>
            <w:vAlign w:val="bottom"/>
            <w:vMerge w:val="continue"/>
            <w:shd w:val="clear" w:color="auto" w:fill="4C4C4C"/>
          </w:tcPr>
          <w:p>
            <w:pPr>
              <w:spacing w:after="0"/>
              <w:rPr>
                <w:sz w:val="6"/>
                <w:szCs w:val="6"/>
                <w:color w:val="auto"/>
              </w:rPr>
            </w:pPr>
          </w:p>
        </w:tc>
        <w:tc>
          <w:tcPr>
            <w:tcW w:w="940" w:type="dxa"/>
            <w:vAlign w:val="bottom"/>
            <w:vMerge w:val="restart"/>
            <w:shd w:val="clear" w:color="auto" w:fill="4C4C4C"/>
          </w:tcPr>
          <w:p>
            <w:pPr>
              <w:jc w:val="right"/>
              <w:ind w:right="133"/>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720" w:type="dxa"/>
            <w:vAlign w:val="bottom"/>
            <w:vMerge w:val="continue"/>
            <w:shd w:val="clear" w:color="auto" w:fill="4C4C4C"/>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560" w:type="dxa"/>
            <w:vAlign w:val="bottom"/>
            <w:shd w:val="clear" w:color="auto" w:fill="4C4C4C"/>
          </w:tcPr>
          <w:p>
            <w:pPr>
              <w:spacing w:after="0"/>
              <w:rPr>
                <w:sz w:val="11"/>
                <w:szCs w:val="11"/>
                <w:color w:val="auto"/>
              </w:rPr>
            </w:pPr>
          </w:p>
        </w:tc>
        <w:tc>
          <w:tcPr>
            <w:tcW w:w="1060" w:type="dxa"/>
            <w:vAlign w:val="bottom"/>
            <w:vMerge w:val="continue"/>
            <w:shd w:val="clear" w:color="auto" w:fill="4C4C4C"/>
          </w:tcPr>
          <w:p>
            <w:pPr>
              <w:spacing w:after="0"/>
              <w:rPr>
                <w:sz w:val="11"/>
                <w:szCs w:val="11"/>
                <w:color w:val="auto"/>
              </w:rPr>
            </w:pPr>
          </w:p>
        </w:tc>
        <w:tc>
          <w:tcPr>
            <w:tcW w:w="9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Americas</w:t>
            </w:r>
          </w:p>
        </w:tc>
        <w:tc>
          <w:tcPr>
            <w:tcW w:w="820" w:type="dxa"/>
            <w:vAlign w:val="bottom"/>
            <w:shd w:val="clear" w:color="auto" w:fill="4C4C4C"/>
          </w:tcPr>
          <w:p>
            <w:pPr>
              <w:spacing w:after="0"/>
              <w:rPr>
                <w:sz w:val="11"/>
                <w:szCs w:val="11"/>
                <w:color w:val="auto"/>
              </w:rPr>
            </w:pPr>
          </w:p>
        </w:tc>
        <w:tc>
          <w:tcPr>
            <w:tcW w:w="840" w:type="dxa"/>
            <w:vAlign w:val="bottom"/>
            <w:shd w:val="clear" w:color="auto" w:fill="4C4C4C"/>
          </w:tcPr>
          <w:p>
            <w:pPr>
              <w:spacing w:after="0"/>
              <w:rPr>
                <w:sz w:val="11"/>
                <w:szCs w:val="11"/>
                <w:color w:val="auto"/>
              </w:rPr>
            </w:pPr>
          </w:p>
        </w:tc>
        <w:tc>
          <w:tcPr>
            <w:tcW w:w="720" w:type="dxa"/>
            <w:vAlign w:val="bottom"/>
            <w:shd w:val="clear" w:color="auto" w:fill="4C4C4C"/>
          </w:tcPr>
          <w:p>
            <w:pPr>
              <w:spacing w:after="0"/>
              <w:rPr>
                <w:sz w:val="11"/>
                <w:szCs w:val="11"/>
                <w:color w:val="auto"/>
              </w:rPr>
            </w:pPr>
          </w:p>
        </w:tc>
        <w:tc>
          <w:tcPr>
            <w:tcW w:w="940" w:type="dxa"/>
            <w:vAlign w:val="bottom"/>
            <w:vMerge w:val="continue"/>
            <w:shd w:val="clear" w:color="auto" w:fill="4C4C4C"/>
          </w:tcPr>
          <w:p>
            <w:pPr>
              <w:spacing w:after="0"/>
              <w:rPr>
                <w:sz w:val="11"/>
                <w:szCs w:val="11"/>
                <w:color w:val="auto"/>
              </w:rPr>
            </w:pPr>
          </w:p>
        </w:tc>
        <w:tc>
          <w:tcPr>
            <w:tcW w:w="720" w:type="dxa"/>
            <w:vAlign w:val="bottom"/>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560" w:type="dxa"/>
            <w:vAlign w:val="bottom"/>
            <w:tcBorders>
              <w:bottom w:val="single" w:sz="8" w:color="4C4C4C"/>
            </w:tcBorders>
            <w:shd w:val="clear" w:color="auto" w:fill="4C4C4C"/>
          </w:tcPr>
          <w:p>
            <w:pPr>
              <w:spacing w:after="0"/>
              <w:rPr>
                <w:sz w:val="9"/>
                <w:szCs w:val="9"/>
                <w:color w:val="auto"/>
              </w:rPr>
            </w:pPr>
          </w:p>
        </w:tc>
        <w:tc>
          <w:tcPr>
            <w:tcW w:w="1060" w:type="dxa"/>
            <w:vAlign w:val="bottom"/>
            <w:tcBorders>
              <w:bottom w:val="single" w:sz="8" w:color="4C4C4C"/>
            </w:tcBorders>
            <w:shd w:val="clear" w:color="auto" w:fill="4C4C4C"/>
          </w:tcPr>
          <w:p>
            <w:pPr>
              <w:spacing w:after="0"/>
              <w:rPr>
                <w:sz w:val="9"/>
                <w:szCs w:val="9"/>
                <w:color w:val="auto"/>
              </w:rPr>
            </w:pPr>
          </w:p>
        </w:tc>
        <w:tc>
          <w:tcPr>
            <w:tcW w:w="900" w:type="dxa"/>
            <w:vAlign w:val="bottom"/>
            <w:tcBorders>
              <w:bottom w:val="single" w:sz="8" w:color="4C4C4C"/>
            </w:tcBorders>
            <w:vMerge w:val="continue"/>
            <w:shd w:val="clear" w:color="auto" w:fill="4C4C4C"/>
          </w:tcPr>
          <w:p>
            <w:pPr>
              <w:spacing w:after="0"/>
              <w:rPr>
                <w:sz w:val="9"/>
                <w:szCs w:val="9"/>
                <w:color w:val="auto"/>
              </w:rPr>
            </w:pPr>
          </w:p>
        </w:tc>
        <w:tc>
          <w:tcPr>
            <w:tcW w:w="820" w:type="dxa"/>
            <w:vAlign w:val="bottom"/>
            <w:tcBorders>
              <w:bottom w:val="single" w:sz="8" w:color="4C4C4C"/>
            </w:tcBorders>
            <w:shd w:val="clear" w:color="auto" w:fill="4C4C4C"/>
          </w:tcPr>
          <w:p>
            <w:pPr>
              <w:spacing w:after="0"/>
              <w:rPr>
                <w:sz w:val="9"/>
                <w:szCs w:val="9"/>
                <w:color w:val="auto"/>
              </w:rPr>
            </w:pPr>
          </w:p>
        </w:tc>
        <w:tc>
          <w:tcPr>
            <w:tcW w:w="840" w:type="dxa"/>
            <w:vAlign w:val="bottom"/>
            <w:tcBorders>
              <w:bottom w:val="single" w:sz="8" w:color="4C4C4C"/>
            </w:tcBorders>
            <w:shd w:val="clear" w:color="auto" w:fill="4C4C4C"/>
          </w:tcPr>
          <w:p>
            <w:pPr>
              <w:spacing w:after="0"/>
              <w:rPr>
                <w:sz w:val="9"/>
                <w:szCs w:val="9"/>
                <w:color w:val="auto"/>
              </w:rPr>
            </w:pPr>
          </w:p>
        </w:tc>
        <w:tc>
          <w:tcPr>
            <w:tcW w:w="720" w:type="dxa"/>
            <w:vAlign w:val="bottom"/>
            <w:tcBorders>
              <w:bottom w:val="single" w:sz="8" w:color="4C4C4C"/>
            </w:tcBorders>
            <w:shd w:val="clear" w:color="auto" w:fill="4C4C4C"/>
          </w:tcPr>
          <w:p>
            <w:pPr>
              <w:spacing w:after="0"/>
              <w:rPr>
                <w:sz w:val="9"/>
                <w:szCs w:val="9"/>
                <w:color w:val="auto"/>
              </w:rPr>
            </w:pPr>
          </w:p>
        </w:tc>
        <w:tc>
          <w:tcPr>
            <w:tcW w:w="940" w:type="dxa"/>
            <w:vAlign w:val="bottom"/>
            <w:tcBorders>
              <w:bottom w:val="single" w:sz="8" w:color="4C4C4C"/>
            </w:tcBorders>
            <w:shd w:val="clear" w:color="auto" w:fill="4C4C4C"/>
          </w:tcPr>
          <w:p>
            <w:pPr>
              <w:spacing w:after="0"/>
              <w:rPr>
                <w:sz w:val="9"/>
                <w:szCs w:val="9"/>
                <w:color w:val="auto"/>
              </w:rPr>
            </w:pPr>
          </w:p>
        </w:tc>
        <w:tc>
          <w:tcPr>
            <w:tcW w:w="720" w:type="dxa"/>
            <w:vAlign w:val="bottom"/>
            <w:tcBorders>
              <w:bottom w:val="single" w:sz="8" w:color="4C4C4C"/>
            </w:tcBorders>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2021</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Crude oil,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65.03</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68.56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66.20</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70.21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67.28</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69.00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21"/>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NGL,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32.24</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30.51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42.31</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54.57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32.62</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20"/>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11.83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6.64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1"/>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Bitumen,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44.26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20"/>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Synthetic oil,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64.73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1"/>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8.33</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22.47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25.31</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18.92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1"/>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production costs, per barrel - bitumen</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22.69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Average production costs, per barrel - synthetic oil</w:t>
            </w:r>
          </w:p>
        </w:tc>
        <w:tc>
          <w:tcPr>
            <w:tcW w:w="10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48.87</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50"/>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Crude oil,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67.06</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62.60</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65.85</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0" w:type="dxa"/>
            <w:vAlign w:val="bottom"/>
          </w:tcPr>
          <w:p>
            <w:pPr>
              <w:spacing w:after="0"/>
              <w:rPr>
                <w:sz w:val="1"/>
                <w:szCs w:val="1"/>
                <w:color w:val="auto"/>
              </w:rPr>
            </w:pPr>
          </w:p>
        </w:tc>
      </w:tr>
      <w:tr>
        <w:trPr>
          <w:trHeight w:val="221"/>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NGL,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29.94</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52.14</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0" w:type="dxa"/>
            <w:vAlign w:val="bottom"/>
          </w:tcPr>
          <w:p>
            <w:pPr>
              <w:spacing w:after="0"/>
              <w:rPr>
                <w:sz w:val="1"/>
                <w:szCs w:val="1"/>
                <w:color w:val="auto"/>
              </w:rPr>
            </w:pPr>
          </w:p>
        </w:tc>
      </w:tr>
      <w:tr>
        <w:trPr>
          <w:trHeight w:val="220"/>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8.19</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6.54</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30.51</w:t>
            </w:r>
          </w:p>
        </w:tc>
        <w:tc>
          <w:tcPr>
            <w:tcW w:w="90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38.82</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50"/>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production prices</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Crude oil,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65.20</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68.56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65.54</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70.21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66.80</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69.00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0" w:type="dxa"/>
            <w:vAlign w:val="bottom"/>
          </w:tcPr>
          <w:p>
            <w:pPr>
              <w:spacing w:after="0"/>
              <w:rPr>
                <w:sz w:val="1"/>
                <w:szCs w:val="1"/>
                <w:color w:val="auto"/>
              </w:rPr>
            </w:pPr>
          </w:p>
        </w:tc>
      </w:tr>
      <w:tr>
        <w:trPr>
          <w:trHeight w:val="220"/>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NGL,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32.23</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30.51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42.31</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54.57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47.10</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20"/>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per thousand cubic feet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9.89</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6.64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0"/>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Bitumen,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44.26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20"/>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Synthetic oil, per barrel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64.73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1"/>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production costs, per oil-equivalent barrel - total</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9.24</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22.47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31.79</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19.04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0"/>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production costs, per barrel - bitumen</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22.69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Average production costs, per barrel - synthetic oil</w:t>
            </w:r>
          </w:p>
        </w:tc>
        <w:tc>
          <w:tcPr>
            <w:tcW w:w="10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48.87</w:t>
            </w:r>
          </w:p>
        </w:tc>
        <w:tc>
          <w:tcPr>
            <w:tcW w:w="8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Average production prices have been calculated by using sales quantities from the Corporation’s own production as the divisor. Average production costs have been computed by using net production quantities for the divisor. The volumes of crude oil and natural gas liquids (NGL) production used for this computation are shown in the oil and gas production table in section 3.A. The volumes of natural gas used in the calculation are the production volumes of natural gas available for sale and are also shown in section 3.A. The natural gas available for sale volumes are different from those shown in the reserves table in the “Oil and Gas Reserves” part of the “Supplemental Information on Oil and Gas Exploration and Production Activities” portion of the Financial Section of this report due to volumes consumed or flared. Natural gas is converted to an oil-equivalent basis at six million cubic feet per one thousand barrels.</w:t>
      </w:r>
    </w:p>
    <w:p>
      <w:pPr>
        <w:sectPr>
          <w:pgSz w:w="11880" w:h="15480" w:orient="portrait"/>
          <w:cols w:equalWidth="0" w:num="1">
            <w:col w:w="10600"/>
          </w:cols>
          <w:pgMar w:left="640" w:top="792"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600"/>
          </w:cols>
          <w:pgMar w:left="640" w:top="792" w:right="64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4"/>
          <w:szCs w:val="24"/>
          <w:b w:val="1"/>
          <w:bCs w:val="1"/>
          <w:color w:val="4C4C4C"/>
        </w:rPr>
        <w:t>4. Drilling and Other Exploratory and Development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A. Number of Net Productive and Dry Wells Drilled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620" w:type="dxa"/>
            <w:vAlign w:val="bottom"/>
            <w:tcBorders>
              <w:bottom w:val="single" w:sz="8" w:color="4C4C4C"/>
            </w:tcBorders>
            <w:shd w:val="clear" w:color="auto" w:fill="4C4C4C"/>
          </w:tcPr>
          <w:p>
            <w:pPr>
              <w:spacing w:after="0"/>
              <w:rPr>
                <w:sz w:val="23"/>
                <w:szCs w:val="23"/>
                <w:color w:val="auto"/>
              </w:rPr>
            </w:pPr>
          </w:p>
        </w:tc>
        <w:tc>
          <w:tcPr>
            <w:tcW w:w="12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800" w:type="dxa"/>
            <w:vAlign w:val="bottom"/>
            <w:tcBorders>
              <w:bottom w:val="single" w:sz="8" w:color="4C4C4C"/>
            </w:tcBorders>
            <w:shd w:val="clear" w:color="auto" w:fill="4C4C4C"/>
          </w:tcPr>
          <w:p>
            <w:pPr>
              <w:jc w:val="right"/>
              <w:ind w:right="403"/>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41"/>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Net Productive Exploratory Wells Drilled</w:t>
            </w:r>
          </w:p>
        </w:tc>
        <w:tc>
          <w:tcPr>
            <w:tcW w:w="1260" w:type="dxa"/>
            <w:vAlign w:val="bottom"/>
            <w:shd w:val="clear" w:color="auto" w:fill="F0F0F0"/>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1260" w:type="dxa"/>
            <w:vAlign w:val="bottom"/>
            <w:shd w:val="clear" w:color="auto" w:fill="F0F0F0"/>
          </w:tcPr>
          <w:p>
            <w:pPr>
              <w:spacing w:after="0"/>
              <w:rPr>
                <w:sz w:val="23"/>
                <w:szCs w:val="23"/>
                <w:color w:val="auto"/>
              </w:rPr>
            </w:pPr>
          </w:p>
        </w:tc>
        <w:tc>
          <w:tcPr>
            <w:tcW w:w="18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9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Canada/Other Americas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4</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26"/>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1260" w:type="dxa"/>
            <w:vAlign w:val="bottom"/>
            <w:tcBorders>
              <w:top w:val="single" w:sz="8" w:color="4C4C4C"/>
            </w:tcBorders>
            <w:shd w:val="clear" w:color="auto" w:fill="F0F0F0"/>
          </w:tcPr>
          <w:p>
            <w:pPr>
              <w:spacing w:after="0"/>
              <w:rPr>
                <w:sz w:val="24"/>
                <w:szCs w:val="24"/>
                <w:color w:val="auto"/>
              </w:rPr>
            </w:pPr>
          </w:p>
        </w:tc>
        <w:tc>
          <w:tcPr>
            <w:tcW w:w="1800" w:type="dxa"/>
            <w:vAlign w:val="bottom"/>
            <w:tcBorders>
              <w:top w:val="single" w:sz="8" w:color="4C4C4C"/>
            </w:tcBorders>
          </w:tcPr>
          <w:p>
            <w:pPr>
              <w:spacing w:after="0"/>
              <w:rPr>
                <w:sz w:val="24"/>
                <w:szCs w:val="24"/>
                <w:color w:val="auto"/>
              </w:rPr>
            </w:pPr>
          </w:p>
        </w:tc>
        <w:tc>
          <w:tcPr>
            <w:tcW w:w="880" w:type="dxa"/>
            <w:vAlign w:val="bottom"/>
            <w:tcBorders>
              <w:top w:val="single" w:sz="8" w:color="4C4C4C"/>
            </w:tcBorders>
          </w:tcPr>
          <w:p>
            <w:pPr>
              <w:spacing w:after="0"/>
              <w:rPr>
                <w:sz w:val="24"/>
                <w:szCs w:val="24"/>
                <w:color w:val="auto"/>
              </w:rPr>
            </w:pPr>
          </w:p>
        </w:tc>
      </w:tr>
      <w:tr>
        <w:trPr>
          <w:trHeight w:val="27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Equity Companies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productive exploratory wells drilled</w:t>
            </w:r>
          </w:p>
        </w:tc>
        <w:tc>
          <w:tcPr>
            <w:tcW w:w="126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1800" w:type="dxa"/>
            <w:vAlign w:val="bottom"/>
            <w:tcBorders>
              <w:top w:val="single" w:sz="8" w:color="4C4C4C"/>
              <w:bottom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b w:val="1"/>
                <w:bCs w:val="1"/>
                <w:color w:val="auto"/>
              </w:rPr>
              <w:t>4</w:t>
            </w:r>
          </w:p>
        </w:tc>
        <w:tc>
          <w:tcPr>
            <w:tcW w:w="8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r>
      <w:tr>
        <w:trPr>
          <w:trHeight w:val="562"/>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Net Dry Exploratory Wells Drilled</w:t>
            </w:r>
          </w:p>
        </w:tc>
        <w:tc>
          <w:tcPr>
            <w:tcW w:w="1260" w:type="dxa"/>
            <w:vAlign w:val="bottom"/>
            <w:shd w:val="clear" w:color="auto" w:fill="F0F0F0"/>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1260" w:type="dxa"/>
            <w:vAlign w:val="bottom"/>
            <w:shd w:val="clear" w:color="auto" w:fill="F0F0F0"/>
          </w:tcPr>
          <w:p>
            <w:pPr>
              <w:spacing w:after="0"/>
              <w:rPr>
                <w:sz w:val="23"/>
                <w:szCs w:val="23"/>
                <w:color w:val="auto"/>
              </w:rPr>
            </w:pPr>
          </w:p>
        </w:tc>
        <w:tc>
          <w:tcPr>
            <w:tcW w:w="18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9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Canada/Other Americas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4</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26"/>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1260" w:type="dxa"/>
            <w:vAlign w:val="bottom"/>
            <w:tcBorders>
              <w:top w:val="single" w:sz="8" w:color="4C4C4C"/>
            </w:tcBorders>
            <w:shd w:val="clear" w:color="auto" w:fill="F0F0F0"/>
          </w:tcPr>
          <w:p>
            <w:pPr>
              <w:spacing w:after="0"/>
              <w:rPr>
                <w:sz w:val="24"/>
                <w:szCs w:val="24"/>
                <w:color w:val="auto"/>
              </w:rPr>
            </w:pPr>
          </w:p>
        </w:tc>
        <w:tc>
          <w:tcPr>
            <w:tcW w:w="1800" w:type="dxa"/>
            <w:vAlign w:val="bottom"/>
            <w:tcBorders>
              <w:top w:val="single" w:sz="8" w:color="4C4C4C"/>
            </w:tcBorders>
          </w:tcPr>
          <w:p>
            <w:pPr>
              <w:spacing w:after="0"/>
              <w:rPr>
                <w:sz w:val="24"/>
                <w:szCs w:val="24"/>
                <w:color w:val="auto"/>
              </w:rPr>
            </w:pPr>
          </w:p>
        </w:tc>
        <w:tc>
          <w:tcPr>
            <w:tcW w:w="880" w:type="dxa"/>
            <w:vAlign w:val="bottom"/>
            <w:tcBorders>
              <w:top w:val="single" w:sz="8" w:color="4C4C4C"/>
            </w:tcBorders>
          </w:tcPr>
          <w:p>
            <w:pPr>
              <w:spacing w:after="0"/>
              <w:rPr>
                <w:sz w:val="24"/>
                <w:szCs w:val="24"/>
                <w:color w:val="auto"/>
              </w:rPr>
            </w:pPr>
          </w:p>
        </w:tc>
      </w:tr>
      <w:tr>
        <w:trPr>
          <w:trHeight w:val="27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Total Equity Companies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dry exploratory wells drilled</w:t>
            </w:r>
          </w:p>
        </w:tc>
        <w:tc>
          <w:tcPr>
            <w:tcW w:w="126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1800" w:type="dxa"/>
            <w:vAlign w:val="bottom"/>
            <w:tcBorders>
              <w:top w:val="single" w:sz="8" w:color="4C4C4C"/>
              <w:bottom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b w:val="1"/>
                <w:bCs w:val="1"/>
                <w:color w:val="auto"/>
              </w:rPr>
              <w:t>4</w:t>
            </w:r>
          </w:p>
        </w:tc>
        <w:tc>
          <w:tcPr>
            <w:tcW w:w="8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-3220085</wp:posOffset>
                </wp:positionV>
                <wp:extent cx="671131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31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53.5499pt" to="529.2pt,-253.5499pt" o:allowincell="f" strokecolor="#FFFFFF" strokeweight="0.01pt"/>
            </w:pict>
          </mc:Fallback>
        </mc:AlternateContent>
      </w:r>
    </w:p>
    <w:p>
      <w:pPr>
        <w:sectPr>
          <w:pgSz w:w="11880" w:h="15480" w:orient="portrait"/>
          <w:cols w:equalWidth="0" w:num="1">
            <w:col w:w="10580"/>
          </w:cols>
          <w:pgMar w:left="640" w:top="711"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580"/>
          </w:cols>
          <w:pgMar w:left="640" w:top="711" w:right="660"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74"/>
        </w:trPr>
        <w:tc>
          <w:tcPr>
            <w:tcW w:w="6620" w:type="dxa"/>
            <w:vAlign w:val="bottom"/>
            <w:tcBorders>
              <w:bottom w:val="single" w:sz="8" w:color="4C4C4C"/>
            </w:tcBorders>
            <w:shd w:val="clear" w:color="auto" w:fill="4C4C4C"/>
          </w:tcPr>
          <w:p>
            <w:pPr>
              <w:spacing w:after="0"/>
              <w:rPr>
                <w:sz w:val="23"/>
                <w:szCs w:val="23"/>
                <w:color w:val="auto"/>
              </w:rPr>
            </w:pPr>
          </w:p>
        </w:tc>
        <w:tc>
          <w:tcPr>
            <w:tcW w:w="12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800" w:type="dxa"/>
            <w:vAlign w:val="bottom"/>
            <w:tcBorders>
              <w:bottom w:val="single" w:sz="8" w:color="4C4C4C"/>
            </w:tcBorders>
            <w:shd w:val="clear" w:color="auto" w:fill="4C4C4C"/>
          </w:tcPr>
          <w:p>
            <w:pPr>
              <w:jc w:val="right"/>
              <w:ind w:right="403"/>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41"/>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Net Productive Development Wells Drilled</w:t>
            </w:r>
          </w:p>
        </w:tc>
        <w:tc>
          <w:tcPr>
            <w:tcW w:w="1260" w:type="dxa"/>
            <w:vAlign w:val="bottom"/>
            <w:shd w:val="clear" w:color="auto" w:fill="F0F0F0"/>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1260" w:type="dxa"/>
            <w:vAlign w:val="bottom"/>
            <w:shd w:val="clear" w:color="auto" w:fill="F0F0F0"/>
          </w:tcPr>
          <w:p>
            <w:pPr>
              <w:spacing w:after="0"/>
              <w:rPr>
                <w:sz w:val="23"/>
                <w:szCs w:val="23"/>
                <w:color w:val="auto"/>
              </w:rPr>
            </w:pPr>
          </w:p>
        </w:tc>
        <w:tc>
          <w:tcPr>
            <w:tcW w:w="18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9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473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Canada/Other Americas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33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514</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467</w:t>
            </w:r>
          </w:p>
        </w:tc>
      </w:tr>
      <w:tr>
        <w:trPr>
          <w:trHeight w:val="307"/>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1260" w:type="dxa"/>
            <w:vAlign w:val="bottom"/>
            <w:tcBorders>
              <w:top w:val="single" w:sz="8" w:color="4C4C4C"/>
            </w:tcBorders>
            <w:shd w:val="clear" w:color="auto" w:fill="F0F0F0"/>
          </w:tcPr>
          <w:p>
            <w:pPr>
              <w:spacing w:after="0"/>
              <w:rPr>
                <w:sz w:val="24"/>
                <w:szCs w:val="24"/>
                <w:color w:val="auto"/>
              </w:rPr>
            </w:pPr>
          </w:p>
        </w:tc>
        <w:tc>
          <w:tcPr>
            <w:tcW w:w="1800" w:type="dxa"/>
            <w:vAlign w:val="bottom"/>
            <w:tcBorders>
              <w:top w:val="single" w:sz="8" w:color="4C4C4C"/>
            </w:tcBorders>
          </w:tcPr>
          <w:p>
            <w:pPr>
              <w:spacing w:after="0"/>
              <w:rPr>
                <w:sz w:val="24"/>
                <w:szCs w:val="24"/>
                <w:color w:val="auto"/>
              </w:rPr>
            </w:pPr>
          </w:p>
        </w:tc>
        <w:tc>
          <w:tcPr>
            <w:tcW w:w="880" w:type="dxa"/>
            <w:vAlign w:val="bottom"/>
            <w:tcBorders>
              <w:top w:val="single" w:sz="8" w:color="4C4C4C"/>
            </w:tcBorders>
          </w:tcPr>
          <w:p>
            <w:pPr>
              <w:spacing w:after="0"/>
              <w:rPr>
                <w:sz w:val="24"/>
                <w:szCs w:val="24"/>
                <w:color w:val="auto"/>
              </w:rPr>
            </w:pPr>
          </w:p>
        </w:tc>
      </w:tr>
      <w:tr>
        <w:trPr>
          <w:trHeight w:val="29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49</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74"/>
        </w:trPr>
        <w:tc>
          <w:tcPr>
            <w:tcW w:w="66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Equity Companies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59</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74"/>
        </w:trPr>
        <w:tc>
          <w:tcPr>
            <w:tcW w:w="662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productive development wells drilled</w:t>
            </w:r>
          </w:p>
        </w:tc>
        <w:tc>
          <w:tcPr>
            <w:tcW w:w="126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511</w:t>
            </w:r>
          </w:p>
        </w:tc>
        <w:tc>
          <w:tcPr>
            <w:tcW w:w="1800" w:type="dxa"/>
            <w:vAlign w:val="bottom"/>
            <w:tcBorders>
              <w:top w:val="single" w:sz="8" w:color="4C4C4C"/>
              <w:bottom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b w:val="1"/>
                <w:bCs w:val="1"/>
                <w:color w:val="auto"/>
              </w:rPr>
              <w:t>573</w:t>
            </w:r>
          </w:p>
        </w:tc>
        <w:tc>
          <w:tcPr>
            <w:tcW w:w="8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487</w:t>
            </w:r>
          </w:p>
        </w:tc>
      </w:tr>
      <w:tr>
        <w:trPr>
          <w:trHeight w:val="562"/>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Net Dry Development Wells Drilled</w:t>
            </w:r>
          </w:p>
        </w:tc>
        <w:tc>
          <w:tcPr>
            <w:tcW w:w="1260" w:type="dxa"/>
            <w:vAlign w:val="bottom"/>
            <w:shd w:val="clear" w:color="auto" w:fill="F0F0F0"/>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1260" w:type="dxa"/>
            <w:vAlign w:val="bottom"/>
            <w:shd w:val="clear" w:color="auto" w:fill="F0F0F0"/>
          </w:tcPr>
          <w:p>
            <w:pPr>
              <w:spacing w:after="0"/>
              <w:rPr>
                <w:sz w:val="23"/>
                <w:szCs w:val="23"/>
                <w:color w:val="auto"/>
              </w:rPr>
            </w:pPr>
          </w:p>
        </w:tc>
        <w:tc>
          <w:tcPr>
            <w:tcW w:w="18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9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Canada/Other Americas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26"/>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1260" w:type="dxa"/>
            <w:vAlign w:val="bottom"/>
            <w:tcBorders>
              <w:top w:val="single" w:sz="8" w:color="4C4C4C"/>
            </w:tcBorders>
            <w:shd w:val="clear" w:color="auto" w:fill="F0F0F0"/>
          </w:tcPr>
          <w:p>
            <w:pPr>
              <w:spacing w:after="0"/>
              <w:rPr>
                <w:sz w:val="24"/>
                <w:szCs w:val="24"/>
                <w:color w:val="auto"/>
              </w:rPr>
            </w:pPr>
          </w:p>
        </w:tc>
        <w:tc>
          <w:tcPr>
            <w:tcW w:w="1800" w:type="dxa"/>
            <w:vAlign w:val="bottom"/>
            <w:tcBorders>
              <w:top w:val="single" w:sz="8" w:color="4C4C4C"/>
            </w:tcBorders>
          </w:tcPr>
          <w:p>
            <w:pPr>
              <w:spacing w:after="0"/>
              <w:rPr>
                <w:sz w:val="24"/>
                <w:szCs w:val="24"/>
                <w:color w:val="auto"/>
              </w:rPr>
            </w:pPr>
          </w:p>
        </w:tc>
        <w:tc>
          <w:tcPr>
            <w:tcW w:w="880" w:type="dxa"/>
            <w:vAlign w:val="bottom"/>
            <w:tcBorders>
              <w:top w:val="single" w:sz="8" w:color="4C4C4C"/>
            </w:tcBorders>
          </w:tcPr>
          <w:p>
            <w:pPr>
              <w:spacing w:after="0"/>
              <w:rPr>
                <w:sz w:val="24"/>
                <w:szCs w:val="24"/>
                <w:color w:val="auto"/>
              </w:rPr>
            </w:pPr>
          </w:p>
        </w:tc>
      </w:tr>
      <w:tr>
        <w:trPr>
          <w:trHeight w:val="276"/>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Total Equity Companies</w:t>
            </w:r>
          </w:p>
        </w:tc>
        <w:tc>
          <w:tcPr>
            <w:tcW w:w="12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top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62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dry development wells drilled</w:t>
            </w:r>
          </w:p>
        </w:tc>
        <w:tc>
          <w:tcPr>
            <w:tcW w:w="126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00" w:type="dxa"/>
            <w:vAlign w:val="bottom"/>
            <w:tcBorders>
              <w:top w:val="single" w:sz="8" w:color="4C4C4C"/>
              <w:bottom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r>
      <w:tr>
        <w:trPr>
          <w:trHeight w:val="274"/>
        </w:trPr>
        <w:tc>
          <w:tcPr>
            <w:tcW w:w="6620" w:type="dxa"/>
            <w:vAlign w:val="bottom"/>
            <w:tcBorders>
              <w:bottom w:val="single" w:sz="8" w:color="4C4C4C"/>
            </w:tcBorders>
          </w:tcPr>
          <w:p>
            <w:pPr>
              <w:spacing w:after="0"/>
              <w:rPr>
                <w:sz w:val="23"/>
                <w:szCs w:val="23"/>
                <w:color w:val="auto"/>
              </w:rPr>
            </w:pPr>
          </w:p>
        </w:tc>
        <w:tc>
          <w:tcPr>
            <w:tcW w:w="1260" w:type="dxa"/>
            <w:vAlign w:val="bottom"/>
            <w:tcBorders>
              <w:bottom w:val="single" w:sz="8" w:color="4C4C4C"/>
            </w:tcBorders>
            <w:shd w:val="clear" w:color="auto" w:fill="F0F0F0"/>
          </w:tcPr>
          <w:p>
            <w:pPr>
              <w:spacing w:after="0"/>
              <w:rPr>
                <w:sz w:val="23"/>
                <w:szCs w:val="23"/>
                <w:color w:val="auto"/>
              </w:rPr>
            </w:pPr>
          </w:p>
        </w:tc>
        <w:tc>
          <w:tcPr>
            <w:tcW w:w="1800" w:type="dxa"/>
            <w:vAlign w:val="bottom"/>
            <w:tcBorders>
              <w:bottom w:val="single" w:sz="8" w:color="4C4C4C"/>
            </w:tcBorders>
          </w:tcPr>
          <w:p>
            <w:pPr>
              <w:spacing w:after="0"/>
              <w:rPr>
                <w:sz w:val="23"/>
                <w:szCs w:val="23"/>
                <w:color w:val="auto"/>
              </w:rPr>
            </w:pPr>
          </w:p>
        </w:tc>
        <w:tc>
          <w:tcPr>
            <w:tcW w:w="880" w:type="dxa"/>
            <w:vAlign w:val="bottom"/>
            <w:tcBorders>
              <w:bottom w:val="single" w:sz="8" w:color="4C4C4C"/>
            </w:tcBorders>
          </w:tcPr>
          <w:p>
            <w:pPr>
              <w:spacing w:after="0"/>
              <w:rPr>
                <w:sz w:val="23"/>
                <w:szCs w:val="23"/>
                <w:color w:val="auto"/>
              </w:rPr>
            </w:pPr>
          </w:p>
        </w:tc>
      </w:tr>
      <w:tr>
        <w:trPr>
          <w:trHeight w:val="274"/>
        </w:trPr>
        <w:tc>
          <w:tcPr>
            <w:tcW w:w="662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number of net wells drilled</w:t>
            </w:r>
          </w:p>
        </w:tc>
        <w:tc>
          <w:tcPr>
            <w:tcW w:w="12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517</w:t>
            </w:r>
          </w:p>
        </w:tc>
        <w:tc>
          <w:tcPr>
            <w:tcW w:w="1800" w:type="dxa"/>
            <w:vAlign w:val="bottom"/>
            <w:tcBorders>
              <w:bottom w:val="single" w:sz="8" w:color="4C4C4C"/>
            </w:tcBorders>
          </w:tcPr>
          <w:p>
            <w:pPr>
              <w:jc w:val="right"/>
              <w:ind w:right="443"/>
              <w:spacing w:after="0"/>
              <w:rPr>
                <w:sz w:val="20"/>
                <w:szCs w:val="20"/>
                <w:color w:val="auto"/>
              </w:rPr>
            </w:pPr>
            <w:r>
              <w:rPr>
                <w:rFonts w:ascii="Times New Roman" w:cs="Times New Roman" w:eastAsia="Times New Roman" w:hAnsi="Times New Roman"/>
                <w:sz w:val="20"/>
                <w:szCs w:val="20"/>
                <w:b w:val="1"/>
                <w:bCs w:val="1"/>
                <w:color w:val="auto"/>
              </w:rPr>
              <w:t>581</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-3593465</wp:posOffset>
                </wp:positionV>
                <wp:extent cx="671068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0680"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82.9499pt" to="528.2pt,-282.9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-382270</wp:posOffset>
                </wp:positionV>
                <wp:extent cx="671068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0680"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0.0999pt" to="528.2pt,-30.0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-195580</wp:posOffset>
                </wp:positionV>
                <wp:extent cx="671068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0680" cy="4763"/>
                        </a:xfrm>
                        <a:prstGeom prst="line">
                          <a:avLst/>
                        </a:prstGeom>
                        <a:solidFill>
                          <a:srgbClr val="FFFFFF"/>
                        </a:solidFill>
                        <a:ln w="126">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5.3999pt" to="528.2pt,-15.3999pt" o:allowincell="f" strokecolor="#FFFFFF" strokeweight="0.0099pt"/>
            </w:pict>
          </mc:Fallback>
        </mc:AlternateContent>
      </w:r>
    </w:p>
    <w:p>
      <w:pPr>
        <w:sectPr>
          <w:pgSz w:w="11880" w:h="15480" w:orient="portrait"/>
          <w:cols w:equalWidth="0" w:num="1">
            <w:col w:w="10560"/>
          </w:cols>
          <w:pgMar w:left="660" w:top="79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560"/>
          </w:cols>
          <w:pgMar w:left="660" w:top="792" w:right="6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4C4C4C"/>
        </w:rPr>
        <w:t>B. Exploratory and Development Activities Regarding Oil and Gas Resources Extracted by Mining Technologies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Syncrude Operations. </w:t>
      </w:r>
      <w:r>
        <w:rPr>
          <w:rFonts w:ascii="Times New Roman" w:cs="Times New Roman" w:eastAsia="Times New Roman" w:hAnsi="Times New Roman"/>
          <w:sz w:val="20"/>
          <w:szCs w:val="20"/>
          <w:color w:val="auto"/>
        </w:rPr>
        <w:t>Syncrude is a joint venture established to recover shallow deposits of oil sands using open-pit mining methods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extract the crude bitumen, and then upgrade it to produce a high-quality, light (32 degrees API), sweet, synthetic crude oil. Imperial Oil Limited is the owner of a 25 percent interest in the joint venture. Exxon Mobil Corporation has a 69.6 percent interest in Imperial Oil Limited. In 2023, the company’s share of net production of synthetic crude oil was about 67 thousand barrels per day and share of net acreage was about 55 thousand acres in the Athabasca oil sands deposit.</w:t>
      </w:r>
    </w:p>
    <w:p>
      <w:pPr>
        <w:spacing w:after="0" w:line="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Kearl Operations. </w:t>
      </w:r>
      <w:r>
        <w:rPr>
          <w:rFonts w:ascii="Times New Roman" w:cs="Times New Roman" w:eastAsia="Times New Roman" w:hAnsi="Times New Roman"/>
          <w:sz w:val="20"/>
          <w:szCs w:val="20"/>
          <w:color w:val="auto"/>
        </w:rPr>
        <w:t>Kearl is a joint venture established to recover shallow deposits of oil sands using open-pit mining methods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extract the crude bitumen. Imperial Oil Limited holds a 70.96 percent interest in the joint venture and ExxonMobil Canada Properties holds the other 29.04 percent. Exxon Mobil Corporation has a 69.6 percent interest in Imperial Oil Limited and a 100 percent interest in ExxonMobil Canada Properties. Kearl is comprised of six oil sands leases covering about 49 thousand acres in the Athabasca oil sands deposit.</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Kearl is located approximately 40 miles north of Fort McMurray, Alberta, Canada. Bitumen is extracted from oil sands and processed through bitumen extraction and froth treatment trains. The product, a blend of bitumen and diluent, is shipped to our refineries and to other third parties. Diluent is natural gas condensate or other light hydrocarbons added to the crude bitumen to facilitate transportation by pipeline and rail. During 2023, average net production at Kearl was about 249 thousand barrels per day.</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5. Present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A. Wells Drilling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22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Wells Drilling</w:t>
            </w:r>
          </w:p>
        </w:tc>
        <w:tc>
          <w:tcPr>
            <w:tcW w:w="2140" w:type="dxa"/>
            <w:vAlign w:val="bottom"/>
            <w:gridSpan w:val="2"/>
            <w:shd w:val="clear" w:color="auto" w:fill="4C4C4C"/>
          </w:tcPr>
          <w:p>
            <w:pPr>
              <w:jc w:val="right"/>
              <w:ind w:right="463"/>
              <w:spacing w:after="0"/>
              <w:rPr>
                <w:sz w:val="20"/>
                <w:szCs w:val="20"/>
                <w:color w:val="auto"/>
              </w:rPr>
            </w:pPr>
            <w:r>
              <w:rPr>
                <w:rFonts w:ascii="Times New Roman" w:cs="Times New Roman" w:eastAsia="Times New Roman" w:hAnsi="Times New Roman"/>
                <w:sz w:val="16"/>
                <w:szCs w:val="16"/>
                <w:b w:val="1"/>
                <w:bCs w:val="1"/>
                <w:color w:val="FFFFFF"/>
              </w:rPr>
              <w:t>Year-End 2023</w:t>
            </w:r>
          </w:p>
        </w:tc>
        <w:tc>
          <w:tcPr>
            <w:tcW w:w="2200" w:type="dxa"/>
            <w:vAlign w:val="bottom"/>
            <w:gridSpan w:val="2"/>
            <w:shd w:val="clear" w:color="auto" w:fill="4C4C4C"/>
          </w:tcPr>
          <w:p>
            <w:pPr>
              <w:jc w:val="right"/>
              <w:ind w:right="463"/>
              <w:spacing w:after="0"/>
              <w:rPr>
                <w:sz w:val="20"/>
                <w:szCs w:val="20"/>
                <w:color w:val="auto"/>
              </w:rPr>
            </w:pPr>
            <w:r>
              <w:rPr>
                <w:rFonts w:ascii="Times New Roman" w:cs="Times New Roman" w:eastAsia="Times New Roman" w:hAnsi="Times New Roman"/>
                <w:sz w:val="16"/>
                <w:szCs w:val="16"/>
                <w:b w:val="1"/>
                <w:bCs w:val="1"/>
                <w:color w:val="FFFFFF"/>
              </w:rPr>
              <w:t>Year-End 2022</w:t>
            </w:r>
          </w:p>
        </w:tc>
        <w:tc>
          <w:tcPr>
            <w:tcW w:w="0" w:type="dxa"/>
            <w:vAlign w:val="bottom"/>
          </w:tcPr>
          <w:p>
            <w:pPr>
              <w:spacing w:after="0"/>
              <w:rPr>
                <w:sz w:val="1"/>
                <w:szCs w:val="1"/>
                <w:color w:val="auto"/>
              </w:rPr>
            </w:pPr>
          </w:p>
        </w:tc>
      </w:tr>
      <w:tr>
        <w:trPr>
          <w:trHeight w:val="161"/>
        </w:trPr>
        <w:tc>
          <w:tcPr>
            <w:tcW w:w="6220" w:type="dxa"/>
            <w:vAlign w:val="bottom"/>
            <w:vMerge w:val="continue"/>
            <w:shd w:val="clear" w:color="auto" w:fill="4C4C4C"/>
          </w:tcPr>
          <w:p>
            <w:pPr>
              <w:spacing w:after="0"/>
              <w:rPr>
                <w:sz w:val="13"/>
                <w:szCs w:val="13"/>
                <w:color w:val="auto"/>
              </w:rPr>
            </w:pPr>
          </w:p>
        </w:tc>
        <w:tc>
          <w:tcPr>
            <w:tcW w:w="1240" w:type="dxa"/>
            <w:vAlign w:val="bottom"/>
            <w:vMerge w:val="restart"/>
            <w:shd w:val="clear" w:color="auto" w:fill="4C4C4C"/>
          </w:tcPr>
          <w:p>
            <w:pPr>
              <w:jc w:val="right"/>
              <w:ind w:right="425"/>
              <w:spacing w:after="0"/>
              <w:rPr>
                <w:sz w:val="20"/>
                <w:szCs w:val="20"/>
                <w:color w:val="auto"/>
              </w:rPr>
            </w:pPr>
            <w:r>
              <w:rPr>
                <w:rFonts w:ascii="Times New Roman" w:cs="Times New Roman" w:eastAsia="Times New Roman" w:hAnsi="Times New Roman"/>
                <w:sz w:val="16"/>
                <w:szCs w:val="16"/>
                <w:b w:val="1"/>
                <w:bCs w:val="1"/>
                <w:color w:val="FFFFFF"/>
              </w:rPr>
              <w:t>Gross</w:t>
            </w:r>
          </w:p>
        </w:tc>
        <w:tc>
          <w:tcPr>
            <w:tcW w:w="900" w:type="dxa"/>
            <w:vAlign w:val="bottom"/>
            <w:vMerge w:val="restart"/>
            <w:shd w:val="clear" w:color="auto" w:fill="4C4C4C"/>
          </w:tcPr>
          <w:p>
            <w:pPr>
              <w:jc w:val="right"/>
              <w:ind w:right="323"/>
              <w:spacing w:after="0"/>
              <w:rPr>
                <w:sz w:val="20"/>
                <w:szCs w:val="20"/>
                <w:color w:val="auto"/>
              </w:rPr>
            </w:pPr>
            <w:r>
              <w:rPr>
                <w:rFonts w:ascii="Times New Roman" w:cs="Times New Roman" w:eastAsia="Times New Roman" w:hAnsi="Times New Roman"/>
                <w:sz w:val="16"/>
                <w:szCs w:val="16"/>
                <w:b w:val="1"/>
                <w:bCs w:val="1"/>
                <w:color w:val="FFFFFF"/>
              </w:rPr>
              <w:t>Net</w:t>
            </w:r>
          </w:p>
        </w:tc>
        <w:tc>
          <w:tcPr>
            <w:tcW w:w="1300" w:type="dxa"/>
            <w:vAlign w:val="bottom"/>
            <w:vMerge w:val="restart"/>
            <w:shd w:val="clear" w:color="auto" w:fill="4C4C4C"/>
          </w:tcPr>
          <w:p>
            <w:pPr>
              <w:jc w:val="right"/>
              <w:ind w:right="405"/>
              <w:spacing w:after="0"/>
              <w:rPr>
                <w:sz w:val="20"/>
                <w:szCs w:val="20"/>
                <w:color w:val="auto"/>
              </w:rPr>
            </w:pPr>
            <w:r>
              <w:rPr>
                <w:rFonts w:ascii="Times New Roman" w:cs="Times New Roman" w:eastAsia="Times New Roman" w:hAnsi="Times New Roman"/>
                <w:sz w:val="16"/>
                <w:szCs w:val="16"/>
                <w:b w:val="1"/>
                <w:bCs w:val="1"/>
                <w:color w:val="FFFFFF"/>
              </w:rPr>
              <w:t>Gross</w:t>
            </w:r>
          </w:p>
        </w:tc>
        <w:tc>
          <w:tcPr>
            <w:tcW w:w="900" w:type="dxa"/>
            <w:vAlign w:val="bottom"/>
            <w:vMerge w:val="restart"/>
            <w:shd w:val="clear" w:color="auto" w:fill="4C4C4C"/>
          </w:tcPr>
          <w:p>
            <w:pPr>
              <w:jc w:val="right"/>
              <w:ind w:right="323"/>
              <w:spacing w:after="0"/>
              <w:rPr>
                <w:sz w:val="20"/>
                <w:szCs w:val="20"/>
                <w:color w:val="auto"/>
              </w:rPr>
            </w:pPr>
            <w:r>
              <w:rPr>
                <w:rFonts w:ascii="Times New Roman" w:cs="Times New Roman" w:eastAsia="Times New Roman" w:hAnsi="Times New Roman"/>
                <w:sz w:val="16"/>
                <w:szCs w:val="16"/>
                <w:b w:val="1"/>
                <w:bCs w:val="1"/>
                <w:color w:val="FFFFFF"/>
              </w:rPr>
              <w:t>Net</w:t>
            </w:r>
          </w:p>
        </w:tc>
        <w:tc>
          <w:tcPr>
            <w:tcW w:w="0" w:type="dxa"/>
            <w:vAlign w:val="bottom"/>
          </w:tcPr>
          <w:p>
            <w:pPr>
              <w:spacing w:after="0"/>
              <w:rPr>
                <w:sz w:val="1"/>
                <w:szCs w:val="1"/>
                <w:color w:val="auto"/>
              </w:rPr>
            </w:pPr>
          </w:p>
        </w:tc>
      </w:tr>
      <w:tr>
        <w:trPr>
          <w:trHeight w:val="150"/>
        </w:trPr>
        <w:tc>
          <w:tcPr>
            <w:tcW w:w="6220" w:type="dxa"/>
            <w:vAlign w:val="bottom"/>
            <w:tcBorders>
              <w:bottom w:val="single" w:sz="8" w:color="4C4C4C"/>
            </w:tcBorders>
            <w:shd w:val="clear" w:color="auto" w:fill="4C4C4C"/>
          </w:tcPr>
          <w:p>
            <w:pPr>
              <w:spacing w:after="0"/>
              <w:rPr>
                <w:sz w:val="13"/>
                <w:szCs w:val="13"/>
                <w:color w:val="auto"/>
              </w:rPr>
            </w:pPr>
          </w:p>
        </w:tc>
        <w:tc>
          <w:tcPr>
            <w:tcW w:w="1240" w:type="dxa"/>
            <w:vAlign w:val="bottom"/>
            <w:tcBorders>
              <w:bottom w:val="single" w:sz="8" w:color="4C4C4C"/>
            </w:tcBorders>
            <w:vMerge w:val="continue"/>
            <w:shd w:val="clear" w:color="auto" w:fill="4C4C4C"/>
          </w:tcPr>
          <w:p>
            <w:pPr>
              <w:spacing w:after="0"/>
              <w:rPr>
                <w:sz w:val="13"/>
                <w:szCs w:val="13"/>
                <w:color w:val="auto"/>
              </w:rPr>
            </w:pPr>
          </w:p>
        </w:tc>
        <w:tc>
          <w:tcPr>
            <w:tcW w:w="900" w:type="dxa"/>
            <w:vAlign w:val="bottom"/>
            <w:tcBorders>
              <w:bottom w:val="single" w:sz="8" w:color="4C4C4C"/>
            </w:tcBorders>
            <w:vMerge w:val="continue"/>
            <w:shd w:val="clear" w:color="auto" w:fill="4C4C4C"/>
          </w:tcPr>
          <w:p>
            <w:pPr>
              <w:spacing w:after="0"/>
              <w:rPr>
                <w:sz w:val="13"/>
                <w:szCs w:val="13"/>
                <w:color w:val="auto"/>
              </w:rPr>
            </w:pPr>
          </w:p>
        </w:tc>
        <w:tc>
          <w:tcPr>
            <w:tcW w:w="1300" w:type="dxa"/>
            <w:vAlign w:val="bottom"/>
            <w:tcBorders>
              <w:bottom w:val="single" w:sz="8" w:color="4C4C4C"/>
            </w:tcBorders>
            <w:vMerge w:val="continue"/>
            <w:shd w:val="clear" w:color="auto" w:fill="4C4C4C"/>
          </w:tcPr>
          <w:p>
            <w:pPr>
              <w:spacing w:after="0"/>
              <w:rPr>
                <w:sz w:val="13"/>
                <w:szCs w:val="13"/>
                <w:color w:val="auto"/>
              </w:rPr>
            </w:pPr>
          </w:p>
        </w:tc>
        <w:tc>
          <w:tcPr>
            <w:tcW w:w="900" w:type="dxa"/>
            <w:vAlign w:val="bottom"/>
            <w:tcBorders>
              <w:bottom w:val="single" w:sz="8" w:color="4C4C4C"/>
            </w:tcBorders>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6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1240" w:type="dxa"/>
            <w:vAlign w:val="bottom"/>
            <w:shd w:val="clear" w:color="auto" w:fill="F0F0F0"/>
          </w:tcPr>
          <w:p>
            <w:pPr>
              <w:spacing w:after="0"/>
              <w:rPr>
                <w:sz w:val="24"/>
                <w:szCs w:val="24"/>
                <w:color w:val="auto"/>
              </w:rPr>
            </w:pPr>
          </w:p>
        </w:tc>
        <w:tc>
          <w:tcPr>
            <w:tcW w:w="900" w:type="dxa"/>
            <w:vAlign w:val="bottom"/>
            <w:shd w:val="clear" w:color="auto" w:fill="F0F0F0"/>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582</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804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0" w:type="dxa"/>
            <w:vAlign w:val="bottom"/>
          </w:tcPr>
          <w:p>
            <w:pPr>
              <w:spacing w:after="0"/>
              <w:rPr>
                <w:sz w:val="1"/>
                <w:szCs w:val="1"/>
                <w:color w:val="auto"/>
              </w:rPr>
            </w:pPr>
          </w:p>
        </w:tc>
      </w:tr>
      <w:tr>
        <w:trPr>
          <w:trHeight w:val="294"/>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Canada/Other Americas</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42</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54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94"/>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3</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4"/>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4</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94"/>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25</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18"/>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1240" w:type="dxa"/>
            <w:vAlign w:val="bottom"/>
            <w:tcBorders>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3</w:t>
            </w:r>
          </w:p>
        </w:tc>
        <w:tc>
          <w:tcPr>
            <w:tcW w:w="90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62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1240" w:type="dxa"/>
            <w:vAlign w:val="bottom"/>
            <w:tcBorders>
              <w:top w:val="single" w:sz="8" w:color="4C4C4C"/>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659</w:t>
            </w:r>
          </w:p>
        </w:tc>
        <w:tc>
          <w:tcPr>
            <w:tcW w:w="90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1300" w:type="dxa"/>
            <w:vAlign w:val="bottom"/>
            <w:tcBorders>
              <w:top w:val="single" w:sz="8" w:color="4C4C4C"/>
            </w:tcBorders>
          </w:tcPr>
          <w:p>
            <w:pPr>
              <w:jc w:val="right"/>
              <w:ind w:right="145"/>
              <w:spacing w:after="0"/>
              <w:rPr>
                <w:sz w:val="20"/>
                <w:szCs w:val="20"/>
                <w:color w:val="auto"/>
              </w:rPr>
            </w:pPr>
            <w:r>
              <w:rPr>
                <w:rFonts w:ascii="Times New Roman" w:cs="Times New Roman" w:eastAsia="Times New Roman" w:hAnsi="Times New Roman"/>
                <w:sz w:val="20"/>
                <w:szCs w:val="20"/>
                <w:color w:val="auto"/>
              </w:rPr>
              <w:t>889</w:t>
            </w:r>
          </w:p>
        </w:tc>
        <w:tc>
          <w:tcPr>
            <w:tcW w:w="90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0" w:type="dxa"/>
            <w:vAlign w:val="bottom"/>
          </w:tcPr>
          <w:p>
            <w:pPr>
              <w:spacing w:after="0"/>
              <w:rPr>
                <w:sz w:val="1"/>
                <w:szCs w:val="1"/>
                <w:color w:val="auto"/>
              </w:rPr>
            </w:pPr>
          </w:p>
        </w:tc>
      </w:tr>
      <w:tr>
        <w:trPr>
          <w:trHeight w:val="326"/>
        </w:trPr>
        <w:tc>
          <w:tcPr>
            <w:tcW w:w="622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1240" w:type="dxa"/>
            <w:vAlign w:val="bottom"/>
            <w:tcBorders>
              <w:top w:val="single" w:sz="8" w:color="4C4C4C"/>
            </w:tcBorders>
            <w:shd w:val="clear" w:color="auto" w:fill="F0F0F0"/>
          </w:tcPr>
          <w:p>
            <w:pPr>
              <w:spacing w:after="0"/>
              <w:rPr>
                <w:sz w:val="24"/>
                <w:szCs w:val="24"/>
                <w:color w:val="auto"/>
              </w:rPr>
            </w:pPr>
          </w:p>
        </w:tc>
        <w:tc>
          <w:tcPr>
            <w:tcW w:w="900" w:type="dxa"/>
            <w:vAlign w:val="bottom"/>
            <w:tcBorders>
              <w:top w:val="single" w:sz="8" w:color="4C4C4C"/>
            </w:tcBorders>
            <w:shd w:val="clear" w:color="auto" w:fill="F0F0F0"/>
          </w:tcPr>
          <w:p>
            <w:pPr>
              <w:spacing w:after="0"/>
              <w:rPr>
                <w:sz w:val="24"/>
                <w:szCs w:val="24"/>
                <w:color w:val="auto"/>
              </w:rPr>
            </w:pPr>
          </w:p>
        </w:tc>
        <w:tc>
          <w:tcPr>
            <w:tcW w:w="1300" w:type="dxa"/>
            <w:vAlign w:val="bottom"/>
            <w:tcBorders>
              <w:top w:val="single" w:sz="8" w:color="4C4C4C"/>
            </w:tcBorders>
          </w:tcPr>
          <w:p>
            <w:pPr>
              <w:spacing w:after="0"/>
              <w:rPr>
                <w:sz w:val="24"/>
                <w:szCs w:val="24"/>
                <w:color w:val="auto"/>
              </w:rPr>
            </w:pPr>
          </w:p>
        </w:tc>
        <w:tc>
          <w:tcPr>
            <w:tcW w:w="90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9</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94"/>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40" w:type="dxa"/>
            <w:vAlign w:val="bottom"/>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8"/>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40" w:type="dxa"/>
            <w:vAlign w:val="bottom"/>
            <w:tcBorders>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61</w:t>
            </w:r>
          </w:p>
        </w:tc>
        <w:tc>
          <w:tcPr>
            <w:tcW w:w="90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8</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74"/>
        </w:trPr>
        <w:tc>
          <w:tcPr>
            <w:tcW w:w="62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Equity Companies</w:t>
            </w:r>
          </w:p>
        </w:tc>
        <w:tc>
          <w:tcPr>
            <w:tcW w:w="1240" w:type="dxa"/>
            <w:vAlign w:val="bottom"/>
            <w:tcBorders>
              <w:top w:val="single" w:sz="8" w:color="4C4C4C"/>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70</w:t>
            </w:r>
          </w:p>
        </w:tc>
        <w:tc>
          <w:tcPr>
            <w:tcW w:w="90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300" w:type="dxa"/>
            <w:vAlign w:val="bottom"/>
            <w:tcBorders>
              <w:top w:val="single" w:sz="8" w:color="4C4C4C"/>
            </w:tcBorders>
          </w:tcPr>
          <w:p>
            <w:pPr>
              <w:jc w:val="right"/>
              <w:ind w:right="145"/>
              <w:spacing w:after="0"/>
              <w:rPr>
                <w:sz w:val="20"/>
                <w:szCs w:val="20"/>
                <w:color w:val="auto"/>
              </w:rPr>
            </w:pPr>
            <w:r>
              <w:rPr>
                <w:rFonts w:ascii="Times New Roman" w:cs="Times New Roman" w:eastAsia="Times New Roman" w:hAnsi="Times New Roman"/>
                <w:sz w:val="20"/>
                <w:szCs w:val="20"/>
                <w:color w:val="auto"/>
              </w:rPr>
              <w:t>21</w:t>
            </w:r>
          </w:p>
        </w:tc>
        <w:tc>
          <w:tcPr>
            <w:tcW w:w="90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74"/>
        </w:trPr>
        <w:tc>
          <w:tcPr>
            <w:tcW w:w="622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gross and net wells drilling</w:t>
            </w:r>
          </w:p>
        </w:tc>
        <w:tc>
          <w:tcPr>
            <w:tcW w:w="1240" w:type="dxa"/>
            <w:vAlign w:val="bottom"/>
            <w:tcBorders>
              <w:top w:val="single" w:sz="8" w:color="4C4C4C"/>
              <w:bottom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b w:val="1"/>
                <w:bCs w:val="1"/>
                <w:color w:val="auto"/>
              </w:rPr>
              <w:t>729</w:t>
            </w:r>
          </w:p>
        </w:tc>
        <w:tc>
          <w:tcPr>
            <w:tcW w:w="90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450</w:t>
            </w:r>
          </w:p>
        </w:tc>
        <w:tc>
          <w:tcPr>
            <w:tcW w:w="1300" w:type="dxa"/>
            <w:vAlign w:val="bottom"/>
            <w:tcBorders>
              <w:top w:val="single" w:sz="8" w:color="4C4C4C"/>
              <w:bottom w:val="single" w:sz="8" w:color="4C4C4C"/>
            </w:tcBorders>
          </w:tcPr>
          <w:p>
            <w:pPr>
              <w:jc w:val="right"/>
              <w:ind w:right="145"/>
              <w:spacing w:after="0"/>
              <w:rPr>
                <w:sz w:val="20"/>
                <w:szCs w:val="20"/>
                <w:color w:val="auto"/>
              </w:rPr>
            </w:pPr>
            <w:r>
              <w:rPr>
                <w:rFonts w:ascii="Times New Roman" w:cs="Times New Roman" w:eastAsia="Times New Roman" w:hAnsi="Times New Roman"/>
                <w:sz w:val="20"/>
                <w:szCs w:val="20"/>
                <w:b w:val="1"/>
                <w:bCs w:val="1"/>
                <w:color w:val="auto"/>
              </w:rPr>
              <w:t>910</w:t>
            </w:r>
          </w:p>
        </w:tc>
        <w:tc>
          <w:tcPr>
            <w:tcW w:w="9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600"/>
          </w:cols>
          <w:pgMar w:left="640" w:top="724" w:right="6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4C4C4C"/>
        </w:rPr>
        <w:t>B. Review of Principal Ongoing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6795770" cy="233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6795770" cy="23304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FFFFFF"/>
        </w:rPr>
        <w:t>United States</w:t>
      </w:r>
    </w:p>
    <w:p>
      <w:pPr>
        <w:spacing w:after="0" w:line="177"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Net acreage totaled 9.3 million acres at year-end 2023, of which 0.2 million acres were offshore. ExxonMobil was active in areas onshore and offshore in the lower 48 states and in Alaska. Development activities continued on the Golden Pass LNG export project.</w:t>
      </w:r>
    </w:p>
    <w:p>
      <w:pPr>
        <w:spacing w:after="0" w:line="59"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During the year, a total of 446.9 net exploratory and development wells were completed in the inland lower 48 states. Development activities focused on liquids-rich opportunities in the onshore U.S., primarily in the Permian Basin of West Texas and New Mexico. In addition, ExxonMobil closed on the sale of its interest in the Aera Energy joint venture and acquired Denbury Inc. (Denbury), which includes Gulf Coast and Rocky Mountain oil and natural gas operations.</w:t>
      </w:r>
    </w:p>
    <w:p>
      <w:pPr>
        <w:spacing w:after="0" w:line="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acreage in the Gulf of Mexico totaled 0.1 million acres at year-end 2023.</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Participation in Alaska production and development continued with a total of 2.3 net development wells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166370</wp:posOffset>
            </wp:positionV>
            <wp:extent cx="6795770" cy="233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6795770" cy="23304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sz w:val="1"/>
          <w:szCs w:val="1"/>
          <w:color w:val="auto"/>
        </w:rPr>
        <w:drawing>
          <wp:inline distT="0" distB="0" distL="0" distR="0">
            <wp:extent cx="37465" cy="18669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extLst>
                    </a:blip>
                    <a:srcRect/>
                    <a:stretch>
                      <a:fillRect/>
                    </a:stretch>
                  </pic:blipFill>
                  <pic:spPr bwMode="auto">
                    <a:xfrm>
                      <a:off x="0" y="0"/>
                      <a:ext cx="37465" cy="18669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Canada / Other Americas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Canada</w:t>
      </w:r>
    </w:p>
    <w:p>
      <w:pPr>
        <w:spacing w:after="0" w:line="101" w:lineRule="exact"/>
        <w:rPr>
          <w:sz w:val="20"/>
          <w:szCs w:val="20"/>
          <w:color w:val="auto"/>
        </w:rPr>
      </w:pPr>
    </w:p>
    <w:p>
      <w:pPr>
        <w:jc w:val="both"/>
        <w:ind w:left="360"/>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Oil and Gas Operations: </w:t>
      </w:r>
      <w:r>
        <w:rPr>
          <w:rFonts w:ascii="Times New Roman" w:cs="Times New Roman" w:eastAsia="Times New Roman" w:hAnsi="Times New Roman"/>
          <w:sz w:val="20"/>
          <w:szCs w:val="20"/>
          <w:color w:val="auto"/>
        </w:rPr>
        <w:t>Net acreage totaled 3.9 million acres at year-end 2023, of which 2.1 million acres were offshore. A total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0.9 net exploratory and development wells were completed during the year.</w:t>
      </w:r>
    </w:p>
    <w:p>
      <w:pPr>
        <w:spacing w:after="0" w:line="41" w:lineRule="exact"/>
        <w:rPr>
          <w:sz w:val="20"/>
          <w:szCs w:val="20"/>
          <w:color w:val="auto"/>
        </w:rPr>
      </w:pPr>
    </w:p>
    <w:p>
      <w:pPr>
        <w:jc w:val="both"/>
        <w:ind w:left="360"/>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In Situ Bitumen Operations: </w:t>
      </w:r>
      <w:r>
        <w:rPr>
          <w:rFonts w:ascii="Times New Roman" w:cs="Times New Roman" w:eastAsia="Times New Roman" w:hAnsi="Times New Roman"/>
          <w:sz w:val="20"/>
          <w:szCs w:val="20"/>
          <w:color w:val="auto"/>
        </w:rPr>
        <w:t>Net acreage totaled 0.5 million onshore acres at year-end 2023. During the year, a total of 32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development wells at Cold Lake were completed.</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Argentina</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2.9 million acres at year-end 2023, of which 2.6 million acres were offshore. During the year, a total of 4.4 net development wells were completed.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Brazil</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2.6 million offshore acres at year-end 2023. During the year, a total of 0.4 net development well was completed. Development activities continued on the Bacalhau Phase 1 project.</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Guyana</w:t>
      </w:r>
    </w:p>
    <w:p>
      <w:pPr>
        <w:spacing w:after="0" w:line="103" w:lineRule="exact"/>
        <w:rPr>
          <w:sz w:val="20"/>
          <w:szCs w:val="20"/>
          <w:color w:val="auto"/>
        </w:rPr>
      </w:pPr>
    </w:p>
    <w:p>
      <w:pPr>
        <w:jc w:val="both"/>
        <w:ind w:left="360"/>
        <w:spacing w:after="0" w:line="279" w:lineRule="auto"/>
        <w:rPr>
          <w:sz w:val="20"/>
          <w:szCs w:val="20"/>
          <w:color w:val="auto"/>
        </w:rPr>
      </w:pPr>
      <w:r>
        <w:rPr>
          <w:rFonts w:ascii="Times New Roman" w:cs="Times New Roman" w:eastAsia="Times New Roman" w:hAnsi="Times New Roman"/>
          <w:sz w:val="19"/>
          <w:szCs w:val="19"/>
          <w:color w:val="auto"/>
        </w:rPr>
        <w:t>Net acreage totaled 4.6 million offshore acres at year-end 2023. During the year, a total of 12.6 net exploratory and development wells were completed. The Payara development commenced operations with the Prosperity floating production, storage and offloading vessel, and development activities continued on the Yellowtail project. The Uaru project was funded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127000</wp:posOffset>
            </wp:positionV>
            <wp:extent cx="6795770" cy="233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extLst>
                    </a:blip>
                    <a:srcRect/>
                    <a:stretch>
                      <a:fillRect/>
                    </a:stretch>
                  </pic:blipFill>
                  <pic:spPr bwMode="auto">
                    <a:xfrm>
                      <a:off x="0" y="0"/>
                      <a:ext cx="6795770" cy="23368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sz w:val="1"/>
          <w:szCs w:val="1"/>
          <w:color w:val="auto"/>
        </w:rPr>
        <w:drawing>
          <wp:inline distT="0" distB="0" distL="0" distR="0">
            <wp:extent cx="37465" cy="18669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37465" cy="18669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Europe</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Germany</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1.4 million onshore acres at year-end 2023. During the year, a total of 1.4 net exploratory and development wells were completed.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Netherlands</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Net interest in licenses totaled 1.3 million acres at year-end 2023, of which 0.3 million acres were offshore. Groningen gas production ceased on October 1, 2023, at the Dutch government’s instruction. In case of severe cold weather conditions, the Dutch government could mandate the re-start of gas production.</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United Kingdom</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interest in licenses totaled 0.1 million offshore acres at year-end 2023.</w:t>
      </w: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600"/>
          </w:cols>
          <w:pgMar w:left="640" w:top="724" w:right="640" w:bottom="0" w:gutter="0" w:footer="0" w:header="0"/>
          <w:type w:val="continuous"/>
        </w:sectPr>
      </w:pPr>
    </w:p>
    <w:bookmarkStart w:id="28" w:name="page29"/>
    <w:bookmarkEnd w:id="28"/>
    <w:p>
      <w:pPr>
        <w:ind w:left="120"/>
        <w:spacing w:after="0"/>
        <w:rPr>
          <w:sz w:val="20"/>
          <w:szCs w:val="20"/>
          <w:color w:val="auto"/>
        </w:rPr>
      </w:pPr>
      <w:r>
        <w:rPr>
          <w:rFonts w:ascii="Times New Roman" w:cs="Times New Roman" w:eastAsia="Times New Roman" w:hAnsi="Times New Roman"/>
          <w:sz w:val="20"/>
          <w:szCs w:val="20"/>
          <w:b w:val="1"/>
          <w:bCs w:val="1"/>
          <w:color w:val="FFFFFF"/>
        </w:rPr>
        <w:drawing>
          <wp:anchor simplePos="0" relativeHeight="251657728" behindDoc="1" locked="0" layoutInCell="0" allowOverlap="1">
            <wp:simplePos x="0" y="0"/>
            <wp:positionH relativeFrom="page">
              <wp:posOffset>411480</wp:posOffset>
            </wp:positionH>
            <wp:positionV relativeFrom="page">
              <wp:posOffset>502920</wp:posOffset>
            </wp:positionV>
            <wp:extent cx="6795770" cy="233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6795770" cy="233045"/>
                    </a:xfrm>
                    <a:prstGeom prst="rect">
                      <a:avLst/>
                    </a:prstGeom>
                    <a:noFill/>
                  </pic:spPr>
                </pic:pic>
              </a:graphicData>
            </a:graphic>
          </wp:anchor>
        </w:drawing>
        <w:t>Africa</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Angola</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3 million acres at year-end 2023, of which 2.9 million acres were offshore. During the year, a total of 3.7 net development wells were completed.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Equatorial Guinea</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0.1 million offshore acres at year-end 2023. ExxonMobil is actively taking steps to exit its operations in the country.</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Mozambique</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Net acreage totaled 0.1 million offshore acres at year-end 2023. In 2023, 0.6 million net offshore acres were relinquished outside of the core Area 4 development. Within Area 4, ExxonMobil participated in the co-venturer-operated Coral South Floating LNG, a gross 3.4 million metric tons per year LNG facility.</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Nigeria</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0.9 million offshore acres at year-end 2023. During the year, a total of 0.2 net development well was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58305" cy="2051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6758305" cy="20510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sz w:val="1"/>
          <w:szCs w:val="1"/>
          <w:color w:val="auto"/>
        </w:rPr>
        <w:drawing>
          <wp:inline distT="0" distB="0" distL="0" distR="0">
            <wp:extent cx="37465" cy="2051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37465" cy="20510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Asia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6762750</wp:posOffset>
                </wp:positionH>
                <wp:positionV relativeFrom="paragraph">
                  <wp:posOffset>-18415</wp:posOffset>
                </wp:positionV>
                <wp:extent cx="0" cy="1841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
                        </a:xfrm>
                        <a:prstGeom prst="line">
                          <a:avLst/>
                        </a:prstGeom>
                        <a:solidFill>
                          <a:srgbClr val="FFFFFF"/>
                        </a:solidFill>
                        <a:ln w="0">
                          <a:solidFill>
                            <a:srgbClr val="5A5A5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5pt,-1.4499pt" to="532.5pt,0pt" o:allowincell="f" strokecolor="#5A5A5A" strokeweight="0pt"/>
            </w:pict>
          </mc:Fallback>
        </mc:AlternateConten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Azerbaijan</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7 thousand offshore acres at year-end 2023. During the year, a total of 0.5 net development wells were completed.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Indonesia</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acreage totaled 0.1 million onshore acres at year-end 2023.</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Iraq</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Net acreage totaled 25 thousand onshore acres at year-end 2023. During the year, a total of 1.1 net development wells were completed. In 2023, ExxonMobil completed a partial sale of 10 percent participating interest and in early 2024 closed on the sale of its remaining interest resulting in a full exit from the country.</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Kazakhstan</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totaled 0.3 million acres at year-end 2023, of which 0.2 million acres were offshore. During the year, a total of 1 net development wells were completed. Development activities continued on the Tengiz Expansion project.</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Malaysia</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interests in production sharing contracts covered 0.2 million offshore acres at year-end 2023. During the year, a total of 0.5 net development well was completed.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Qatar</w:t>
      </w:r>
    </w:p>
    <w:p>
      <w:pPr>
        <w:spacing w:after="0" w:line="103"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Through joint ventures with QatarEnergy, net acreage totaled 80 thousand offshore acres at year-end 2023. During the year, a total of 4.7 net development wells were completed. ExxonMobil participated in 52.3 million metric tons per year gross liquefied natural gas capacity and 3.4 billion cubic feet per day of flowing gas capacity at year-end. Development activities continued on the North Field East project and North Field Production Sustainment projects.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Thailand</w:t>
      </w:r>
    </w:p>
    <w:p>
      <w:pPr>
        <w:spacing w:after="0" w:line="103"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20"/>
          <w:szCs w:val="20"/>
          <w:color w:val="auto"/>
        </w:rPr>
        <w:t>Net acreage in concessions totaled 16 thousand onshore acres at year-end 2023. During the year, a total of 0.2 net development wells were completed.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United Arab Emirates</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Net acreage in the Abu Dhabi offshore Upper Zakum oil concession was 81 thousand acres at year-end 2023. During the year, a total of 3.1 net development wells were completed. Development activities continued on the Upper Zakum 1 MBD Sustainment project.</w:t>
      </w:r>
    </w:p>
    <w:p>
      <w:pPr>
        <w:sectPr>
          <w:pgSz w:w="11880" w:h="15480" w:orient="portrait"/>
          <w:cols w:equalWidth="0" w:num="1">
            <w:col w:w="10600"/>
          </w:cols>
          <w:pgMar w:left="640" w:top="828" w:right="64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600"/>
          </w:cols>
          <w:pgMar w:left="640" w:top="828" w:right="640" w:bottom="0" w:gutter="0" w:footer="0" w:header="0"/>
          <w:type w:val="continuous"/>
        </w:sectPr>
      </w:pPr>
    </w:p>
    <w:bookmarkStart w:id="29" w:name="page30"/>
    <w:bookmarkEnd w:id="29"/>
    <w:p>
      <w:pPr>
        <w:ind w:left="120"/>
        <w:spacing w:after="0"/>
        <w:rPr>
          <w:sz w:val="20"/>
          <w:szCs w:val="20"/>
          <w:color w:val="auto"/>
        </w:rPr>
      </w:pPr>
      <w:r>
        <w:rPr>
          <w:rFonts w:ascii="Times New Roman" w:cs="Times New Roman" w:eastAsia="Times New Roman" w:hAnsi="Times New Roman"/>
          <w:sz w:val="20"/>
          <w:szCs w:val="20"/>
          <w:b w:val="1"/>
          <w:bCs w:val="1"/>
          <w:color w:val="FFFFFF"/>
        </w:rPr>
        <w:drawing>
          <wp:anchor simplePos="0" relativeHeight="251657728" behindDoc="1" locked="0" layoutInCell="0" allowOverlap="1">
            <wp:simplePos x="0" y="0"/>
            <wp:positionH relativeFrom="page">
              <wp:posOffset>398780</wp:posOffset>
            </wp:positionH>
            <wp:positionV relativeFrom="page">
              <wp:posOffset>502920</wp:posOffset>
            </wp:positionV>
            <wp:extent cx="6808470" cy="233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extLst>
                    </a:blip>
                    <a:srcRect/>
                    <a:stretch>
                      <a:fillRect/>
                    </a:stretch>
                  </pic:blipFill>
                  <pic:spPr bwMode="auto">
                    <a:xfrm>
                      <a:off x="0" y="0"/>
                      <a:ext cx="6808470" cy="233045"/>
                    </a:xfrm>
                    <a:prstGeom prst="rect">
                      <a:avLst/>
                    </a:prstGeom>
                    <a:noFill/>
                  </pic:spPr>
                </pic:pic>
              </a:graphicData>
            </a:graphic>
          </wp:anchor>
        </w:drawing>
        <w:t>Australia / Oceania</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Australia</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acreage totaled 1.2 million offshore acres and nine thousand onshore acres at year-end 2023.</w:t>
      </w:r>
    </w:p>
    <w:p>
      <w:pPr>
        <w:spacing w:after="0" w:line="103"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The co-venturer-operated Gorgon Jansz liquefied natural gas (LNG) development consists of a subsea infrastructure for offshore production and transportation of the gas, a 15.6 million metric tons per year LNG facility, and a 280 million cubic feet per day domestic gas plant located on Barrow Island, Western Australia. During the year, development activities continued on the Gorgon Stage 2 project and Jansz Io Compression project.</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Papua New Guinea</w:t>
      </w:r>
    </w:p>
    <w:p>
      <w:pPr>
        <w:spacing w:after="0" w:line="103"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Net acreage totaled 2.1 million onshore acres at year-end 2023. During the year, a total of 0.4 net development wells were completed. The Papua New Guinea (PNG) liquefied natural gas (LNG) integrated development includes gas production and processing facilities in the PNG Highlands, onshore and offshore pipelines, and a 6.9 million metric tons per year LNG facility near Port Moresby.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142240</wp:posOffset>
            </wp:positionV>
            <wp:extent cx="6795770" cy="233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7">
                      <a:extLst>
                        <a:ext uri="{28A0092B-C50C-407E-A947-70E740481C1C}"/>
                      </a:extLst>
                    </a:blip>
                    <a:srcRect/>
                    <a:stretch>
                      <a:fillRect/>
                    </a:stretch>
                  </pic:blipFill>
                  <pic:spPr bwMode="auto">
                    <a:xfrm>
                      <a:off x="0" y="0"/>
                      <a:ext cx="6795770" cy="23304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sz w:val="1"/>
          <w:szCs w:val="1"/>
          <w:color w:val="auto"/>
        </w:rPr>
        <w:drawing>
          <wp:inline distT="0" distB="0" distL="0" distR="0">
            <wp:extent cx="37465" cy="1866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a:extLst>
                        <a:ext uri="{28A0092B-C50C-407E-A947-70E740481C1C}"/>
                      </a:extLst>
                    </a:blip>
                    <a:srcRect/>
                    <a:stretch>
                      <a:fillRect/>
                    </a:stretch>
                  </pic:blipFill>
                  <pic:spPr bwMode="auto">
                    <a:xfrm>
                      <a:off x="0" y="0"/>
                      <a:ext cx="37465" cy="18669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Worldwide Exploration</w:t>
      </w:r>
    </w:p>
    <w:p>
      <w:pPr>
        <w:spacing w:after="0" w:line="147"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Exploration activities were under way in several countries in which ExxonMobil has no established production operations and thus are not included above. Net acreage totaled 18.5 million acres at year-end 2023. During the year, a total of 0.6 net exploratory well was completed.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6. Delivery Commitments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ExxonMobil sells crude oil and natural gas from its producing operations under a variety of contractual obligations, some of which may specify the delivery of a fixed and determinable quantity for periods longer than one year. ExxonMobil also enters into natural gas sales contracts where the source of the natural gas used to fulfill the contract can be a combination of our own production and the spot market. Worldwide, we are contractually committed to deliver approximately 78 million barrels of oil and 2.5 trillion cubic feet of natural gas for the period from 2024 through 2026. We expect to fulfill the majority of these delivery commitments with production from our proved developed reserves. Any remaining commitments will be fulfilled with production from our proved undeveloped reserves and purchases on the open market as necessary.</w:t>
      </w:r>
    </w:p>
    <w:p>
      <w:pPr>
        <w:sectPr>
          <w:pgSz w:w="11880" w:h="15480" w:orient="portrait"/>
          <w:cols w:equalWidth="0" w:num="1">
            <w:col w:w="10600"/>
          </w:cols>
          <w:pgMar w:left="640" w:top="828"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600"/>
          </w:cols>
          <w:pgMar w:left="640" w:top="828" w:right="64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4"/>
          <w:szCs w:val="24"/>
          <w:b w:val="1"/>
          <w:bCs w:val="1"/>
          <w:color w:val="4C4C4C"/>
        </w:rPr>
        <w:t>7. Oil and Gas Properties, Wells, Operations and Acreage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A. Gross and Net Productive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95885</wp:posOffset>
            </wp:positionV>
            <wp:extent cx="6671310" cy="3484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9">
                      <a:extLst>
                        <a:ext uri="{28A0092B-C50C-407E-A947-70E740481C1C}"/>
                      </a:extLst>
                    </a:blip>
                    <a:srcRect/>
                    <a:stretch>
                      <a:fillRect/>
                    </a:stretch>
                  </pic:blipFill>
                  <pic:spPr bwMode="auto">
                    <a:xfrm>
                      <a:off x="0" y="0"/>
                      <a:ext cx="6671310" cy="3484880"/>
                    </a:xfrm>
                    <a:prstGeom prst="rect">
                      <a:avLst/>
                    </a:prstGeom>
                    <a:noFill/>
                  </pic:spPr>
                </pic:pic>
              </a:graphicData>
            </a:graphic>
          </wp:anchor>
        </w:drawing>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FFFFFF"/>
              </w:rPr>
              <w:t>Gross and Net Productive Wells</w:t>
            </w:r>
          </w:p>
        </w:tc>
        <w:tc>
          <w:tcPr>
            <w:tcW w:w="94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FFFFFF"/>
              </w:rPr>
              <w:t>Year-End 2023</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FFFFFF"/>
              </w:rPr>
              <w:t>Year-End 2022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96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960" w:type="dxa"/>
            <w:vAlign w:val="bottom"/>
            <w:vMerge w:val="continue"/>
          </w:tcPr>
          <w:p>
            <w:pPr>
              <w:spacing w:after="0"/>
              <w:rPr>
                <w:sz w:val="10"/>
                <w:szCs w:val="10"/>
                <w:color w:val="auto"/>
              </w:rPr>
            </w:pPr>
          </w:p>
        </w:tc>
        <w:tc>
          <w:tcPr>
            <w:tcW w:w="940" w:type="dxa"/>
            <w:vAlign w:val="bottom"/>
            <w:tcBorders>
              <w:left w:val="single" w:sz="8" w:color="4C4C4C"/>
            </w:tcBorders>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Oil</w:t>
            </w:r>
          </w:p>
        </w:tc>
        <w:tc>
          <w:tcPr>
            <w:tcW w:w="680" w:type="dxa"/>
            <w:vAlign w:val="bottom"/>
            <w:tcBorders>
              <w:right w:val="single" w:sz="8" w:color="4C4C4C"/>
            </w:tcBorders>
            <w:shd w:val="clear" w:color="auto" w:fill="4C4C4C"/>
          </w:tcPr>
          <w:p>
            <w:pPr>
              <w:spacing w:after="0"/>
              <w:rPr>
                <w:sz w:val="10"/>
                <w:szCs w:val="10"/>
                <w:color w:val="auto"/>
              </w:rPr>
            </w:pPr>
          </w:p>
        </w:tc>
        <w:tc>
          <w:tcPr>
            <w:tcW w:w="100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Gas</w:t>
            </w:r>
          </w:p>
        </w:tc>
        <w:tc>
          <w:tcPr>
            <w:tcW w:w="620" w:type="dxa"/>
            <w:vAlign w:val="bottom"/>
            <w:tcBorders>
              <w:right w:val="single" w:sz="8" w:color="4C4C4C"/>
            </w:tcBorders>
            <w:shd w:val="clear" w:color="auto" w:fill="4C4C4C"/>
          </w:tcPr>
          <w:p>
            <w:pPr>
              <w:spacing w:after="0"/>
              <w:rPr>
                <w:sz w:val="10"/>
                <w:szCs w:val="10"/>
                <w:color w:val="auto"/>
              </w:rPr>
            </w:pPr>
          </w:p>
        </w:tc>
        <w:tc>
          <w:tcPr>
            <w:tcW w:w="60" w:type="dxa"/>
            <w:vAlign w:val="bottom"/>
            <w:tcBorders>
              <w:left w:val="single" w:sz="8" w:color="4C4C4C"/>
              <w:right w:val="single" w:sz="8" w:color="4C4C4C"/>
            </w:tcBorders>
            <w:shd w:val="clear" w:color="auto" w:fill="4C4C4C"/>
          </w:tcPr>
          <w:p>
            <w:pPr>
              <w:spacing w:after="0"/>
              <w:rPr>
                <w:sz w:val="10"/>
                <w:szCs w:val="10"/>
                <w:color w:val="auto"/>
              </w:rPr>
            </w:pPr>
          </w:p>
        </w:tc>
        <w:tc>
          <w:tcPr>
            <w:tcW w:w="9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Oil</w:t>
            </w:r>
          </w:p>
        </w:tc>
        <w:tc>
          <w:tcPr>
            <w:tcW w:w="680" w:type="dxa"/>
            <w:vAlign w:val="bottom"/>
            <w:tcBorders>
              <w:right w:val="single" w:sz="8" w:color="4C4C4C"/>
            </w:tcBorders>
            <w:shd w:val="clear" w:color="auto" w:fill="4C4C4C"/>
          </w:tcPr>
          <w:p>
            <w:pPr>
              <w:spacing w:after="0"/>
              <w:rPr>
                <w:sz w:val="10"/>
                <w:szCs w:val="10"/>
                <w:color w:val="auto"/>
              </w:rPr>
            </w:pPr>
          </w:p>
        </w:tc>
        <w:tc>
          <w:tcPr>
            <w:tcW w:w="100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Gas</w:t>
            </w:r>
          </w:p>
        </w:tc>
        <w:tc>
          <w:tcPr>
            <w:tcW w:w="600" w:type="dxa"/>
            <w:vAlign w:val="bottom"/>
            <w:tcBorders>
              <w:right w:val="single" w:sz="8" w:color="4C4C4C"/>
            </w:tcBorders>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960" w:type="dxa"/>
            <w:vAlign w:val="bottom"/>
          </w:tcPr>
          <w:p>
            <w:pPr>
              <w:spacing w:after="0"/>
              <w:rPr>
                <w:sz w:val="18"/>
                <w:szCs w:val="18"/>
                <w:color w:val="auto"/>
              </w:rPr>
            </w:pPr>
          </w:p>
        </w:tc>
        <w:tc>
          <w:tcPr>
            <w:tcW w:w="940" w:type="dxa"/>
            <w:vAlign w:val="bottom"/>
            <w:tcBorders>
              <w:left w:val="single" w:sz="8" w:color="4C4C4C"/>
              <w:bottom w:val="single" w:sz="8" w:color="4C4C4C"/>
            </w:tcBorders>
            <w:vMerge w:val="continue"/>
            <w:shd w:val="clear" w:color="auto" w:fill="4C4C4C"/>
          </w:tcPr>
          <w:p>
            <w:pPr>
              <w:spacing w:after="0"/>
              <w:rPr>
                <w:sz w:val="18"/>
                <w:szCs w:val="18"/>
                <w:color w:val="auto"/>
              </w:rPr>
            </w:pPr>
          </w:p>
        </w:tc>
        <w:tc>
          <w:tcPr>
            <w:tcW w:w="680" w:type="dxa"/>
            <w:vAlign w:val="bottom"/>
            <w:tcBorders>
              <w:bottom w:val="single" w:sz="8" w:color="4C4C4C"/>
              <w:right w:val="single" w:sz="8" w:color="4C4C4C"/>
            </w:tcBorders>
            <w:shd w:val="clear" w:color="auto" w:fill="4C4C4C"/>
          </w:tcPr>
          <w:p>
            <w:pPr>
              <w:spacing w:after="0"/>
              <w:rPr>
                <w:sz w:val="18"/>
                <w:szCs w:val="18"/>
                <w:color w:val="auto"/>
              </w:rPr>
            </w:pPr>
          </w:p>
        </w:tc>
        <w:tc>
          <w:tcPr>
            <w:tcW w:w="1000" w:type="dxa"/>
            <w:vAlign w:val="bottom"/>
            <w:tcBorders>
              <w:bottom w:val="single" w:sz="8" w:color="4C4C4C"/>
            </w:tcBorders>
            <w:vMerge w:val="continue"/>
            <w:shd w:val="clear" w:color="auto" w:fill="4C4C4C"/>
          </w:tcPr>
          <w:p>
            <w:pPr>
              <w:spacing w:after="0"/>
              <w:rPr>
                <w:sz w:val="18"/>
                <w:szCs w:val="18"/>
                <w:color w:val="auto"/>
              </w:rPr>
            </w:pPr>
          </w:p>
        </w:tc>
        <w:tc>
          <w:tcPr>
            <w:tcW w:w="620" w:type="dxa"/>
            <w:vAlign w:val="bottom"/>
            <w:tcBorders>
              <w:bottom w:val="single" w:sz="8" w:color="4C4C4C"/>
              <w:right w:val="single" w:sz="8" w:color="4C4C4C"/>
            </w:tcBorders>
            <w:shd w:val="clear" w:color="auto" w:fill="4C4C4C"/>
          </w:tcPr>
          <w:p>
            <w:pPr>
              <w:spacing w:after="0"/>
              <w:rPr>
                <w:sz w:val="18"/>
                <w:szCs w:val="18"/>
                <w:color w:val="auto"/>
              </w:rPr>
            </w:pPr>
          </w:p>
        </w:tc>
        <w:tc>
          <w:tcPr>
            <w:tcW w:w="60" w:type="dxa"/>
            <w:vAlign w:val="bottom"/>
            <w:tcBorders>
              <w:left w:val="single" w:sz="8" w:color="4C4C4C"/>
              <w:bottom w:val="single" w:sz="8" w:color="4C4C4C"/>
              <w:right w:val="single" w:sz="8" w:color="4C4C4C"/>
            </w:tcBorders>
            <w:shd w:val="clear" w:color="auto" w:fill="4C4C4C"/>
          </w:tcPr>
          <w:p>
            <w:pPr>
              <w:spacing w:after="0"/>
              <w:rPr>
                <w:sz w:val="18"/>
                <w:szCs w:val="18"/>
                <w:color w:val="auto"/>
              </w:rPr>
            </w:pPr>
          </w:p>
        </w:tc>
        <w:tc>
          <w:tcPr>
            <w:tcW w:w="940" w:type="dxa"/>
            <w:vAlign w:val="bottom"/>
            <w:tcBorders>
              <w:bottom w:val="single" w:sz="8" w:color="4C4C4C"/>
            </w:tcBorders>
            <w:vMerge w:val="continue"/>
            <w:shd w:val="clear" w:color="auto" w:fill="4C4C4C"/>
          </w:tcPr>
          <w:p>
            <w:pPr>
              <w:spacing w:after="0"/>
              <w:rPr>
                <w:sz w:val="18"/>
                <w:szCs w:val="18"/>
                <w:color w:val="auto"/>
              </w:rPr>
            </w:pPr>
          </w:p>
        </w:tc>
        <w:tc>
          <w:tcPr>
            <w:tcW w:w="680" w:type="dxa"/>
            <w:vAlign w:val="bottom"/>
            <w:tcBorders>
              <w:bottom w:val="single" w:sz="8" w:color="4C4C4C"/>
              <w:right w:val="single" w:sz="8" w:color="4C4C4C"/>
            </w:tcBorders>
            <w:shd w:val="clear" w:color="auto" w:fill="4C4C4C"/>
          </w:tcPr>
          <w:p>
            <w:pPr>
              <w:spacing w:after="0"/>
              <w:rPr>
                <w:sz w:val="18"/>
                <w:szCs w:val="18"/>
                <w:color w:val="auto"/>
              </w:rPr>
            </w:pPr>
          </w:p>
        </w:tc>
        <w:tc>
          <w:tcPr>
            <w:tcW w:w="1000" w:type="dxa"/>
            <w:vAlign w:val="bottom"/>
            <w:tcBorders>
              <w:bottom w:val="single" w:sz="8" w:color="4C4C4C"/>
            </w:tcBorders>
            <w:vMerge w:val="continue"/>
            <w:shd w:val="clear" w:color="auto" w:fill="4C4C4C"/>
          </w:tcPr>
          <w:p>
            <w:pPr>
              <w:spacing w:after="0"/>
              <w:rPr>
                <w:sz w:val="18"/>
                <w:szCs w:val="18"/>
                <w:color w:val="auto"/>
              </w:rPr>
            </w:pPr>
          </w:p>
        </w:tc>
        <w:tc>
          <w:tcPr>
            <w:tcW w:w="600" w:type="dxa"/>
            <w:vAlign w:val="bottom"/>
            <w:tcBorders>
              <w:bottom w:val="single" w:sz="8" w:color="4C4C4C"/>
              <w:right w:val="single" w:sz="8" w:color="4C4C4C"/>
            </w:tcBorders>
            <w:shd w:val="clear" w:color="auto" w:fill="4C4C4C"/>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960" w:type="dxa"/>
            <w:vAlign w:val="bottom"/>
            <w:tcBorders>
              <w:right w:val="single" w:sz="8" w:color="4C4C4C"/>
            </w:tcBorders>
          </w:tcPr>
          <w:p>
            <w:pPr>
              <w:spacing w:after="0"/>
              <w:rPr>
                <w:sz w:val="23"/>
                <w:szCs w:val="23"/>
                <w:color w:val="auto"/>
              </w:rPr>
            </w:pPr>
          </w:p>
        </w:tc>
        <w:tc>
          <w:tcPr>
            <w:tcW w:w="940" w:type="dxa"/>
            <w:vAlign w:val="bottom"/>
            <w:tcBorders>
              <w:left w:val="single" w:sz="8" w:color="4C4C4C"/>
              <w:bottom w:val="single" w:sz="8" w:color="F0F0F0"/>
            </w:tcBorders>
            <w:shd w:val="clear" w:color="auto" w:fill="F0F0F0"/>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80" w:type="dxa"/>
            <w:vAlign w:val="bottom"/>
            <w:tcBorders>
              <w:bottom w:val="single" w:sz="8" w:color="F0F0F0"/>
              <w:right w:val="single" w:sz="8" w:color="4C4C4C"/>
            </w:tcBorders>
            <w:shd w:val="clear" w:color="auto" w:fill="F0F0F0"/>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0" w:type="dxa"/>
            <w:vAlign w:val="bottom"/>
            <w:tcBorders>
              <w:bottom w:val="single" w:sz="8" w:color="F0F0F0"/>
            </w:tcBorders>
            <w:shd w:val="clear" w:color="auto" w:fill="F0F0F0"/>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Borders>
              <w:bottom w:val="single" w:sz="8" w:color="F0F0F0"/>
              <w:right w:val="single" w:sz="8" w:color="4C4C4C"/>
            </w:tcBorders>
            <w:shd w:val="clear" w:color="auto" w:fill="F0F0F0"/>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Borders>
              <w:left w:val="single" w:sz="8" w:color="4C4C4C"/>
              <w:right w:val="single" w:sz="8" w:color="4C4C4C"/>
            </w:tcBorders>
          </w:tcPr>
          <w:p>
            <w:pPr>
              <w:spacing w:after="0"/>
              <w:rPr>
                <w:sz w:val="23"/>
                <w:szCs w:val="23"/>
                <w:color w:val="auto"/>
              </w:rPr>
            </w:pPr>
          </w:p>
        </w:tc>
        <w:tc>
          <w:tcPr>
            <w:tcW w:w="94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80" w:type="dxa"/>
            <w:vAlign w:val="bottom"/>
            <w:tcBorders>
              <w:right w:val="single" w:sz="8" w:color="4C4C4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00" w:type="dxa"/>
            <w:vAlign w:val="bottom"/>
            <w:tcBorders>
              <w:right w:val="single" w:sz="8" w:color="4C4C4C"/>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63"/>
        </w:trPr>
        <w:tc>
          <w:tcPr>
            <w:tcW w:w="3960" w:type="dxa"/>
            <w:vAlign w:val="bottom"/>
            <w:tcBorders>
              <w:right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940" w:type="dxa"/>
            <w:vAlign w:val="bottom"/>
            <w:tcBorders>
              <w:left w:val="single" w:sz="8" w:color="4C4C4C"/>
            </w:tcBorders>
            <w:shd w:val="clear" w:color="auto" w:fill="F0F0F0"/>
          </w:tcPr>
          <w:p>
            <w:pPr>
              <w:spacing w:after="0"/>
              <w:rPr>
                <w:sz w:val="22"/>
                <w:szCs w:val="22"/>
                <w:color w:val="auto"/>
              </w:rPr>
            </w:pPr>
          </w:p>
        </w:tc>
        <w:tc>
          <w:tcPr>
            <w:tcW w:w="680" w:type="dxa"/>
            <w:vAlign w:val="bottom"/>
            <w:tcBorders>
              <w:right w:val="single" w:sz="8" w:color="F0F0F0"/>
            </w:tcBorders>
            <w:shd w:val="clear" w:color="auto" w:fill="F0F0F0"/>
          </w:tcPr>
          <w:p>
            <w:pPr>
              <w:spacing w:after="0"/>
              <w:rPr>
                <w:sz w:val="22"/>
                <w:szCs w:val="22"/>
                <w:color w:val="auto"/>
              </w:rPr>
            </w:pPr>
          </w:p>
        </w:tc>
        <w:tc>
          <w:tcPr>
            <w:tcW w:w="1000" w:type="dxa"/>
            <w:vAlign w:val="bottom"/>
            <w:shd w:val="clear" w:color="auto" w:fill="F0F0F0"/>
          </w:tcPr>
          <w:p>
            <w:pPr>
              <w:spacing w:after="0"/>
              <w:rPr>
                <w:sz w:val="22"/>
                <w:szCs w:val="22"/>
                <w:color w:val="auto"/>
              </w:rPr>
            </w:pPr>
          </w:p>
        </w:tc>
        <w:tc>
          <w:tcPr>
            <w:tcW w:w="620" w:type="dxa"/>
            <w:vAlign w:val="bottom"/>
            <w:tcBorders>
              <w:right w:val="single" w:sz="8" w:color="4C4C4C"/>
            </w:tcBorders>
            <w:shd w:val="clear" w:color="auto" w:fill="F0F0F0"/>
          </w:tcPr>
          <w:p>
            <w:pPr>
              <w:spacing w:after="0"/>
              <w:rPr>
                <w:sz w:val="22"/>
                <w:szCs w:val="22"/>
                <w:color w:val="auto"/>
              </w:rPr>
            </w:pPr>
          </w:p>
        </w:tc>
        <w:tc>
          <w:tcPr>
            <w:tcW w:w="60" w:type="dxa"/>
            <w:vAlign w:val="bottom"/>
            <w:tcBorders>
              <w:right w:val="single" w:sz="8" w:color="4C4C4C"/>
            </w:tcBorders>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Borders>
              <w:right w:val="single" w:sz="8" w:color="4C4C4C"/>
            </w:tcBorders>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21,193</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9,503</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8,210</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4,801</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19,006</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7,576</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11,495</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7,516</w:t>
            </w:r>
          </w:p>
        </w:tc>
        <w:tc>
          <w:tcPr>
            <w:tcW w:w="0" w:type="dxa"/>
            <w:vAlign w:val="bottom"/>
          </w:tcPr>
          <w:p>
            <w:pPr>
              <w:spacing w:after="0"/>
              <w:rPr>
                <w:sz w:val="1"/>
                <w:szCs w:val="1"/>
                <w:color w:val="auto"/>
              </w:rPr>
            </w:pPr>
          </w:p>
        </w:tc>
      </w:tr>
      <w:tr>
        <w:trPr>
          <w:trHeight w:val="294"/>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Canada/Other Americas</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4,193</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4,131</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2,901</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4,394</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4,310</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2,903</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0" w:type="dxa"/>
            <w:vAlign w:val="bottom"/>
          </w:tcPr>
          <w:p>
            <w:pPr>
              <w:spacing w:after="0"/>
              <w:rPr>
                <w:sz w:val="1"/>
                <w:szCs w:val="1"/>
                <w:color w:val="auto"/>
              </w:rPr>
            </w:pPr>
          </w:p>
        </w:tc>
      </w:tr>
      <w:tr>
        <w:trPr>
          <w:trHeight w:val="294"/>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476</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125</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396</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198</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536</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127</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433</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0" w:type="dxa"/>
            <w:vAlign w:val="bottom"/>
          </w:tcPr>
          <w:p>
            <w:pPr>
              <w:spacing w:after="0"/>
              <w:rPr>
                <w:sz w:val="1"/>
                <w:szCs w:val="1"/>
                <w:color w:val="auto"/>
              </w:rPr>
            </w:pPr>
          </w:p>
        </w:tc>
      </w:tr>
      <w:tr>
        <w:trPr>
          <w:trHeight w:val="294"/>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605</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204</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21</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590</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191</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24</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94"/>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995</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293</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148</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999</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318</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147</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318"/>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940" w:type="dxa"/>
            <w:vAlign w:val="bottom"/>
            <w:tcBorders>
              <w:left w:val="single" w:sz="8" w:color="4C4C4C"/>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449</w:t>
            </w:r>
          </w:p>
        </w:tc>
        <w:tc>
          <w:tcPr>
            <w:tcW w:w="680" w:type="dxa"/>
            <w:vAlign w:val="bottom"/>
            <w:tcBorders>
              <w:bottom w:val="single" w:sz="8" w:color="F0F0F0"/>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84</w:t>
            </w:r>
          </w:p>
        </w:tc>
        <w:tc>
          <w:tcPr>
            <w:tcW w:w="1000" w:type="dxa"/>
            <w:vAlign w:val="bottom"/>
            <w:tcBorders>
              <w:bottom w:val="single" w:sz="8" w:color="F0F0F0"/>
            </w:tcBorders>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98</w:t>
            </w:r>
          </w:p>
        </w:tc>
        <w:tc>
          <w:tcPr>
            <w:tcW w:w="620" w:type="dxa"/>
            <w:vAlign w:val="bottom"/>
            <w:tcBorders>
              <w:bottom w:val="single" w:sz="8" w:color="F0F0F0"/>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473</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89</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92</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74"/>
        </w:trPr>
        <w:tc>
          <w:tcPr>
            <w:tcW w:w="3960" w:type="dxa"/>
            <w:vAlign w:val="bottom"/>
            <w:tcBorders>
              <w:top w:val="single" w:sz="8" w:color="4C4C4C"/>
              <w:right w:val="single" w:sz="8" w:color="4C4C4C"/>
            </w:tcBorders>
          </w:tcPr>
          <w:p>
            <w:pPr>
              <w:ind w:left="8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940" w:type="dxa"/>
            <w:vAlign w:val="bottom"/>
            <w:tcBorders>
              <w:top w:val="single" w:sz="8" w:color="4C4C4C"/>
              <w:left w:val="single" w:sz="8" w:color="4C4C4C"/>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27,911</w:t>
            </w:r>
          </w:p>
        </w:tc>
        <w:tc>
          <w:tcPr>
            <w:tcW w:w="680" w:type="dxa"/>
            <w:vAlign w:val="bottom"/>
            <w:tcBorders>
              <w:top w:val="single" w:sz="8" w:color="4C4C4C"/>
              <w:bottom w:val="single" w:sz="8" w:color="F0F0F0"/>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14,340</w:t>
            </w:r>
          </w:p>
        </w:tc>
        <w:tc>
          <w:tcPr>
            <w:tcW w:w="1000" w:type="dxa"/>
            <w:vAlign w:val="bottom"/>
            <w:tcBorders>
              <w:top w:val="single" w:sz="8" w:color="4C4C4C"/>
              <w:bottom w:val="single" w:sz="8" w:color="F0F0F0"/>
            </w:tcBorders>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11,774</w:t>
            </w:r>
          </w:p>
        </w:tc>
        <w:tc>
          <w:tcPr>
            <w:tcW w:w="620" w:type="dxa"/>
            <w:vAlign w:val="bottom"/>
            <w:tcBorders>
              <w:top w:val="single" w:sz="8" w:color="4C4C4C"/>
              <w:bottom w:val="single" w:sz="8" w:color="F0F0F0"/>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6,166</w:t>
            </w:r>
          </w:p>
        </w:tc>
        <w:tc>
          <w:tcPr>
            <w:tcW w:w="60" w:type="dxa"/>
            <w:vAlign w:val="bottom"/>
            <w:tcBorders>
              <w:top w:val="single" w:sz="8" w:color="4C4C4C"/>
              <w:right w:val="single" w:sz="8" w:color="4C4C4C"/>
            </w:tcBorders>
          </w:tcPr>
          <w:p>
            <w:pPr>
              <w:spacing w:after="0"/>
              <w:rPr>
                <w:sz w:val="23"/>
                <w:szCs w:val="23"/>
                <w:color w:val="auto"/>
              </w:rPr>
            </w:pPr>
          </w:p>
        </w:tc>
        <w:tc>
          <w:tcPr>
            <w:tcW w:w="940" w:type="dxa"/>
            <w:vAlign w:val="bottom"/>
            <w:tcBorders>
              <w:top w:val="single" w:sz="8" w:color="4C4C4C"/>
            </w:tcBorders>
          </w:tcPr>
          <w:p>
            <w:pPr>
              <w:jc w:val="right"/>
              <w:ind w:right="165"/>
              <w:spacing w:after="0"/>
              <w:rPr>
                <w:sz w:val="20"/>
                <w:szCs w:val="20"/>
                <w:color w:val="auto"/>
              </w:rPr>
            </w:pPr>
            <w:r>
              <w:rPr>
                <w:rFonts w:ascii="Times New Roman" w:cs="Times New Roman" w:eastAsia="Times New Roman" w:hAnsi="Times New Roman"/>
                <w:sz w:val="20"/>
                <w:szCs w:val="20"/>
                <w:color w:val="auto"/>
              </w:rPr>
              <w:t>25,998</w:t>
            </w:r>
          </w:p>
        </w:tc>
        <w:tc>
          <w:tcPr>
            <w:tcW w:w="680" w:type="dxa"/>
            <w:vAlign w:val="bottom"/>
            <w:tcBorders>
              <w:top w:val="single" w:sz="8" w:color="4C4C4C"/>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12,611</w:t>
            </w:r>
          </w:p>
        </w:tc>
        <w:tc>
          <w:tcPr>
            <w:tcW w:w="1000" w:type="dxa"/>
            <w:vAlign w:val="bottom"/>
            <w:tcBorders>
              <w:top w:val="single" w:sz="8" w:color="4C4C4C"/>
            </w:tcBorders>
          </w:tcPr>
          <w:p>
            <w:pPr>
              <w:jc w:val="right"/>
              <w:ind w:right="225"/>
              <w:spacing w:after="0"/>
              <w:rPr>
                <w:sz w:val="20"/>
                <w:szCs w:val="20"/>
                <w:color w:val="auto"/>
              </w:rPr>
            </w:pPr>
            <w:r>
              <w:rPr>
                <w:rFonts w:ascii="Times New Roman" w:cs="Times New Roman" w:eastAsia="Times New Roman" w:hAnsi="Times New Roman"/>
                <w:sz w:val="20"/>
                <w:szCs w:val="20"/>
                <w:color w:val="auto"/>
              </w:rPr>
              <w:t>15,094</w:t>
            </w:r>
          </w:p>
        </w:tc>
        <w:tc>
          <w:tcPr>
            <w:tcW w:w="600" w:type="dxa"/>
            <w:vAlign w:val="bottom"/>
            <w:tcBorders>
              <w:top w:val="single" w:sz="8" w:color="4C4C4C"/>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8,888</w:t>
            </w:r>
          </w:p>
        </w:tc>
        <w:tc>
          <w:tcPr>
            <w:tcW w:w="0" w:type="dxa"/>
            <w:vAlign w:val="bottom"/>
          </w:tcPr>
          <w:p>
            <w:pPr>
              <w:spacing w:after="0"/>
              <w:rPr>
                <w:sz w:val="1"/>
                <w:szCs w:val="1"/>
                <w:color w:val="auto"/>
              </w:rPr>
            </w:pPr>
          </w:p>
        </w:tc>
      </w:tr>
      <w:tr>
        <w:trPr>
          <w:trHeight w:val="326"/>
        </w:trPr>
        <w:tc>
          <w:tcPr>
            <w:tcW w:w="3960" w:type="dxa"/>
            <w:vAlign w:val="bottom"/>
            <w:tcBorders>
              <w:top w:val="single" w:sz="8" w:color="4C4C4C"/>
              <w:right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940" w:type="dxa"/>
            <w:vAlign w:val="bottom"/>
            <w:tcBorders>
              <w:top w:val="single" w:sz="8" w:color="4C4C4C"/>
              <w:left w:val="single" w:sz="8" w:color="4C4C4C"/>
            </w:tcBorders>
            <w:shd w:val="clear" w:color="auto" w:fill="F0F0F0"/>
          </w:tcPr>
          <w:p>
            <w:pPr>
              <w:spacing w:after="0"/>
              <w:rPr>
                <w:sz w:val="24"/>
                <w:szCs w:val="24"/>
                <w:color w:val="auto"/>
              </w:rPr>
            </w:pPr>
          </w:p>
        </w:tc>
        <w:tc>
          <w:tcPr>
            <w:tcW w:w="680" w:type="dxa"/>
            <w:vAlign w:val="bottom"/>
            <w:tcBorders>
              <w:top w:val="single" w:sz="8" w:color="4C4C4C"/>
              <w:right w:val="single" w:sz="8" w:color="F0F0F0"/>
            </w:tcBorders>
            <w:shd w:val="clear" w:color="auto" w:fill="F0F0F0"/>
          </w:tcPr>
          <w:p>
            <w:pPr>
              <w:spacing w:after="0"/>
              <w:rPr>
                <w:sz w:val="24"/>
                <w:szCs w:val="24"/>
                <w:color w:val="auto"/>
              </w:rPr>
            </w:pPr>
          </w:p>
        </w:tc>
        <w:tc>
          <w:tcPr>
            <w:tcW w:w="1000" w:type="dxa"/>
            <w:vAlign w:val="bottom"/>
            <w:tcBorders>
              <w:top w:val="single" w:sz="8" w:color="4C4C4C"/>
            </w:tcBorders>
            <w:shd w:val="clear" w:color="auto" w:fill="F0F0F0"/>
          </w:tcPr>
          <w:p>
            <w:pPr>
              <w:spacing w:after="0"/>
              <w:rPr>
                <w:sz w:val="24"/>
                <w:szCs w:val="24"/>
                <w:color w:val="auto"/>
              </w:rPr>
            </w:pPr>
          </w:p>
        </w:tc>
        <w:tc>
          <w:tcPr>
            <w:tcW w:w="620" w:type="dxa"/>
            <w:vAlign w:val="bottom"/>
            <w:tcBorders>
              <w:top w:val="single" w:sz="8" w:color="4C4C4C"/>
              <w:right w:val="single" w:sz="8" w:color="4C4C4C"/>
            </w:tcBorders>
            <w:shd w:val="clear" w:color="auto" w:fill="F0F0F0"/>
          </w:tcPr>
          <w:p>
            <w:pPr>
              <w:spacing w:after="0"/>
              <w:rPr>
                <w:sz w:val="24"/>
                <w:szCs w:val="24"/>
                <w:color w:val="auto"/>
              </w:rPr>
            </w:pPr>
          </w:p>
        </w:tc>
        <w:tc>
          <w:tcPr>
            <w:tcW w:w="60" w:type="dxa"/>
            <w:vAlign w:val="bottom"/>
            <w:tcBorders>
              <w:top w:val="single" w:sz="8" w:color="4C4C4C"/>
              <w:right w:val="single" w:sz="8" w:color="4C4C4C"/>
            </w:tcBorders>
          </w:tcPr>
          <w:p>
            <w:pPr>
              <w:spacing w:after="0"/>
              <w:rPr>
                <w:sz w:val="24"/>
                <w:szCs w:val="24"/>
                <w:color w:val="auto"/>
              </w:rPr>
            </w:pPr>
          </w:p>
        </w:tc>
        <w:tc>
          <w:tcPr>
            <w:tcW w:w="940" w:type="dxa"/>
            <w:vAlign w:val="bottom"/>
            <w:tcBorders>
              <w:top w:val="single" w:sz="8" w:color="4C4C4C"/>
            </w:tcBorders>
          </w:tcPr>
          <w:p>
            <w:pPr>
              <w:spacing w:after="0"/>
              <w:rPr>
                <w:sz w:val="24"/>
                <w:szCs w:val="24"/>
                <w:color w:val="auto"/>
              </w:rPr>
            </w:pPr>
          </w:p>
        </w:tc>
        <w:tc>
          <w:tcPr>
            <w:tcW w:w="680" w:type="dxa"/>
            <w:vAlign w:val="bottom"/>
            <w:tcBorders>
              <w:top w:val="single" w:sz="8" w:color="4C4C4C"/>
              <w:right w:val="single" w:sz="8" w:color="4C4C4C"/>
            </w:tcBorders>
          </w:tcPr>
          <w:p>
            <w:pPr>
              <w:spacing w:after="0"/>
              <w:rPr>
                <w:sz w:val="24"/>
                <w:szCs w:val="24"/>
                <w:color w:val="auto"/>
              </w:rPr>
            </w:pPr>
          </w:p>
        </w:tc>
        <w:tc>
          <w:tcPr>
            <w:tcW w:w="1000" w:type="dxa"/>
            <w:vAlign w:val="bottom"/>
            <w:tcBorders>
              <w:top w:val="single" w:sz="8" w:color="4C4C4C"/>
            </w:tcBorders>
          </w:tcPr>
          <w:p>
            <w:pPr>
              <w:spacing w:after="0"/>
              <w:rPr>
                <w:sz w:val="24"/>
                <w:szCs w:val="24"/>
                <w:color w:val="auto"/>
              </w:rPr>
            </w:pPr>
          </w:p>
        </w:tc>
        <w:tc>
          <w:tcPr>
            <w:tcW w:w="600" w:type="dxa"/>
            <w:vAlign w:val="bottom"/>
            <w:tcBorders>
              <w:top w:val="single" w:sz="8" w:color="4C4C4C"/>
              <w:right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2,634</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340</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3,322</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329</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12,068</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4,777</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3,341</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0" w:type="dxa"/>
            <w:vAlign w:val="bottom"/>
          </w:tcPr>
          <w:p>
            <w:pPr>
              <w:spacing w:after="0"/>
              <w:rPr>
                <w:sz w:val="1"/>
                <w:szCs w:val="1"/>
                <w:color w:val="auto"/>
              </w:rPr>
            </w:pPr>
          </w:p>
        </w:tc>
      </w:tr>
      <w:tr>
        <w:trPr>
          <w:trHeight w:val="294"/>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57</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20</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454</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57</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20</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482</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94"/>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940" w:type="dxa"/>
            <w:vAlign w:val="bottom"/>
            <w:tcBorders>
              <w:left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6</w:t>
            </w:r>
          </w:p>
        </w:tc>
        <w:tc>
          <w:tcPr>
            <w:tcW w:w="620" w:type="dxa"/>
            <w:vAlign w:val="bottom"/>
            <w:tcBorders>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6</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18"/>
        </w:trPr>
        <w:tc>
          <w:tcPr>
            <w:tcW w:w="3960" w:type="dxa"/>
            <w:vAlign w:val="bottom"/>
            <w:tcBorders>
              <w:right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940" w:type="dxa"/>
            <w:vAlign w:val="bottom"/>
            <w:tcBorders>
              <w:left w:val="single" w:sz="8" w:color="4C4C4C"/>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234</w:t>
            </w:r>
          </w:p>
        </w:tc>
        <w:tc>
          <w:tcPr>
            <w:tcW w:w="680" w:type="dxa"/>
            <w:vAlign w:val="bottom"/>
            <w:tcBorders>
              <w:bottom w:val="single" w:sz="8" w:color="F0F0F0"/>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58</w:t>
            </w:r>
          </w:p>
        </w:tc>
        <w:tc>
          <w:tcPr>
            <w:tcW w:w="1000" w:type="dxa"/>
            <w:vAlign w:val="bottom"/>
            <w:tcBorders>
              <w:bottom w:val="single" w:sz="8" w:color="F0F0F0"/>
            </w:tcBorders>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145</w:t>
            </w:r>
          </w:p>
        </w:tc>
        <w:tc>
          <w:tcPr>
            <w:tcW w:w="620" w:type="dxa"/>
            <w:vAlign w:val="bottom"/>
            <w:tcBorders>
              <w:bottom w:val="single" w:sz="8" w:color="F0F0F0"/>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Borders>
              <w:right w:val="single" w:sz="8" w:color="4C4C4C"/>
            </w:tcBorders>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233</w:t>
            </w:r>
          </w:p>
        </w:tc>
        <w:tc>
          <w:tcPr>
            <w:tcW w:w="680" w:type="dxa"/>
            <w:vAlign w:val="bottom"/>
            <w:tcBorders>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58</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145</w:t>
            </w:r>
          </w:p>
        </w:tc>
        <w:tc>
          <w:tcPr>
            <w:tcW w:w="60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74"/>
        </w:trPr>
        <w:tc>
          <w:tcPr>
            <w:tcW w:w="3960" w:type="dxa"/>
            <w:vAlign w:val="bottom"/>
            <w:tcBorders>
              <w:top w:val="single" w:sz="8" w:color="4C4C4C"/>
              <w:right w:val="single" w:sz="8" w:color="4C4C4C"/>
            </w:tcBorders>
          </w:tcPr>
          <w:p>
            <w:pPr>
              <w:ind w:left="80"/>
              <w:spacing w:after="0"/>
              <w:rPr>
                <w:sz w:val="20"/>
                <w:szCs w:val="20"/>
                <w:color w:val="auto"/>
              </w:rPr>
            </w:pPr>
            <w:r>
              <w:rPr>
                <w:rFonts w:ascii="Times New Roman" w:cs="Times New Roman" w:eastAsia="Times New Roman" w:hAnsi="Times New Roman"/>
                <w:sz w:val="20"/>
                <w:szCs w:val="20"/>
                <w:color w:val="auto"/>
              </w:rPr>
              <w:t>Total Equity Companies</w:t>
            </w:r>
          </w:p>
        </w:tc>
        <w:tc>
          <w:tcPr>
            <w:tcW w:w="940" w:type="dxa"/>
            <w:vAlign w:val="bottom"/>
            <w:tcBorders>
              <w:top w:val="single" w:sz="8" w:color="4C4C4C"/>
              <w:left w:val="single" w:sz="8" w:color="4C4C4C"/>
              <w:bottom w:val="single" w:sz="8" w:color="F0F0F0"/>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color w:val="auto"/>
              </w:rPr>
              <w:t>2,925</w:t>
            </w:r>
          </w:p>
        </w:tc>
        <w:tc>
          <w:tcPr>
            <w:tcW w:w="680" w:type="dxa"/>
            <w:vAlign w:val="bottom"/>
            <w:tcBorders>
              <w:top w:val="single" w:sz="8" w:color="4C4C4C"/>
              <w:bottom w:val="single" w:sz="8" w:color="F0F0F0"/>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418</w:t>
            </w:r>
          </w:p>
        </w:tc>
        <w:tc>
          <w:tcPr>
            <w:tcW w:w="1000" w:type="dxa"/>
            <w:vAlign w:val="bottom"/>
            <w:tcBorders>
              <w:top w:val="single" w:sz="8" w:color="4C4C4C"/>
              <w:bottom w:val="single" w:sz="8" w:color="F0F0F0"/>
            </w:tcBorders>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color w:val="auto"/>
              </w:rPr>
              <w:t>3,927</w:t>
            </w:r>
          </w:p>
        </w:tc>
        <w:tc>
          <w:tcPr>
            <w:tcW w:w="620" w:type="dxa"/>
            <w:vAlign w:val="bottom"/>
            <w:tcBorders>
              <w:top w:val="single" w:sz="8" w:color="4C4C4C"/>
              <w:bottom w:val="single" w:sz="8" w:color="F0F0F0"/>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color w:val="auto"/>
              </w:rPr>
              <w:t>503</w:t>
            </w:r>
          </w:p>
        </w:tc>
        <w:tc>
          <w:tcPr>
            <w:tcW w:w="60" w:type="dxa"/>
            <w:vAlign w:val="bottom"/>
            <w:tcBorders>
              <w:top w:val="single" w:sz="8" w:color="4C4C4C"/>
              <w:right w:val="single" w:sz="8" w:color="4C4C4C"/>
            </w:tcBorders>
          </w:tcPr>
          <w:p>
            <w:pPr>
              <w:spacing w:after="0"/>
              <w:rPr>
                <w:sz w:val="23"/>
                <w:szCs w:val="23"/>
                <w:color w:val="auto"/>
              </w:rPr>
            </w:pPr>
          </w:p>
        </w:tc>
        <w:tc>
          <w:tcPr>
            <w:tcW w:w="940" w:type="dxa"/>
            <w:vAlign w:val="bottom"/>
            <w:tcBorders>
              <w:top w:val="single" w:sz="8" w:color="4C4C4C"/>
            </w:tcBorders>
          </w:tcPr>
          <w:p>
            <w:pPr>
              <w:jc w:val="right"/>
              <w:ind w:right="165"/>
              <w:spacing w:after="0"/>
              <w:rPr>
                <w:sz w:val="20"/>
                <w:szCs w:val="20"/>
                <w:color w:val="auto"/>
              </w:rPr>
            </w:pPr>
            <w:r>
              <w:rPr>
                <w:rFonts w:ascii="Times New Roman" w:cs="Times New Roman" w:eastAsia="Times New Roman" w:hAnsi="Times New Roman"/>
                <w:sz w:val="20"/>
                <w:szCs w:val="20"/>
                <w:color w:val="auto"/>
              </w:rPr>
              <w:t>12,358</w:t>
            </w:r>
          </w:p>
        </w:tc>
        <w:tc>
          <w:tcPr>
            <w:tcW w:w="680" w:type="dxa"/>
            <w:vAlign w:val="bottom"/>
            <w:tcBorders>
              <w:top w:val="single" w:sz="8" w:color="4C4C4C"/>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4,855</w:t>
            </w:r>
          </w:p>
        </w:tc>
        <w:tc>
          <w:tcPr>
            <w:tcW w:w="1000" w:type="dxa"/>
            <w:vAlign w:val="bottom"/>
            <w:tcBorders>
              <w:top w:val="single" w:sz="8" w:color="4C4C4C"/>
            </w:tcBorders>
          </w:tcPr>
          <w:p>
            <w:pPr>
              <w:jc w:val="right"/>
              <w:ind w:right="225"/>
              <w:spacing w:after="0"/>
              <w:rPr>
                <w:sz w:val="20"/>
                <w:szCs w:val="20"/>
                <w:color w:val="auto"/>
              </w:rPr>
            </w:pPr>
            <w:r>
              <w:rPr>
                <w:rFonts w:ascii="Times New Roman" w:cs="Times New Roman" w:eastAsia="Times New Roman" w:hAnsi="Times New Roman"/>
                <w:sz w:val="20"/>
                <w:szCs w:val="20"/>
                <w:color w:val="auto"/>
              </w:rPr>
              <w:t>3,974</w:t>
            </w:r>
          </w:p>
        </w:tc>
        <w:tc>
          <w:tcPr>
            <w:tcW w:w="600" w:type="dxa"/>
            <w:vAlign w:val="bottom"/>
            <w:tcBorders>
              <w:top w:val="single" w:sz="8" w:color="4C4C4C"/>
              <w:right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0" w:type="dxa"/>
            <w:vAlign w:val="bottom"/>
          </w:tcPr>
          <w:p>
            <w:pPr>
              <w:spacing w:after="0"/>
              <w:rPr>
                <w:sz w:val="1"/>
                <w:szCs w:val="1"/>
                <w:color w:val="auto"/>
              </w:rPr>
            </w:pPr>
          </w:p>
        </w:tc>
      </w:tr>
      <w:tr>
        <w:trPr>
          <w:trHeight w:val="274"/>
        </w:trPr>
        <w:tc>
          <w:tcPr>
            <w:tcW w:w="3960" w:type="dxa"/>
            <w:vAlign w:val="bottom"/>
            <w:tcBorders>
              <w:top w:val="single" w:sz="8" w:color="4C4C4C"/>
              <w:bottom w:val="single" w:sz="8" w:color="4C4C4C"/>
              <w:right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gross and net productive wells</w:t>
            </w:r>
          </w:p>
        </w:tc>
        <w:tc>
          <w:tcPr>
            <w:tcW w:w="940" w:type="dxa"/>
            <w:vAlign w:val="bottom"/>
            <w:tcBorders>
              <w:top w:val="single" w:sz="8" w:color="4C4C4C"/>
              <w:left w:val="single" w:sz="8" w:color="4C4C4C"/>
              <w:bottom w:val="single" w:sz="8" w:color="4C4C4C"/>
            </w:tcBorders>
            <w:shd w:val="clear" w:color="auto" w:fill="F0F0F0"/>
          </w:tcPr>
          <w:p>
            <w:pPr>
              <w:jc w:val="right"/>
              <w:ind w:right="165"/>
              <w:spacing w:after="0"/>
              <w:rPr>
                <w:sz w:val="20"/>
                <w:szCs w:val="20"/>
                <w:color w:val="auto"/>
              </w:rPr>
            </w:pPr>
            <w:r>
              <w:rPr>
                <w:rFonts w:ascii="Times New Roman" w:cs="Times New Roman" w:eastAsia="Times New Roman" w:hAnsi="Times New Roman"/>
                <w:sz w:val="20"/>
                <w:szCs w:val="20"/>
                <w:b w:val="1"/>
                <w:bCs w:val="1"/>
                <w:color w:val="auto"/>
              </w:rPr>
              <w:t>30,836</w:t>
            </w:r>
          </w:p>
        </w:tc>
        <w:tc>
          <w:tcPr>
            <w:tcW w:w="680" w:type="dxa"/>
            <w:vAlign w:val="bottom"/>
            <w:tcBorders>
              <w:top w:val="single" w:sz="8" w:color="4C4C4C"/>
              <w:bottom w:val="single" w:sz="8" w:color="4C4C4C"/>
              <w:right w:val="single" w:sz="8" w:color="F0F0F0"/>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14,758</w:t>
            </w:r>
          </w:p>
        </w:tc>
        <w:tc>
          <w:tcPr>
            <w:tcW w:w="1000" w:type="dxa"/>
            <w:vAlign w:val="bottom"/>
            <w:tcBorders>
              <w:top w:val="single" w:sz="8" w:color="4C4C4C"/>
              <w:bottom w:val="single" w:sz="8" w:color="4C4C4C"/>
            </w:tcBorders>
            <w:shd w:val="clear" w:color="auto" w:fill="F0F0F0"/>
          </w:tcPr>
          <w:p>
            <w:pPr>
              <w:jc w:val="right"/>
              <w:ind w:right="225"/>
              <w:spacing w:after="0"/>
              <w:rPr>
                <w:sz w:val="20"/>
                <w:szCs w:val="20"/>
                <w:color w:val="auto"/>
              </w:rPr>
            </w:pPr>
            <w:r>
              <w:rPr>
                <w:rFonts w:ascii="Times New Roman" w:cs="Times New Roman" w:eastAsia="Times New Roman" w:hAnsi="Times New Roman"/>
                <w:sz w:val="20"/>
                <w:szCs w:val="20"/>
                <w:b w:val="1"/>
                <w:bCs w:val="1"/>
                <w:color w:val="auto"/>
              </w:rPr>
              <w:t>15,701</w:t>
            </w:r>
          </w:p>
        </w:tc>
        <w:tc>
          <w:tcPr>
            <w:tcW w:w="620" w:type="dxa"/>
            <w:vAlign w:val="bottom"/>
            <w:tcBorders>
              <w:top w:val="single" w:sz="8" w:color="4C4C4C"/>
              <w:bottom w:val="single" w:sz="8" w:color="4C4C4C"/>
              <w:right w:val="single" w:sz="8" w:color="4C4C4C"/>
            </w:tcBorders>
            <w:shd w:val="clear" w:color="auto" w:fill="F0F0F0"/>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6,669</w:t>
            </w:r>
          </w:p>
        </w:tc>
        <w:tc>
          <w:tcPr>
            <w:tcW w:w="60" w:type="dxa"/>
            <w:vAlign w:val="bottom"/>
            <w:tcBorders>
              <w:top w:val="single" w:sz="8" w:color="4C4C4C"/>
              <w:bottom w:val="single" w:sz="8" w:color="4C4C4C"/>
              <w:right w:val="single" w:sz="8" w:color="4C4C4C"/>
            </w:tcBorders>
          </w:tcPr>
          <w:p>
            <w:pPr>
              <w:spacing w:after="0"/>
              <w:rPr>
                <w:sz w:val="23"/>
                <w:szCs w:val="23"/>
                <w:color w:val="auto"/>
              </w:rPr>
            </w:pPr>
          </w:p>
        </w:tc>
        <w:tc>
          <w:tcPr>
            <w:tcW w:w="940" w:type="dxa"/>
            <w:vAlign w:val="bottom"/>
            <w:tcBorders>
              <w:top w:val="single" w:sz="8" w:color="4C4C4C"/>
              <w:bottom w:val="single" w:sz="8" w:color="4C4C4C"/>
            </w:tcBorders>
          </w:tcPr>
          <w:p>
            <w:pPr>
              <w:jc w:val="right"/>
              <w:ind w:right="165"/>
              <w:spacing w:after="0"/>
              <w:rPr>
                <w:sz w:val="20"/>
                <w:szCs w:val="20"/>
                <w:color w:val="auto"/>
              </w:rPr>
            </w:pPr>
            <w:r>
              <w:rPr>
                <w:rFonts w:ascii="Times New Roman" w:cs="Times New Roman" w:eastAsia="Times New Roman" w:hAnsi="Times New Roman"/>
                <w:sz w:val="20"/>
                <w:szCs w:val="20"/>
                <w:b w:val="1"/>
                <w:bCs w:val="1"/>
                <w:color w:val="auto"/>
              </w:rPr>
              <w:t>38,356</w:t>
            </w:r>
          </w:p>
        </w:tc>
        <w:tc>
          <w:tcPr>
            <w:tcW w:w="680" w:type="dxa"/>
            <w:vAlign w:val="bottom"/>
            <w:tcBorders>
              <w:top w:val="single" w:sz="8" w:color="4C4C4C"/>
              <w:bottom w:val="single" w:sz="8" w:color="4C4C4C"/>
              <w:right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17,466</w:t>
            </w:r>
          </w:p>
        </w:tc>
        <w:tc>
          <w:tcPr>
            <w:tcW w:w="1000" w:type="dxa"/>
            <w:vAlign w:val="bottom"/>
            <w:tcBorders>
              <w:top w:val="single" w:sz="8" w:color="4C4C4C"/>
              <w:bottom w:val="single" w:sz="8" w:color="4C4C4C"/>
            </w:tcBorders>
          </w:tcPr>
          <w:p>
            <w:pPr>
              <w:jc w:val="right"/>
              <w:ind w:right="225"/>
              <w:spacing w:after="0"/>
              <w:rPr>
                <w:sz w:val="20"/>
                <w:szCs w:val="20"/>
                <w:color w:val="auto"/>
              </w:rPr>
            </w:pPr>
            <w:r>
              <w:rPr>
                <w:rFonts w:ascii="Times New Roman" w:cs="Times New Roman" w:eastAsia="Times New Roman" w:hAnsi="Times New Roman"/>
                <w:sz w:val="20"/>
                <w:szCs w:val="20"/>
                <w:b w:val="1"/>
                <w:bCs w:val="1"/>
                <w:color w:val="auto"/>
              </w:rPr>
              <w:t>19,068</w:t>
            </w:r>
          </w:p>
        </w:tc>
        <w:tc>
          <w:tcPr>
            <w:tcW w:w="600" w:type="dxa"/>
            <w:vAlign w:val="bottom"/>
            <w:tcBorders>
              <w:top w:val="single" w:sz="8" w:color="4C4C4C"/>
              <w:bottom w:val="single" w:sz="8" w:color="4C4C4C"/>
              <w:right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9,404</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There were 18,518 gross and 16,171 net operated wells at year-end 2023 and 19,571 gross and 17,165 net operated wells at year-end 2022. The number of wells with multiple completions was 467 gross in 2023 and 1,010 gross in 2022.</w:t>
      </w:r>
    </w:p>
    <w:p>
      <w:pPr>
        <w:sectPr>
          <w:pgSz w:w="11880" w:h="15480" w:orient="portrait"/>
          <w:cols w:equalWidth="0" w:num="1">
            <w:col w:w="10580"/>
          </w:cols>
          <w:pgMar w:left="640" w:top="711"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580"/>
          </w:cols>
          <w:pgMar w:left="640" w:top="711" w:right="66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4C4C4C"/>
        </w:rPr>
        <w:t>B. Gross and Net Developed Acreage</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61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Gross and Net Developed Acreage</w:t>
            </w:r>
          </w:p>
        </w:tc>
        <w:tc>
          <w:tcPr>
            <w:tcW w:w="2200" w:type="dxa"/>
            <w:vAlign w:val="bottom"/>
            <w:gridSpan w:val="2"/>
            <w:shd w:val="clear" w:color="auto" w:fill="4C4C4C"/>
          </w:tcPr>
          <w:p>
            <w:pPr>
              <w:jc w:val="right"/>
              <w:ind w:right="503"/>
              <w:spacing w:after="0"/>
              <w:rPr>
                <w:sz w:val="20"/>
                <w:szCs w:val="20"/>
                <w:color w:val="auto"/>
              </w:rPr>
            </w:pPr>
            <w:r>
              <w:rPr>
                <w:rFonts w:ascii="Times New Roman" w:cs="Times New Roman" w:eastAsia="Times New Roman" w:hAnsi="Times New Roman"/>
                <w:sz w:val="16"/>
                <w:szCs w:val="16"/>
                <w:b w:val="1"/>
                <w:bCs w:val="1"/>
                <w:color w:val="FFFFFF"/>
              </w:rPr>
              <w:t>Year-End 2023</w:t>
            </w:r>
          </w:p>
        </w:tc>
        <w:tc>
          <w:tcPr>
            <w:tcW w:w="2260" w:type="dxa"/>
            <w:vAlign w:val="bottom"/>
            <w:gridSpan w:val="2"/>
            <w:shd w:val="clear" w:color="auto" w:fill="4C4C4C"/>
          </w:tcPr>
          <w:p>
            <w:pPr>
              <w:jc w:val="right"/>
              <w:ind w:right="503"/>
              <w:spacing w:after="0"/>
              <w:rPr>
                <w:sz w:val="20"/>
                <w:szCs w:val="20"/>
                <w:color w:val="auto"/>
              </w:rPr>
            </w:pPr>
            <w:r>
              <w:rPr>
                <w:rFonts w:ascii="Times New Roman" w:cs="Times New Roman" w:eastAsia="Times New Roman" w:hAnsi="Times New Roman"/>
                <w:sz w:val="16"/>
                <w:szCs w:val="16"/>
                <w:b w:val="1"/>
                <w:bCs w:val="1"/>
                <w:color w:val="FFFFFF"/>
              </w:rPr>
              <w:t>Year-End 2022</w:t>
            </w:r>
          </w:p>
        </w:tc>
      </w:tr>
      <w:tr>
        <w:trPr>
          <w:trHeight w:val="272"/>
        </w:trPr>
        <w:tc>
          <w:tcPr>
            <w:tcW w:w="610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(thousands of acres)</w:t>
            </w:r>
          </w:p>
        </w:tc>
        <w:tc>
          <w:tcPr>
            <w:tcW w:w="1260" w:type="dxa"/>
            <w:vAlign w:val="bottom"/>
            <w:tcBorders>
              <w:bottom w:val="single" w:sz="8" w:color="4C4C4C"/>
            </w:tcBorders>
            <w:shd w:val="clear" w:color="auto" w:fill="4C4C4C"/>
          </w:tcPr>
          <w:p>
            <w:pPr>
              <w:jc w:val="right"/>
              <w:ind w:right="445"/>
              <w:spacing w:after="0"/>
              <w:rPr>
                <w:sz w:val="20"/>
                <w:szCs w:val="20"/>
                <w:color w:val="auto"/>
              </w:rPr>
            </w:pPr>
            <w:r>
              <w:rPr>
                <w:rFonts w:ascii="Times New Roman" w:cs="Times New Roman" w:eastAsia="Times New Roman" w:hAnsi="Times New Roman"/>
                <w:sz w:val="16"/>
                <w:szCs w:val="16"/>
                <w:b w:val="1"/>
                <w:bCs w:val="1"/>
                <w:color w:val="FFFFFF"/>
              </w:rPr>
              <w:t>Gross</w:t>
            </w:r>
          </w:p>
        </w:tc>
        <w:tc>
          <w:tcPr>
            <w:tcW w:w="940" w:type="dxa"/>
            <w:vAlign w:val="bottom"/>
            <w:tcBorders>
              <w:bottom w:val="single" w:sz="8" w:color="4C4C4C"/>
            </w:tcBorders>
            <w:shd w:val="clear" w:color="auto" w:fill="4C4C4C"/>
          </w:tcPr>
          <w:p>
            <w:pPr>
              <w:jc w:val="right"/>
              <w:ind w:right="323"/>
              <w:spacing w:after="0"/>
              <w:rPr>
                <w:sz w:val="20"/>
                <w:szCs w:val="20"/>
                <w:color w:val="auto"/>
              </w:rPr>
            </w:pPr>
            <w:r>
              <w:rPr>
                <w:rFonts w:ascii="Times New Roman" w:cs="Times New Roman" w:eastAsia="Times New Roman" w:hAnsi="Times New Roman"/>
                <w:sz w:val="16"/>
                <w:szCs w:val="16"/>
                <w:b w:val="1"/>
                <w:bCs w:val="1"/>
                <w:color w:val="FFFFFF"/>
              </w:rPr>
              <w:t>Net</w:t>
            </w:r>
          </w:p>
        </w:tc>
        <w:tc>
          <w:tcPr>
            <w:tcW w:w="1340" w:type="dxa"/>
            <w:vAlign w:val="bottom"/>
            <w:tcBorders>
              <w:bottom w:val="single" w:sz="8" w:color="4C4C4C"/>
            </w:tcBorders>
            <w:shd w:val="clear" w:color="auto" w:fill="4C4C4C"/>
          </w:tcPr>
          <w:p>
            <w:pPr>
              <w:jc w:val="right"/>
              <w:ind w:right="445"/>
              <w:spacing w:after="0"/>
              <w:rPr>
                <w:sz w:val="20"/>
                <w:szCs w:val="20"/>
                <w:color w:val="auto"/>
              </w:rPr>
            </w:pPr>
            <w:r>
              <w:rPr>
                <w:rFonts w:ascii="Times New Roman" w:cs="Times New Roman" w:eastAsia="Times New Roman" w:hAnsi="Times New Roman"/>
                <w:sz w:val="16"/>
                <w:szCs w:val="16"/>
                <w:b w:val="1"/>
                <w:bCs w:val="1"/>
                <w:color w:val="FFFFFF"/>
              </w:rPr>
              <w:t>Gross</w:t>
            </w:r>
          </w:p>
        </w:tc>
        <w:tc>
          <w:tcPr>
            <w:tcW w:w="920" w:type="dxa"/>
            <w:vAlign w:val="bottom"/>
            <w:tcBorders>
              <w:bottom w:val="single" w:sz="8" w:color="4C4C4C"/>
            </w:tcBorders>
            <w:shd w:val="clear" w:color="auto" w:fill="4C4C4C"/>
          </w:tcPr>
          <w:p>
            <w:pPr>
              <w:jc w:val="right"/>
              <w:ind w:right="323"/>
              <w:spacing w:after="0"/>
              <w:rPr>
                <w:sz w:val="20"/>
                <w:szCs w:val="20"/>
                <w:color w:val="auto"/>
              </w:rPr>
            </w:pPr>
            <w:r>
              <w:rPr>
                <w:rFonts w:ascii="Times New Roman" w:cs="Times New Roman" w:eastAsia="Times New Roman" w:hAnsi="Times New Roman"/>
                <w:sz w:val="16"/>
                <w:szCs w:val="16"/>
                <w:b w:val="1"/>
                <w:bCs w:val="1"/>
                <w:color w:val="FFFFFF"/>
              </w:rPr>
              <w:t>Net</w:t>
            </w:r>
          </w:p>
        </w:tc>
      </w:tr>
      <w:tr>
        <w:trPr>
          <w:trHeight w:val="31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1260" w:type="dxa"/>
            <w:vAlign w:val="bottom"/>
            <w:shd w:val="clear" w:color="auto" w:fill="F0F0F0"/>
          </w:tcPr>
          <w:p>
            <w:pPr>
              <w:spacing w:after="0"/>
              <w:rPr>
                <w:sz w:val="24"/>
                <w:szCs w:val="24"/>
                <w:color w:val="auto"/>
              </w:rPr>
            </w:pPr>
          </w:p>
        </w:tc>
        <w:tc>
          <w:tcPr>
            <w:tcW w:w="94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1"/>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10,354</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6,566</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11,022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6,681</w:t>
            </w:r>
          </w:p>
        </w:tc>
      </w:tr>
      <w:tr>
        <w:trPr>
          <w:trHeight w:val="28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xml:space="preserve">Canada/Other Americas </w:t>
            </w:r>
            <w:r>
              <w:rPr>
                <w:rFonts w:ascii="Times New Roman" w:cs="Times New Roman" w:eastAsia="Times New Roman" w:hAnsi="Times New Roman"/>
                <w:sz w:val="10"/>
                <w:szCs w:val="10"/>
                <w:i w:val="1"/>
                <w:iCs w:val="1"/>
                <w:color w:val="auto"/>
              </w:rPr>
              <w:t>(1)</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2,145</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2,113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w:t>
            </w:r>
          </w:p>
        </w:tc>
      </w:tr>
      <w:tr>
        <w:trPr>
          <w:trHeight w:val="26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983</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1,238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2,109</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2,186</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1,582</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1,582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r>
      <w:tr>
        <w:trPr>
          <w:trHeight w:val="288"/>
        </w:trPr>
        <w:tc>
          <w:tcPr>
            <w:tcW w:w="61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3,174</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3,242</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1,067</w:t>
            </w:r>
          </w:p>
        </w:tc>
      </w:tr>
      <w:tr>
        <w:trPr>
          <w:trHeight w:val="261"/>
        </w:trPr>
        <w:tc>
          <w:tcPr>
            <w:tcW w:w="61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20,347</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10,840</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21,383</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11,035</w:t>
            </w:r>
          </w:p>
        </w:tc>
      </w:tr>
      <w:tr>
        <w:trPr>
          <w:trHeight w:val="318"/>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1260" w:type="dxa"/>
            <w:vAlign w:val="bottom"/>
            <w:shd w:val="clear" w:color="auto" w:fill="F0F0F0"/>
          </w:tcPr>
          <w:p>
            <w:pPr>
              <w:spacing w:after="0"/>
              <w:rPr>
                <w:sz w:val="24"/>
                <w:szCs w:val="24"/>
                <w:color w:val="auto"/>
              </w:rPr>
            </w:pPr>
          </w:p>
        </w:tc>
        <w:tc>
          <w:tcPr>
            <w:tcW w:w="94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583</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702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3,590</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1,109</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3,646</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178</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178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88"/>
        </w:trPr>
        <w:tc>
          <w:tcPr>
            <w:tcW w:w="61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665</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665</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261"/>
        </w:trPr>
        <w:tc>
          <w:tcPr>
            <w:tcW w:w="61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Equity Companies</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5,016</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1,423</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5,191</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1,484</w:t>
            </w:r>
          </w:p>
        </w:tc>
      </w:tr>
      <w:tr>
        <w:trPr>
          <w:trHeight w:val="265"/>
        </w:trPr>
        <w:tc>
          <w:tcPr>
            <w:tcW w:w="61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gross and net developed acreage</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b w:val="1"/>
                <w:bCs w:val="1"/>
                <w:color w:val="auto"/>
              </w:rPr>
              <w:t>25,363</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12,263</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b w:val="1"/>
                <w:bCs w:val="1"/>
                <w:color w:val="auto"/>
              </w:rPr>
              <w:t>26,574</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12,519</w:t>
            </w:r>
          </w:p>
        </w:tc>
      </w:tr>
    </w:tbl>
    <w:p>
      <w:pPr>
        <w:spacing w:after="0" w:line="84" w:lineRule="exact"/>
        <w:rPr>
          <w:sz w:val="20"/>
          <w:szCs w:val="20"/>
          <w:color w:val="auto"/>
        </w:rPr>
      </w:pPr>
    </w:p>
    <w:p>
      <w:pPr>
        <w:ind w:left="220" w:hanging="153"/>
        <w:spacing w:after="0"/>
        <w:tabs>
          <w:tab w:leader="none" w:pos="22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Includes developed acreage in Other Americas of 559 gross and 342 net thousands of acres for 2023 and 490 gross and 311 net thousands of acres for 2022.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Separate acreage data for oil and gas are not maintained because, in many instances, both are produced from the same acreage.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 Gross and Net Undeveloped Acreage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61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Gross and Net Undeveloped Acreage</w:t>
            </w:r>
          </w:p>
        </w:tc>
        <w:tc>
          <w:tcPr>
            <w:tcW w:w="2200" w:type="dxa"/>
            <w:vAlign w:val="bottom"/>
            <w:gridSpan w:val="2"/>
            <w:shd w:val="clear" w:color="auto" w:fill="4C4C4C"/>
          </w:tcPr>
          <w:p>
            <w:pPr>
              <w:jc w:val="right"/>
              <w:ind w:right="503"/>
              <w:spacing w:after="0"/>
              <w:rPr>
                <w:sz w:val="20"/>
                <w:szCs w:val="20"/>
                <w:color w:val="auto"/>
              </w:rPr>
            </w:pPr>
            <w:r>
              <w:rPr>
                <w:rFonts w:ascii="Times New Roman" w:cs="Times New Roman" w:eastAsia="Times New Roman" w:hAnsi="Times New Roman"/>
                <w:sz w:val="16"/>
                <w:szCs w:val="16"/>
                <w:b w:val="1"/>
                <w:bCs w:val="1"/>
                <w:color w:val="FFFFFF"/>
              </w:rPr>
              <w:t>Year-End 2023</w:t>
            </w:r>
          </w:p>
        </w:tc>
        <w:tc>
          <w:tcPr>
            <w:tcW w:w="2260" w:type="dxa"/>
            <w:vAlign w:val="bottom"/>
            <w:gridSpan w:val="2"/>
            <w:shd w:val="clear" w:color="auto" w:fill="4C4C4C"/>
          </w:tcPr>
          <w:p>
            <w:pPr>
              <w:jc w:val="right"/>
              <w:ind w:right="503"/>
              <w:spacing w:after="0"/>
              <w:rPr>
                <w:sz w:val="20"/>
                <w:szCs w:val="20"/>
                <w:color w:val="auto"/>
              </w:rPr>
            </w:pPr>
            <w:r>
              <w:rPr>
                <w:rFonts w:ascii="Times New Roman" w:cs="Times New Roman" w:eastAsia="Times New Roman" w:hAnsi="Times New Roman"/>
                <w:sz w:val="16"/>
                <w:szCs w:val="16"/>
                <w:b w:val="1"/>
                <w:bCs w:val="1"/>
                <w:color w:val="FFFFFF"/>
              </w:rPr>
              <w:t>Year-End 2022</w:t>
            </w:r>
          </w:p>
        </w:tc>
      </w:tr>
      <w:tr>
        <w:trPr>
          <w:trHeight w:val="272"/>
        </w:trPr>
        <w:tc>
          <w:tcPr>
            <w:tcW w:w="610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(thousands of acres)</w:t>
            </w:r>
          </w:p>
        </w:tc>
        <w:tc>
          <w:tcPr>
            <w:tcW w:w="1260" w:type="dxa"/>
            <w:vAlign w:val="bottom"/>
            <w:tcBorders>
              <w:bottom w:val="single" w:sz="8" w:color="4C4C4C"/>
            </w:tcBorders>
            <w:shd w:val="clear" w:color="auto" w:fill="4C4C4C"/>
          </w:tcPr>
          <w:p>
            <w:pPr>
              <w:jc w:val="right"/>
              <w:ind w:right="445"/>
              <w:spacing w:after="0"/>
              <w:rPr>
                <w:sz w:val="20"/>
                <w:szCs w:val="20"/>
                <w:color w:val="auto"/>
              </w:rPr>
            </w:pPr>
            <w:r>
              <w:rPr>
                <w:rFonts w:ascii="Times New Roman" w:cs="Times New Roman" w:eastAsia="Times New Roman" w:hAnsi="Times New Roman"/>
                <w:sz w:val="16"/>
                <w:szCs w:val="16"/>
                <w:b w:val="1"/>
                <w:bCs w:val="1"/>
                <w:color w:val="FFFFFF"/>
              </w:rPr>
              <w:t>Gross</w:t>
            </w:r>
          </w:p>
        </w:tc>
        <w:tc>
          <w:tcPr>
            <w:tcW w:w="940" w:type="dxa"/>
            <w:vAlign w:val="bottom"/>
            <w:tcBorders>
              <w:bottom w:val="single" w:sz="8" w:color="4C4C4C"/>
            </w:tcBorders>
            <w:shd w:val="clear" w:color="auto" w:fill="4C4C4C"/>
          </w:tcPr>
          <w:p>
            <w:pPr>
              <w:jc w:val="right"/>
              <w:ind w:right="323"/>
              <w:spacing w:after="0"/>
              <w:rPr>
                <w:sz w:val="20"/>
                <w:szCs w:val="20"/>
                <w:color w:val="auto"/>
              </w:rPr>
            </w:pPr>
            <w:r>
              <w:rPr>
                <w:rFonts w:ascii="Times New Roman" w:cs="Times New Roman" w:eastAsia="Times New Roman" w:hAnsi="Times New Roman"/>
                <w:sz w:val="16"/>
                <w:szCs w:val="16"/>
                <w:b w:val="1"/>
                <w:bCs w:val="1"/>
                <w:color w:val="FFFFFF"/>
              </w:rPr>
              <w:t>Net</w:t>
            </w:r>
          </w:p>
        </w:tc>
        <w:tc>
          <w:tcPr>
            <w:tcW w:w="1340" w:type="dxa"/>
            <w:vAlign w:val="bottom"/>
            <w:tcBorders>
              <w:bottom w:val="single" w:sz="8" w:color="4C4C4C"/>
            </w:tcBorders>
            <w:shd w:val="clear" w:color="auto" w:fill="4C4C4C"/>
          </w:tcPr>
          <w:p>
            <w:pPr>
              <w:jc w:val="right"/>
              <w:ind w:right="445"/>
              <w:spacing w:after="0"/>
              <w:rPr>
                <w:sz w:val="20"/>
                <w:szCs w:val="20"/>
                <w:color w:val="auto"/>
              </w:rPr>
            </w:pPr>
            <w:r>
              <w:rPr>
                <w:rFonts w:ascii="Times New Roman" w:cs="Times New Roman" w:eastAsia="Times New Roman" w:hAnsi="Times New Roman"/>
                <w:sz w:val="16"/>
                <w:szCs w:val="16"/>
                <w:b w:val="1"/>
                <w:bCs w:val="1"/>
                <w:color w:val="FFFFFF"/>
              </w:rPr>
              <w:t>Gross</w:t>
            </w:r>
          </w:p>
        </w:tc>
        <w:tc>
          <w:tcPr>
            <w:tcW w:w="920" w:type="dxa"/>
            <w:vAlign w:val="bottom"/>
            <w:tcBorders>
              <w:bottom w:val="single" w:sz="8" w:color="4C4C4C"/>
            </w:tcBorders>
            <w:shd w:val="clear" w:color="auto" w:fill="4C4C4C"/>
          </w:tcPr>
          <w:p>
            <w:pPr>
              <w:jc w:val="right"/>
              <w:ind w:right="323"/>
              <w:spacing w:after="0"/>
              <w:rPr>
                <w:sz w:val="20"/>
                <w:szCs w:val="20"/>
                <w:color w:val="auto"/>
              </w:rPr>
            </w:pPr>
            <w:r>
              <w:rPr>
                <w:rFonts w:ascii="Times New Roman" w:cs="Times New Roman" w:eastAsia="Times New Roman" w:hAnsi="Times New Roman"/>
                <w:sz w:val="16"/>
                <w:szCs w:val="16"/>
                <w:b w:val="1"/>
                <w:bCs w:val="1"/>
                <w:color w:val="FFFFFF"/>
              </w:rPr>
              <w:t>Net</w:t>
            </w:r>
          </w:p>
        </w:tc>
      </w:tr>
      <w:tr>
        <w:trPr>
          <w:trHeight w:val="31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Subsidiaries</w:t>
            </w:r>
          </w:p>
        </w:tc>
        <w:tc>
          <w:tcPr>
            <w:tcW w:w="1260" w:type="dxa"/>
            <w:vAlign w:val="bottom"/>
            <w:shd w:val="clear" w:color="auto" w:fill="F0F0F0"/>
          </w:tcPr>
          <w:p>
            <w:pPr>
              <w:spacing w:after="0"/>
              <w:rPr>
                <w:sz w:val="24"/>
                <w:szCs w:val="24"/>
                <w:color w:val="auto"/>
              </w:rPr>
            </w:pPr>
          </w:p>
        </w:tc>
        <w:tc>
          <w:tcPr>
            <w:tcW w:w="94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1"/>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6,738</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2,602</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6,455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w:t>
            </w:r>
          </w:p>
        </w:tc>
      </w:tr>
      <w:tr>
        <w:trPr>
          <w:trHeight w:val="28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xml:space="preserve">Canada/Other Americas </w:t>
            </w:r>
            <w:r>
              <w:rPr>
                <w:rFonts w:ascii="Times New Roman" w:cs="Times New Roman" w:eastAsia="Times New Roman" w:hAnsi="Times New Roman"/>
                <w:sz w:val="10"/>
                <w:szCs w:val="10"/>
                <w:i w:val="1"/>
                <w:iCs w:val="1"/>
                <w:color w:val="auto"/>
              </w:rPr>
              <w:t>(1)</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30,773</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15,012</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32,441</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15,838</w:t>
            </w:r>
          </w:p>
        </w:tc>
      </w:tr>
      <w:tr>
        <w:trPr>
          <w:trHeight w:val="26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12,489</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8,173</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12,592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8,231</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18,309</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12,696</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20,620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13,113</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766</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766</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88"/>
        </w:trPr>
        <w:tc>
          <w:tcPr>
            <w:tcW w:w="61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Australia/Oceania</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4,811</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2,309</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4,811</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2,309</w:t>
            </w:r>
          </w:p>
        </w:tc>
      </w:tr>
      <w:tr>
        <w:trPr>
          <w:trHeight w:val="261"/>
        </w:trPr>
        <w:tc>
          <w:tcPr>
            <w:tcW w:w="61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Consolidated Subsidiaries</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73,886</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41,019</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77,685</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42,305</w:t>
            </w:r>
          </w:p>
        </w:tc>
      </w:tr>
      <w:tr>
        <w:trPr>
          <w:trHeight w:val="318"/>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Companies</w:t>
            </w:r>
          </w:p>
        </w:tc>
        <w:tc>
          <w:tcPr>
            <w:tcW w:w="1260" w:type="dxa"/>
            <w:vAlign w:val="bottom"/>
            <w:shd w:val="clear" w:color="auto" w:fill="F0F0F0"/>
          </w:tcPr>
          <w:p>
            <w:pPr>
              <w:spacing w:after="0"/>
              <w:rPr>
                <w:sz w:val="24"/>
                <w:szCs w:val="24"/>
                <w:color w:val="auto"/>
              </w:rPr>
            </w:pPr>
          </w:p>
        </w:tc>
        <w:tc>
          <w:tcPr>
            <w:tcW w:w="94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150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Europe</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381</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482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79"/>
        </w:trPr>
        <w:tc>
          <w:tcPr>
            <w:tcW w:w="6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Africa</w:t>
            </w:r>
          </w:p>
        </w:tc>
        <w:tc>
          <w:tcPr>
            <w:tcW w:w="1260" w:type="dxa"/>
            <w:vAlign w:val="bottom"/>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418</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34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418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88"/>
        </w:trPr>
        <w:tc>
          <w:tcPr>
            <w:tcW w:w="61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Asia</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298</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296</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1"/>
        </w:trPr>
        <w:tc>
          <w:tcPr>
            <w:tcW w:w="61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Equity Companies</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color w:val="auto"/>
              </w:rPr>
              <w:t>1,097</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1,346</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315</w:t>
            </w:r>
          </w:p>
        </w:tc>
      </w:tr>
      <w:tr>
        <w:trPr>
          <w:trHeight w:val="265"/>
        </w:trPr>
        <w:tc>
          <w:tcPr>
            <w:tcW w:w="61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gross and net undeveloped acreage</w:t>
            </w:r>
          </w:p>
        </w:tc>
        <w:tc>
          <w:tcPr>
            <w:tcW w:w="1260" w:type="dxa"/>
            <w:vAlign w:val="bottom"/>
            <w:tcBorders>
              <w:bottom w:val="single" w:sz="8" w:color="4C4C4C"/>
            </w:tcBorders>
            <w:shd w:val="clear" w:color="auto" w:fill="F0F0F0"/>
          </w:tcPr>
          <w:p>
            <w:pPr>
              <w:jc w:val="right"/>
              <w:ind w:right="185"/>
              <w:spacing w:after="0"/>
              <w:rPr>
                <w:sz w:val="20"/>
                <w:szCs w:val="20"/>
                <w:color w:val="auto"/>
              </w:rPr>
            </w:pPr>
            <w:r>
              <w:rPr>
                <w:rFonts w:ascii="Times New Roman" w:cs="Times New Roman" w:eastAsia="Times New Roman" w:hAnsi="Times New Roman"/>
                <w:sz w:val="20"/>
                <w:szCs w:val="20"/>
                <w:b w:val="1"/>
                <w:bCs w:val="1"/>
                <w:color w:val="auto"/>
              </w:rPr>
              <w:t>74,983</w:t>
            </w:r>
          </w:p>
        </w:tc>
        <w:tc>
          <w:tcPr>
            <w:tcW w:w="9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41,252</w:t>
            </w:r>
          </w:p>
        </w:tc>
        <w:tc>
          <w:tcPr>
            <w:tcW w:w="134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b w:val="1"/>
                <w:bCs w:val="1"/>
                <w:color w:val="auto"/>
              </w:rPr>
              <w:t>79,031</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42,620</w:t>
            </w:r>
          </w:p>
        </w:tc>
      </w:tr>
    </w:tbl>
    <w:p>
      <w:pPr>
        <w:spacing w:after="0" w:line="89" w:lineRule="exact"/>
        <w:rPr>
          <w:sz w:val="20"/>
          <w:szCs w:val="20"/>
          <w:color w:val="auto"/>
        </w:rPr>
      </w:pPr>
    </w:p>
    <w:p>
      <w:pPr>
        <w:ind w:left="60" w:right="180" w:firstLine="7"/>
        <w:spacing w:after="0" w:line="246" w:lineRule="auto"/>
        <w:tabs>
          <w:tab w:leader="none" w:pos="218" w:val="left"/>
        </w:tabs>
        <w:numPr>
          <w:ilvl w:val="0"/>
          <w:numId w:val="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Includes undeveloped acreage in Other Americas of 24,221 gross and 11,548 net thousands of acres for 2023 and 25,096 gross and 11,977 net thousands of acres for 2022.</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ExxonMobil’s investment in developed and undeveloped acreage is comprised of numerous concessions, blocks, and leases. The terms and conditions under which the Corporation maintains exploration and/or production rights to the acreage are property-specific, contractually defined, and vary significantly from property to property. Work programs are designed to ensure that the exploration potential of any property is fully evaluated before expiration. In some instances, the Corporation may elect to relinquish acreage in advance of the contractual expiration date if the evaluation process is complete and there is not a business basis for extension. In cases where additional time may be required to fully evaluate acreage, the Corporation has generally been successful in obtaining extensions. The scheduled expiration of leases and concessions for undeveloped acreage over the next three years is not expected to have a material adverse impact on the Corporation.</w:t>
      </w:r>
    </w:p>
    <w:p>
      <w:pPr>
        <w:sectPr>
          <w:pgSz w:w="11880" w:h="15480" w:orient="portrait"/>
          <w:cols w:equalWidth="0" w:num="1">
            <w:col w:w="10600"/>
          </w:cols>
          <w:pgMar w:left="640" w:top="724" w:right="640"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600"/>
          </w:cols>
          <w:pgMar w:left="640" w:top="724" w:right="64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4C4C4C"/>
        </w:rPr>
        <w:t>D. Summary of Acreage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6795770" cy="233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a:extLst>
                        <a:ext uri="{28A0092B-C50C-407E-A947-70E740481C1C}"/>
                      </a:extLst>
                    </a:blip>
                    <a:srcRect/>
                    <a:stretch>
                      <a:fillRect/>
                    </a:stretch>
                  </pic:blipFill>
                  <pic:spPr bwMode="auto">
                    <a:xfrm>
                      <a:off x="0" y="0"/>
                      <a:ext cx="6795770" cy="23304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FFFFFF"/>
        </w:rPr>
        <w:t>United States</w:t>
      </w:r>
    </w:p>
    <w:p>
      <w:pPr>
        <w:spacing w:after="0" w:line="177" w:lineRule="exact"/>
        <w:rPr>
          <w:sz w:val="20"/>
          <w:szCs w:val="20"/>
          <w:color w:val="auto"/>
        </w:rPr>
      </w:pPr>
    </w:p>
    <w:p>
      <w:pPr>
        <w:jc w:val="both"/>
        <w:ind w:left="360"/>
        <w:spacing w:after="0" w:line="268" w:lineRule="auto"/>
        <w:rPr>
          <w:sz w:val="20"/>
          <w:szCs w:val="20"/>
          <w:color w:val="auto"/>
        </w:rPr>
      </w:pPr>
      <w:r>
        <w:rPr>
          <w:rFonts w:ascii="Times New Roman" w:cs="Times New Roman" w:eastAsia="Times New Roman" w:hAnsi="Times New Roman"/>
          <w:sz w:val="19"/>
          <w:szCs w:val="19"/>
          <w:color w:val="auto"/>
        </w:rPr>
        <w:t>Oil and gas exploration and production rights are acquired from mineral interest owners through a lease. Mineral interest owners include the Federal and State governments, as well as private mineral interest owners. Leases typically have a primary term ranging from one to 10 years, and a production period beyond the primary term that normally remains in effect until production ceases. Under certain circumstances, a lease may be held beyond its primary term even if production has not commenced. In some instances regarding private property, a “fee interest” is acquired where the underlying mineral interests are owned outright.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135255</wp:posOffset>
            </wp:positionV>
            <wp:extent cx="6795770" cy="233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
                      <a:extLst>
                        <a:ext uri="{28A0092B-C50C-407E-A947-70E740481C1C}"/>
                      </a:extLst>
                    </a:blip>
                    <a:srcRect/>
                    <a:stretch>
                      <a:fillRect/>
                    </a:stretch>
                  </pic:blipFill>
                  <pic:spPr bwMode="auto">
                    <a:xfrm>
                      <a:off x="0" y="0"/>
                      <a:ext cx="6795770" cy="23304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sz w:val="1"/>
          <w:szCs w:val="1"/>
          <w:color w:val="auto"/>
        </w:rPr>
        <w:drawing>
          <wp:inline distT="0" distB="0" distL="0" distR="0">
            <wp:extent cx="37465" cy="1866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extLst>
                    </a:blip>
                    <a:srcRect/>
                    <a:stretch>
                      <a:fillRect/>
                    </a:stretch>
                  </pic:blipFill>
                  <pic:spPr bwMode="auto">
                    <a:xfrm>
                      <a:off x="0" y="0"/>
                      <a:ext cx="37465" cy="18669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Canada / Other Americas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Canada</w:t>
      </w:r>
    </w:p>
    <w:p>
      <w:pPr>
        <w:spacing w:after="0" w:line="103" w:lineRule="exact"/>
        <w:rPr>
          <w:sz w:val="20"/>
          <w:szCs w:val="20"/>
          <w:color w:val="auto"/>
        </w:rPr>
      </w:pPr>
    </w:p>
    <w:p>
      <w:pPr>
        <w:jc w:val="both"/>
        <w:ind w:left="360"/>
        <w:spacing w:after="0" w:line="251" w:lineRule="auto"/>
        <w:rPr>
          <w:sz w:val="20"/>
          <w:szCs w:val="20"/>
          <w:color w:val="auto"/>
        </w:rPr>
      </w:pPr>
      <w:r>
        <w:rPr>
          <w:rFonts w:ascii="Times New Roman" w:cs="Times New Roman" w:eastAsia="Times New Roman" w:hAnsi="Times New Roman"/>
          <w:sz w:val="20"/>
          <w:szCs w:val="20"/>
          <w:color w:val="auto"/>
        </w:rPr>
        <w:t>Exploration licenses or leases in onshore areas are acquired for varying periods of time with renewals or extensions possible. These licenses or leases entitle the holder to continue existing licenses or leases upon completing specified work. In general, these license and lease agreements are held as long as there is proven production capability on the licenses and leases. Offshore exploration licenses are generally held by work commitments of various amounts and rentals. Offshore production licenses are valid for 25 years, with rights of extension for continued production. Significant discovery licenses in the offshore relating to currently undeveloped discoveries do not have a definite term.</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Argentina</w:t>
      </w:r>
    </w:p>
    <w:p>
      <w:pPr>
        <w:spacing w:after="0" w:line="103"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The Federal Hydrocarbon Law was amended in 2014. Pursuant to the amended law, the production term for an onshore unconventional concession is 35 years and 25 years for a conventional concession, with unlimited 10-year extensions possible once a field has been developed. In 2019, the government granted three offshore exploration licenses, with terms of eight years, divided into two exploration periods of four years, with an optional extension of five years for each license.</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Brazil</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The exploration and production of oil and gas are governed by concession contracts and production sharing contracts (PSCs). Concession contracts provide for an exploration period of up to eight years and a production period of 27 years. PSCs provide for an exploration period of up to seven years and a production period of up to 28 years.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Guyana</w:t>
      </w:r>
    </w:p>
    <w:p>
      <w:pPr>
        <w:spacing w:after="0" w:line="103"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The Petroleum Activities Act 2023 authorizes the Government of Guyana to license and enter petroleum agreements for petroleum exploration, development, production, and storage operations. The Act enables petroleum agreements to provide for an exploration period to be established by subsidiary legislation by the Minister (typically up to 10 years) and provide for a production period of 20 years for an oil field and 30 years for a gas field, each with a renewal period of up to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142240</wp:posOffset>
            </wp:positionV>
            <wp:extent cx="6795770" cy="233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extLst>
                    </a:blip>
                    <a:srcRect/>
                    <a:stretch>
                      <a:fillRect/>
                    </a:stretch>
                  </pic:blipFill>
                  <pic:spPr bwMode="auto">
                    <a:xfrm>
                      <a:off x="0" y="0"/>
                      <a:ext cx="6795770" cy="23368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sz w:val="1"/>
          <w:szCs w:val="1"/>
          <w:color w:val="auto"/>
        </w:rPr>
        <w:drawing>
          <wp:inline distT="0" distB="0" distL="0" distR="0">
            <wp:extent cx="37465" cy="18669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extLst>
                    </a:blip>
                    <a:srcRect/>
                    <a:stretch>
                      <a:fillRect/>
                    </a:stretch>
                  </pic:blipFill>
                  <pic:spPr bwMode="auto">
                    <a:xfrm>
                      <a:off x="0" y="0"/>
                      <a:ext cx="37465" cy="18669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Europe</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Germany</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Exploration concessions are granted for an initial maximum period of five years, with an unlimited number of extensions up to three years each. Extensions are subject to specific minimum work commitments. Production licenses were historically granted for 20 to 25 years with multiple possible extensions subject to production on the license.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Netherlands</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Under the Mining Law, effective January 1, 2003, exploration and production licenses for both onshore and offshore areas are issued for a period as explicitly defined in the license. The term is based on the period of time necessary to perform the activities for which the license is issued. License conditions are stipulated in the license and are based on the Mining Law.</w:t>
      </w:r>
    </w:p>
    <w:p>
      <w:pPr>
        <w:spacing w:after="0" w:line="59" w:lineRule="exact"/>
        <w:rPr>
          <w:sz w:val="20"/>
          <w:szCs w:val="20"/>
          <w:color w:val="auto"/>
        </w:rPr>
      </w:pPr>
    </w:p>
    <w:p>
      <w:pPr>
        <w:jc w:val="both"/>
        <w:ind w:left="360"/>
        <w:spacing w:after="0" w:line="252" w:lineRule="auto"/>
        <w:rPr>
          <w:sz w:val="20"/>
          <w:szCs w:val="20"/>
          <w:color w:val="auto"/>
        </w:rPr>
      </w:pPr>
      <w:r>
        <w:rPr>
          <w:rFonts w:ascii="Times New Roman" w:cs="Times New Roman" w:eastAsia="Times New Roman" w:hAnsi="Times New Roman"/>
          <w:sz w:val="20"/>
          <w:szCs w:val="20"/>
          <w:color w:val="auto"/>
        </w:rPr>
        <w:t>Production rights granted prior to January 1, 2003, remain subject to their existing terms and differ slightly for onshore and offshore areas. Onshore production licenses issued prior to 1988 were indefinite; from 1988 they were issued for a period as explicitly defined in the license, ranging from 35 to 45 years. Offshore production licenses issued before 1976 were issued for a fixed period of 40 years; from 1976 they were again issued for a period as explicitly defined in the license, ranging from 15 to 40 years.</w:t>
      </w: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600"/>
          </w:cols>
          <w:pgMar w:left="640" w:top="724" w:right="640" w:bottom="0" w:gutter="0" w:footer="0" w:header="0"/>
          <w:type w:val="continuous"/>
        </w:sectPr>
      </w:pPr>
    </w:p>
    <w:bookmarkStart w:id="33" w:name="page34"/>
    <w:bookmarkEnd w:id="33"/>
    <w:p>
      <w:pPr>
        <w:ind w:left="360"/>
        <w:spacing w:after="0"/>
        <w:rPr>
          <w:sz w:val="20"/>
          <w:szCs w:val="20"/>
          <w:color w:val="auto"/>
        </w:rPr>
      </w:pPr>
      <w:r>
        <w:rPr>
          <w:rFonts w:ascii="Times New Roman" w:cs="Times New Roman" w:eastAsia="Times New Roman" w:hAnsi="Times New Roman"/>
          <w:sz w:val="20"/>
          <w:szCs w:val="20"/>
          <w:color w:val="4C4C4C"/>
        </w:rPr>
        <w:t>United Kingdom</w:t>
      </w:r>
    </w:p>
    <w:p>
      <w:pPr>
        <w:spacing w:after="0" w:line="103" w:lineRule="exact"/>
        <w:rPr>
          <w:sz w:val="20"/>
          <w:szCs w:val="20"/>
          <w:color w:val="auto"/>
        </w:rPr>
      </w:pPr>
    </w:p>
    <w:p>
      <w:pPr>
        <w:jc w:val="both"/>
        <w:ind w:left="360"/>
        <w:spacing w:after="0" w:line="249" w:lineRule="auto"/>
        <w:rPr>
          <w:sz w:val="20"/>
          <w:szCs w:val="20"/>
          <w:color w:val="auto"/>
        </w:rPr>
      </w:pPr>
      <w:r>
        <w:rPr>
          <w:rFonts w:ascii="Times New Roman" w:cs="Times New Roman" w:eastAsia="Times New Roman" w:hAnsi="Times New Roman"/>
          <w:sz w:val="20"/>
          <w:szCs w:val="20"/>
          <w:color w:val="auto"/>
        </w:rPr>
        <w:t>Acreage terms are fixed by the government and are periodically changed. For example, many of the early licenses issued under the first four licensing rounds provided an initial term of six years with relinquishment of at least one-half of the original area at the end of the initial term, subject to extension for a further 40 years. At the end of any such 40-year term, licenses may continue in producing areas until cessation of production; or licenses may continue in development areas for periods agreed on a case-by-case basis until they become producing areas; or licenses terminate in all other areas. The majority of traditional licenses currently issued have an initial exploration term of four years with a second term extension of four years, and a final production term of 18 years, with a mandatory relinquishment of 50 percent of the acreage after the initial term and of all acreage that is not covered by a development plan at the end of the second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146050</wp:posOffset>
            </wp:positionV>
            <wp:extent cx="1913890" cy="186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1913890" cy="1866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sz w:val="1"/>
          <w:szCs w:val="1"/>
          <w:color w:val="auto"/>
        </w:rPr>
        <w:drawing>
          <wp:inline distT="0" distB="0" distL="0" distR="0">
            <wp:extent cx="37465" cy="2051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37465" cy="20510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Africa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-20320</wp:posOffset>
                </wp:positionV>
                <wp:extent cx="36830" cy="1333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5A5A5A"/>
                        </a:solidFill>
                      </wps:spPr>
                      <wps:bodyPr/>
                    </wps:wsp>
                  </a:graphicData>
                </a:graphic>
              </wp:anchor>
            </w:drawing>
          </mc:Choice>
          <mc:Fallback>
            <w:pict>
              <v:rect id="Shape 63" o:spid="_x0000_s1088" style="position:absolute;margin-left:0.4pt;margin-top:-1.5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A5A5A" stroked="f"/>
            </w:pict>
          </mc:Fallback>
        </mc:AlternateContent>
        <mc:AlternateContent>
          <mc:Choice Requires="wps">
            <w:drawing>
              <wp:anchor simplePos="0" relativeHeight="251657728" behindDoc="1" locked="0" layoutInCell="0" allowOverlap="1">
                <wp:simplePos x="0" y="0"/>
                <wp:positionH relativeFrom="column">
                  <wp:posOffset>6762750</wp:posOffset>
                </wp:positionH>
                <wp:positionV relativeFrom="paragraph">
                  <wp:posOffset>-18415</wp:posOffset>
                </wp:positionV>
                <wp:extent cx="0" cy="1841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
                        </a:xfrm>
                        <a:prstGeom prst="line">
                          <a:avLst/>
                        </a:prstGeom>
                        <a:solidFill>
                          <a:srgbClr val="FFFFFF"/>
                        </a:solidFill>
                        <a:ln w="0">
                          <a:solidFill>
                            <a:srgbClr val="5A5A5A"/>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5pt,-1.4499pt" to="532.5pt,0pt" o:allowincell="f" strokecolor="#5A5A5A" strokeweight="0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-8890</wp:posOffset>
                </wp:positionV>
                <wp:extent cx="675767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4763"/>
                        </a:xfrm>
                        <a:prstGeom prst="line">
                          <a:avLst/>
                        </a:prstGeom>
                        <a:solidFill>
                          <a:srgbClr val="FFFFFF"/>
                        </a:solidFill>
                        <a:ln w="18668">
                          <a:solidFill>
                            <a:srgbClr val="5A5A5A"/>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6999pt" to="532.5pt,-0.6999pt" o:allowincell="f" strokecolor="#5A5A5A" strokeweight="1.4699pt"/>
            </w:pict>
          </mc:Fallback>
        </mc:AlternateConten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Angola</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Exploration and production activities are governed by either production sharing agreements or other contracts with initial exploration terms ranging from three to four years with options to extend from one to five years. The production periods range from 20 to 30 years, and the agreements generally provide for negotiated extensions.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Equatorial Guinea</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Exploration, development and production activities are governed by production sharing contracts negotiated with the State Ministry of Mines and Hydrocarbons. The production period for crude oil is 30 years. ExxonMobil is actively taking steps to exit its operations in the country.</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Mozambique</w:t>
      </w:r>
    </w:p>
    <w:p>
      <w:pPr>
        <w:spacing w:after="0" w:line="103" w:lineRule="exact"/>
        <w:rPr>
          <w:sz w:val="20"/>
          <w:szCs w:val="20"/>
          <w:color w:val="auto"/>
        </w:rPr>
      </w:pPr>
    </w:p>
    <w:p>
      <w:pPr>
        <w:jc w:val="both"/>
        <w:ind w:left="360"/>
        <w:spacing w:after="0" w:line="252" w:lineRule="auto"/>
        <w:rPr>
          <w:sz w:val="20"/>
          <w:szCs w:val="20"/>
          <w:color w:val="auto"/>
        </w:rPr>
      </w:pPr>
      <w:r>
        <w:rPr>
          <w:rFonts w:ascii="Times New Roman" w:cs="Times New Roman" w:eastAsia="Times New Roman" w:hAnsi="Times New Roman"/>
          <w:sz w:val="20"/>
          <w:szCs w:val="20"/>
          <w:color w:val="auto"/>
        </w:rPr>
        <w:t>Exploration and production activities are generally governed by concession contracts with the Government of the Republic of Mozambique, represented by the Ministry of Mineral Resources and Energy. An interest in Area 4 offshore Mozambique was acquired in 2017. Terms for Area 4 are governed by the Exploration and Production Concession Contract (EPCC) for Area 4 Offshore of the Rovuma Block. The EPCC expires 30 years after an approved plan of development becomes effective for a given discovery area.</w:t>
      </w:r>
    </w:p>
    <w:p>
      <w:pPr>
        <w:spacing w:after="0" w:line="67" w:lineRule="exact"/>
        <w:rPr>
          <w:sz w:val="20"/>
          <w:szCs w:val="20"/>
          <w:color w:val="auto"/>
        </w:rPr>
      </w:pPr>
    </w:p>
    <w:p>
      <w:pPr>
        <w:jc w:val="both"/>
        <w:ind w:left="360" w:right="20"/>
        <w:spacing w:after="0" w:line="300" w:lineRule="auto"/>
        <w:rPr>
          <w:sz w:val="20"/>
          <w:szCs w:val="20"/>
          <w:color w:val="auto"/>
        </w:rPr>
      </w:pPr>
      <w:r>
        <w:rPr>
          <w:rFonts w:ascii="Times New Roman" w:cs="Times New Roman" w:eastAsia="Times New Roman" w:hAnsi="Times New Roman"/>
          <w:sz w:val="19"/>
          <w:szCs w:val="19"/>
          <w:color w:val="auto"/>
        </w:rPr>
        <w:t>In 2018, an interest was acquired in Area 5 offshore blocks A5-B, Z5-C, and Z5-D. Blocks Z5-C and Z5-D were relinquished in 2022. In 2023, the initial exploration phase expired on block A5-B, resulting in a relinquishment of the remaining Area 5 acreage.</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Nigeria</w:t>
      </w:r>
    </w:p>
    <w:p>
      <w:pPr>
        <w:spacing w:after="0" w:line="103"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Exploration and production activities in the deepwater offshore areas are governed by production sharing contracts (PSCs) with the national oil company, the Nigerian National Petroleum Company Limited (NNPCL). NNPCL typically holds the underlying license or lease. The terms of the PSCs are generally 30 years (comprised of a 10-year exploration period and a 20-year production period).</w:t>
      </w:r>
    </w:p>
    <w:p>
      <w:pPr>
        <w:spacing w:after="0" w:line="65" w:lineRule="exact"/>
        <w:rPr>
          <w:sz w:val="20"/>
          <w:szCs w:val="20"/>
          <w:color w:val="auto"/>
        </w:rPr>
      </w:pPr>
    </w:p>
    <w:p>
      <w:pPr>
        <w:jc w:val="both"/>
        <w:ind w:left="360"/>
        <w:spacing w:after="0" w:line="252" w:lineRule="auto"/>
        <w:rPr>
          <w:sz w:val="20"/>
          <w:szCs w:val="20"/>
          <w:color w:val="auto"/>
        </w:rPr>
      </w:pPr>
      <w:r>
        <w:rPr>
          <w:rFonts w:ascii="Times New Roman" w:cs="Times New Roman" w:eastAsia="Times New Roman" w:hAnsi="Times New Roman"/>
          <w:sz w:val="20"/>
          <w:szCs w:val="20"/>
          <w:color w:val="auto"/>
        </w:rPr>
        <w:t>Exploration and production activities in the shallow-water offshore areas are governed by Oil Mining Leases granted prior to the 1969 Petroleum Act (i.e., under the Mineral Oils Act 1914, repealed by the 1969 Petroleum Act) and have been renewed in 2011 for a further period of 20 years. Operations under these pre-1969 Oil Mining Leases are conducted under a joint venture agreement with NNPCL rather than a PSC. Commercial terms applicable to the existing joint venture oil production are defined by the Petroleum Profits Tax Act.</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2021 Petroleum Industry Act will govern any further renewals to the term of the PSCs, licenses, or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166370</wp:posOffset>
            </wp:positionV>
            <wp:extent cx="6795770" cy="233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7">
                      <a:extLst>
                        <a:ext uri="{28A0092B-C50C-407E-A947-70E740481C1C}"/>
                      </a:extLst>
                    </a:blip>
                    <a:srcRect/>
                    <a:stretch>
                      <a:fillRect/>
                    </a:stretch>
                  </pic:blipFill>
                  <pic:spPr bwMode="auto">
                    <a:xfrm>
                      <a:off x="0" y="0"/>
                      <a:ext cx="6795770" cy="23368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sz w:val="1"/>
          <w:szCs w:val="1"/>
          <w:color w:val="auto"/>
        </w:rPr>
        <w:drawing>
          <wp:inline distT="0" distB="0" distL="0" distR="0">
            <wp:extent cx="37465" cy="18669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8">
                      <a:extLst>
                        <a:ext uri="{28A0092B-C50C-407E-A947-70E740481C1C}"/>
                      </a:extLst>
                    </a:blip>
                    <a:srcRect/>
                    <a:stretch>
                      <a:fillRect/>
                    </a:stretch>
                  </pic:blipFill>
                  <pic:spPr bwMode="auto">
                    <a:xfrm>
                      <a:off x="0" y="0"/>
                      <a:ext cx="37465" cy="18669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FFFFFF"/>
        </w:rPr>
        <w:t xml:space="preserve"> Asia</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Azerbaijan</w:t>
      </w:r>
    </w:p>
    <w:p>
      <w:pPr>
        <w:spacing w:after="0" w:line="10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The production sharing agreement (PSA) for the development of the Azeri-Chirag-Gunashli field was established for an initial period of 30 years starting from the PSA execution date in 1994. The PSA was amended in September 2017 to extend the term by 25 years to 2049.</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C4C4C"/>
        </w:rPr>
        <w:t>Indonesia</w:t>
      </w:r>
    </w:p>
    <w:p>
      <w:pPr>
        <w:spacing w:after="0" w:line="103"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Exploration and production activities in Indonesia are generally governed by cooperation contracts, usually in the form of a production sharing contract (PSC). The current PSCs have an exploration period of six years, which can be extended once for a period of four years with a total contract period of 30 years including an exploitation period. PSC terms can be extended for a maximum of 20 years for each extension with the approval of the government.</w:t>
      </w:r>
    </w:p>
    <w:p>
      <w:pPr>
        <w:sectPr>
          <w:pgSz w:w="11880" w:h="15480" w:orient="portrait"/>
          <w:cols w:equalWidth="0" w:num="1">
            <w:col w:w="10600"/>
          </w:cols>
          <w:pgMar w:left="640" w:top="731" w:right="64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600"/>
          </w:cols>
          <w:pgMar w:left="640" w:top="731" w:right="640" w:bottom="0" w:gutter="0" w:footer="0" w:header="0"/>
          <w:type w:val="continuous"/>
        </w:sectPr>
      </w:pPr>
    </w:p>
    <w:bookmarkStart w:id="34" w:name="page35"/>
    <w:bookmarkEnd w:id="34"/>
    <w:p>
      <w:pPr>
        <w:ind w:left="240"/>
        <w:spacing w:after="0"/>
        <w:rPr>
          <w:sz w:val="20"/>
          <w:szCs w:val="20"/>
          <w:color w:val="auto"/>
        </w:rPr>
      </w:pPr>
      <w:r>
        <w:rPr>
          <w:rFonts w:ascii="Times New Roman" w:cs="Times New Roman" w:eastAsia="Times New Roman" w:hAnsi="Times New Roman"/>
          <w:sz w:val="20"/>
          <w:szCs w:val="20"/>
          <w:color w:val="4C4C4C"/>
        </w:rPr>
        <w:t>Iraq</w:t>
      </w:r>
    </w:p>
    <w:p>
      <w:pPr>
        <w:spacing w:after="0" w:line="103" w:lineRule="exact"/>
        <w:rPr>
          <w:sz w:val="20"/>
          <w:szCs w:val="20"/>
          <w:color w:val="auto"/>
        </w:rPr>
      </w:pPr>
    </w:p>
    <w:p>
      <w:pPr>
        <w:jc w:val="both"/>
        <w:ind w:left="240"/>
        <w:spacing w:after="0" w:line="251" w:lineRule="auto"/>
        <w:rPr>
          <w:sz w:val="20"/>
          <w:szCs w:val="20"/>
          <w:color w:val="auto"/>
        </w:rPr>
      </w:pPr>
      <w:r>
        <w:rPr>
          <w:rFonts w:ascii="Times New Roman" w:cs="Times New Roman" w:eastAsia="Times New Roman" w:hAnsi="Times New Roman"/>
          <w:sz w:val="20"/>
          <w:szCs w:val="20"/>
          <w:color w:val="auto"/>
        </w:rPr>
        <w:t>Development and production activities in the state-owned oil and gas fields are governed by contracts with regional oil companies of the Iraqi Ministry of Oil. An ExxonMobil affiliate entered into a contract with Basra Oil Company of the Iraqi Ministry of Oil for the rights to participate in the development and production activities of the West Qurna Phase I oil and gas field effective March 1, 2010. The term of the contract is 20 years with the right to extend for a period of five to 15 years. The contract provides for cost recovery plus per-barrel fees for incremental production above specified levels. In early 2024, ExxonMobil closed on the sale of its remaining interest resulting in a full exit from the country.</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C"/>
        </w:rPr>
        <w:t>Kazakhstan</w:t>
      </w:r>
    </w:p>
    <w:p>
      <w:pPr>
        <w:spacing w:after="0" w:line="103" w:lineRule="exact"/>
        <w:rPr>
          <w:sz w:val="20"/>
          <w:szCs w:val="20"/>
          <w:color w:val="auto"/>
        </w:rPr>
      </w:pPr>
    </w:p>
    <w:p>
      <w:pPr>
        <w:jc w:val="both"/>
        <w:ind w:left="240"/>
        <w:spacing w:after="0" w:line="259" w:lineRule="auto"/>
        <w:rPr>
          <w:sz w:val="20"/>
          <w:szCs w:val="20"/>
          <w:color w:val="auto"/>
        </w:rPr>
      </w:pPr>
      <w:r>
        <w:rPr>
          <w:rFonts w:ascii="Times New Roman" w:cs="Times New Roman" w:eastAsia="Times New Roman" w:hAnsi="Times New Roman"/>
          <w:sz w:val="20"/>
          <w:szCs w:val="20"/>
          <w:color w:val="auto"/>
        </w:rPr>
        <w:t>Onshore exploration and production activities are governed by the production license, exploration license, and joint venture agreements negotiated with the Republic of Kazakhstan. Existing production operations have a 40-year production period that commenced in 1993.</w:t>
      </w:r>
    </w:p>
    <w:p>
      <w:pPr>
        <w:spacing w:after="0" w:line="59"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20"/>
          <w:szCs w:val="20"/>
          <w:color w:val="auto"/>
        </w:rPr>
        <w:t>Offshore exploration and production activities are governed by a production sharing agreement negotiated with the Republic of Kazakhstan. The exploration period is six years followed by separate appraisal periods for each discovery. The production period for each discovery, which includes development, is 20 years from the date of declaration of commerciality with the possibility of two 10-year extensions.</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C"/>
        </w:rPr>
        <w:t>Malaysia</w:t>
      </w:r>
    </w:p>
    <w:p>
      <w:pPr>
        <w:spacing w:after="0" w:line="103" w:lineRule="exact"/>
        <w:rPr>
          <w:sz w:val="20"/>
          <w:szCs w:val="20"/>
          <w:color w:val="auto"/>
        </w:rPr>
      </w:pPr>
    </w:p>
    <w:p>
      <w:pPr>
        <w:jc w:val="both"/>
        <w:ind w:left="240"/>
        <w:spacing w:after="0" w:line="273" w:lineRule="auto"/>
        <w:rPr>
          <w:sz w:val="20"/>
          <w:szCs w:val="20"/>
          <w:color w:val="auto"/>
        </w:rPr>
      </w:pPr>
      <w:r>
        <w:rPr>
          <w:rFonts w:ascii="Times New Roman" w:cs="Times New Roman" w:eastAsia="Times New Roman" w:hAnsi="Times New Roman"/>
          <w:sz w:val="20"/>
          <w:szCs w:val="20"/>
          <w:color w:val="auto"/>
        </w:rPr>
        <w:t>Production activities are governed by production sharing contracts (PSCs) negotiated with the national oil company. The PSCs have production terms of 25 years. Extensions are generally subject to the national oil company’s prior written approval.</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C"/>
        </w:rPr>
        <w:t>Qatar</w:t>
      </w:r>
    </w:p>
    <w:p>
      <w:pPr>
        <w:spacing w:after="0" w:line="103"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20"/>
          <w:szCs w:val="20"/>
          <w:color w:val="auto"/>
        </w:rPr>
        <w:t>The State of Qatar grants gas production development project rights to develop and supply gas from the offshore North Field to permit the economic development and production of gas reserves sufficient to satisfy the gas and LNG sales obligations of these projects. The initial terms for these rights generally extend for 25 years. Extensions and terms are subject to State of Qatar approval.</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C"/>
        </w:rPr>
        <w:t>Thailand</w:t>
      </w:r>
    </w:p>
    <w:p>
      <w:pPr>
        <w:spacing w:after="0" w:line="103" w:lineRule="exact"/>
        <w:rPr>
          <w:sz w:val="20"/>
          <w:szCs w:val="20"/>
          <w:color w:val="auto"/>
        </w:rPr>
      </w:pPr>
    </w:p>
    <w:p>
      <w:pPr>
        <w:jc w:val="both"/>
        <w:ind w:left="240" w:right="20"/>
        <w:spacing w:after="0" w:line="273" w:lineRule="auto"/>
        <w:rPr>
          <w:sz w:val="20"/>
          <w:szCs w:val="20"/>
          <w:color w:val="auto"/>
        </w:rPr>
      </w:pPr>
      <w:r>
        <w:rPr>
          <w:rFonts w:ascii="Times New Roman" w:cs="Times New Roman" w:eastAsia="Times New Roman" w:hAnsi="Times New Roman"/>
          <w:sz w:val="20"/>
          <w:szCs w:val="20"/>
          <w:color w:val="auto"/>
        </w:rPr>
        <w:t>The Petroleum Act of 1971 allows production under ExxonMobil’s concessions for 30 years with a 10-year extension at terms generally prevalent at the time.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C"/>
        </w:rPr>
        <w:t>United Arab Emirates</w:t>
      </w:r>
    </w:p>
    <w:p>
      <w:pPr>
        <w:spacing w:after="0" w:line="103" w:lineRule="exact"/>
        <w:rPr>
          <w:sz w:val="20"/>
          <w:szCs w:val="20"/>
          <w:color w:val="auto"/>
        </w:rPr>
      </w:pPr>
    </w:p>
    <w:p>
      <w:pPr>
        <w:jc w:val="both"/>
        <w:ind w:left="240"/>
        <w:spacing w:after="0" w:line="273" w:lineRule="auto"/>
        <w:rPr>
          <w:sz w:val="20"/>
          <w:szCs w:val="20"/>
          <w:color w:val="auto"/>
        </w:rPr>
      </w:pPr>
      <w:r>
        <w:rPr>
          <w:rFonts w:ascii="Times New Roman" w:cs="Times New Roman" w:eastAsia="Times New Roman" w:hAnsi="Times New Roman"/>
          <w:sz w:val="20"/>
          <w:szCs w:val="20"/>
          <w:color w:val="auto"/>
        </w:rPr>
        <w:t>An interest in the development and production activities of the offshore Upper Zakum field was acquired in 2006. In 2017, the governing agreements were extended to 2051.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-70485</wp:posOffset>
                </wp:positionH>
                <wp:positionV relativeFrom="paragraph">
                  <wp:posOffset>129540</wp:posOffset>
                </wp:positionV>
                <wp:extent cx="1950085" cy="18669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186690"/>
                        </a:xfrm>
                        <a:prstGeom prst="rect">
                          <a:avLst/>
                        </a:prstGeom>
                        <a:solidFill>
                          <a:srgbClr val="5A5A5A"/>
                        </a:solidFill>
                      </wps:spPr>
                      <wps:bodyPr/>
                    </wps:wsp>
                  </a:graphicData>
                </a:graphic>
              </wp:anchor>
            </w:drawing>
          </mc:Choice>
          <mc:Fallback>
            <w:pict>
              <v:rect id="Shape 68" o:spid="_x0000_s1093" style="position:absolute;margin-left:-5.5499pt;margin-top:10.2pt;width:153.5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A5A5A" stroked="f"/>
            </w:pict>
          </mc:Fallback>
        </mc:AlternateConten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Australia / Oceania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-70485</wp:posOffset>
                </wp:positionH>
                <wp:positionV relativeFrom="paragraph">
                  <wp:posOffset>26670</wp:posOffset>
                </wp:positionV>
                <wp:extent cx="675703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4763"/>
                        </a:xfrm>
                        <a:prstGeom prst="line">
                          <a:avLst/>
                        </a:prstGeom>
                        <a:solidFill>
                          <a:srgbClr val="FFFFFF"/>
                        </a:solidFill>
                        <a:ln w="18668">
                          <a:solidFill>
                            <a:srgbClr val="5A5A5A"/>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499pt,2.1pt" to="526.5pt,2.1pt" o:allowincell="f" strokecolor="#5A5A5A" strokeweight="1.4699pt"/>
            </w:pict>
          </mc:Fallback>
        </mc:AlternateConten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C"/>
        </w:rPr>
        <w:t>Australia</w:t>
      </w:r>
    </w:p>
    <w:p>
      <w:pPr>
        <w:spacing w:after="0" w:line="103" w:lineRule="exact"/>
        <w:rPr>
          <w:sz w:val="20"/>
          <w:szCs w:val="20"/>
          <w:color w:val="auto"/>
        </w:rPr>
      </w:pPr>
    </w:p>
    <w:p>
      <w:pPr>
        <w:jc w:val="both"/>
        <w:ind w:left="240"/>
        <w:spacing w:after="0" w:line="250" w:lineRule="auto"/>
        <w:rPr>
          <w:sz w:val="20"/>
          <w:szCs w:val="20"/>
          <w:color w:val="auto"/>
        </w:rPr>
      </w:pPr>
      <w:r>
        <w:rPr>
          <w:rFonts w:ascii="Times New Roman" w:cs="Times New Roman" w:eastAsia="Times New Roman" w:hAnsi="Times New Roman"/>
          <w:sz w:val="20"/>
          <w:szCs w:val="20"/>
          <w:color w:val="auto"/>
        </w:rPr>
        <w:t>Exploration and production activities conducted offshore in Commonwealth waters are governed by Federal legislation. Exploration permits are granted for an initial term of six years with two possible five-year renewal periods. Retention leases may be granted for resources that are not commercially viable at the time of application but are likely to become commercially viable within 15 years. These are granted for periods of five years, and renewals may be requested. Prior to July 1998, production licenses were granted initially for 21 years, with a further renewal of 21 years and thereafter indefinitely, i.e., for the life of the field. Effective from July 1998, new production licenses are granted indefinitely. In each case, a production license may be terminated if no production operations have been carried on for five years.</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C"/>
        </w:rPr>
        <w:t>Papua New Guinea</w:t>
      </w:r>
    </w:p>
    <w:p>
      <w:pPr>
        <w:spacing w:after="0" w:line="103" w:lineRule="exact"/>
        <w:rPr>
          <w:sz w:val="20"/>
          <w:szCs w:val="20"/>
          <w:color w:val="auto"/>
        </w:rPr>
      </w:pPr>
    </w:p>
    <w:p>
      <w:pPr>
        <w:jc w:val="both"/>
        <w:ind w:left="240"/>
        <w:spacing w:after="0" w:line="249" w:lineRule="auto"/>
        <w:rPr>
          <w:sz w:val="20"/>
          <w:szCs w:val="20"/>
          <w:color w:val="auto"/>
        </w:rPr>
      </w:pPr>
      <w:r>
        <w:rPr>
          <w:rFonts w:ascii="Times New Roman" w:cs="Times New Roman" w:eastAsia="Times New Roman" w:hAnsi="Times New Roman"/>
          <w:sz w:val="20"/>
          <w:szCs w:val="20"/>
          <w:color w:val="auto"/>
        </w:rPr>
        <w:t>Exploration and production activities are governed by the Oil and Gas Act. Petroleum prospecting licenses are granted for an initial term of six years with a five-year extension possible (an additional extension of three years is possible in certain circumstances). Generally, a 50-percent relinquishment of the license area is required at the end of the initial six-year term, if extended. Petroleum development licenses are granted for an initial 25-year period. An extension for further consecutive period(s) of up to 20 years may be granted at the Minister’s discretion. Petroleum retention licenses may be granted for gas resources that are not commercially viable at the time of application but may become commercially viable within the maximum possible retention time of 15 years. Petroleum retention licenses are granted for an initial five-year period, and may only be extended, at the Minister’s discretion, twice for the maximum retention time of 15 years.</w:t>
      </w:r>
    </w:p>
    <w:p>
      <w:pPr>
        <w:sectPr>
          <w:pgSz w:w="11880" w:h="15480" w:orient="portrait"/>
          <w:cols w:equalWidth="0" w:num="1">
            <w:col w:w="10480"/>
          </w:cols>
          <w:pgMar w:left="760" w:top="731" w:right="64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480"/>
          </w:cols>
          <w:pgMar w:left="760" w:top="731" w:right="64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4C4C4C"/>
        </w:rPr>
        <w:t>Information with regard to refining and chemical capacity:</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ExxonMobil manufactures, trades, and sells petroleum and petrochemical products. Our refining and chemical operations are highly integrated and encompass a global network of manufacturing plants, transportation systems, and distribution centers that provide a range of fuels, specialty products, feedstocks, olefins, polyolefins, and a wide variety of other products to our customers around the world.</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4C4C4C"/>
        </w:rPr>
        <w:t xml:space="preserve">Capacity At Year-End 2023 </w:t>
      </w:r>
      <w:r>
        <w:rPr>
          <w:rFonts w:ascii="Times New Roman" w:cs="Times New Roman" w:eastAsia="Times New Roman" w:hAnsi="Times New Roman"/>
          <w:sz w:val="10"/>
          <w:szCs w:val="10"/>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62865</wp:posOffset>
            </wp:positionV>
            <wp:extent cx="6680835" cy="669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9">
                      <a:extLst>
                        <a:ext uri="{28A0092B-C50C-407E-A947-70E740481C1C}"/>
                      </a:extLst>
                    </a:blip>
                    <a:srcRect/>
                    <a:stretch>
                      <a:fillRect/>
                    </a:stretch>
                  </pic:blipFill>
                  <pic:spPr bwMode="auto">
                    <a:xfrm>
                      <a:off x="0" y="0"/>
                      <a:ext cx="6680835" cy="669290"/>
                    </a:xfrm>
                    <a:prstGeom prst="rect">
                      <a:avLst/>
                    </a:prstGeom>
                    <a:noFill/>
                  </pic:spPr>
                </pic:pic>
              </a:graphicData>
            </a:graphic>
          </wp:anchor>
        </w:drawing>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740" w:type="dxa"/>
            <w:vAlign w:val="bottom"/>
            <w:shd w:val="clear" w:color="auto" w:fill="4C4C4C"/>
          </w:tcPr>
          <w:p>
            <w:pPr>
              <w:spacing w:after="0"/>
              <w:rPr>
                <w:sz w:val="16"/>
                <w:szCs w:val="16"/>
                <w:color w:val="auto"/>
              </w:rPr>
            </w:pPr>
          </w:p>
        </w:tc>
        <w:tc>
          <w:tcPr>
            <w:tcW w:w="2040" w:type="dxa"/>
            <w:vAlign w:val="bottom"/>
            <w:shd w:val="clear" w:color="auto" w:fill="4C4C4C"/>
          </w:tcPr>
          <w:p>
            <w:pPr>
              <w:spacing w:after="0"/>
              <w:rPr>
                <w:sz w:val="16"/>
                <w:szCs w:val="16"/>
                <w:color w:val="auto"/>
              </w:rPr>
            </w:pPr>
          </w:p>
        </w:tc>
        <w:tc>
          <w:tcPr>
            <w:tcW w:w="240" w:type="dxa"/>
            <w:vAlign w:val="bottom"/>
            <w:shd w:val="clear" w:color="auto" w:fill="4C4C4C"/>
          </w:tcPr>
          <w:p>
            <w:pPr>
              <w:spacing w:after="0"/>
              <w:rPr>
                <w:sz w:val="16"/>
                <w:szCs w:val="16"/>
                <w:color w:val="auto"/>
              </w:rPr>
            </w:pPr>
          </w:p>
        </w:tc>
        <w:tc>
          <w:tcPr>
            <w:tcW w:w="560" w:type="dxa"/>
            <w:vAlign w:val="bottom"/>
            <w:shd w:val="clear" w:color="auto" w:fill="4C4C4C"/>
          </w:tcPr>
          <w:p>
            <w:pPr>
              <w:spacing w:after="0"/>
              <w:rPr>
                <w:sz w:val="16"/>
                <w:szCs w:val="16"/>
                <w:color w:val="auto"/>
              </w:rPr>
            </w:pPr>
          </w:p>
        </w:tc>
        <w:tc>
          <w:tcPr>
            <w:tcW w:w="10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ExxonMobil</w:t>
            </w:r>
          </w:p>
        </w:tc>
        <w:tc>
          <w:tcPr>
            <w:tcW w:w="13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ExxonMobil’s</w:t>
            </w:r>
          </w:p>
        </w:tc>
        <w:tc>
          <w:tcPr>
            <w:tcW w:w="1160" w:type="dxa"/>
            <w:vAlign w:val="bottom"/>
            <w:vMerge w:val="restart"/>
            <w:shd w:val="clear" w:color="auto" w:fill="4C4C4C"/>
          </w:tcPr>
          <w:p>
            <w:pPr>
              <w:jc w:val="right"/>
              <w:ind w:right="183"/>
              <w:spacing w:after="0"/>
              <w:rPr>
                <w:sz w:val="20"/>
                <w:szCs w:val="20"/>
                <w:color w:val="auto"/>
              </w:rPr>
            </w:pPr>
            <w:r>
              <w:rPr>
                <w:rFonts w:ascii="Times New Roman" w:cs="Times New Roman" w:eastAsia="Times New Roman" w:hAnsi="Times New Roman"/>
                <w:sz w:val="16"/>
                <w:szCs w:val="16"/>
                <w:b w:val="1"/>
                <w:bCs w:val="1"/>
                <w:color w:val="FFFFFF"/>
              </w:rPr>
              <w:t>Ethylene</w:t>
            </w:r>
          </w:p>
        </w:tc>
        <w:tc>
          <w:tcPr>
            <w:tcW w:w="11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FFFFFF"/>
              </w:rPr>
              <w:t>Polyethylene</w:t>
            </w:r>
          </w:p>
        </w:tc>
        <w:tc>
          <w:tcPr>
            <w:tcW w:w="11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FFFFFF"/>
              </w:rPr>
              <w:t>Polypropylene</w:t>
            </w:r>
          </w:p>
        </w:tc>
        <w:tc>
          <w:tcPr>
            <w:tcW w:w="0" w:type="dxa"/>
            <w:vAlign w:val="bottom"/>
          </w:tcPr>
          <w:p>
            <w:pPr>
              <w:spacing w:after="0"/>
              <w:rPr>
                <w:sz w:val="1"/>
                <w:szCs w:val="1"/>
                <w:color w:val="auto"/>
              </w:rPr>
            </w:pPr>
          </w:p>
        </w:tc>
      </w:tr>
      <w:tr>
        <w:trPr>
          <w:trHeight w:val="94"/>
        </w:trPr>
        <w:tc>
          <w:tcPr>
            <w:tcW w:w="1740" w:type="dxa"/>
            <w:vAlign w:val="bottom"/>
            <w:shd w:val="clear" w:color="auto" w:fill="4C4C4C"/>
          </w:tcPr>
          <w:p>
            <w:pPr>
              <w:spacing w:after="0"/>
              <w:rPr>
                <w:sz w:val="8"/>
                <w:szCs w:val="8"/>
                <w:color w:val="auto"/>
              </w:rPr>
            </w:pPr>
          </w:p>
        </w:tc>
        <w:tc>
          <w:tcPr>
            <w:tcW w:w="2040" w:type="dxa"/>
            <w:vAlign w:val="bottom"/>
            <w:shd w:val="clear" w:color="auto" w:fill="4C4C4C"/>
          </w:tcPr>
          <w:p>
            <w:pPr>
              <w:spacing w:after="0"/>
              <w:rPr>
                <w:sz w:val="8"/>
                <w:szCs w:val="8"/>
                <w:color w:val="auto"/>
              </w:rPr>
            </w:pPr>
          </w:p>
        </w:tc>
        <w:tc>
          <w:tcPr>
            <w:tcW w:w="240" w:type="dxa"/>
            <w:vAlign w:val="bottom"/>
            <w:shd w:val="clear" w:color="auto" w:fill="4C4C4C"/>
          </w:tcPr>
          <w:p>
            <w:pPr>
              <w:spacing w:after="0"/>
              <w:rPr>
                <w:sz w:val="8"/>
                <w:szCs w:val="8"/>
                <w:color w:val="auto"/>
              </w:rPr>
            </w:pPr>
          </w:p>
        </w:tc>
        <w:tc>
          <w:tcPr>
            <w:tcW w:w="560" w:type="dxa"/>
            <w:vAlign w:val="bottom"/>
            <w:shd w:val="clear" w:color="auto" w:fill="4C4C4C"/>
          </w:tcPr>
          <w:p>
            <w:pPr>
              <w:spacing w:after="0"/>
              <w:rPr>
                <w:sz w:val="8"/>
                <w:szCs w:val="8"/>
                <w:color w:val="auto"/>
              </w:rPr>
            </w:pPr>
          </w:p>
        </w:tc>
        <w:tc>
          <w:tcPr>
            <w:tcW w:w="1080" w:type="dxa"/>
            <w:vAlign w:val="bottom"/>
            <w:vMerge w:val="continue"/>
            <w:shd w:val="clear" w:color="auto" w:fill="4C4C4C"/>
          </w:tcPr>
          <w:p>
            <w:pPr>
              <w:spacing w:after="0"/>
              <w:rPr>
                <w:sz w:val="8"/>
                <w:szCs w:val="8"/>
                <w:color w:val="auto"/>
              </w:rPr>
            </w:pPr>
          </w:p>
        </w:tc>
        <w:tc>
          <w:tcPr>
            <w:tcW w:w="1340" w:type="dxa"/>
            <w:vAlign w:val="bottom"/>
            <w:vMerge w:val="restart"/>
            <w:shd w:val="clear" w:color="auto" w:fill="4C4C4C"/>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FFFFFF"/>
                <w:w w:val="98"/>
              </w:rPr>
              <w:t>Share of Refining</w:t>
            </w:r>
          </w:p>
        </w:tc>
        <w:tc>
          <w:tcPr>
            <w:tcW w:w="1160" w:type="dxa"/>
            <w:vAlign w:val="bottom"/>
            <w:vMerge w:val="continue"/>
            <w:shd w:val="clear" w:color="auto" w:fill="4C4C4C"/>
          </w:tcPr>
          <w:p>
            <w:pPr>
              <w:spacing w:after="0"/>
              <w:rPr>
                <w:sz w:val="8"/>
                <w:szCs w:val="8"/>
                <w:color w:val="auto"/>
              </w:rPr>
            </w:pPr>
          </w:p>
        </w:tc>
        <w:tc>
          <w:tcPr>
            <w:tcW w:w="11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shd w:val="clear" w:color="auto" w:fill="4C4C4C"/>
          </w:tcPr>
          <w:p>
            <w:pPr>
              <w:spacing w:after="0"/>
              <w:rPr>
                <w:sz w:val="7"/>
                <w:szCs w:val="7"/>
                <w:color w:val="auto"/>
              </w:rPr>
            </w:pPr>
          </w:p>
        </w:tc>
        <w:tc>
          <w:tcPr>
            <w:tcW w:w="2040" w:type="dxa"/>
            <w:vAlign w:val="bottom"/>
            <w:shd w:val="clear" w:color="auto" w:fill="4C4C4C"/>
          </w:tcPr>
          <w:p>
            <w:pPr>
              <w:spacing w:after="0"/>
              <w:rPr>
                <w:sz w:val="7"/>
                <w:szCs w:val="7"/>
                <w:color w:val="auto"/>
              </w:rPr>
            </w:pPr>
          </w:p>
        </w:tc>
        <w:tc>
          <w:tcPr>
            <w:tcW w:w="240" w:type="dxa"/>
            <w:vAlign w:val="bottom"/>
            <w:shd w:val="clear" w:color="auto" w:fill="4C4C4C"/>
          </w:tcPr>
          <w:p>
            <w:pPr>
              <w:spacing w:after="0"/>
              <w:rPr>
                <w:sz w:val="7"/>
                <w:szCs w:val="7"/>
                <w:color w:val="auto"/>
              </w:rPr>
            </w:pPr>
          </w:p>
        </w:tc>
        <w:tc>
          <w:tcPr>
            <w:tcW w:w="560" w:type="dxa"/>
            <w:vAlign w:val="bottom"/>
            <w:shd w:val="clear" w:color="auto" w:fill="4C4C4C"/>
          </w:tcPr>
          <w:p>
            <w:pPr>
              <w:spacing w:after="0"/>
              <w:rPr>
                <w:sz w:val="7"/>
                <w:szCs w:val="7"/>
                <w:color w:val="auto"/>
              </w:rPr>
            </w:pPr>
          </w:p>
        </w:tc>
        <w:tc>
          <w:tcPr>
            <w:tcW w:w="10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Interest %</w:t>
            </w:r>
          </w:p>
        </w:tc>
        <w:tc>
          <w:tcPr>
            <w:tcW w:w="1340" w:type="dxa"/>
            <w:vAlign w:val="bottom"/>
            <w:vMerge w:val="continue"/>
            <w:shd w:val="clear" w:color="auto" w:fill="4C4C4C"/>
          </w:tcPr>
          <w:p>
            <w:pPr>
              <w:spacing w:after="0"/>
              <w:rPr>
                <w:sz w:val="7"/>
                <w:szCs w:val="7"/>
                <w:color w:val="auto"/>
              </w:rPr>
            </w:pPr>
          </w:p>
        </w:tc>
        <w:tc>
          <w:tcPr>
            <w:tcW w:w="1160" w:type="dxa"/>
            <w:vAlign w:val="bottom"/>
            <w:vMerge w:val="continue"/>
            <w:shd w:val="clear" w:color="auto" w:fill="4C4C4C"/>
          </w:tcPr>
          <w:p>
            <w:pPr>
              <w:spacing w:after="0"/>
              <w:rPr>
                <w:sz w:val="7"/>
                <w:szCs w:val="7"/>
                <w:color w:val="auto"/>
              </w:rPr>
            </w:pPr>
          </w:p>
        </w:tc>
        <w:tc>
          <w:tcPr>
            <w:tcW w:w="11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740" w:type="dxa"/>
            <w:vAlign w:val="bottom"/>
            <w:shd w:val="clear" w:color="auto" w:fill="4C4C4C"/>
          </w:tcPr>
          <w:p>
            <w:pPr>
              <w:spacing w:after="0"/>
              <w:rPr>
                <w:sz w:val="20"/>
                <w:szCs w:val="20"/>
                <w:color w:val="auto"/>
              </w:rPr>
            </w:pPr>
          </w:p>
        </w:tc>
        <w:tc>
          <w:tcPr>
            <w:tcW w:w="2040" w:type="dxa"/>
            <w:vAlign w:val="bottom"/>
            <w:shd w:val="clear" w:color="auto" w:fill="4C4C4C"/>
          </w:tcPr>
          <w:p>
            <w:pPr>
              <w:spacing w:after="0"/>
              <w:rPr>
                <w:sz w:val="20"/>
                <w:szCs w:val="20"/>
                <w:color w:val="auto"/>
              </w:rPr>
            </w:pPr>
          </w:p>
        </w:tc>
        <w:tc>
          <w:tcPr>
            <w:tcW w:w="240" w:type="dxa"/>
            <w:vAlign w:val="bottom"/>
            <w:shd w:val="clear" w:color="auto" w:fill="4C4C4C"/>
          </w:tcPr>
          <w:p>
            <w:pPr>
              <w:spacing w:after="0"/>
              <w:rPr>
                <w:sz w:val="20"/>
                <w:szCs w:val="20"/>
                <w:color w:val="auto"/>
              </w:rPr>
            </w:pPr>
          </w:p>
        </w:tc>
        <w:tc>
          <w:tcPr>
            <w:tcW w:w="560" w:type="dxa"/>
            <w:vAlign w:val="bottom"/>
            <w:shd w:val="clear" w:color="auto" w:fill="4C4C4C"/>
          </w:tcPr>
          <w:p>
            <w:pPr>
              <w:spacing w:after="0"/>
              <w:rPr>
                <w:sz w:val="20"/>
                <w:szCs w:val="20"/>
                <w:color w:val="auto"/>
              </w:rPr>
            </w:pPr>
          </w:p>
        </w:tc>
        <w:tc>
          <w:tcPr>
            <w:tcW w:w="1080" w:type="dxa"/>
            <w:vAlign w:val="bottom"/>
            <w:vMerge w:val="continue"/>
            <w:shd w:val="clear" w:color="auto" w:fill="4C4C4C"/>
          </w:tcPr>
          <w:p>
            <w:pPr>
              <w:spacing w:after="0"/>
              <w:rPr>
                <w:sz w:val="20"/>
                <w:szCs w:val="20"/>
                <w:color w:val="auto"/>
              </w:rPr>
            </w:pPr>
          </w:p>
        </w:tc>
        <w:tc>
          <w:tcPr>
            <w:tcW w:w="13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 xml:space="preserve">Capacity </w:t>
            </w:r>
            <w:r>
              <w:rPr>
                <w:rFonts w:ascii="Times New Roman" w:cs="Times New Roman" w:eastAsia="Times New Roman" w:hAnsi="Times New Roman"/>
                <w:sz w:val="20"/>
                <w:szCs w:val="20"/>
                <w:i w:val="1"/>
                <w:iCs w:val="1"/>
                <w:color w:val="FFFFFF"/>
                <w:w w:val="93"/>
                <w:vertAlign w:val="superscript"/>
              </w:rPr>
              <w:t>(2)</w:t>
            </w:r>
          </w:p>
        </w:tc>
        <w:tc>
          <w:tcPr>
            <w:tcW w:w="1160" w:type="dxa"/>
            <w:vAlign w:val="bottom"/>
            <w:shd w:val="clear" w:color="auto" w:fill="4C4C4C"/>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FFFFFF"/>
                <w:w w:val="96"/>
              </w:rPr>
              <w:t>(thousands of</w:t>
            </w:r>
          </w:p>
        </w:tc>
        <w:tc>
          <w:tcPr>
            <w:tcW w:w="3480" w:type="dxa"/>
            <w:vAlign w:val="bottom"/>
            <w:gridSpan w:val="3"/>
            <w:vMerge w:val="restart"/>
            <w:shd w:val="clear" w:color="auto" w:fill="4C4C4C"/>
          </w:tcPr>
          <w:p>
            <w:pPr>
              <w:jc w:val="right"/>
              <w:ind w:right="603"/>
              <w:spacing w:after="0"/>
              <w:rPr>
                <w:sz w:val="20"/>
                <w:szCs w:val="20"/>
                <w:color w:val="auto"/>
              </w:rPr>
            </w:pPr>
            <w:r>
              <w:rPr>
                <w:rFonts w:ascii="Times New Roman" w:cs="Times New Roman" w:eastAsia="Times New Roman" w:hAnsi="Times New Roman"/>
                <w:sz w:val="16"/>
                <w:szCs w:val="16"/>
                <w:i w:val="1"/>
                <w:iCs w:val="1"/>
                <w:color w:val="FFFFFF"/>
              </w:rPr>
              <w:t>(millions of metric tons per year)</w:t>
            </w: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i w:val="1"/>
                <w:iCs w:val="1"/>
                <w:color w:val="FFFFFF"/>
                <w:w w:val="98"/>
              </w:rPr>
              <w:t>barrels daily)</w:t>
            </w:r>
          </w:p>
        </w:tc>
        <w:tc>
          <w:tcPr>
            <w:tcW w:w="3480" w:type="dxa"/>
            <w:vAlign w:val="bottom"/>
            <w:gridSpan w:val="3"/>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United States</w:t>
            </w:r>
          </w:p>
        </w:tc>
        <w:tc>
          <w:tcPr>
            <w:tcW w:w="2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160" w:type="dxa"/>
            <w:vAlign w:val="bottom"/>
            <w:shd w:val="clear" w:color="auto" w:fill="4C4C4C"/>
          </w:tcPr>
          <w:p>
            <w:pPr>
              <w:spacing w:after="0"/>
              <w:rPr>
                <w:sz w:val="9"/>
                <w:szCs w:val="9"/>
                <w:color w:val="auto"/>
              </w:rPr>
            </w:pPr>
          </w:p>
        </w:tc>
        <w:tc>
          <w:tcPr>
            <w:tcW w:w="1160" w:type="dxa"/>
            <w:vAlign w:val="bottom"/>
            <w:shd w:val="clear" w:color="auto" w:fill="4C4C4C"/>
          </w:tcPr>
          <w:p>
            <w:pPr>
              <w:spacing w:after="0"/>
              <w:rPr>
                <w:sz w:val="9"/>
                <w:szCs w:val="9"/>
                <w:color w:val="auto"/>
              </w:rPr>
            </w:pPr>
          </w:p>
        </w:tc>
        <w:tc>
          <w:tcPr>
            <w:tcW w:w="1160" w:type="dxa"/>
            <w:vAlign w:val="bottom"/>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74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tcPr>
          <w:p>
            <w:pPr>
              <w:spacing w:after="0"/>
              <w:rPr>
                <w:sz w:val="20"/>
                <w:szCs w:val="2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6"/>
        </w:trPr>
        <w:tc>
          <w:tcPr>
            <w:tcW w:w="1740" w:type="dxa"/>
            <w:vAlign w:val="bottom"/>
          </w:tcPr>
          <w:p>
            <w:pPr>
              <w:ind w:left="180"/>
              <w:spacing w:after="0" w:line="207" w:lineRule="exact"/>
              <w:rPr>
                <w:sz w:val="20"/>
                <w:szCs w:val="20"/>
                <w:color w:val="auto"/>
              </w:rPr>
            </w:pPr>
            <w:r>
              <w:rPr>
                <w:rFonts w:ascii="Times New Roman" w:cs="Times New Roman" w:eastAsia="Times New Roman" w:hAnsi="Times New Roman"/>
                <w:sz w:val="20"/>
                <w:szCs w:val="20"/>
                <w:color w:val="auto"/>
              </w:rPr>
              <w:t>Joliet</w:t>
            </w:r>
          </w:p>
        </w:tc>
        <w:tc>
          <w:tcPr>
            <w:tcW w:w="2040" w:type="dxa"/>
            <w:vAlign w:val="bottom"/>
          </w:tcPr>
          <w:p>
            <w:pPr>
              <w:ind w:left="160"/>
              <w:spacing w:after="0" w:line="207" w:lineRule="exact"/>
              <w:rPr>
                <w:sz w:val="20"/>
                <w:szCs w:val="20"/>
                <w:color w:val="auto"/>
              </w:rPr>
            </w:pPr>
            <w:r>
              <w:rPr>
                <w:rFonts w:ascii="Times New Roman" w:cs="Times New Roman" w:eastAsia="Times New Roman" w:hAnsi="Times New Roman"/>
                <w:sz w:val="20"/>
                <w:szCs w:val="20"/>
                <w:color w:val="auto"/>
              </w:rPr>
              <w:t>Illinois</w:t>
            </w:r>
          </w:p>
        </w:tc>
        <w:tc>
          <w:tcPr>
            <w:tcW w:w="2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Baton Rouge</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Louisiana</w:t>
            </w:r>
          </w:p>
        </w:tc>
        <w:tc>
          <w:tcPr>
            <w:tcW w:w="800" w:type="dxa"/>
            <w:vAlign w:val="bottom"/>
            <w:gridSpan w:val="2"/>
          </w:tcPr>
          <w:p>
            <w:pPr>
              <w:ind w:left="80"/>
              <w:spacing w:after="0" w:line="259" w:lineRule="exact"/>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b w:val="1"/>
                <w:bCs w:val="1"/>
                <w:color w:val="095922"/>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50"/>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Baytown</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Texas</w:t>
            </w:r>
          </w:p>
        </w:tc>
        <w:tc>
          <w:tcPr>
            <w:tcW w:w="800" w:type="dxa"/>
            <w:vAlign w:val="bottom"/>
            <w:gridSpan w:val="2"/>
          </w:tcPr>
          <w:p>
            <w:pPr>
              <w:ind w:left="80"/>
              <w:spacing w:after="0" w:line="250" w:lineRule="exact"/>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b w:val="1"/>
                <w:bCs w:val="1"/>
                <w:color w:val="095922"/>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50"/>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Beaumont</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Texas</w:t>
            </w:r>
          </w:p>
        </w:tc>
        <w:tc>
          <w:tcPr>
            <w:tcW w:w="800" w:type="dxa"/>
            <w:vAlign w:val="bottom"/>
            <w:gridSpan w:val="2"/>
          </w:tcPr>
          <w:p>
            <w:pPr>
              <w:ind w:left="80"/>
              <w:spacing w:after="0" w:line="250" w:lineRule="exact"/>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b w:val="1"/>
                <w:bCs w:val="1"/>
                <w:color w:val="095922"/>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Corpus Christi</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Texas</w:t>
            </w:r>
          </w:p>
        </w:tc>
        <w:tc>
          <w:tcPr>
            <w:tcW w:w="240" w:type="dxa"/>
            <w:vAlign w:val="bottom"/>
          </w:tcPr>
          <w:p>
            <w:pPr>
              <w:spacing w:after="0"/>
              <w:rPr>
                <w:sz w:val="21"/>
                <w:szCs w:val="21"/>
                <w:color w:val="auto"/>
              </w:rPr>
            </w:pPr>
          </w:p>
        </w:tc>
        <w:tc>
          <w:tcPr>
            <w:tcW w:w="560" w:type="dxa"/>
            <w:vAlign w:val="bottom"/>
          </w:tcPr>
          <w:p>
            <w:pPr>
              <w:jc w:val="right"/>
              <w:spacing w:after="0" w:line="250" w:lineRule="exact"/>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17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Mont Belvieu</w:t>
            </w:r>
          </w:p>
        </w:tc>
        <w:tc>
          <w:tcPr>
            <w:tcW w:w="20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Texas</w:t>
            </w:r>
          </w:p>
        </w:tc>
        <w:tc>
          <w:tcPr>
            <w:tcW w:w="240" w:type="dxa"/>
            <w:vAlign w:val="bottom"/>
            <w:tcBorders>
              <w:bottom w:val="single" w:sz="8" w:color="4C4C4C"/>
            </w:tcBorders>
          </w:tcPr>
          <w:p>
            <w:pPr>
              <w:spacing w:after="0"/>
              <w:rPr>
                <w:sz w:val="24"/>
                <w:szCs w:val="24"/>
                <w:color w:val="auto"/>
              </w:rPr>
            </w:pPr>
          </w:p>
        </w:tc>
        <w:tc>
          <w:tcPr>
            <w:tcW w:w="560" w:type="dxa"/>
            <w:vAlign w:val="bottom"/>
            <w:tcBorders>
              <w:bottom w:val="single" w:sz="8" w:color="4C4C4C"/>
            </w:tcBorders>
          </w:tcPr>
          <w:p>
            <w:pPr>
              <w:jc w:val="right"/>
              <w:spacing w:after="0" w:line="293" w:lineRule="exact"/>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United States</w:t>
            </w:r>
          </w:p>
        </w:tc>
        <w:tc>
          <w:tcPr>
            <w:tcW w:w="2040" w:type="dxa"/>
            <w:vAlign w:val="bottom"/>
            <w:tcBorders>
              <w:bottom w:val="single" w:sz="8" w:color="4C4C4C"/>
            </w:tcBorders>
          </w:tcPr>
          <w:p>
            <w:pPr>
              <w:spacing w:after="0"/>
              <w:rPr>
                <w:sz w:val="19"/>
                <w:szCs w:val="19"/>
                <w:color w:val="auto"/>
              </w:rPr>
            </w:pPr>
          </w:p>
        </w:tc>
        <w:tc>
          <w:tcPr>
            <w:tcW w:w="240" w:type="dxa"/>
            <w:vAlign w:val="bottom"/>
            <w:tcBorders>
              <w:bottom w:val="single" w:sz="8" w:color="4C4C4C"/>
            </w:tcBorders>
          </w:tcPr>
          <w:p>
            <w:pPr>
              <w:spacing w:after="0"/>
              <w:rPr>
                <w:sz w:val="19"/>
                <w:szCs w:val="19"/>
                <w:color w:val="auto"/>
              </w:rPr>
            </w:pPr>
          </w:p>
        </w:tc>
        <w:tc>
          <w:tcPr>
            <w:tcW w:w="560" w:type="dxa"/>
            <w:vAlign w:val="bottom"/>
            <w:tcBorders>
              <w:bottom w:val="single" w:sz="8" w:color="4C4C4C"/>
            </w:tcBorders>
          </w:tcPr>
          <w:p>
            <w:pPr>
              <w:spacing w:after="0"/>
              <w:rPr>
                <w:sz w:val="19"/>
                <w:szCs w:val="19"/>
                <w:color w:val="auto"/>
              </w:rPr>
            </w:pPr>
          </w:p>
        </w:tc>
        <w:tc>
          <w:tcPr>
            <w:tcW w:w="1080" w:type="dxa"/>
            <w:vAlign w:val="bottom"/>
            <w:tcBorders>
              <w:bottom w:val="single" w:sz="8" w:color="4C4C4C"/>
            </w:tcBorders>
          </w:tcPr>
          <w:p>
            <w:pPr>
              <w:spacing w:after="0"/>
              <w:rPr>
                <w:sz w:val="19"/>
                <w:szCs w:val="19"/>
                <w:color w:val="auto"/>
              </w:rPr>
            </w:pP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1,955</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80"/>
        </w:trPr>
        <w:tc>
          <w:tcPr>
            <w:tcW w:w="17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Canada</w:t>
            </w:r>
          </w:p>
        </w:tc>
        <w:tc>
          <w:tcPr>
            <w:tcW w:w="2040" w:type="dxa"/>
            <w:vAlign w:val="bottom"/>
          </w:tcPr>
          <w:p>
            <w:pPr>
              <w:spacing w:after="0"/>
              <w:rPr>
                <w:sz w:val="24"/>
                <w:szCs w:val="24"/>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180"/>
              <w:spacing w:after="0" w:line="220" w:lineRule="exact"/>
              <w:rPr>
                <w:sz w:val="20"/>
                <w:szCs w:val="20"/>
                <w:color w:val="auto"/>
              </w:rPr>
            </w:pPr>
            <w:r>
              <w:rPr>
                <w:rFonts w:ascii="Times New Roman" w:cs="Times New Roman" w:eastAsia="Times New Roman" w:hAnsi="Times New Roman"/>
                <w:sz w:val="20"/>
                <w:szCs w:val="20"/>
                <w:color w:val="auto"/>
              </w:rPr>
              <w:t>Strathcona</w:t>
            </w:r>
          </w:p>
        </w:tc>
        <w:tc>
          <w:tcPr>
            <w:tcW w:w="2040" w:type="dxa"/>
            <w:vAlign w:val="bottom"/>
          </w:tcPr>
          <w:p>
            <w:pPr>
              <w:ind w:left="160"/>
              <w:spacing w:after="0" w:line="220" w:lineRule="exact"/>
              <w:rPr>
                <w:sz w:val="20"/>
                <w:szCs w:val="20"/>
                <w:color w:val="auto"/>
              </w:rPr>
            </w:pPr>
            <w:r>
              <w:rPr>
                <w:rFonts w:ascii="Times New Roman" w:cs="Times New Roman" w:eastAsia="Times New Roman" w:hAnsi="Times New Roman"/>
                <w:sz w:val="20"/>
                <w:szCs w:val="20"/>
                <w:color w:val="auto"/>
              </w:rPr>
              <w:t>Alberta</w:t>
            </w:r>
          </w:p>
        </w:tc>
        <w:tc>
          <w:tcPr>
            <w:tcW w:w="2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69.6</w:t>
            </w:r>
          </w:p>
        </w:tc>
        <w:tc>
          <w:tcPr>
            <w:tcW w:w="1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197</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Nanticoke</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Ontario</w:t>
            </w:r>
          </w:p>
        </w:tc>
        <w:tc>
          <w:tcPr>
            <w:tcW w:w="240" w:type="dxa"/>
            <w:vAlign w:val="bottom"/>
          </w:tcPr>
          <w:p>
            <w:pPr>
              <w:ind w:left="80"/>
              <w:spacing w:after="0" w:line="250" w:lineRule="exact"/>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69.6</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17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20"/>
                <w:szCs w:val="20"/>
                <w:color w:val="auto"/>
              </w:rPr>
              <w:t>Sarnia</w:t>
            </w:r>
          </w:p>
        </w:tc>
        <w:tc>
          <w:tcPr>
            <w:tcW w:w="20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Ontario</w:t>
            </w:r>
          </w:p>
        </w:tc>
        <w:tc>
          <w:tcPr>
            <w:tcW w:w="24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tcBorders>
              <w:bottom w:val="single" w:sz="8" w:color="4C4C4C"/>
            </w:tcBorders>
            <w:vMerge w:val="continue"/>
          </w:tcPr>
          <w:p>
            <w:pPr>
              <w:spacing w:after="0"/>
              <w:rPr>
                <w:sz w:val="24"/>
                <w:szCs w:val="24"/>
                <w:color w:val="auto"/>
              </w:rPr>
            </w:pPr>
          </w:p>
        </w:tc>
        <w:tc>
          <w:tcPr>
            <w:tcW w:w="108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7"/>
              </w:rPr>
              <w:t>69.6</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Canada</w:t>
            </w:r>
          </w:p>
        </w:tc>
        <w:tc>
          <w:tcPr>
            <w:tcW w:w="2040" w:type="dxa"/>
            <w:vAlign w:val="bottom"/>
            <w:tcBorders>
              <w:bottom w:val="single" w:sz="8" w:color="4C4C4C"/>
            </w:tcBorders>
          </w:tcPr>
          <w:p>
            <w:pPr>
              <w:spacing w:after="0"/>
              <w:rPr>
                <w:sz w:val="19"/>
                <w:szCs w:val="19"/>
                <w:color w:val="auto"/>
              </w:rPr>
            </w:pPr>
          </w:p>
        </w:tc>
        <w:tc>
          <w:tcPr>
            <w:tcW w:w="240" w:type="dxa"/>
            <w:vAlign w:val="bottom"/>
            <w:tcBorders>
              <w:bottom w:val="single" w:sz="8" w:color="4C4C4C"/>
            </w:tcBorders>
          </w:tcPr>
          <w:p>
            <w:pPr>
              <w:spacing w:after="0"/>
              <w:rPr>
                <w:sz w:val="19"/>
                <w:szCs w:val="19"/>
                <w:color w:val="auto"/>
              </w:rPr>
            </w:pPr>
          </w:p>
        </w:tc>
        <w:tc>
          <w:tcPr>
            <w:tcW w:w="560" w:type="dxa"/>
            <w:vAlign w:val="bottom"/>
            <w:tcBorders>
              <w:bottom w:val="single" w:sz="8" w:color="4C4C4C"/>
            </w:tcBorders>
          </w:tcPr>
          <w:p>
            <w:pPr>
              <w:spacing w:after="0"/>
              <w:rPr>
                <w:sz w:val="19"/>
                <w:szCs w:val="19"/>
                <w:color w:val="auto"/>
              </w:rPr>
            </w:pPr>
          </w:p>
        </w:tc>
        <w:tc>
          <w:tcPr>
            <w:tcW w:w="1080" w:type="dxa"/>
            <w:vAlign w:val="bottom"/>
            <w:tcBorders>
              <w:bottom w:val="single" w:sz="8" w:color="4C4C4C"/>
            </w:tcBorders>
          </w:tcPr>
          <w:p>
            <w:pPr>
              <w:spacing w:after="0"/>
              <w:rPr>
                <w:sz w:val="19"/>
                <w:szCs w:val="19"/>
                <w:color w:val="auto"/>
              </w:rPr>
            </w:pP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17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Europe</w:t>
            </w:r>
          </w:p>
        </w:tc>
        <w:tc>
          <w:tcPr>
            <w:tcW w:w="2040" w:type="dxa"/>
            <w:vAlign w:val="bottom"/>
          </w:tcPr>
          <w:p>
            <w:pPr>
              <w:spacing w:after="0"/>
              <w:rPr>
                <w:sz w:val="24"/>
                <w:szCs w:val="24"/>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line="215" w:lineRule="exact"/>
              <w:rPr>
                <w:sz w:val="20"/>
                <w:szCs w:val="20"/>
                <w:color w:val="auto"/>
              </w:rPr>
            </w:pPr>
            <w:r>
              <w:rPr>
                <w:rFonts w:ascii="Times New Roman" w:cs="Times New Roman" w:eastAsia="Times New Roman" w:hAnsi="Times New Roman"/>
                <w:sz w:val="20"/>
                <w:szCs w:val="20"/>
                <w:color w:val="auto"/>
              </w:rPr>
              <w:t>Antwerp</w:t>
            </w:r>
          </w:p>
        </w:tc>
        <w:tc>
          <w:tcPr>
            <w:tcW w:w="2040" w:type="dxa"/>
            <w:vAlign w:val="bottom"/>
          </w:tcPr>
          <w:p>
            <w:pPr>
              <w:ind w:left="160"/>
              <w:spacing w:after="0" w:line="215" w:lineRule="exact"/>
              <w:rPr>
                <w:sz w:val="20"/>
                <w:szCs w:val="20"/>
                <w:color w:val="auto"/>
              </w:rPr>
            </w:pPr>
            <w:r>
              <w:rPr>
                <w:rFonts w:ascii="Times New Roman" w:cs="Times New Roman" w:eastAsia="Times New Roman" w:hAnsi="Times New Roman"/>
                <w:sz w:val="20"/>
                <w:szCs w:val="20"/>
                <w:color w:val="auto"/>
              </w:rPr>
              <w:t>Belgium</w:t>
            </w:r>
          </w:p>
        </w:tc>
        <w:tc>
          <w:tcPr>
            <w:tcW w:w="2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8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307</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0.4</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Meerhout</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Belgium</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tcPr>
          <w:p>
            <w:pPr>
              <w:jc w:val="right"/>
              <w:spacing w:after="0" w:line="284" w:lineRule="exact"/>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6"/>
        </w:trPr>
        <w:tc>
          <w:tcPr>
            <w:tcW w:w="1740" w:type="dxa"/>
            <w:vAlign w:val="bottom"/>
          </w:tcPr>
          <w:p>
            <w:pPr>
              <w:ind w:left="180"/>
              <w:spacing w:after="0" w:line="207" w:lineRule="exact"/>
              <w:rPr>
                <w:sz w:val="20"/>
                <w:szCs w:val="20"/>
                <w:color w:val="auto"/>
              </w:rPr>
            </w:pPr>
            <w:r>
              <w:rPr>
                <w:rFonts w:ascii="Times New Roman" w:cs="Times New Roman" w:eastAsia="Times New Roman" w:hAnsi="Times New Roman"/>
                <w:sz w:val="20"/>
                <w:szCs w:val="20"/>
                <w:color w:val="auto"/>
              </w:rPr>
              <w:t>Fos-sur-Mer</w:t>
            </w:r>
          </w:p>
        </w:tc>
        <w:tc>
          <w:tcPr>
            <w:tcW w:w="2040" w:type="dxa"/>
            <w:vAlign w:val="bottom"/>
          </w:tcPr>
          <w:p>
            <w:pPr>
              <w:ind w:left="160"/>
              <w:spacing w:after="0" w:line="207" w:lineRule="exact"/>
              <w:rPr>
                <w:sz w:val="20"/>
                <w:szCs w:val="20"/>
                <w:color w:val="auto"/>
              </w:rPr>
            </w:pPr>
            <w:r>
              <w:rPr>
                <w:rFonts w:ascii="Times New Roman" w:cs="Times New Roman" w:eastAsia="Times New Roman" w:hAnsi="Times New Roman"/>
                <w:sz w:val="20"/>
                <w:szCs w:val="20"/>
                <w:color w:val="auto"/>
              </w:rPr>
              <w:t>France</w:t>
            </w:r>
          </w:p>
        </w:tc>
        <w:tc>
          <w:tcPr>
            <w:tcW w:w="2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82.9</w:t>
            </w:r>
          </w:p>
        </w:tc>
        <w:tc>
          <w:tcPr>
            <w:tcW w:w="13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133</w:t>
            </w:r>
          </w:p>
        </w:tc>
        <w:tc>
          <w:tcPr>
            <w:tcW w:w="11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Gravenchon</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France</w:t>
            </w:r>
          </w:p>
        </w:tc>
        <w:tc>
          <w:tcPr>
            <w:tcW w:w="188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b w:val="1"/>
                <w:bCs w:val="1"/>
                <w:color w:val="095922"/>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27"/>
                <w:szCs w:val="27"/>
                <w:b w:val="1"/>
                <w:bCs w:val="1"/>
                <w:color w:val="001A80"/>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color w:val="000000"/>
              </w:rPr>
              <w:t>82.9 / 100</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0"/>
                <w:szCs w:val="10"/>
                <w:i w:val="1"/>
                <w:iCs w:val="1"/>
                <w:color w:val="000000"/>
              </w:rPr>
              <w:t>(3)</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36"/>
        </w:trPr>
        <w:tc>
          <w:tcPr>
            <w:tcW w:w="1740" w:type="dxa"/>
            <w:vAlign w:val="bottom"/>
          </w:tcPr>
          <w:p>
            <w:pPr>
              <w:ind w:left="180"/>
              <w:spacing w:after="0" w:line="235" w:lineRule="exact"/>
              <w:rPr>
                <w:sz w:val="20"/>
                <w:szCs w:val="20"/>
                <w:color w:val="auto"/>
              </w:rPr>
            </w:pPr>
            <w:r>
              <w:rPr>
                <w:rFonts w:ascii="Times New Roman" w:cs="Times New Roman" w:eastAsia="Times New Roman" w:hAnsi="Times New Roman"/>
                <w:sz w:val="20"/>
                <w:szCs w:val="20"/>
                <w:color w:val="auto"/>
              </w:rPr>
              <w:t xml:space="preserve">Karlsruhe </w:t>
            </w:r>
            <w:r>
              <w:rPr>
                <w:rFonts w:ascii="Times New Roman" w:cs="Times New Roman" w:eastAsia="Times New Roman" w:hAnsi="Times New Roman"/>
                <w:sz w:val="25"/>
                <w:szCs w:val="25"/>
                <w:i w:val="1"/>
                <w:iCs w:val="1"/>
                <w:color w:val="auto"/>
                <w:vertAlign w:val="superscript"/>
              </w:rPr>
              <w:t>(4)</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Germany</w:t>
            </w:r>
          </w:p>
        </w:tc>
        <w:tc>
          <w:tcPr>
            <w:tcW w:w="240" w:type="dxa"/>
            <w:vAlign w:val="bottom"/>
          </w:tcPr>
          <w:p>
            <w:pPr>
              <w:ind w:left="80"/>
              <w:spacing w:after="0" w:line="235" w:lineRule="exact"/>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Rotterdam</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Netherlands</w:t>
            </w:r>
          </w:p>
        </w:tc>
        <w:tc>
          <w:tcPr>
            <w:tcW w:w="800" w:type="dxa"/>
            <w:vAlign w:val="bottom"/>
            <w:gridSpan w:val="2"/>
          </w:tcPr>
          <w:p>
            <w:pPr>
              <w:ind w:left="80"/>
              <w:spacing w:after="0" w:line="259" w:lineRule="exact"/>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b w:val="1"/>
                <w:bCs w:val="1"/>
                <w:color w:val="095922"/>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Fawley</w:t>
            </w:r>
          </w:p>
        </w:tc>
        <w:tc>
          <w:tcPr>
            <w:tcW w:w="2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Kingdom</w:t>
            </w:r>
          </w:p>
        </w:tc>
        <w:tc>
          <w:tcPr>
            <w:tcW w:w="800" w:type="dxa"/>
            <w:vAlign w:val="bottom"/>
            <w:gridSpan w:val="2"/>
          </w:tcPr>
          <w:p>
            <w:pPr>
              <w:ind w:left="80"/>
              <w:spacing w:after="0" w:line="250" w:lineRule="exact"/>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b w:val="1"/>
                <w:bCs w:val="1"/>
                <w:color w:val="095922"/>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27"/>
                <w:szCs w:val="27"/>
                <w:b w:val="1"/>
                <w:bCs w:val="1"/>
                <w:color w:val="001A8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17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20"/>
                <w:szCs w:val="20"/>
                <w:color w:val="auto"/>
              </w:rPr>
              <w:t>Fife</w:t>
            </w:r>
          </w:p>
        </w:tc>
        <w:tc>
          <w:tcPr>
            <w:tcW w:w="20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United Kingdom</w:t>
            </w:r>
          </w:p>
        </w:tc>
        <w:tc>
          <w:tcPr>
            <w:tcW w:w="240" w:type="dxa"/>
            <w:vAlign w:val="bottom"/>
            <w:tcBorders>
              <w:bottom w:val="single" w:sz="8" w:color="4C4C4C"/>
            </w:tcBorders>
          </w:tcPr>
          <w:p>
            <w:pPr>
              <w:spacing w:after="0"/>
              <w:rPr>
                <w:sz w:val="24"/>
                <w:szCs w:val="24"/>
                <w:color w:val="auto"/>
              </w:rPr>
            </w:pPr>
          </w:p>
        </w:tc>
        <w:tc>
          <w:tcPr>
            <w:tcW w:w="560" w:type="dxa"/>
            <w:vAlign w:val="bottom"/>
            <w:tcBorders>
              <w:bottom w:val="single" w:sz="8" w:color="4C4C4C"/>
            </w:tcBorders>
          </w:tcPr>
          <w:p>
            <w:pPr>
              <w:jc w:val="right"/>
              <w:spacing w:after="0" w:line="293" w:lineRule="exact"/>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Europe</w:t>
            </w:r>
          </w:p>
        </w:tc>
        <w:tc>
          <w:tcPr>
            <w:tcW w:w="2040" w:type="dxa"/>
            <w:vAlign w:val="bottom"/>
            <w:tcBorders>
              <w:bottom w:val="single" w:sz="8" w:color="4C4C4C"/>
            </w:tcBorders>
          </w:tcPr>
          <w:p>
            <w:pPr>
              <w:spacing w:after="0"/>
              <w:rPr>
                <w:sz w:val="19"/>
                <w:szCs w:val="19"/>
                <w:color w:val="auto"/>
              </w:rPr>
            </w:pPr>
          </w:p>
        </w:tc>
        <w:tc>
          <w:tcPr>
            <w:tcW w:w="240" w:type="dxa"/>
            <w:vAlign w:val="bottom"/>
            <w:tcBorders>
              <w:bottom w:val="single" w:sz="8" w:color="4C4C4C"/>
            </w:tcBorders>
          </w:tcPr>
          <w:p>
            <w:pPr>
              <w:spacing w:after="0"/>
              <w:rPr>
                <w:sz w:val="19"/>
                <w:szCs w:val="19"/>
                <w:color w:val="auto"/>
              </w:rPr>
            </w:pPr>
          </w:p>
        </w:tc>
        <w:tc>
          <w:tcPr>
            <w:tcW w:w="560" w:type="dxa"/>
            <w:vAlign w:val="bottom"/>
            <w:tcBorders>
              <w:bottom w:val="single" w:sz="8" w:color="4C4C4C"/>
            </w:tcBorders>
          </w:tcPr>
          <w:p>
            <w:pPr>
              <w:spacing w:after="0"/>
              <w:rPr>
                <w:sz w:val="19"/>
                <w:szCs w:val="19"/>
                <w:color w:val="auto"/>
              </w:rPr>
            </w:pPr>
          </w:p>
        </w:tc>
        <w:tc>
          <w:tcPr>
            <w:tcW w:w="1080" w:type="dxa"/>
            <w:vAlign w:val="bottom"/>
            <w:tcBorders>
              <w:bottom w:val="single" w:sz="8" w:color="4C4C4C"/>
            </w:tcBorders>
          </w:tcPr>
          <w:p>
            <w:pPr>
              <w:spacing w:after="0"/>
              <w:rPr>
                <w:sz w:val="19"/>
                <w:szCs w:val="19"/>
                <w:color w:val="auto"/>
              </w:rPr>
            </w:pP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1,216</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80"/>
        </w:trPr>
        <w:tc>
          <w:tcPr>
            <w:tcW w:w="17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Asia Pacific</w:t>
            </w:r>
          </w:p>
        </w:tc>
        <w:tc>
          <w:tcPr>
            <w:tcW w:w="2040" w:type="dxa"/>
            <w:vAlign w:val="bottom"/>
          </w:tcPr>
          <w:p>
            <w:pPr>
              <w:spacing w:after="0"/>
              <w:rPr>
                <w:sz w:val="24"/>
                <w:szCs w:val="24"/>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line="215" w:lineRule="exact"/>
              <w:rPr>
                <w:sz w:val="20"/>
                <w:szCs w:val="20"/>
                <w:color w:val="auto"/>
              </w:rPr>
            </w:pPr>
            <w:r>
              <w:rPr>
                <w:rFonts w:ascii="Times New Roman" w:cs="Times New Roman" w:eastAsia="Times New Roman" w:hAnsi="Times New Roman"/>
                <w:sz w:val="20"/>
                <w:szCs w:val="20"/>
                <w:color w:val="auto"/>
              </w:rPr>
              <w:t>Fujian</w:t>
            </w:r>
          </w:p>
        </w:tc>
        <w:tc>
          <w:tcPr>
            <w:tcW w:w="2040" w:type="dxa"/>
            <w:vAlign w:val="bottom"/>
          </w:tcPr>
          <w:p>
            <w:pPr>
              <w:ind w:left="160"/>
              <w:spacing w:after="0" w:line="215" w:lineRule="exact"/>
              <w:rPr>
                <w:sz w:val="20"/>
                <w:szCs w:val="20"/>
                <w:color w:val="auto"/>
              </w:rPr>
            </w:pPr>
            <w:r>
              <w:rPr>
                <w:rFonts w:ascii="Times New Roman" w:cs="Times New Roman" w:eastAsia="Times New Roman" w:hAnsi="Times New Roman"/>
                <w:sz w:val="20"/>
                <w:szCs w:val="20"/>
                <w:color w:val="auto"/>
              </w:rPr>
              <w:t>China</w:t>
            </w:r>
          </w:p>
        </w:tc>
        <w:tc>
          <w:tcPr>
            <w:tcW w:w="2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8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25</w:t>
            </w:r>
          </w:p>
        </w:tc>
        <w:tc>
          <w:tcPr>
            <w:tcW w:w="13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67</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0.3</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0.2</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93"/>
        </w:trPr>
        <w:tc>
          <w:tcPr>
            <w:tcW w:w="17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Singapore</w:t>
            </w:r>
          </w:p>
        </w:tc>
        <w:tc>
          <w:tcPr>
            <w:tcW w:w="20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Singapore</w:t>
            </w:r>
          </w:p>
        </w:tc>
        <w:tc>
          <w:tcPr>
            <w:tcW w:w="800" w:type="dxa"/>
            <w:vAlign w:val="bottom"/>
            <w:tcBorders>
              <w:bottom w:val="single" w:sz="8" w:color="4C4C4C"/>
            </w:tcBorders>
            <w:gridSpan w:val="2"/>
          </w:tcPr>
          <w:p>
            <w:pPr>
              <w:ind w:left="80"/>
              <w:spacing w:after="0" w:line="293" w:lineRule="exact"/>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b w:val="1"/>
                <w:bCs w:val="1"/>
                <w:color w:val="095922"/>
              </w:rPr>
              <w:t>▲</w:t>
            </w: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27"/>
                <w:szCs w:val="27"/>
                <w:b w:val="1"/>
                <w:bCs w:val="1"/>
                <w:color w:val="001A80"/>
              </w:rPr>
              <w:t>●</w:t>
            </w:r>
          </w:p>
        </w:tc>
        <w:tc>
          <w:tcPr>
            <w:tcW w:w="108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Asia Pacific</w:t>
            </w:r>
          </w:p>
        </w:tc>
        <w:tc>
          <w:tcPr>
            <w:tcW w:w="2040" w:type="dxa"/>
            <w:vAlign w:val="bottom"/>
            <w:tcBorders>
              <w:bottom w:val="single" w:sz="8" w:color="4C4C4C"/>
            </w:tcBorders>
          </w:tcPr>
          <w:p>
            <w:pPr>
              <w:spacing w:after="0"/>
              <w:rPr>
                <w:sz w:val="19"/>
                <w:szCs w:val="19"/>
                <w:color w:val="auto"/>
              </w:rPr>
            </w:pPr>
          </w:p>
        </w:tc>
        <w:tc>
          <w:tcPr>
            <w:tcW w:w="240" w:type="dxa"/>
            <w:vAlign w:val="bottom"/>
            <w:tcBorders>
              <w:bottom w:val="single" w:sz="8" w:color="4C4C4C"/>
            </w:tcBorders>
          </w:tcPr>
          <w:p>
            <w:pPr>
              <w:spacing w:after="0"/>
              <w:rPr>
                <w:sz w:val="19"/>
                <w:szCs w:val="19"/>
                <w:color w:val="auto"/>
              </w:rPr>
            </w:pPr>
          </w:p>
        </w:tc>
        <w:tc>
          <w:tcPr>
            <w:tcW w:w="560" w:type="dxa"/>
            <w:vAlign w:val="bottom"/>
            <w:tcBorders>
              <w:bottom w:val="single" w:sz="8" w:color="4C4C4C"/>
            </w:tcBorders>
          </w:tcPr>
          <w:p>
            <w:pPr>
              <w:spacing w:after="0"/>
              <w:rPr>
                <w:sz w:val="19"/>
                <w:szCs w:val="19"/>
                <w:color w:val="auto"/>
              </w:rPr>
            </w:pPr>
          </w:p>
        </w:tc>
        <w:tc>
          <w:tcPr>
            <w:tcW w:w="1080" w:type="dxa"/>
            <w:vAlign w:val="bottom"/>
            <w:tcBorders>
              <w:bottom w:val="single" w:sz="8" w:color="4C4C4C"/>
            </w:tcBorders>
          </w:tcPr>
          <w:p>
            <w:pPr>
              <w:spacing w:after="0"/>
              <w:rPr>
                <w:sz w:val="19"/>
                <w:szCs w:val="19"/>
                <w:color w:val="auto"/>
              </w:rPr>
            </w:pP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82"/>
        </w:trPr>
        <w:tc>
          <w:tcPr>
            <w:tcW w:w="17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Middle East</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95922"/>
              </w:rPr>
              <w:t xml:space="preserve">▲ </w:t>
            </w:r>
            <w:r>
              <w:rPr>
                <w:rFonts w:ascii="Times New Roman" w:cs="Times New Roman" w:eastAsia="Times New Roman" w:hAnsi="Times New Roman"/>
                <w:sz w:val="27"/>
                <w:szCs w:val="27"/>
                <w:b w:val="1"/>
                <w:bCs w:val="1"/>
                <w:color w:val="001A80"/>
              </w:rPr>
              <w:t>●</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3"/>
        </w:trPr>
        <w:tc>
          <w:tcPr>
            <w:tcW w:w="1740" w:type="dxa"/>
            <w:vAlign w:val="bottom"/>
          </w:tcPr>
          <w:p>
            <w:pPr>
              <w:ind w:left="180"/>
              <w:spacing w:after="0" w:line="213" w:lineRule="exact"/>
              <w:rPr>
                <w:sz w:val="20"/>
                <w:szCs w:val="20"/>
                <w:color w:val="auto"/>
              </w:rPr>
            </w:pPr>
            <w:r>
              <w:rPr>
                <w:rFonts w:ascii="Times New Roman" w:cs="Times New Roman" w:eastAsia="Times New Roman" w:hAnsi="Times New Roman"/>
                <w:sz w:val="20"/>
                <w:szCs w:val="20"/>
                <w:color w:val="auto"/>
              </w:rPr>
              <w:t>Al Jubail</w:t>
            </w:r>
          </w:p>
        </w:tc>
        <w:tc>
          <w:tcPr>
            <w:tcW w:w="2040" w:type="dxa"/>
            <w:vAlign w:val="bottom"/>
          </w:tcPr>
          <w:p>
            <w:pPr>
              <w:ind w:left="160"/>
              <w:spacing w:after="0" w:line="213" w:lineRule="exact"/>
              <w:rPr>
                <w:sz w:val="20"/>
                <w:szCs w:val="20"/>
                <w:color w:val="auto"/>
              </w:rPr>
            </w:pPr>
            <w:r>
              <w:rPr>
                <w:rFonts w:ascii="Times New Roman" w:cs="Times New Roman" w:eastAsia="Times New Roman" w:hAnsi="Times New Roman"/>
                <w:sz w:val="20"/>
                <w:szCs w:val="20"/>
                <w:color w:val="auto"/>
              </w:rPr>
              <w:t>Saudi Arabia</w:t>
            </w:r>
          </w:p>
        </w:tc>
        <w:tc>
          <w:tcPr>
            <w:tcW w:w="2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34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0.7</w:t>
            </w:r>
          </w:p>
        </w:tc>
        <w:tc>
          <w:tcPr>
            <w:tcW w:w="11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0.7</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17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20"/>
                <w:szCs w:val="20"/>
                <w:color w:val="auto"/>
              </w:rPr>
              <w:t>Yanbu</w:t>
            </w:r>
          </w:p>
        </w:tc>
        <w:tc>
          <w:tcPr>
            <w:tcW w:w="20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20"/>
                <w:szCs w:val="20"/>
                <w:color w:val="auto"/>
              </w:rPr>
              <w:t>Saudi Arabia</w:t>
            </w:r>
          </w:p>
        </w:tc>
        <w:tc>
          <w:tcPr>
            <w:tcW w:w="24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24"/>
                <w:szCs w:val="24"/>
                <w:b w:val="1"/>
                <w:bCs w:val="1"/>
                <w:color w:val="FB0815"/>
                <w:w w:val="96"/>
              </w:rPr>
              <w:t>■</w:t>
            </w:r>
          </w:p>
        </w:tc>
        <w:tc>
          <w:tcPr>
            <w:tcW w:w="560" w:type="dxa"/>
            <w:vAlign w:val="bottom"/>
            <w:tcBorders>
              <w:bottom w:val="single" w:sz="8" w:color="4C4C4C"/>
            </w:tcBorders>
          </w:tcPr>
          <w:p>
            <w:pPr>
              <w:jc w:val="right"/>
              <w:spacing w:after="0" w:line="293" w:lineRule="exact"/>
              <w:rPr>
                <w:sz w:val="20"/>
                <w:szCs w:val="20"/>
                <w:color w:val="auto"/>
              </w:rPr>
            </w:pPr>
            <w:r>
              <w:rPr>
                <w:rFonts w:ascii="Times New Roman" w:cs="Times New Roman" w:eastAsia="Times New Roman" w:hAnsi="Times New Roman"/>
                <w:sz w:val="27"/>
                <w:szCs w:val="27"/>
                <w:b w:val="1"/>
                <w:bCs w:val="1"/>
                <w:color w:val="001A80"/>
              </w:rPr>
              <w:t>●</w:t>
            </w:r>
          </w:p>
        </w:tc>
        <w:tc>
          <w:tcPr>
            <w:tcW w:w="108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Middle East</w:t>
            </w:r>
          </w:p>
        </w:tc>
        <w:tc>
          <w:tcPr>
            <w:tcW w:w="2040" w:type="dxa"/>
            <w:vAlign w:val="bottom"/>
            <w:tcBorders>
              <w:bottom w:val="single" w:sz="8" w:color="4C4C4C"/>
            </w:tcBorders>
          </w:tcPr>
          <w:p>
            <w:pPr>
              <w:spacing w:after="0"/>
              <w:rPr>
                <w:sz w:val="19"/>
                <w:szCs w:val="19"/>
                <w:color w:val="auto"/>
              </w:rPr>
            </w:pPr>
          </w:p>
        </w:tc>
        <w:tc>
          <w:tcPr>
            <w:tcW w:w="240" w:type="dxa"/>
            <w:vAlign w:val="bottom"/>
            <w:tcBorders>
              <w:bottom w:val="single" w:sz="8" w:color="4C4C4C"/>
            </w:tcBorders>
          </w:tcPr>
          <w:p>
            <w:pPr>
              <w:spacing w:after="0"/>
              <w:rPr>
                <w:sz w:val="19"/>
                <w:szCs w:val="19"/>
                <w:color w:val="auto"/>
              </w:rPr>
            </w:pPr>
          </w:p>
        </w:tc>
        <w:tc>
          <w:tcPr>
            <w:tcW w:w="560" w:type="dxa"/>
            <w:vAlign w:val="bottom"/>
            <w:tcBorders>
              <w:bottom w:val="single" w:sz="8" w:color="4C4C4C"/>
            </w:tcBorders>
          </w:tcPr>
          <w:p>
            <w:pPr>
              <w:spacing w:after="0"/>
              <w:rPr>
                <w:sz w:val="19"/>
                <w:szCs w:val="19"/>
                <w:color w:val="auto"/>
              </w:rPr>
            </w:pPr>
          </w:p>
        </w:tc>
        <w:tc>
          <w:tcPr>
            <w:tcW w:w="1080" w:type="dxa"/>
            <w:vAlign w:val="bottom"/>
            <w:tcBorders>
              <w:bottom w:val="single" w:sz="8" w:color="4C4C4C"/>
            </w:tcBorders>
          </w:tcPr>
          <w:p>
            <w:pPr>
              <w:spacing w:after="0"/>
              <w:rPr>
                <w:sz w:val="19"/>
                <w:szCs w:val="19"/>
                <w:color w:val="auto"/>
              </w:rPr>
            </w:pP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1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38"/>
        </w:trPr>
        <w:tc>
          <w:tcPr>
            <w:tcW w:w="1740" w:type="dxa"/>
            <w:vAlign w:val="bottom"/>
            <w:tcBorders>
              <w:bottom w:val="single" w:sz="8" w:color="4C4C4C"/>
            </w:tcBorders>
          </w:tcPr>
          <w:p>
            <w:pPr>
              <w:spacing w:after="0"/>
              <w:rPr>
                <w:sz w:val="3"/>
                <w:szCs w:val="3"/>
                <w:color w:val="auto"/>
              </w:rPr>
            </w:pPr>
          </w:p>
        </w:tc>
        <w:tc>
          <w:tcPr>
            <w:tcW w:w="2040" w:type="dxa"/>
            <w:vAlign w:val="bottom"/>
            <w:tcBorders>
              <w:bottom w:val="single" w:sz="8" w:color="4C4C4C"/>
            </w:tcBorders>
          </w:tcPr>
          <w:p>
            <w:pPr>
              <w:spacing w:after="0"/>
              <w:rPr>
                <w:sz w:val="3"/>
                <w:szCs w:val="3"/>
                <w:color w:val="auto"/>
              </w:rPr>
            </w:pPr>
          </w:p>
        </w:tc>
        <w:tc>
          <w:tcPr>
            <w:tcW w:w="240" w:type="dxa"/>
            <w:vAlign w:val="bottom"/>
            <w:tcBorders>
              <w:bottom w:val="single" w:sz="8" w:color="4C4C4C"/>
            </w:tcBorders>
          </w:tcPr>
          <w:p>
            <w:pPr>
              <w:spacing w:after="0"/>
              <w:rPr>
                <w:sz w:val="3"/>
                <w:szCs w:val="3"/>
                <w:color w:val="auto"/>
              </w:rPr>
            </w:pPr>
          </w:p>
        </w:tc>
        <w:tc>
          <w:tcPr>
            <w:tcW w:w="560" w:type="dxa"/>
            <w:vAlign w:val="bottom"/>
            <w:tcBorders>
              <w:bottom w:val="single" w:sz="8" w:color="4C4C4C"/>
            </w:tcBorders>
          </w:tcPr>
          <w:p>
            <w:pPr>
              <w:spacing w:after="0"/>
              <w:rPr>
                <w:sz w:val="3"/>
                <w:szCs w:val="3"/>
                <w:color w:val="auto"/>
              </w:rPr>
            </w:pPr>
          </w:p>
        </w:tc>
        <w:tc>
          <w:tcPr>
            <w:tcW w:w="1080" w:type="dxa"/>
            <w:vAlign w:val="bottom"/>
            <w:tcBorders>
              <w:bottom w:val="single" w:sz="8" w:color="4C4C4C"/>
            </w:tcBorders>
          </w:tcPr>
          <w:p>
            <w:pPr>
              <w:spacing w:after="0"/>
              <w:rPr>
                <w:sz w:val="3"/>
                <w:szCs w:val="3"/>
                <w:color w:val="auto"/>
              </w:rPr>
            </w:pPr>
          </w:p>
        </w:tc>
        <w:tc>
          <w:tcPr>
            <w:tcW w:w="134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4C4C4C"/>
            </w:tcBorders>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Total Worldwide</w:t>
            </w:r>
          </w:p>
        </w:tc>
        <w:tc>
          <w:tcPr>
            <w:tcW w:w="2040" w:type="dxa"/>
            <w:vAlign w:val="bottom"/>
            <w:tcBorders>
              <w:bottom w:val="single" w:sz="8" w:color="4C4C4C"/>
            </w:tcBorders>
          </w:tcPr>
          <w:p>
            <w:pPr>
              <w:spacing w:after="0"/>
              <w:rPr>
                <w:sz w:val="19"/>
                <w:szCs w:val="19"/>
                <w:color w:val="auto"/>
              </w:rPr>
            </w:pPr>
          </w:p>
        </w:tc>
        <w:tc>
          <w:tcPr>
            <w:tcW w:w="240" w:type="dxa"/>
            <w:vAlign w:val="bottom"/>
            <w:tcBorders>
              <w:bottom w:val="single" w:sz="8" w:color="4C4C4C"/>
            </w:tcBorders>
          </w:tcPr>
          <w:p>
            <w:pPr>
              <w:spacing w:after="0"/>
              <w:rPr>
                <w:sz w:val="19"/>
                <w:szCs w:val="19"/>
                <w:color w:val="auto"/>
              </w:rPr>
            </w:pPr>
          </w:p>
        </w:tc>
        <w:tc>
          <w:tcPr>
            <w:tcW w:w="560" w:type="dxa"/>
            <w:vAlign w:val="bottom"/>
            <w:tcBorders>
              <w:bottom w:val="single" w:sz="8" w:color="4C4C4C"/>
            </w:tcBorders>
          </w:tcPr>
          <w:p>
            <w:pPr>
              <w:spacing w:after="0"/>
              <w:rPr>
                <w:sz w:val="19"/>
                <w:szCs w:val="19"/>
                <w:color w:val="auto"/>
              </w:rPr>
            </w:pPr>
          </w:p>
        </w:tc>
        <w:tc>
          <w:tcPr>
            <w:tcW w:w="1080" w:type="dxa"/>
            <w:vAlign w:val="bottom"/>
            <w:tcBorders>
              <w:bottom w:val="single" w:sz="8" w:color="4C4C4C"/>
            </w:tcBorders>
          </w:tcPr>
          <w:p>
            <w:pPr>
              <w:spacing w:after="0"/>
              <w:rPr>
                <w:sz w:val="19"/>
                <w:szCs w:val="19"/>
                <w:color w:val="auto"/>
              </w:rPr>
            </w:pPr>
          </w:p>
        </w:tc>
        <w:tc>
          <w:tcPr>
            <w:tcW w:w="1340" w:type="dxa"/>
            <w:vAlign w:val="bottom"/>
            <w:tcBorders>
              <w:bottom w:val="single" w:sz="8" w:color="4C4C4C"/>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4,463</w:t>
            </w:r>
          </w:p>
        </w:tc>
        <w:tc>
          <w:tcPr>
            <w:tcW w:w="1160" w:type="dxa"/>
            <w:vAlign w:val="bottom"/>
            <w:tcBorders>
              <w:bottom w:val="single" w:sz="8" w:color="4C4C4C"/>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11.9</w:t>
            </w:r>
          </w:p>
        </w:tc>
        <w:tc>
          <w:tcPr>
            <w:tcW w:w="1160" w:type="dxa"/>
            <w:vAlign w:val="bottom"/>
            <w:tcBorders>
              <w:bottom w:val="single" w:sz="8" w:color="4C4C4C"/>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11.2</w:t>
            </w:r>
          </w:p>
        </w:tc>
        <w:tc>
          <w:tcPr>
            <w:tcW w:w="1160" w:type="dxa"/>
            <w:vAlign w:val="bottom"/>
            <w:tcBorders>
              <w:bottom w:val="single" w:sz="8" w:color="4C4C4C"/>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3.3</w:t>
            </w:r>
          </w:p>
        </w:tc>
        <w:tc>
          <w:tcPr>
            <w:tcW w:w="0" w:type="dxa"/>
            <w:vAlign w:val="bottom"/>
          </w:tcPr>
          <w:p>
            <w:pPr>
              <w:spacing w:after="0"/>
              <w:rPr>
                <w:sz w:val="1"/>
                <w:szCs w:val="1"/>
                <w:color w:val="auto"/>
              </w:rPr>
            </w:pPr>
          </w:p>
        </w:tc>
      </w:tr>
      <w:tr>
        <w:trPr>
          <w:trHeight w:val="374"/>
        </w:trPr>
        <w:tc>
          <w:tcPr>
            <w:tcW w:w="1740" w:type="dxa"/>
            <w:vAlign w:val="bottom"/>
          </w:tcPr>
          <w:p>
            <w:pPr>
              <w:ind w:left="60"/>
              <w:spacing w:after="0"/>
              <w:rPr>
                <w:sz w:val="20"/>
                <w:szCs w:val="20"/>
                <w:color w:val="auto"/>
              </w:rPr>
            </w:pPr>
            <w:r>
              <w:rPr>
                <w:rFonts w:ascii="Times New Roman" w:cs="Times New Roman" w:eastAsia="Times New Roman" w:hAnsi="Times New Roman"/>
                <w:sz w:val="24"/>
                <w:szCs w:val="24"/>
                <w:b w:val="1"/>
                <w:bCs w:val="1"/>
                <w:color w:val="FB0815"/>
              </w:rPr>
              <w:t xml:space="preserve">■ </w:t>
            </w:r>
            <w:r>
              <w:rPr>
                <w:rFonts w:ascii="Times New Roman" w:cs="Times New Roman" w:eastAsia="Times New Roman" w:hAnsi="Times New Roman"/>
                <w:sz w:val="19"/>
                <w:szCs w:val="19"/>
                <w:color w:val="000000"/>
              </w:rPr>
              <w:t>Energy Products</w:t>
            </w:r>
          </w:p>
        </w:tc>
        <w:tc>
          <w:tcPr>
            <w:tcW w:w="20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095922"/>
              </w:rPr>
              <w:t xml:space="preserve">▲ </w:t>
            </w:r>
            <w:r>
              <w:rPr>
                <w:rFonts w:ascii="Times New Roman" w:cs="Times New Roman" w:eastAsia="Times New Roman" w:hAnsi="Times New Roman"/>
                <w:sz w:val="20"/>
                <w:szCs w:val="20"/>
                <w:color w:val="000000"/>
              </w:rPr>
              <w:t>Specialty Products</w:t>
            </w:r>
          </w:p>
        </w:tc>
        <w:tc>
          <w:tcPr>
            <w:tcW w:w="240" w:type="dxa"/>
            <w:vAlign w:val="bottom"/>
          </w:tcPr>
          <w:p>
            <w:pPr>
              <w:spacing w:after="0"/>
              <w:rPr>
                <w:sz w:val="24"/>
                <w:szCs w:val="24"/>
                <w:color w:val="auto"/>
              </w:rPr>
            </w:pPr>
          </w:p>
        </w:tc>
        <w:tc>
          <w:tcPr>
            <w:tcW w:w="2980" w:type="dxa"/>
            <w:vAlign w:val="bottom"/>
            <w:gridSpan w:val="3"/>
          </w:tcPr>
          <w:p>
            <w:pPr>
              <w:jc w:val="right"/>
              <w:ind w:right="1085"/>
              <w:spacing w:after="0"/>
              <w:rPr>
                <w:sz w:val="20"/>
                <w:szCs w:val="20"/>
                <w:color w:val="auto"/>
              </w:rPr>
            </w:pPr>
            <w:r>
              <w:rPr>
                <w:rFonts w:ascii="Times New Roman" w:cs="Times New Roman" w:eastAsia="Times New Roman" w:hAnsi="Times New Roman"/>
                <w:sz w:val="27"/>
                <w:szCs w:val="27"/>
                <w:b w:val="1"/>
                <w:bCs w:val="1"/>
                <w:color w:val="001A80"/>
              </w:rPr>
              <w:t xml:space="preserve">● </w:t>
            </w:r>
            <w:r>
              <w:rPr>
                <w:rFonts w:ascii="Times New Roman" w:cs="Times New Roman" w:eastAsia="Times New Roman" w:hAnsi="Times New Roman"/>
                <w:sz w:val="19"/>
                <w:szCs w:val="19"/>
                <w:color w:val="000000"/>
              </w:rPr>
              <w:t>Chemical Products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0" w:right="120" w:hanging="9"/>
        <w:spacing w:after="0" w:line="229" w:lineRule="auto"/>
        <w:tabs>
          <w:tab w:leader="none" w:pos="293" w:val="left"/>
        </w:tabs>
        <w:numPr>
          <w:ilvl w:val="0"/>
          <w:numId w:val="1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ExxonMobil share reflects 100 percent for operations of ExxonMobil and majority-owned subsidiaries. For companies owned 50 percent or less, ExxonMobil share is the greater of ExxonMobil’s interest or that portion of distillation capacity normally available to ExxonMobil.</w:t>
      </w:r>
    </w:p>
    <w:p>
      <w:pPr>
        <w:spacing w:after="0" w:line="25" w:lineRule="exact"/>
        <w:rPr>
          <w:rFonts w:ascii="Times New Roman" w:cs="Times New Roman" w:eastAsia="Times New Roman" w:hAnsi="Times New Roman"/>
          <w:sz w:val="20"/>
          <w:szCs w:val="20"/>
          <w:i w:val="1"/>
          <w:iCs w:val="1"/>
          <w:color w:val="auto"/>
          <w:vertAlign w:val="superscript"/>
        </w:rPr>
      </w:pPr>
    </w:p>
    <w:p>
      <w:pPr>
        <w:jc w:val="both"/>
        <w:ind w:left="120" w:right="100" w:hanging="9"/>
        <w:spacing w:after="0" w:line="252" w:lineRule="auto"/>
        <w:tabs>
          <w:tab w:leader="none" w:pos="297"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Refining capacity data is based on 100 percent of rated refinery process unit stream-day capacities to process inputs to atmospheric distillation units under normal operating conditions, less the impact of shutdowns for regular repair and maintenance activities, averaged over an extended period of time. The listing excludes refining capacity for a minor interest held through equity securities in the Laffan Refinery in Qatar for which results are reported in the Upstream segment.</w:t>
      </w:r>
    </w:p>
    <w:p>
      <w:pPr>
        <w:spacing w:after="0" w:line="4" w:lineRule="exact"/>
        <w:rPr>
          <w:rFonts w:ascii="Times New Roman" w:cs="Times New Roman" w:eastAsia="Times New Roman" w:hAnsi="Times New Roman"/>
          <w:sz w:val="19"/>
          <w:szCs w:val="19"/>
          <w:i w:val="1"/>
          <w:iCs w:val="1"/>
          <w:color w:val="auto"/>
          <w:vertAlign w:val="superscript"/>
        </w:rPr>
      </w:pPr>
    </w:p>
    <w:p>
      <w:pPr>
        <w:ind w:left="260" w:hanging="149"/>
        <w:spacing w:after="0"/>
        <w:tabs>
          <w:tab w:leader="none" w:pos="260"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ExxonMobil ownership in Gravenchon is split 82.9 percent and 100 percent between the refining and chemical operations, respectively.</w:t>
      </w:r>
    </w:p>
    <w:p>
      <w:pPr>
        <w:spacing w:after="0" w:line="47" w:lineRule="exact"/>
        <w:rPr>
          <w:rFonts w:ascii="Times New Roman" w:cs="Times New Roman" w:eastAsia="Times New Roman" w:hAnsi="Times New Roman"/>
          <w:sz w:val="19"/>
          <w:szCs w:val="19"/>
          <w:i w:val="1"/>
          <w:iCs w:val="1"/>
          <w:color w:val="auto"/>
          <w:vertAlign w:val="superscript"/>
        </w:rPr>
      </w:pPr>
    </w:p>
    <w:p>
      <w:pPr>
        <w:ind w:left="260" w:hanging="149"/>
        <w:spacing w:after="0" w:line="206" w:lineRule="auto"/>
        <w:tabs>
          <w:tab w:leader="none" w:pos="260"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The Corporation announced a sales agreement relating to ExxonMobil's ownership interest in this asset and expects the transaction to close in 2024.</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Due to rounding, numbers presented above may not add up precisely to the totals indicated.</w:t>
      </w: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600"/>
          </w:cols>
          <w:pgMar w:left="640" w:top="724" w:right="64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4C4C4C"/>
        </w:rPr>
        <w:t>Information with regard to retail fuel sites:</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 xml:space="preserve">Within the Energy Products segment, retail fuels sites sell products and services throughout the world through our </w:t>
      </w:r>
      <w:r>
        <w:rPr>
          <w:rFonts w:ascii="Times New Roman" w:cs="Times New Roman" w:eastAsia="Times New Roman" w:hAnsi="Times New Roman"/>
          <w:sz w:val="20"/>
          <w:szCs w:val="20"/>
          <w:i w:val="1"/>
          <w:iCs w:val="1"/>
          <w:color w:val="auto"/>
        </w:rPr>
        <w:t>Exxon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Esso,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 xml:space="preserve">Mobil </w:t>
      </w:r>
      <w:r>
        <w:rPr>
          <w:rFonts w:ascii="Times New Roman" w:cs="Times New Roman" w:eastAsia="Times New Roman" w:hAnsi="Times New Roman"/>
          <w:sz w:val="20"/>
          <w:szCs w:val="20"/>
          <w:color w:val="auto"/>
        </w:rPr>
        <w:t>brands.</w:t>
      </w:r>
    </w:p>
    <w:p>
      <w:pPr>
        <w:spacing w:after="0" w:line="1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4C4C4C"/>
        </w:rPr>
        <w:t>Number of Retail Fuel Sites At Year-End 2023</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94"/>
        </w:trPr>
        <w:tc>
          <w:tcPr>
            <w:tcW w:w="2900" w:type="dxa"/>
            <w:vAlign w:val="bottom"/>
            <w:shd w:val="clear" w:color="auto" w:fill="4C4C4C"/>
          </w:tcPr>
          <w:p>
            <w:pPr>
              <w:spacing w:after="0"/>
              <w:rPr>
                <w:sz w:val="24"/>
                <w:szCs w:val="24"/>
                <w:color w:val="auto"/>
              </w:rPr>
            </w:pPr>
          </w:p>
        </w:tc>
        <w:tc>
          <w:tcPr>
            <w:tcW w:w="2900" w:type="dxa"/>
            <w:vAlign w:val="bottom"/>
            <w:shd w:val="clear" w:color="auto" w:fill="4C4C4C"/>
          </w:tcPr>
          <w:p>
            <w:pPr>
              <w:jc w:val="right"/>
              <w:ind w:right="282"/>
              <w:spacing w:after="0"/>
              <w:rPr>
                <w:sz w:val="20"/>
                <w:szCs w:val="20"/>
                <w:color w:val="auto"/>
              </w:rPr>
            </w:pPr>
            <w:r>
              <w:rPr>
                <w:rFonts w:ascii="Times New Roman" w:cs="Times New Roman" w:eastAsia="Times New Roman" w:hAnsi="Times New Roman"/>
                <w:sz w:val="20"/>
                <w:szCs w:val="20"/>
                <w:b w:val="1"/>
                <w:bCs w:val="1"/>
                <w:color w:val="FFFFFF"/>
              </w:rPr>
              <w:t>Owned/leased</w:t>
            </w:r>
          </w:p>
        </w:tc>
        <w:tc>
          <w:tcPr>
            <w:tcW w:w="3140" w:type="dxa"/>
            <w:vAlign w:val="bottom"/>
            <w:shd w:val="clear" w:color="auto" w:fill="4C4C4C"/>
          </w:tcPr>
          <w:p>
            <w:pPr>
              <w:jc w:val="right"/>
              <w:ind w:right="882"/>
              <w:spacing w:after="0"/>
              <w:rPr>
                <w:sz w:val="20"/>
                <w:szCs w:val="20"/>
                <w:color w:val="auto"/>
              </w:rPr>
            </w:pPr>
            <w:r>
              <w:rPr>
                <w:rFonts w:ascii="Times New Roman" w:cs="Times New Roman" w:eastAsia="Times New Roman" w:hAnsi="Times New Roman"/>
                <w:sz w:val="20"/>
                <w:szCs w:val="20"/>
                <w:b w:val="1"/>
                <w:bCs w:val="1"/>
                <w:color w:val="FFFFFF"/>
              </w:rPr>
              <w:t>Distributors/resellers</w:t>
            </w:r>
          </w:p>
        </w:tc>
        <w:tc>
          <w:tcPr>
            <w:tcW w:w="160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20"/>
                <w:szCs w:val="20"/>
                <w:b w:val="1"/>
                <w:bCs w:val="1"/>
                <w:color w:val="FFFFFF"/>
              </w:rPr>
              <w:t>Total</w:t>
            </w:r>
          </w:p>
        </w:tc>
      </w:tr>
      <w:tr>
        <w:trPr>
          <w:trHeight w:val="324"/>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290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3140" w:type="dxa"/>
            <w:vAlign w:val="bottom"/>
          </w:tcPr>
          <w:p>
            <w:pPr>
              <w:jc w:val="right"/>
              <w:ind w:right="922"/>
              <w:spacing w:after="0"/>
              <w:rPr>
                <w:sz w:val="20"/>
                <w:szCs w:val="20"/>
                <w:color w:val="auto"/>
              </w:rPr>
            </w:pPr>
            <w:r>
              <w:rPr>
                <w:rFonts w:ascii="Times New Roman" w:cs="Times New Roman" w:eastAsia="Times New Roman" w:hAnsi="Times New Roman"/>
                <w:sz w:val="20"/>
                <w:szCs w:val="20"/>
                <w:color w:val="auto"/>
              </w:rPr>
              <w:t>10,722</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10,722</w:t>
            </w:r>
          </w:p>
        </w:tc>
      </w:tr>
      <w:tr>
        <w:trPr>
          <w:trHeight w:val="294"/>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290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3140" w:type="dxa"/>
            <w:vAlign w:val="bottom"/>
          </w:tcPr>
          <w:p>
            <w:pPr>
              <w:jc w:val="right"/>
              <w:ind w:right="922"/>
              <w:spacing w:after="0"/>
              <w:rPr>
                <w:sz w:val="20"/>
                <w:szCs w:val="20"/>
                <w:color w:val="auto"/>
              </w:rPr>
            </w:pPr>
            <w:r>
              <w:rPr>
                <w:rFonts w:ascii="Times New Roman" w:cs="Times New Roman" w:eastAsia="Times New Roman" w:hAnsi="Times New Roman"/>
                <w:sz w:val="20"/>
                <w:szCs w:val="20"/>
                <w:color w:val="auto"/>
              </w:rPr>
              <w:t>2,477</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w:t>
            </w:r>
          </w:p>
        </w:tc>
      </w:tr>
      <w:tr>
        <w:trPr>
          <w:trHeight w:val="294"/>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Europe</w:t>
            </w:r>
          </w:p>
        </w:tc>
        <w:tc>
          <w:tcPr>
            <w:tcW w:w="290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169</w:t>
            </w:r>
          </w:p>
        </w:tc>
        <w:tc>
          <w:tcPr>
            <w:tcW w:w="3140" w:type="dxa"/>
            <w:vAlign w:val="bottom"/>
          </w:tcPr>
          <w:p>
            <w:pPr>
              <w:jc w:val="right"/>
              <w:ind w:right="922"/>
              <w:spacing w:after="0"/>
              <w:rPr>
                <w:sz w:val="20"/>
                <w:szCs w:val="20"/>
                <w:color w:val="auto"/>
              </w:rPr>
            </w:pPr>
            <w:r>
              <w:rPr>
                <w:rFonts w:ascii="Times New Roman" w:cs="Times New Roman" w:eastAsia="Times New Roman" w:hAnsi="Times New Roman"/>
                <w:sz w:val="20"/>
                <w:szCs w:val="20"/>
                <w:color w:val="auto"/>
              </w:rPr>
              <w:t>3,573</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w:t>
            </w:r>
          </w:p>
        </w:tc>
      </w:tr>
      <w:tr>
        <w:trPr>
          <w:trHeight w:val="294"/>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Asia Pacific</w:t>
            </w:r>
          </w:p>
        </w:tc>
        <w:tc>
          <w:tcPr>
            <w:tcW w:w="290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284</w:t>
            </w:r>
          </w:p>
        </w:tc>
        <w:tc>
          <w:tcPr>
            <w:tcW w:w="3140" w:type="dxa"/>
            <w:vAlign w:val="bottom"/>
          </w:tcPr>
          <w:p>
            <w:pPr>
              <w:jc w:val="right"/>
              <w:ind w:right="922"/>
              <w:spacing w:after="0"/>
              <w:rPr>
                <w:sz w:val="20"/>
                <w:szCs w:val="20"/>
                <w:color w:val="auto"/>
              </w:rPr>
            </w:pPr>
            <w:r>
              <w:rPr>
                <w:rFonts w:ascii="Times New Roman" w:cs="Times New Roman" w:eastAsia="Times New Roman" w:hAnsi="Times New Roman"/>
                <w:sz w:val="20"/>
                <w:szCs w:val="20"/>
                <w:color w:val="auto"/>
              </w:rPr>
              <w:t>931</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w:t>
            </w:r>
          </w:p>
        </w:tc>
      </w:tr>
      <w:tr>
        <w:trPr>
          <w:trHeight w:val="294"/>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Latin America</w:t>
            </w:r>
          </w:p>
        </w:tc>
        <w:tc>
          <w:tcPr>
            <w:tcW w:w="290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3140" w:type="dxa"/>
            <w:vAlign w:val="bottom"/>
          </w:tcPr>
          <w:p>
            <w:pPr>
              <w:jc w:val="right"/>
              <w:ind w:right="922"/>
              <w:spacing w:after="0"/>
              <w:rPr>
                <w:sz w:val="20"/>
                <w:szCs w:val="20"/>
                <w:color w:val="auto"/>
              </w:rPr>
            </w:pPr>
            <w:r>
              <w:rPr>
                <w:rFonts w:ascii="Times New Roman" w:cs="Times New Roman" w:eastAsia="Times New Roman" w:hAnsi="Times New Roman"/>
                <w:sz w:val="20"/>
                <w:szCs w:val="20"/>
                <w:color w:val="auto"/>
              </w:rPr>
              <w:t>523</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r>
      <w:tr>
        <w:trPr>
          <w:trHeight w:val="294"/>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Middle East/Africa</w:t>
            </w:r>
          </w:p>
        </w:tc>
        <w:tc>
          <w:tcPr>
            <w:tcW w:w="290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169</w:t>
            </w:r>
          </w:p>
        </w:tc>
        <w:tc>
          <w:tcPr>
            <w:tcW w:w="3140" w:type="dxa"/>
            <w:vAlign w:val="bottom"/>
          </w:tcPr>
          <w:p>
            <w:pPr>
              <w:jc w:val="right"/>
              <w:ind w:right="922"/>
              <w:spacing w:after="0"/>
              <w:rPr>
                <w:sz w:val="20"/>
                <w:szCs w:val="20"/>
                <w:color w:val="auto"/>
              </w:rPr>
            </w:pPr>
            <w:r>
              <w:rPr>
                <w:rFonts w:ascii="Times New Roman" w:cs="Times New Roman" w:eastAsia="Times New Roman" w:hAnsi="Times New Roman"/>
                <w:sz w:val="20"/>
                <w:szCs w:val="20"/>
                <w:color w:val="auto"/>
              </w:rPr>
              <w:t>255</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r>
      <w:tr>
        <w:trPr>
          <w:trHeight w:val="24"/>
        </w:trPr>
        <w:tc>
          <w:tcPr>
            <w:tcW w:w="2900" w:type="dxa"/>
            <w:vAlign w:val="bottom"/>
            <w:tcBorders>
              <w:bottom w:val="single" w:sz="8" w:color="4C4C4C"/>
            </w:tcBorders>
          </w:tcPr>
          <w:p>
            <w:pPr>
              <w:spacing w:after="0"/>
              <w:rPr>
                <w:sz w:val="2"/>
                <w:szCs w:val="2"/>
                <w:color w:val="auto"/>
              </w:rPr>
            </w:pPr>
          </w:p>
        </w:tc>
        <w:tc>
          <w:tcPr>
            <w:tcW w:w="2900" w:type="dxa"/>
            <w:vAlign w:val="bottom"/>
            <w:tcBorders>
              <w:bottom w:val="single" w:sz="8" w:color="4C4C4C"/>
            </w:tcBorders>
          </w:tcPr>
          <w:p>
            <w:pPr>
              <w:spacing w:after="0"/>
              <w:rPr>
                <w:sz w:val="2"/>
                <w:szCs w:val="2"/>
                <w:color w:val="auto"/>
              </w:rPr>
            </w:pPr>
          </w:p>
        </w:tc>
        <w:tc>
          <w:tcPr>
            <w:tcW w:w="3140" w:type="dxa"/>
            <w:vAlign w:val="bottom"/>
            <w:tcBorders>
              <w:bottom w:val="single" w:sz="8" w:color="4C4C4C"/>
            </w:tcBorders>
          </w:tcPr>
          <w:p>
            <w:pPr>
              <w:spacing w:after="0"/>
              <w:rPr>
                <w:sz w:val="2"/>
                <w:szCs w:val="2"/>
                <w:color w:val="auto"/>
              </w:rPr>
            </w:pPr>
          </w:p>
        </w:tc>
        <w:tc>
          <w:tcPr>
            <w:tcW w:w="1600" w:type="dxa"/>
            <w:vAlign w:val="bottom"/>
            <w:tcBorders>
              <w:bottom w:val="single" w:sz="8" w:color="4C4C4C"/>
            </w:tcBorders>
          </w:tcPr>
          <w:p>
            <w:pPr>
              <w:spacing w:after="0"/>
              <w:rPr>
                <w:sz w:val="2"/>
                <w:szCs w:val="2"/>
                <w:color w:val="auto"/>
              </w:rPr>
            </w:pPr>
          </w:p>
        </w:tc>
      </w:tr>
      <w:tr>
        <w:trPr>
          <w:trHeight w:val="274"/>
        </w:trPr>
        <w:tc>
          <w:tcPr>
            <w:tcW w:w="2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2900" w:type="dxa"/>
            <w:vAlign w:val="bottom"/>
            <w:tcBorders>
              <w:bottom w:val="single" w:sz="8" w:color="4C4C4C"/>
            </w:tcBorders>
          </w:tcPr>
          <w:p>
            <w:pPr>
              <w:jc w:val="right"/>
              <w:ind w:right="322"/>
              <w:spacing w:after="0"/>
              <w:rPr>
                <w:sz w:val="20"/>
                <w:szCs w:val="20"/>
                <w:color w:val="auto"/>
              </w:rPr>
            </w:pPr>
            <w:r>
              <w:rPr>
                <w:rFonts w:ascii="Times New Roman" w:cs="Times New Roman" w:eastAsia="Times New Roman" w:hAnsi="Times New Roman"/>
                <w:sz w:val="20"/>
                <w:szCs w:val="20"/>
                <w:b w:val="1"/>
                <w:bCs w:val="1"/>
                <w:color w:val="auto"/>
              </w:rPr>
              <w:t>622</w:t>
            </w:r>
          </w:p>
        </w:tc>
        <w:tc>
          <w:tcPr>
            <w:tcW w:w="3140" w:type="dxa"/>
            <w:vAlign w:val="bottom"/>
            <w:tcBorders>
              <w:bottom w:val="single" w:sz="8" w:color="4C4C4C"/>
            </w:tcBorders>
          </w:tcPr>
          <w:p>
            <w:pPr>
              <w:jc w:val="right"/>
              <w:ind w:right="922"/>
              <w:spacing w:after="0"/>
              <w:rPr>
                <w:sz w:val="20"/>
                <w:szCs w:val="20"/>
                <w:color w:val="auto"/>
              </w:rPr>
            </w:pPr>
            <w:r>
              <w:rPr>
                <w:rFonts w:ascii="Times New Roman" w:cs="Times New Roman" w:eastAsia="Times New Roman" w:hAnsi="Times New Roman"/>
                <w:sz w:val="20"/>
                <w:szCs w:val="20"/>
                <w:b w:val="1"/>
                <w:bCs w:val="1"/>
                <w:color w:val="auto"/>
              </w:rPr>
              <w:t>18,481</w:t>
            </w:r>
          </w:p>
        </w:tc>
        <w:tc>
          <w:tcPr>
            <w:tcW w:w="1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19,103</w:t>
            </w:r>
          </w:p>
        </w:tc>
      </w:tr>
    </w:tbl>
    <w:p>
      <w:pPr>
        <w:spacing w:after="0" w:line="200" w:lineRule="exact"/>
        <w:rPr>
          <w:sz w:val="20"/>
          <w:szCs w:val="20"/>
          <w:color w:val="auto"/>
        </w:rPr>
      </w:pPr>
    </w:p>
    <w:p>
      <w:pPr>
        <w:sectPr>
          <w:pgSz w:w="11880" w:h="15480" w:orient="portrait"/>
          <w:cols w:equalWidth="0" w:num="1">
            <w:col w:w="10580"/>
          </w:cols>
          <w:pgMar w:left="640" w:top="72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580"/>
          </w:cols>
          <w:pgMar w:left="640" w:top="724" w:right="660" w:bottom="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24"/>
          <w:szCs w:val="24"/>
          <w:b w:val="1"/>
          <w:bCs w:val="1"/>
          <w:color w:val="4C4C4C"/>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18415</wp:posOffset>
            </wp:positionV>
            <wp:extent cx="3500120"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0">
                      <a:extLst>
                        <a:ext uri="{28A0092B-C50C-407E-A947-70E740481C1C}"/>
                      </a:extLst>
                    </a:blip>
                    <a:srcRect/>
                    <a:stretch>
                      <a:fillRect/>
                    </a:stretch>
                  </pic:blipFill>
                  <pic:spPr bwMode="auto">
                    <a:xfrm>
                      <a:off x="0" y="0"/>
                      <a:ext cx="3500120" cy="184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ExxonMobil has elected to use a $1 million threshold for disclosing environmental proceedings.</w:t>
      </w:r>
    </w:p>
    <w:p>
      <w:pPr>
        <w:spacing w:after="0" w:line="3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reported in the Corporation’s Form 10-Q for the third quarter of 2023, the State of Texas filed suit against ExxonMobil Oil Corporation (EMOC) on August 19, 2020, seeking penalties and injunctive relief in connection with alleged unauthorized emissions events at EMOC’s Beaumont Refinery in Texas from 2017 to 2020. The suit, captioned State of Texas v. ExxonMobil Oil Corporation, was filed in the 98th Judicial District Court of Travis County, Texas (the “98th Judicial District Court”). In September 2023, the State of Texas and EMOC agreed to settle the alleged violations upon payment of $1.6 million to the State of Texas (the “Settlement”) pending approval by the 98th Judicial District Court. In November 2023, the 98th Judicial District Court approved the Settlement, and EMOC paid the amounts required under the Settlement in December 2023.</w:t>
      </w:r>
    </w:p>
    <w:p>
      <w:pPr>
        <w:spacing w:after="0" w:line="1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color w:val="auto"/>
        </w:rPr>
        <w:t>Refer to the relevant portions of “Note 16: Litigation and Other Contingencies” of the Financial Section of this report for additional information on legal proceedings.</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1">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2525395</wp:posOffset>
                </wp:positionH>
                <wp:positionV relativeFrom="paragraph">
                  <wp:posOffset>427355</wp:posOffset>
                </wp:positionV>
                <wp:extent cx="180467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4670"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85pt,33.65pt" to="340.95pt,33.65pt" o:allowincell="f" strokecolor="#000000" strokeweight="0.49pt"/>
            </w:pict>
          </mc:Fallback>
        </mc:AlternateContent>
      </w:r>
    </w:p>
    <w:p>
      <w:pPr>
        <w:sectPr>
          <w:pgSz w:w="11880" w:h="15480" w:orient="portrait"/>
          <w:cols w:equalWidth="0" w:num="1">
            <w:col w:w="10600"/>
          </w:cols>
          <w:pgMar w:left="640" w:top="78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600"/>
          </w:cols>
          <w:pgMar w:left="640" w:top="781" w:right="640" w:bottom="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Information about our Executive Officers </w:t>
      </w:r>
      <w:r>
        <w:rPr>
          <w:rFonts w:ascii="Times New Roman" w:cs="Times New Roman" w:eastAsia="Times New Roman" w:hAnsi="Times New Roman"/>
          <w:sz w:val="20"/>
          <w:szCs w:val="20"/>
          <w:color w:val="auto"/>
        </w:rPr>
        <w:t>(positions and ages as of February 28, 2024)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88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Name</w:t>
            </w:r>
          </w:p>
        </w:tc>
        <w:tc>
          <w:tcPr>
            <w:tcW w:w="4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5"/>
              </w:rPr>
              <w:t>Age</w:t>
            </w:r>
          </w:p>
        </w:tc>
        <w:tc>
          <w:tcPr>
            <w:tcW w:w="824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Current and Prior Positions (up to five years)</w:t>
            </w:r>
          </w:p>
        </w:tc>
      </w:tr>
      <w:tr>
        <w:trPr>
          <w:trHeight w:val="246"/>
        </w:trPr>
        <w:tc>
          <w:tcPr>
            <w:tcW w:w="18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Darren W. Woods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Chairman of the Board and Chief Executive Officer </w:t>
            </w:r>
            <w:r>
              <w:rPr>
                <w:rFonts w:ascii="Times New Roman" w:cs="Times New Roman" w:eastAsia="Times New Roman" w:hAnsi="Times New Roman"/>
                <w:sz w:val="20"/>
                <w:szCs w:val="20"/>
                <w:color w:val="000000"/>
              </w:rPr>
              <w:t>(since January 1, 2017)</w:t>
            </w:r>
          </w:p>
        </w:tc>
      </w:tr>
      <w:tr>
        <w:trPr>
          <w:trHeight w:val="261"/>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Director and President </w:t>
            </w:r>
            <w:r>
              <w:rPr>
                <w:rFonts w:ascii="Times New Roman" w:cs="Times New Roman" w:eastAsia="Times New Roman" w:hAnsi="Times New Roman"/>
                <w:sz w:val="20"/>
                <w:szCs w:val="20"/>
                <w:color w:val="000000"/>
              </w:rPr>
              <w:t>(since January 1, 2016)</w:t>
            </w:r>
          </w:p>
        </w:tc>
      </w:tr>
      <w:tr>
        <w:trPr>
          <w:trHeight w:val="62"/>
        </w:trPr>
        <w:tc>
          <w:tcPr>
            <w:tcW w:w="1880" w:type="dxa"/>
            <w:vAlign w:val="bottom"/>
            <w:tcBorders>
              <w:bottom w:val="single" w:sz="8" w:color="4C4C4C"/>
            </w:tcBorders>
          </w:tcPr>
          <w:p>
            <w:pPr>
              <w:spacing w:after="0"/>
              <w:rPr>
                <w:sz w:val="5"/>
                <w:szCs w:val="5"/>
                <w:color w:val="auto"/>
              </w:rPr>
            </w:pPr>
          </w:p>
        </w:tc>
        <w:tc>
          <w:tcPr>
            <w:tcW w:w="480" w:type="dxa"/>
            <w:vAlign w:val="bottom"/>
            <w:tcBorders>
              <w:bottom w:val="single" w:sz="8" w:color="4C4C4C"/>
            </w:tcBorders>
          </w:tcPr>
          <w:p>
            <w:pPr>
              <w:spacing w:after="0"/>
              <w:rPr>
                <w:sz w:val="5"/>
                <w:szCs w:val="5"/>
                <w:color w:val="auto"/>
              </w:rPr>
            </w:pPr>
          </w:p>
        </w:tc>
        <w:tc>
          <w:tcPr>
            <w:tcW w:w="8240" w:type="dxa"/>
            <w:vAlign w:val="bottom"/>
            <w:tcBorders>
              <w:bottom w:val="single" w:sz="8" w:color="4C4C4C"/>
            </w:tcBorders>
          </w:tcPr>
          <w:p>
            <w:pPr>
              <w:spacing w:after="0"/>
              <w:rPr>
                <w:sz w:val="5"/>
                <w:szCs w:val="5"/>
                <w:color w:val="auto"/>
              </w:rPr>
            </w:pPr>
          </w:p>
        </w:tc>
      </w:tr>
      <w:tr>
        <w:trPr>
          <w:trHeight w:val="250"/>
        </w:trPr>
        <w:tc>
          <w:tcPr>
            <w:tcW w:w="18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Neil A. Chapman</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Senior Vice President </w:t>
            </w:r>
            <w:r>
              <w:rPr>
                <w:rFonts w:ascii="Times New Roman" w:cs="Times New Roman" w:eastAsia="Times New Roman" w:hAnsi="Times New Roman"/>
                <w:sz w:val="20"/>
                <w:szCs w:val="20"/>
                <w:color w:val="000000"/>
              </w:rPr>
              <w:t>(since January 1, 2018)</w:t>
            </w:r>
          </w:p>
        </w:tc>
      </w:tr>
      <w:tr>
        <w:trPr>
          <w:trHeight w:val="82"/>
        </w:trPr>
        <w:tc>
          <w:tcPr>
            <w:tcW w:w="1880" w:type="dxa"/>
            <w:vAlign w:val="bottom"/>
            <w:tcBorders>
              <w:bottom w:val="single" w:sz="8" w:color="4C4C4C"/>
            </w:tcBorders>
          </w:tcPr>
          <w:p>
            <w:pPr>
              <w:spacing w:after="0"/>
              <w:rPr>
                <w:sz w:val="7"/>
                <w:szCs w:val="7"/>
                <w:color w:val="auto"/>
              </w:rPr>
            </w:pPr>
          </w:p>
        </w:tc>
        <w:tc>
          <w:tcPr>
            <w:tcW w:w="480" w:type="dxa"/>
            <w:vAlign w:val="bottom"/>
            <w:tcBorders>
              <w:bottom w:val="single" w:sz="8" w:color="4C4C4C"/>
            </w:tcBorders>
          </w:tcPr>
          <w:p>
            <w:pPr>
              <w:spacing w:after="0"/>
              <w:rPr>
                <w:sz w:val="7"/>
                <w:szCs w:val="7"/>
                <w:color w:val="auto"/>
              </w:rPr>
            </w:pPr>
          </w:p>
        </w:tc>
        <w:tc>
          <w:tcPr>
            <w:tcW w:w="8240" w:type="dxa"/>
            <w:vAlign w:val="bottom"/>
            <w:tcBorders>
              <w:bottom w:val="single" w:sz="8" w:color="4C4C4C"/>
            </w:tcBorders>
          </w:tcPr>
          <w:p>
            <w:pPr>
              <w:spacing w:after="0"/>
              <w:rPr>
                <w:sz w:val="7"/>
                <w:szCs w:val="7"/>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Kathryn A. Mikells</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58</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Senior Vice President and Chief Financial Officer </w:t>
            </w:r>
            <w:r>
              <w:rPr>
                <w:rFonts w:ascii="Times New Roman" w:cs="Times New Roman" w:eastAsia="Times New Roman" w:hAnsi="Times New Roman"/>
                <w:sz w:val="19"/>
                <w:szCs w:val="19"/>
                <w:color w:val="000000"/>
              </w:rPr>
              <w:t>(since August 9, 2021)</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Chief Financial Officer and a member of the board of directors for Diageo plc</w:t>
            </w:r>
          </w:p>
        </w:tc>
      </w:tr>
      <w:tr>
        <w:trPr>
          <w:trHeight w:val="257"/>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(November 2015 - June 2021)</w:t>
            </w:r>
          </w:p>
        </w:tc>
      </w:tr>
      <w:tr>
        <w:trPr>
          <w:trHeight w:val="61"/>
        </w:trPr>
        <w:tc>
          <w:tcPr>
            <w:tcW w:w="1880" w:type="dxa"/>
            <w:vAlign w:val="bottom"/>
            <w:tcBorders>
              <w:bottom w:val="single" w:sz="8" w:color="4C4C4C"/>
            </w:tcBorders>
          </w:tcPr>
          <w:p>
            <w:pPr>
              <w:spacing w:after="0"/>
              <w:rPr>
                <w:sz w:val="5"/>
                <w:szCs w:val="5"/>
                <w:color w:val="auto"/>
              </w:rPr>
            </w:pPr>
          </w:p>
        </w:tc>
        <w:tc>
          <w:tcPr>
            <w:tcW w:w="480" w:type="dxa"/>
            <w:vAlign w:val="bottom"/>
            <w:tcBorders>
              <w:bottom w:val="single" w:sz="8" w:color="4C4C4C"/>
            </w:tcBorders>
          </w:tcPr>
          <w:p>
            <w:pPr>
              <w:spacing w:after="0"/>
              <w:rPr>
                <w:sz w:val="5"/>
                <w:szCs w:val="5"/>
                <w:color w:val="auto"/>
              </w:rPr>
            </w:pPr>
          </w:p>
        </w:tc>
        <w:tc>
          <w:tcPr>
            <w:tcW w:w="8240" w:type="dxa"/>
            <w:vAlign w:val="bottom"/>
            <w:tcBorders>
              <w:bottom w:val="single" w:sz="8" w:color="4C4C4C"/>
            </w:tcBorders>
          </w:tcPr>
          <w:p>
            <w:pPr>
              <w:spacing w:after="0"/>
              <w:rPr>
                <w:sz w:val="5"/>
                <w:szCs w:val="5"/>
                <w:color w:val="auto"/>
              </w:rPr>
            </w:pPr>
          </w:p>
        </w:tc>
      </w:tr>
      <w:tr>
        <w:trPr>
          <w:trHeight w:val="250"/>
        </w:trPr>
        <w:tc>
          <w:tcPr>
            <w:tcW w:w="18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Jack P. Williams, Jr.</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w:t>
            </w: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Senior Vice President </w:t>
            </w:r>
            <w:r>
              <w:rPr>
                <w:rFonts w:ascii="Times New Roman" w:cs="Times New Roman" w:eastAsia="Times New Roman" w:hAnsi="Times New Roman"/>
                <w:sz w:val="20"/>
                <w:szCs w:val="20"/>
                <w:color w:val="000000"/>
              </w:rPr>
              <w:t>(since June 1, 2014)</w:t>
            </w:r>
          </w:p>
        </w:tc>
      </w:tr>
      <w:tr>
        <w:trPr>
          <w:trHeight w:val="82"/>
        </w:trPr>
        <w:tc>
          <w:tcPr>
            <w:tcW w:w="1880" w:type="dxa"/>
            <w:vAlign w:val="bottom"/>
            <w:tcBorders>
              <w:bottom w:val="single" w:sz="8" w:color="4C4C4C"/>
            </w:tcBorders>
          </w:tcPr>
          <w:p>
            <w:pPr>
              <w:spacing w:after="0"/>
              <w:rPr>
                <w:sz w:val="7"/>
                <w:szCs w:val="7"/>
                <w:color w:val="auto"/>
              </w:rPr>
            </w:pPr>
          </w:p>
        </w:tc>
        <w:tc>
          <w:tcPr>
            <w:tcW w:w="480" w:type="dxa"/>
            <w:vAlign w:val="bottom"/>
            <w:tcBorders>
              <w:bottom w:val="single" w:sz="8" w:color="4C4C4C"/>
            </w:tcBorders>
          </w:tcPr>
          <w:p>
            <w:pPr>
              <w:spacing w:after="0"/>
              <w:rPr>
                <w:sz w:val="7"/>
                <w:szCs w:val="7"/>
                <w:color w:val="auto"/>
              </w:rPr>
            </w:pPr>
          </w:p>
        </w:tc>
        <w:tc>
          <w:tcPr>
            <w:tcW w:w="8240" w:type="dxa"/>
            <w:vAlign w:val="bottom"/>
            <w:tcBorders>
              <w:bottom w:val="single" w:sz="8" w:color="4C4C4C"/>
            </w:tcBorders>
          </w:tcPr>
          <w:p>
            <w:pPr>
              <w:spacing w:after="0"/>
              <w:rPr>
                <w:sz w:val="7"/>
                <w:szCs w:val="7"/>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James R. Chapman</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54</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Vice President, Tax and Treasurer </w:t>
            </w:r>
            <w:r>
              <w:rPr>
                <w:rFonts w:ascii="Times New Roman" w:cs="Times New Roman" w:eastAsia="Times New Roman" w:hAnsi="Times New Roman"/>
                <w:sz w:val="19"/>
                <w:szCs w:val="19"/>
                <w:color w:val="4C4C4C"/>
              </w:rPr>
              <w:t>(</w:t>
            </w:r>
            <w:r>
              <w:rPr>
                <w:rFonts w:ascii="Times New Roman" w:cs="Times New Roman" w:eastAsia="Times New Roman" w:hAnsi="Times New Roman"/>
                <w:sz w:val="19"/>
                <w:szCs w:val="19"/>
                <w:color w:val="000000"/>
              </w:rPr>
              <w:t>since November 28, 2022)</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Dominion Energy, Inc. (prior to November 28, 2022):</w:t>
            </w:r>
          </w:p>
        </w:tc>
      </w:tr>
      <w:tr>
        <w:trPr>
          <w:trHeight w:val="257"/>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Chief Financial Officer and Treasurer (January 2019 - November 2022)</w:t>
            </w:r>
          </w:p>
        </w:tc>
      </w:tr>
      <w:tr>
        <w:trPr>
          <w:trHeight w:val="105"/>
        </w:trPr>
        <w:tc>
          <w:tcPr>
            <w:tcW w:w="1880" w:type="dxa"/>
            <w:vAlign w:val="bottom"/>
            <w:tcBorders>
              <w:bottom w:val="single" w:sz="8" w:color="4C4C4C"/>
            </w:tcBorders>
          </w:tcPr>
          <w:p>
            <w:pPr>
              <w:spacing w:after="0"/>
              <w:rPr>
                <w:sz w:val="9"/>
                <w:szCs w:val="9"/>
                <w:color w:val="auto"/>
              </w:rPr>
            </w:pPr>
          </w:p>
        </w:tc>
        <w:tc>
          <w:tcPr>
            <w:tcW w:w="480" w:type="dxa"/>
            <w:vAlign w:val="bottom"/>
            <w:tcBorders>
              <w:bottom w:val="single" w:sz="8" w:color="4C4C4C"/>
            </w:tcBorders>
          </w:tcPr>
          <w:p>
            <w:pPr>
              <w:spacing w:after="0"/>
              <w:rPr>
                <w:sz w:val="9"/>
                <w:szCs w:val="9"/>
                <w:color w:val="auto"/>
              </w:rPr>
            </w:pPr>
          </w:p>
        </w:tc>
        <w:tc>
          <w:tcPr>
            <w:tcW w:w="8240" w:type="dxa"/>
            <w:vAlign w:val="bottom"/>
            <w:tcBorders>
              <w:bottom w:val="single" w:sz="8" w:color="4C4C4C"/>
            </w:tcBorders>
          </w:tcPr>
          <w:p>
            <w:pPr>
              <w:spacing w:after="0"/>
              <w:rPr>
                <w:sz w:val="9"/>
                <w:szCs w:val="9"/>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Len M. Fox</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60</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Vice President and Controller </w:t>
            </w:r>
            <w:r>
              <w:rPr>
                <w:rFonts w:ascii="Times New Roman" w:cs="Times New Roman" w:eastAsia="Times New Roman" w:hAnsi="Times New Roman"/>
                <w:sz w:val="19"/>
                <w:szCs w:val="19"/>
                <w:color w:val="000000"/>
              </w:rPr>
              <w:t>(since March 1, 2021, following a special assignment)</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Assistant Treasurer, Exxon Mobil Corporation (February 1, 2020 - December 31, 2020)</w:t>
            </w:r>
          </w:p>
        </w:tc>
      </w:tr>
      <w:tr>
        <w:trPr>
          <w:trHeight w:val="257"/>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Vice President, Chemical Business Services and Treasurer (June 1, 2015 - January 31, 2020)</w:t>
            </w:r>
          </w:p>
        </w:tc>
      </w:tr>
      <w:tr>
        <w:trPr>
          <w:trHeight w:val="105"/>
        </w:trPr>
        <w:tc>
          <w:tcPr>
            <w:tcW w:w="1880" w:type="dxa"/>
            <w:vAlign w:val="bottom"/>
            <w:tcBorders>
              <w:bottom w:val="single" w:sz="8" w:color="4C4C4C"/>
            </w:tcBorders>
          </w:tcPr>
          <w:p>
            <w:pPr>
              <w:spacing w:after="0"/>
              <w:rPr>
                <w:sz w:val="9"/>
                <w:szCs w:val="9"/>
                <w:color w:val="auto"/>
              </w:rPr>
            </w:pPr>
          </w:p>
        </w:tc>
        <w:tc>
          <w:tcPr>
            <w:tcW w:w="480" w:type="dxa"/>
            <w:vAlign w:val="bottom"/>
            <w:tcBorders>
              <w:bottom w:val="single" w:sz="8" w:color="4C4C4C"/>
            </w:tcBorders>
          </w:tcPr>
          <w:p>
            <w:pPr>
              <w:spacing w:after="0"/>
              <w:rPr>
                <w:sz w:val="9"/>
                <w:szCs w:val="9"/>
                <w:color w:val="auto"/>
              </w:rPr>
            </w:pPr>
          </w:p>
        </w:tc>
        <w:tc>
          <w:tcPr>
            <w:tcW w:w="8240" w:type="dxa"/>
            <w:vAlign w:val="bottom"/>
            <w:tcBorders>
              <w:bottom w:val="single" w:sz="8" w:color="4C4C4C"/>
            </w:tcBorders>
          </w:tcPr>
          <w:p>
            <w:pPr>
              <w:spacing w:after="0"/>
              <w:rPr>
                <w:sz w:val="9"/>
                <w:szCs w:val="9"/>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Jon M. Gibbs</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52</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President of ExxonMobil Global Projects Company </w:t>
            </w:r>
            <w:r>
              <w:rPr>
                <w:rFonts w:ascii="Times New Roman" w:cs="Times New Roman" w:eastAsia="Times New Roman" w:hAnsi="Times New Roman"/>
                <w:sz w:val="19"/>
                <w:szCs w:val="19"/>
                <w:color w:val="000000"/>
              </w:rPr>
              <w:t>(since April 1, 2021)</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Senior Vice President, Global Project Delivery, ExxonMobil Global Projects Company</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220"/>
              <w:spacing w:after="0" w:line="196" w:lineRule="exact"/>
              <w:rPr>
                <w:sz w:val="20"/>
                <w:szCs w:val="20"/>
                <w:color w:val="auto"/>
              </w:rPr>
            </w:pPr>
            <w:r>
              <w:rPr>
                <w:rFonts w:ascii="Times New Roman" w:cs="Times New Roman" w:eastAsia="Times New Roman" w:hAnsi="Times New Roman"/>
                <w:sz w:val="20"/>
                <w:szCs w:val="20"/>
                <w:color w:val="auto"/>
              </w:rPr>
              <w:t>(July 1, 2020 - March 31, 2021)</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President, ExxonMobil Global Services Company (April 1, 2019 - June 30, 2020)</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Upstream Organization Design Team Lead, ExxonMobil Development Company</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220"/>
              <w:spacing w:after="0" w:line="196" w:lineRule="exact"/>
              <w:rPr>
                <w:sz w:val="20"/>
                <w:szCs w:val="20"/>
                <w:color w:val="auto"/>
              </w:rPr>
            </w:pPr>
            <w:r>
              <w:rPr>
                <w:rFonts w:ascii="Times New Roman" w:cs="Times New Roman" w:eastAsia="Times New Roman" w:hAnsi="Times New Roman"/>
                <w:sz w:val="20"/>
                <w:szCs w:val="20"/>
                <w:color w:val="auto"/>
              </w:rPr>
              <w:t>(January 15, 2019 - March 31, 2019)</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Vice President, Asia Pacific and Middle East, ExxonMobil Development Company</w:t>
            </w:r>
          </w:p>
        </w:tc>
      </w:tr>
      <w:tr>
        <w:trPr>
          <w:trHeight w:val="257"/>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(January 1, 2016 - January 14, 2019)</w:t>
            </w:r>
          </w:p>
        </w:tc>
      </w:tr>
      <w:tr>
        <w:trPr>
          <w:trHeight w:val="66"/>
        </w:trPr>
        <w:tc>
          <w:tcPr>
            <w:tcW w:w="1880" w:type="dxa"/>
            <w:vAlign w:val="bottom"/>
            <w:tcBorders>
              <w:bottom w:val="single" w:sz="8" w:color="4C4C4C"/>
            </w:tcBorders>
          </w:tcPr>
          <w:p>
            <w:pPr>
              <w:spacing w:after="0"/>
              <w:rPr>
                <w:sz w:val="5"/>
                <w:szCs w:val="5"/>
                <w:color w:val="auto"/>
              </w:rPr>
            </w:pPr>
          </w:p>
        </w:tc>
        <w:tc>
          <w:tcPr>
            <w:tcW w:w="480" w:type="dxa"/>
            <w:vAlign w:val="bottom"/>
            <w:tcBorders>
              <w:bottom w:val="single" w:sz="8" w:color="4C4C4C"/>
            </w:tcBorders>
          </w:tcPr>
          <w:p>
            <w:pPr>
              <w:spacing w:after="0"/>
              <w:rPr>
                <w:sz w:val="5"/>
                <w:szCs w:val="5"/>
                <w:color w:val="auto"/>
              </w:rPr>
            </w:pPr>
          </w:p>
        </w:tc>
        <w:tc>
          <w:tcPr>
            <w:tcW w:w="8240" w:type="dxa"/>
            <w:vAlign w:val="bottom"/>
            <w:tcBorders>
              <w:bottom w:val="single" w:sz="8" w:color="4C4C4C"/>
            </w:tcBorders>
          </w:tcPr>
          <w:p>
            <w:pPr>
              <w:spacing w:after="0"/>
              <w:rPr>
                <w:sz w:val="5"/>
                <w:szCs w:val="5"/>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Liam M. Mallon</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61</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Vice President </w:t>
            </w:r>
            <w:r>
              <w:rPr>
                <w:rFonts w:ascii="Times New Roman" w:cs="Times New Roman" w:eastAsia="Times New Roman" w:hAnsi="Times New Roman"/>
                <w:sz w:val="19"/>
                <w:szCs w:val="19"/>
                <w:color w:val="000000"/>
              </w:rPr>
              <w:t>(since April 1, 2019)</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President, ExxonMobil Upstream Company (since April 1, 2022)</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President, ExxonMobil Upstream Oil &amp; Gas Company (April 1, 2019 - March 31, 2022)</w:t>
            </w:r>
          </w:p>
        </w:tc>
      </w:tr>
      <w:tr>
        <w:trPr>
          <w:trHeight w:val="257"/>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President, ExxonMobil Development Company (January 1, 2017 - March 31, 2019)</w:t>
            </w:r>
          </w:p>
        </w:tc>
      </w:tr>
      <w:tr>
        <w:trPr>
          <w:trHeight w:val="85"/>
        </w:trPr>
        <w:tc>
          <w:tcPr>
            <w:tcW w:w="1880" w:type="dxa"/>
            <w:vAlign w:val="bottom"/>
            <w:tcBorders>
              <w:bottom w:val="single" w:sz="8" w:color="4C4C4C"/>
            </w:tcBorders>
          </w:tcPr>
          <w:p>
            <w:pPr>
              <w:spacing w:after="0"/>
              <w:rPr>
                <w:sz w:val="7"/>
                <w:szCs w:val="7"/>
                <w:color w:val="auto"/>
              </w:rPr>
            </w:pPr>
          </w:p>
        </w:tc>
        <w:tc>
          <w:tcPr>
            <w:tcW w:w="480" w:type="dxa"/>
            <w:vAlign w:val="bottom"/>
            <w:tcBorders>
              <w:bottom w:val="single" w:sz="8" w:color="4C4C4C"/>
            </w:tcBorders>
          </w:tcPr>
          <w:p>
            <w:pPr>
              <w:spacing w:after="0"/>
              <w:rPr>
                <w:sz w:val="7"/>
                <w:szCs w:val="7"/>
                <w:color w:val="auto"/>
              </w:rPr>
            </w:pPr>
          </w:p>
        </w:tc>
        <w:tc>
          <w:tcPr>
            <w:tcW w:w="8240" w:type="dxa"/>
            <w:vAlign w:val="bottom"/>
            <w:tcBorders>
              <w:bottom w:val="single" w:sz="8" w:color="4C4C4C"/>
            </w:tcBorders>
          </w:tcPr>
          <w:p>
            <w:pPr>
              <w:spacing w:after="0"/>
              <w:rPr>
                <w:sz w:val="7"/>
                <w:szCs w:val="7"/>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Karen T. McKee</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57</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Vice President </w:t>
            </w:r>
            <w:r>
              <w:rPr>
                <w:rFonts w:ascii="Times New Roman" w:cs="Times New Roman" w:eastAsia="Times New Roman" w:hAnsi="Times New Roman"/>
                <w:sz w:val="19"/>
                <w:szCs w:val="19"/>
                <w:color w:val="000000"/>
              </w:rPr>
              <w:t>(since April 1, 2019)</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President, ExxonMobil Product Solutions Company (since April 1, 2022)</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President, ExxonMobil Chemical Company (April 1, 2019 - March 31, 2022)</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Senior Vice President, Basic Chemicals, Integration &amp; Growth, ExxonMobil Chemical Company</w:t>
            </w:r>
          </w:p>
        </w:tc>
      </w:tr>
      <w:tr>
        <w:trPr>
          <w:trHeight w:val="257"/>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(August 1, 2017 - March 31, 2019)</w:t>
            </w:r>
          </w:p>
        </w:tc>
      </w:tr>
      <w:tr>
        <w:trPr>
          <w:trHeight w:val="66"/>
        </w:trPr>
        <w:tc>
          <w:tcPr>
            <w:tcW w:w="1880" w:type="dxa"/>
            <w:vAlign w:val="bottom"/>
            <w:tcBorders>
              <w:bottom w:val="single" w:sz="8" w:color="4C4C4C"/>
            </w:tcBorders>
          </w:tcPr>
          <w:p>
            <w:pPr>
              <w:spacing w:after="0"/>
              <w:rPr>
                <w:sz w:val="5"/>
                <w:szCs w:val="5"/>
                <w:color w:val="auto"/>
              </w:rPr>
            </w:pPr>
          </w:p>
        </w:tc>
        <w:tc>
          <w:tcPr>
            <w:tcW w:w="480" w:type="dxa"/>
            <w:vAlign w:val="bottom"/>
            <w:tcBorders>
              <w:bottom w:val="single" w:sz="8" w:color="4C4C4C"/>
            </w:tcBorders>
          </w:tcPr>
          <w:p>
            <w:pPr>
              <w:spacing w:after="0"/>
              <w:rPr>
                <w:sz w:val="5"/>
                <w:szCs w:val="5"/>
                <w:color w:val="auto"/>
              </w:rPr>
            </w:pPr>
          </w:p>
        </w:tc>
        <w:tc>
          <w:tcPr>
            <w:tcW w:w="8240" w:type="dxa"/>
            <w:vAlign w:val="bottom"/>
            <w:tcBorders>
              <w:bottom w:val="single" w:sz="8" w:color="4C4C4C"/>
            </w:tcBorders>
          </w:tcPr>
          <w:p>
            <w:pPr>
              <w:spacing w:after="0"/>
              <w:rPr>
                <w:sz w:val="5"/>
                <w:szCs w:val="5"/>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Craig S. Morford</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65</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Vice President and General Counsel </w:t>
            </w:r>
            <w:r>
              <w:rPr>
                <w:rFonts w:ascii="Times New Roman" w:cs="Times New Roman" w:eastAsia="Times New Roman" w:hAnsi="Times New Roman"/>
                <w:sz w:val="19"/>
                <w:szCs w:val="19"/>
                <w:color w:val="000000"/>
              </w:rPr>
              <w:t>(since November 1, 2020)</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b w:val="1"/>
                <w:bCs w:val="1"/>
                <w:color w:val="4C4C4C"/>
              </w:rPr>
              <w:t xml:space="preserve">Secretary </w:t>
            </w:r>
            <w:r>
              <w:rPr>
                <w:rFonts w:ascii="Times New Roman" w:cs="Times New Roman" w:eastAsia="Times New Roman" w:hAnsi="Times New Roman"/>
                <w:sz w:val="20"/>
                <w:szCs w:val="20"/>
                <w:color w:val="000000"/>
              </w:rPr>
              <w:t>(since March 1, 2022)</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Deputy General Counsel (May 1, 2019 - October 31, 2020)</w:t>
            </w:r>
          </w:p>
        </w:tc>
      </w:tr>
      <w:tr>
        <w:trPr>
          <w:trHeight w:val="257"/>
        </w:trPr>
        <w:tc>
          <w:tcPr>
            <w:tcW w:w="1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Legal and Compliance Officer of Cardinal Health, Inc. (until March 2019)</w:t>
            </w:r>
          </w:p>
        </w:tc>
      </w:tr>
      <w:tr>
        <w:trPr>
          <w:trHeight w:val="100"/>
        </w:trPr>
        <w:tc>
          <w:tcPr>
            <w:tcW w:w="1880" w:type="dxa"/>
            <w:vAlign w:val="bottom"/>
            <w:tcBorders>
              <w:bottom w:val="single" w:sz="8" w:color="4C4C4C"/>
            </w:tcBorders>
          </w:tcPr>
          <w:p>
            <w:pPr>
              <w:spacing w:after="0"/>
              <w:rPr>
                <w:sz w:val="8"/>
                <w:szCs w:val="8"/>
                <w:color w:val="auto"/>
              </w:rPr>
            </w:pPr>
          </w:p>
        </w:tc>
        <w:tc>
          <w:tcPr>
            <w:tcW w:w="480" w:type="dxa"/>
            <w:vAlign w:val="bottom"/>
            <w:tcBorders>
              <w:bottom w:val="single" w:sz="8" w:color="4C4C4C"/>
            </w:tcBorders>
          </w:tcPr>
          <w:p>
            <w:pPr>
              <w:spacing w:after="0"/>
              <w:rPr>
                <w:sz w:val="8"/>
                <w:szCs w:val="8"/>
                <w:color w:val="auto"/>
              </w:rPr>
            </w:pPr>
          </w:p>
        </w:tc>
        <w:tc>
          <w:tcPr>
            <w:tcW w:w="8240" w:type="dxa"/>
            <w:vAlign w:val="bottom"/>
            <w:tcBorders>
              <w:bottom w:val="single" w:sz="8" w:color="4C4C4C"/>
            </w:tcBorders>
          </w:tcPr>
          <w:p>
            <w:pPr>
              <w:spacing w:after="0"/>
              <w:rPr>
                <w:sz w:val="8"/>
                <w:szCs w:val="8"/>
                <w:color w:val="auto"/>
              </w:rPr>
            </w:pPr>
          </w:p>
        </w:tc>
      </w:tr>
      <w:tr>
        <w:trPr>
          <w:trHeight w:val="172"/>
        </w:trPr>
        <w:tc>
          <w:tcPr>
            <w:tcW w:w="188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Darrin L. Talley</w:t>
            </w:r>
          </w:p>
        </w:tc>
        <w:tc>
          <w:tcPr>
            <w:tcW w:w="480" w:type="dxa"/>
            <w:vAlign w:val="bottom"/>
          </w:tcPr>
          <w:p>
            <w:pPr>
              <w:jc w:val="center"/>
              <w:spacing w:after="0" w:line="173" w:lineRule="exact"/>
              <w:rPr>
                <w:sz w:val="20"/>
                <w:szCs w:val="20"/>
                <w:color w:val="auto"/>
              </w:rPr>
            </w:pPr>
            <w:r>
              <w:rPr>
                <w:rFonts w:ascii="Times New Roman" w:cs="Times New Roman" w:eastAsia="Times New Roman" w:hAnsi="Times New Roman"/>
                <w:sz w:val="19"/>
                <w:szCs w:val="19"/>
                <w:color w:val="auto"/>
              </w:rPr>
              <w:t>59</w:t>
            </w:r>
          </w:p>
        </w:tc>
        <w:tc>
          <w:tcPr>
            <w:tcW w:w="8240" w:type="dxa"/>
            <w:vAlign w:val="bottom"/>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4C4C4C"/>
              </w:rPr>
              <w:t xml:space="preserve">Vice President, Corporate Strategic Planning </w:t>
            </w:r>
            <w:r>
              <w:rPr>
                <w:rFonts w:ascii="Times New Roman" w:cs="Times New Roman" w:eastAsia="Times New Roman" w:hAnsi="Times New Roman"/>
                <w:sz w:val="19"/>
                <w:szCs w:val="19"/>
                <w:color w:val="000000"/>
              </w:rPr>
              <w:t>(since April 1, 2022)</w:t>
            </w:r>
          </w:p>
        </w:tc>
      </w:tr>
      <w:tr>
        <w:trPr>
          <w:trHeight w:val="196"/>
        </w:trPr>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4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President, ExxonMobil Research and Engineering Company (April 1, 2020 - March 31, 2022)</w:t>
            </w:r>
          </w:p>
        </w:tc>
      </w:tr>
      <w:tr>
        <w:trPr>
          <w:trHeight w:val="273"/>
        </w:trPr>
        <w:tc>
          <w:tcPr>
            <w:tcW w:w="1880" w:type="dxa"/>
            <w:vAlign w:val="bottom"/>
            <w:tcBorders>
              <w:bottom w:val="single" w:sz="8" w:color="4C4C4C"/>
            </w:tcBorders>
          </w:tcPr>
          <w:p>
            <w:pPr>
              <w:spacing w:after="0"/>
              <w:rPr>
                <w:sz w:val="23"/>
                <w:szCs w:val="23"/>
                <w:color w:val="auto"/>
              </w:rPr>
            </w:pPr>
          </w:p>
        </w:tc>
        <w:tc>
          <w:tcPr>
            <w:tcW w:w="480" w:type="dxa"/>
            <w:vAlign w:val="bottom"/>
            <w:tcBorders>
              <w:bottom w:val="single" w:sz="8" w:color="4C4C4C"/>
            </w:tcBorders>
          </w:tcPr>
          <w:p>
            <w:pPr>
              <w:spacing w:after="0"/>
              <w:rPr>
                <w:sz w:val="23"/>
                <w:szCs w:val="23"/>
                <w:color w:val="auto"/>
              </w:rPr>
            </w:pPr>
          </w:p>
        </w:tc>
        <w:tc>
          <w:tcPr>
            <w:tcW w:w="82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Manager, Corporate Strategy, Corporate Strategic Planning (March 15, 2017 - March 31, 2020)</w:t>
            </w:r>
          </w:p>
        </w:tc>
      </w:tr>
    </w:tbl>
    <w:p>
      <w:pPr>
        <w:spacing w:after="0" w:line="200" w:lineRule="exact"/>
        <w:rPr>
          <w:sz w:val="20"/>
          <w:szCs w:val="20"/>
          <w:color w:val="auto"/>
        </w:rPr>
      </w:pPr>
    </w:p>
    <w:p>
      <w:pPr>
        <w:spacing w:after="0" w:line="25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Officers are generally elected by the Board of Directors at its meeting on the day of each annual election of directors, with each such officer serving until a successor has been elected and qualified. The above-named officers are required to file reports under Section 16 of the Securities Exchange Act of 1934.</w:t>
      </w:r>
    </w:p>
    <w:p>
      <w:pPr>
        <w:sectPr>
          <w:pgSz w:w="11880" w:h="15480" w:orient="portrait"/>
          <w:cols w:equalWidth="0" w:num="1">
            <w:col w:w="10600"/>
          </w:cols>
          <w:pgMar w:left="640" w:top="779"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600"/>
          </w:cols>
          <w:pgMar w:left="640" w:top="779" w:right="640" w:bottom="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27"/>
          <w:szCs w:val="27"/>
          <w:b w:val="1"/>
          <w:bCs w:val="1"/>
          <w:color w:val="4C4C4C"/>
        </w:rPr>
        <w:t>PART II</w:t>
      </w:r>
    </w:p>
    <w:p>
      <w:pPr>
        <w:spacing w:after="0" w:line="359" w:lineRule="exact"/>
        <w:rPr>
          <w:sz w:val="20"/>
          <w:szCs w:val="20"/>
          <w:color w:val="auto"/>
        </w:rPr>
      </w:pPr>
    </w:p>
    <w:p>
      <w:pPr>
        <w:ind w:left="1020" w:right="840" w:hanging="969"/>
        <w:spacing w:after="0" w:line="278" w:lineRule="auto"/>
        <w:rPr>
          <w:sz w:val="20"/>
          <w:szCs w:val="20"/>
          <w:color w:val="auto"/>
        </w:rPr>
      </w:pPr>
      <w:r>
        <w:rPr>
          <w:rFonts w:ascii="Times New Roman" w:cs="Times New Roman" w:eastAsia="Times New Roman" w:hAnsi="Times New Roman"/>
          <w:sz w:val="22"/>
          <w:szCs w:val="22"/>
          <w:b w:val="1"/>
          <w:bCs w:val="1"/>
          <w:color w:val="4C4C4C"/>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6720840"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2">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The principal market where ExxonMobil common stock (XOM) is traded is the New York Stock Exchange, although the stock is traded on other exchanges in and outside the United States.</w:t>
      </w:r>
    </w:p>
    <w:p>
      <w:pPr>
        <w:spacing w:after="0" w:line="4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There were 297,994 registered shareholders of ExxonMobil common stock at December 31, 2023. At January 31, 2024, the registered shareholders of ExxonMobil common stock numbered 296,268.</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February 1, 2024, the Corporation declared a $0.95 dividend per common share, payable March 11,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 is made to Item 12 in Part III of this report.</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4C4C4C"/>
        </w:rPr>
        <w:t>Issuer Purchases of Equity Securities for Quarter Ended December 31, 2023</w:t>
      </w:r>
    </w:p>
    <w:p>
      <w:pPr>
        <w:spacing w:after="0" w:line="61" w:lineRule="exact"/>
        <w:rPr>
          <w:sz w:val="20"/>
          <w:szCs w:val="20"/>
          <w:color w:val="auto"/>
        </w:rPr>
      </w:pPr>
    </w:p>
    <w:tbl>
      <w:tblPr>
        <w:tblLayout w:type="fixed"/>
        <w:tblInd w:w="600" w:type="dxa"/>
        <w:tblCellMar>
          <w:top w:w="0" w:type="dxa"/>
          <w:left w:w="0" w:type="dxa"/>
          <w:bottom w:w="0" w:type="dxa"/>
          <w:right w:w="0" w:type="dxa"/>
        </w:tblCellMar>
      </w:tblPr>
      <w:tr>
        <w:trPr>
          <w:trHeight w:val="363"/>
        </w:trPr>
        <w:tc>
          <w:tcPr>
            <w:tcW w:w="1540" w:type="dxa"/>
            <w:vAlign w:val="bottom"/>
            <w:shd w:val="clear" w:color="auto" w:fill="4C4C4C"/>
          </w:tcPr>
          <w:p>
            <w:pPr>
              <w:spacing w:after="0"/>
              <w:rPr>
                <w:sz w:val="24"/>
                <w:szCs w:val="24"/>
                <w:color w:val="auto"/>
              </w:rPr>
            </w:pPr>
          </w:p>
        </w:tc>
        <w:tc>
          <w:tcPr>
            <w:tcW w:w="1960" w:type="dxa"/>
            <w:vAlign w:val="bottom"/>
            <w:shd w:val="clear" w:color="auto" w:fill="4C4C4C"/>
          </w:tcPr>
          <w:p>
            <w:pPr>
              <w:spacing w:after="0"/>
              <w:rPr>
                <w:sz w:val="24"/>
                <w:szCs w:val="24"/>
                <w:color w:val="auto"/>
              </w:rPr>
            </w:pPr>
          </w:p>
        </w:tc>
        <w:tc>
          <w:tcPr>
            <w:tcW w:w="1640" w:type="dxa"/>
            <w:vAlign w:val="bottom"/>
            <w:shd w:val="clear" w:color="auto" w:fill="4C4C4C"/>
          </w:tcPr>
          <w:p>
            <w:pPr>
              <w:spacing w:after="0"/>
              <w:rPr>
                <w:sz w:val="24"/>
                <w:szCs w:val="24"/>
                <w:color w:val="auto"/>
              </w:rPr>
            </w:pPr>
          </w:p>
        </w:tc>
        <w:tc>
          <w:tcPr>
            <w:tcW w:w="20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Total Number of</w:t>
            </w:r>
          </w:p>
        </w:tc>
        <w:tc>
          <w:tcPr>
            <w:tcW w:w="22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Approximate Dollar</w:t>
            </w:r>
          </w:p>
        </w:tc>
        <w:tc>
          <w:tcPr>
            <w:tcW w:w="0" w:type="dxa"/>
            <w:vAlign w:val="bottom"/>
          </w:tcPr>
          <w:p>
            <w:pPr>
              <w:spacing w:after="0"/>
              <w:rPr>
                <w:sz w:val="1"/>
                <w:szCs w:val="1"/>
                <w:color w:val="auto"/>
              </w:rPr>
            </w:pPr>
          </w:p>
        </w:tc>
      </w:tr>
      <w:tr>
        <w:trPr>
          <w:trHeight w:val="196"/>
        </w:trPr>
        <w:tc>
          <w:tcPr>
            <w:tcW w:w="1540" w:type="dxa"/>
            <w:vAlign w:val="bottom"/>
            <w:shd w:val="clear" w:color="auto" w:fill="4C4C4C"/>
          </w:tcPr>
          <w:p>
            <w:pPr>
              <w:spacing w:after="0"/>
              <w:rPr>
                <w:sz w:val="17"/>
                <w:szCs w:val="17"/>
                <w:color w:val="auto"/>
              </w:rPr>
            </w:pPr>
          </w:p>
        </w:tc>
        <w:tc>
          <w:tcPr>
            <w:tcW w:w="1960" w:type="dxa"/>
            <w:vAlign w:val="bottom"/>
            <w:vMerge w:val="restart"/>
            <w:shd w:val="clear" w:color="auto" w:fill="4C4C4C"/>
          </w:tcPr>
          <w:p>
            <w:pPr>
              <w:jc w:val="center"/>
              <w:ind w:left="22"/>
              <w:spacing w:after="0"/>
              <w:rPr>
                <w:sz w:val="20"/>
                <w:szCs w:val="20"/>
                <w:color w:val="auto"/>
              </w:rPr>
            </w:pPr>
            <w:r>
              <w:rPr>
                <w:rFonts w:ascii="Times New Roman" w:cs="Times New Roman" w:eastAsia="Times New Roman" w:hAnsi="Times New Roman"/>
                <w:sz w:val="20"/>
                <w:szCs w:val="20"/>
                <w:b w:val="1"/>
                <w:bCs w:val="1"/>
                <w:color w:val="FFFFFF"/>
                <w:w w:val="97"/>
              </w:rPr>
              <w:t>Total Number of</w:t>
            </w:r>
          </w:p>
        </w:tc>
        <w:tc>
          <w:tcPr>
            <w:tcW w:w="164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Average Price</w:t>
            </w:r>
          </w:p>
        </w:tc>
        <w:tc>
          <w:tcPr>
            <w:tcW w:w="2020" w:type="dxa"/>
            <w:vAlign w:val="bottom"/>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Shares Purchased as</w:t>
            </w:r>
          </w:p>
        </w:tc>
        <w:tc>
          <w:tcPr>
            <w:tcW w:w="2240" w:type="dxa"/>
            <w:vAlign w:val="bottom"/>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8"/>
              </w:rPr>
              <w:t>Value of Shares that</w:t>
            </w:r>
          </w:p>
        </w:tc>
        <w:tc>
          <w:tcPr>
            <w:tcW w:w="0" w:type="dxa"/>
            <w:vAlign w:val="bottom"/>
          </w:tcPr>
          <w:p>
            <w:pPr>
              <w:spacing w:after="0"/>
              <w:rPr>
                <w:sz w:val="1"/>
                <w:szCs w:val="1"/>
                <w:color w:val="auto"/>
              </w:rPr>
            </w:pPr>
          </w:p>
        </w:tc>
      </w:tr>
      <w:tr>
        <w:trPr>
          <w:trHeight w:val="96"/>
        </w:trPr>
        <w:tc>
          <w:tcPr>
            <w:tcW w:w="1540" w:type="dxa"/>
            <w:vAlign w:val="bottom"/>
            <w:shd w:val="clear" w:color="auto" w:fill="4C4C4C"/>
          </w:tcPr>
          <w:p>
            <w:pPr>
              <w:spacing w:after="0"/>
              <w:rPr>
                <w:sz w:val="8"/>
                <w:szCs w:val="8"/>
                <w:color w:val="auto"/>
              </w:rPr>
            </w:pPr>
          </w:p>
        </w:tc>
        <w:tc>
          <w:tcPr>
            <w:tcW w:w="1960" w:type="dxa"/>
            <w:vAlign w:val="bottom"/>
            <w:vMerge w:val="continue"/>
            <w:shd w:val="clear" w:color="auto" w:fill="4C4C4C"/>
          </w:tcPr>
          <w:p>
            <w:pPr>
              <w:spacing w:after="0"/>
              <w:rPr>
                <w:sz w:val="8"/>
                <w:szCs w:val="8"/>
                <w:color w:val="auto"/>
              </w:rPr>
            </w:pPr>
          </w:p>
        </w:tc>
        <w:tc>
          <w:tcPr>
            <w:tcW w:w="1640" w:type="dxa"/>
            <w:vAlign w:val="bottom"/>
            <w:vMerge w:val="continue"/>
            <w:shd w:val="clear" w:color="auto" w:fill="4C4C4C"/>
          </w:tcPr>
          <w:p>
            <w:pPr>
              <w:spacing w:after="0"/>
              <w:rPr>
                <w:sz w:val="8"/>
                <w:szCs w:val="8"/>
                <w:color w:val="auto"/>
              </w:rPr>
            </w:pPr>
          </w:p>
        </w:tc>
        <w:tc>
          <w:tcPr>
            <w:tcW w:w="202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Part of Publicly</w:t>
            </w:r>
          </w:p>
        </w:tc>
        <w:tc>
          <w:tcPr>
            <w:tcW w:w="224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May Yet Be Purchased</w:t>
            </w:r>
          </w:p>
        </w:tc>
        <w:tc>
          <w:tcPr>
            <w:tcW w:w="0" w:type="dxa"/>
            <w:vAlign w:val="bottom"/>
          </w:tcPr>
          <w:p>
            <w:pPr>
              <w:spacing w:after="0"/>
              <w:rPr>
                <w:sz w:val="1"/>
                <w:szCs w:val="1"/>
                <w:color w:val="auto"/>
              </w:rPr>
            </w:pPr>
          </w:p>
        </w:tc>
      </w:tr>
      <w:tr>
        <w:trPr>
          <w:trHeight w:val="199"/>
        </w:trPr>
        <w:tc>
          <w:tcPr>
            <w:tcW w:w="1540" w:type="dxa"/>
            <w:vAlign w:val="bottom"/>
            <w:shd w:val="clear" w:color="auto" w:fill="4C4C4C"/>
          </w:tcPr>
          <w:p>
            <w:pPr>
              <w:spacing w:after="0"/>
              <w:rPr>
                <w:sz w:val="17"/>
                <w:szCs w:val="17"/>
                <w:color w:val="auto"/>
              </w:rPr>
            </w:pPr>
          </w:p>
        </w:tc>
        <w:tc>
          <w:tcPr>
            <w:tcW w:w="1960" w:type="dxa"/>
            <w:vAlign w:val="bottom"/>
            <w:shd w:val="clear" w:color="auto" w:fill="4C4C4C"/>
          </w:tcPr>
          <w:p>
            <w:pPr>
              <w:jc w:val="center"/>
              <w:ind w:left="2"/>
              <w:spacing w:after="0" w:line="199" w:lineRule="exact"/>
              <w:rPr>
                <w:sz w:val="20"/>
                <w:szCs w:val="20"/>
                <w:color w:val="auto"/>
              </w:rPr>
            </w:pPr>
            <w:r>
              <w:rPr>
                <w:rFonts w:ascii="Times New Roman" w:cs="Times New Roman" w:eastAsia="Times New Roman" w:hAnsi="Times New Roman"/>
                <w:sz w:val="20"/>
                <w:szCs w:val="20"/>
                <w:b w:val="1"/>
                <w:bCs w:val="1"/>
                <w:color w:val="FFFFFF"/>
                <w:w w:val="97"/>
              </w:rPr>
              <w:t xml:space="preserve">Shares Purchased </w:t>
            </w:r>
            <w:r>
              <w:rPr>
                <w:rFonts w:ascii="Times New Roman" w:cs="Times New Roman" w:eastAsia="Times New Roman" w:hAnsi="Times New Roman"/>
                <w:sz w:val="10"/>
                <w:szCs w:val="10"/>
                <w:i w:val="1"/>
                <w:iCs w:val="1"/>
                <w:color w:val="FFFFFF"/>
                <w:w w:val="97"/>
              </w:rPr>
              <w:t>(1)</w:t>
            </w:r>
          </w:p>
        </w:tc>
        <w:tc>
          <w:tcPr>
            <w:tcW w:w="1640" w:type="dxa"/>
            <w:vAlign w:val="bottom"/>
            <w:shd w:val="clear" w:color="auto" w:fill="4C4C4C"/>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FFFFFF"/>
                <w:w w:val="96"/>
              </w:rPr>
              <w:t xml:space="preserve">Paid per Share </w:t>
            </w:r>
            <w:r>
              <w:rPr>
                <w:rFonts w:ascii="Times New Roman" w:cs="Times New Roman" w:eastAsia="Times New Roman" w:hAnsi="Times New Roman"/>
                <w:sz w:val="10"/>
                <w:szCs w:val="10"/>
                <w:i w:val="1"/>
                <w:iCs w:val="1"/>
                <w:color w:val="FFFFFF"/>
                <w:w w:val="96"/>
              </w:rPr>
              <w:t>(2)</w:t>
            </w:r>
          </w:p>
        </w:tc>
        <w:tc>
          <w:tcPr>
            <w:tcW w:w="2020" w:type="dxa"/>
            <w:vAlign w:val="bottom"/>
            <w:vMerge w:val="continue"/>
            <w:shd w:val="clear" w:color="auto" w:fill="4C4C4C"/>
          </w:tcPr>
          <w:p>
            <w:pPr>
              <w:spacing w:after="0"/>
              <w:rPr>
                <w:sz w:val="17"/>
                <w:szCs w:val="17"/>
                <w:color w:val="auto"/>
              </w:rPr>
            </w:pPr>
          </w:p>
        </w:tc>
        <w:tc>
          <w:tcPr>
            <w:tcW w:w="2240" w:type="dxa"/>
            <w:vAlign w:val="bottom"/>
            <w:vMerge w:val="continue"/>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1540" w:type="dxa"/>
            <w:vAlign w:val="bottom"/>
            <w:shd w:val="clear" w:color="auto" w:fill="4C4C4C"/>
          </w:tcPr>
          <w:p>
            <w:pPr>
              <w:spacing w:after="0"/>
              <w:rPr>
                <w:sz w:val="8"/>
                <w:szCs w:val="8"/>
                <w:color w:val="auto"/>
              </w:rPr>
            </w:pPr>
          </w:p>
        </w:tc>
        <w:tc>
          <w:tcPr>
            <w:tcW w:w="1960" w:type="dxa"/>
            <w:vAlign w:val="bottom"/>
            <w:shd w:val="clear" w:color="auto" w:fill="4C4C4C"/>
          </w:tcPr>
          <w:p>
            <w:pPr>
              <w:spacing w:after="0"/>
              <w:rPr>
                <w:sz w:val="8"/>
                <w:szCs w:val="8"/>
                <w:color w:val="auto"/>
              </w:rPr>
            </w:pPr>
          </w:p>
        </w:tc>
        <w:tc>
          <w:tcPr>
            <w:tcW w:w="1640" w:type="dxa"/>
            <w:vAlign w:val="bottom"/>
            <w:shd w:val="clear" w:color="auto" w:fill="4C4C4C"/>
          </w:tcPr>
          <w:p>
            <w:pPr>
              <w:spacing w:after="0"/>
              <w:rPr>
                <w:sz w:val="8"/>
                <w:szCs w:val="8"/>
                <w:color w:val="auto"/>
              </w:rPr>
            </w:pPr>
          </w:p>
        </w:tc>
        <w:tc>
          <w:tcPr>
            <w:tcW w:w="2020" w:type="dxa"/>
            <w:vAlign w:val="bottom"/>
            <w:shd w:val="clear" w:color="auto" w:fill="4C4C4C"/>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FFFFFF"/>
              </w:rPr>
              <w:t>Announced Plans or</w:t>
            </w:r>
          </w:p>
        </w:tc>
        <w:tc>
          <w:tcPr>
            <w:tcW w:w="2240" w:type="dxa"/>
            <w:vAlign w:val="bottom"/>
            <w:shd w:val="clear" w:color="auto" w:fill="4C4C4C"/>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FFFFFF"/>
              </w:rPr>
              <w:t>Under the Program</w:t>
            </w:r>
          </w:p>
        </w:tc>
        <w:tc>
          <w:tcPr>
            <w:tcW w:w="0" w:type="dxa"/>
            <w:vAlign w:val="bottom"/>
          </w:tcPr>
          <w:p>
            <w:pPr>
              <w:spacing w:after="0"/>
              <w:rPr>
                <w:sz w:val="1"/>
                <w:szCs w:val="1"/>
                <w:color w:val="auto"/>
              </w:rPr>
            </w:pPr>
          </w:p>
        </w:tc>
      </w:tr>
      <w:tr>
        <w:trPr>
          <w:trHeight w:val="261"/>
        </w:trPr>
        <w:tc>
          <w:tcPr>
            <w:tcW w:w="1540" w:type="dxa"/>
            <w:vAlign w:val="bottom"/>
            <w:shd w:val="clear" w:color="auto" w:fill="4C4C4C"/>
          </w:tcPr>
          <w:p>
            <w:pPr>
              <w:spacing w:after="0"/>
              <w:rPr>
                <w:sz w:val="22"/>
                <w:szCs w:val="22"/>
                <w:color w:val="auto"/>
              </w:rPr>
            </w:pPr>
          </w:p>
        </w:tc>
        <w:tc>
          <w:tcPr>
            <w:tcW w:w="1960" w:type="dxa"/>
            <w:vAlign w:val="bottom"/>
            <w:shd w:val="clear" w:color="auto" w:fill="4C4C4C"/>
          </w:tcPr>
          <w:p>
            <w:pPr>
              <w:spacing w:after="0"/>
              <w:rPr>
                <w:sz w:val="22"/>
                <w:szCs w:val="22"/>
                <w:color w:val="auto"/>
              </w:rPr>
            </w:pPr>
          </w:p>
        </w:tc>
        <w:tc>
          <w:tcPr>
            <w:tcW w:w="1640" w:type="dxa"/>
            <w:vAlign w:val="bottom"/>
            <w:shd w:val="clear" w:color="auto" w:fill="4C4C4C"/>
          </w:tcPr>
          <w:p>
            <w:pPr>
              <w:spacing w:after="0"/>
              <w:rPr>
                <w:sz w:val="22"/>
                <w:szCs w:val="22"/>
                <w:color w:val="auto"/>
              </w:rPr>
            </w:pPr>
          </w:p>
        </w:tc>
        <w:tc>
          <w:tcPr>
            <w:tcW w:w="20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 xml:space="preserve">Programs </w:t>
            </w:r>
            <w:r>
              <w:rPr>
                <w:rFonts w:ascii="Times New Roman" w:cs="Times New Roman" w:eastAsia="Times New Roman" w:hAnsi="Times New Roman"/>
                <w:sz w:val="10"/>
                <w:szCs w:val="10"/>
                <w:i w:val="1"/>
                <w:iCs w:val="1"/>
                <w:color w:val="FFFFFF"/>
                <w:w w:val="98"/>
              </w:rPr>
              <w:t>(3)</w:t>
            </w:r>
          </w:p>
        </w:tc>
        <w:tc>
          <w:tcPr>
            <w:tcW w:w="22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 xml:space="preserve">(Billions of dollars) </w:t>
            </w:r>
            <w:r>
              <w:rPr>
                <w:rFonts w:ascii="Times New Roman" w:cs="Times New Roman" w:eastAsia="Times New Roman" w:hAnsi="Times New Roman"/>
                <w:sz w:val="10"/>
                <w:szCs w:val="10"/>
                <w:i w:val="1"/>
                <w:iCs w:val="1"/>
                <w:color w:val="FFFFFF"/>
                <w:w w:val="97"/>
              </w:rPr>
              <w:t>(4)</w:t>
            </w:r>
          </w:p>
        </w:tc>
        <w:tc>
          <w:tcPr>
            <w:tcW w:w="0" w:type="dxa"/>
            <w:vAlign w:val="bottom"/>
          </w:tcPr>
          <w:p>
            <w:pPr>
              <w:spacing w:after="0"/>
              <w:rPr>
                <w:sz w:val="1"/>
                <w:szCs w:val="1"/>
                <w:color w:val="auto"/>
              </w:rPr>
            </w:pPr>
          </w:p>
        </w:tc>
      </w:tr>
      <w:tr>
        <w:trPr>
          <w:trHeight w:val="185"/>
        </w:trPr>
        <w:tc>
          <w:tcPr>
            <w:tcW w:w="1540" w:type="dxa"/>
            <w:vAlign w:val="bottom"/>
            <w:shd w:val="clear" w:color="auto" w:fill="4C4C4C"/>
          </w:tcPr>
          <w:p>
            <w:pPr>
              <w:spacing w:after="0"/>
              <w:rPr>
                <w:sz w:val="16"/>
                <w:szCs w:val="16"/>
                <w:color w:val="auto"/>
              </w:rPr>
            </w:pPr>
          </w:p>
        </w:tc>
        <w:tc>
          <w:tcPr>
            <w:tcW w:w="1960" w:type="dxa"/>
            <w:vAlign w:val="bottom"/>
            <w:shd w:val="clear" w:color="auto" w:fill="4C4C4C"/>
          </w:tcPr>
          <w:p>
            <w:pPr>
              <w:spacing w:after="0"/>
              <w:rPr>
                <w:sz w:val="16"/>
                <w:szCs w:val="16"/>
                <w:color w:val="auto"/>
              </w:rPr>
            </w:pPr>
          </w:p>
        </w:tc>
        <w:tc>
          <w:tcPr>
            <w:tcW w:w="1640" w:type="dxa"/>
            <w:vAlign w:val="bottom"/>
            <w:shd w:val="clear" w:color="auto" w:fill="4C4C4C"/>
          </w:tcPr>
          <w:p>
            <w:pPr>
              <w:spacing w:after="0"/>
              <w:rPr>
                <w:sz w:val="16"/>
                <w:szCs w:val="16"/>
                <w:color w:val="auto"/>
              </w:rPr>
            </w:pPr>
          </w:p>
        </w:tc>
        <w:tc>
          <w:tcPr>
            <w:tcW w:w="2020" w:type="dxa"/>
            <w:vAlign w:val="bottom"/>
            <w:shd w:val="clear" w:color="auto" w:fill="4C4C4C"/>
          </w:tcPr>
          <w:p>
            <w:pPr>
              <w:spacing w:after="0"/>
              <w:rPr>
                <w:sz w:val="16"/>
                <w:szCs w:val="16"/>
                <w:color w:val="auto"/>
              </w:rPr>
            </w:pPr>
          </w:p>
        </w:tc>
        <w:tc>
          <w:tcPr>
            <w:tcW w:w="2240" w:type="dxa"/>
            <w:vAlign w:val="bottom"/>
            <w:shd w:val="clear" w:color="auto" w:fill="4C4C4C"/>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October 2023</w:t>
            </w:r>
          </w:p>
        </w:tc>
        <w:tc>
          <w:tcPr>
            <w:tcW w:w="1960" w:type="dxa"/>
            <w:vAlign w:val="bottom"/>
          </w:tcPr>
          <w:p>
            <w:pPr>
              <w:jc w:val="center"/>
              <w:ind w:left="62"/>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$21.9</w:t>
            </w:r>
          </w:p>
        </w:tc>
        <w:tc>
          <w:tcPr>
            <w:tcW w:w="0" w:type="dxa"/>
            <w:vAlign w:val="bottom"/>
          </w:tcPr>
          <w:p>
            <w:pPr>
              <w:spacing w:after="0"/>
              <w:rPr>
                <w:sz w:val="1"/>
                <w:szCs w:val="1"/>
                <w:color w:val="auto"/>
              </w:rPr>
            </w:pPr>
          </w:p>
        </w:tc>
      </w:tr>
      <w:tr>
        <w:trPr>
          <w:trHeight w:val="294"/>
        </w:trPr>
        <w:tc>
          <w:tcPr>
            <w:tcW w:w="1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2023</w:t>
            </w:r>
          </w:p>
        </w:tc>
        <w:tc>
          <w:tcPr>
            <w:tcW w:w="1960" w:type="dxa"/>
            <w:vAlign w:val="bottom"/>
          </w:tcPr>
          <w:p>
            <w:pPr>
              <w:jc w:val="center"/>
              <w:ind w:left="62"/>
              <w:spacing w:after="0"/>
              <w:rPr>
                <w:sz w:val="20"/>
                <w:szCs w:val="20"/>
                <w:color w:val="auto"/>
              </w:rPr>
            </w:pPr>
            <w:r>
              <w:rPr>
                <w:rFonts w:ascii="Times New Roman" w:cs="Times New Roman" w:eastAsia="Times New Roman" w:hAnsi="Times New Roman"/>
                <w:sz w:val="20"/>
                <w:szCs w:val="20"/>
                <w:color w:val="auto"/>
                <w:w w:val="97"/>
              </w:rPr>
              <w:t>23,692,642</w:t>
            </w:r>
          </w:p>
        </w:tc>
        <w:tc>
          <w:tcPr>
            <w:tcW w:w="164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$104.55</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21,626,648</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$19.7</w:t>
            </w:r>
          </w:p>
        </w:tc>
        <w:tc>
          <w:tcPr>
            <w:tcW w:w="0" w:type="dxa"/>
            <w:vAlign w:val="bottom"/>
          </w:tcPr>
          <w:p>
            <w:pPr>
              <w:spacing w:after="0"/>
              <w:rPr>
                <w:sz w:val="1"/>
                <w:szCs w:val="1"/>
                <w:color w:val="auto"/>
              </w:rPr>
            </w:pPr>
          </w:p>
        </w:tc>
      </w:tr>
      <w:tr>
        <w:trPr>
          <w:trHeight w:val="297"/>
        </w:trPr>
        <w:tc>
          <w:tcPr>
            <w:tcW w:w="15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December 2023</w:t>
            </w:r>
          </w:p>
        </w:tc>
        <w:tc>
          <w:tcPr>
            <w:tcW w:w="1960" w:type="dxa"/>
            <w:vAlign w:val="bottom"/>
            <w:tcBorders>
              <w:bottom w:val="single" w:sz="8" w:color="4C4C4C"/>
            </w:tcBorders>
          </w:tcPr>
          <w:p>
            <w:pPr>
              <w:jc w:val="center"/>
              <w:ind w:left="62"/>
              <w:spacing w:after="0"/>
              <w:rPr>
                <w:sz w:val="20"/>
                <w:szCs w:val="20"/>
                <w:color w:val="auto"/>
              </w:rPr>
            </w:pPr>
            <w:r>
              <w:rPr>
                <w:rFonts w:ascii="Times New Roman" w:cs="Times New Roman" w:eastAsia="Times New Roman" w:hAnsi="Times New Roman"/>
                <w:sz w:val="20"/>
                <w:szCs w:val="20"/>
                <w:color w:val="auto"/>
                <w:w w:val="97"/>
              </w:rPr>
              <w:t>22,318,029</w:t>
            </w:r>
          </w:p>
        </w:tc>
        <w:tc>
          <w:tcPr>
            <w:tcW w:w="164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8"/>
              </w:rPr>
              <w:t>$101.06</w:t>
            </w:r>
          </w:p>
        </w:tc>
        <w:tc>
          <w:tcPr>
            <w:tcW w:w="202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7"/>
              </w:rPr>
              <w:t>21,319,070</w:t>
            </w:r>
          </w:p>
        </w:tc>
        <w:tc>
          <w:tcPr>
            <w:tcW w:w="224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color w:val="auto"/>
                <w:w w:val="97"/>
              </w:rPr>
              <w:t>$17.5</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960" w:type="dxa"/>
            <w:vAlign w:val="bottom"/>
            <w:tcBorders>
              <w:bottom w:val="single" w:sz="8" w:color="4C4C4C"/>
            </w:tcBorders>
          </w:tcPr>
          <w:p>
            <w:pPr>
              <w:jc w:val="center"/>
              <w:ind w:left="62"/>
              <w:spacing w:after="0"/>
              <w:rPr>
                <w:sz w:val="20"/>
                <w:szCs w:val="20"/>
                <w:color w:val="auto"/>
              </w:rPr>
            </w:pPr>
            <w:r>
              <w:rPr>
                <w:rFonts w:ascii="Times New Roman" w:cs="Times New Roman" w:eastAsia="Times New Roman" w:hAnsi="Times New Roman"/>
                <w:sz w:val="20"/>
                <w:szCs w:val="20"/>
                <w:b w:val="1"/>
                <w:bCs w:val="1"/>
                <w:color w:val="auto"/>
                <w:w w:val="97"/>
              </w:rPr>
              <w:t>46,010,671</w:t>
            </w:r>
          </w:p>
        </w:tc>
        <w:tc>
          <w:tcPr>
            <w:tcW w:w="164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$102.86</w:t>
            </w:r>
          </w:p>
        </w:tc>
        <w:tc>
          <w:tcPr>
            <w:tcW w:w="202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42,945,718</w:t>
            </w:r>
          </w:p>
        </w:tc>
        <w:tc>
          <w:tcPr>
            <w:tcW w:w="2240" w:type="dxa"/>
            <w:vAlign w:val="bottom"/>
            <w:tcBorders>
              <w:bottom w:val="single" w:sz="8" w:color="4C4C4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20" w:hanging="165"/>
        <w:spacing w:after="0"/>
        <w:tabs>
          <w:tab w:leader="none" w:pos="820" w:val="left"/>
        </w:tabs>
        <w:numPr>
          <w:ilvl w:val="0"/>
          <w:numId w:val="11"/>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Includes shares withheld from participants in the company's incentive program for personal income taxes.</w:t>
      </w:r>
    </w:p>
    <w:p>
      <w:pPr>
        <w:spacing w:after="0" w:line="47" w:lineRule="exact"/>
        <w:rPr>
          <w:rFonts w:ascii="Times New Roman" w:cs="Times New Roman" w:eastAsia="Times New Roman" w:hAnsi="Times New Roman"/>
          <w:sz w:val="20"/>
          <w:szCs w:val="20"/>
          <w:i w:val="1"/>
          <w:iCs w:val="1"/>
          <w:color w:val="auto"/>
          <w:vertAlign w:val="superscript"/>
        </w:rPr>
      </w:pPr>
    </w:p>
    <w:p>
      <w:pPr>
        <w:ind w:left="800" w:hanging="145"/>
        <w:spacing w:after="0" w:line="217" w:lineRule="auto"/>
        <w:tabs>
          <w:tab w:leader="none" w:pos="800" w:val="left"/>
        </w:tabs>
        <w:numPr>
          <w:ilvl w:val="0"/>
          <w:numId w:val="11"/>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Excludes 1% U.S. excise tax on stock repurchases.</w:t>
      </w:r>
    </w:p>
    <w:p>
      <w:pPr>
        <w:spacing w:after="0" w:line="48" w:lineRule="exact"/>
        <w:rPr>
          <w:rFonts w:ascii="Times New Roman" w:cs="Times New Roman" w:eastAsia="Times New Roman" w:hAnsi="Times New Roman"/>
          <w:sz w:val="18"/>
          <w:szCs w:val="18"/>
          <w:i w:val="1"/>
          <w:iCs w:val="1"/>
          <w:color w:val="auto"/>
          <w:vertAlign w:val="superscript"/>
        </w:rPr>
      </w:pPr>
    </w:p>
    <w:p>
      <w:pPr>
        <w:jc w:val="both"/>
        <w:ind w:left="660" w:right="660" w:hanging="5"/>
        <w:spacing w:after="0" w:line="242" w:lineRule="auto"/>
        <w:tabs>
          <w:tab w:leader="none" w:pos="810" w:val="left"/>
        </w:tabs>
        <w:numPr>
          <w:ilvl w:val="0"/>
          <w:numId w:val="1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Purchases were made under terms intended to qualify for exemption under Rules 10b-18 and 10b5-1. As required by securities law restrictions, no repurchases will take place during proxy solicitation and voting periods for transactions involving the issuance of ExxonMobil shares. For the Denbury transaction, this period took place during October 2023. For the Pioneer transaction, this period occurred during the first quarter of 2024.</w:t>
      </w:r>
    </w:p>
    <w:p>
      <w:pPr>
        <w:spacing w:after="0" w:line="223" w:lineRule="exact"/>
        <w:rPr>
          <w:rFonts w:ascii="Times New Roman" w:cs="Times New Roman" w:eastAsia="Times New Roman" w:hAnsi="Times New Roman"/>
          <w:sz w:val="19"/>
          <w:szCs w:val="19"/>
          <w:i w:val="1"/>
          <w:iCs w:val="1"/>
          <w:color w:val="auto"/>
          <w:vertAlign w:val="superscript"/>
        </w:rPr>
      </w:pPr>
    </w:p>
    <w:p>
      <w:pPr>
        <w:jc w:val="both"/>
        <w:ind w:left="660" w:right="660" w:hanging="5"/>
        <w:spacing w:after="0" w:line="237" w:lineRule="auto"/>
        <w:tabs>
          <w:tab w:leader="none" w:pos="847" w:val="left"/>
        </w:tabs>
        <w:numPr>
          <w:ilvl w:val="0"/>
          <w:numId w:val="11"/>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 its 2022 Corporate Plan Update released December 8, 2022, the Corporation stated that the company expanded its share repurchase program to up to $50 billion through 2024. This includes $15 billion of repurchases in 2022 and $17.5 billion in 2023. In its 2023 Corporate Plan Update released December 6, 2023, the Corporation stated that after the Pioneer transaction closes, the go-forward share repurchase program pace is expected to increase to $20 billion annually through 2025, assuming reasonable market conditions.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During the fourth quarter, the Corporation did not issue or sell any unregistered equity securities.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20" w:right="540" w:hanging="969"/>
        <w:spacing w:after="0" w:line="237" w:lineRule="auto"/>
        <w:rPr>
          <w:sz w:val="20"/>
          <w:szCs w:val="20"/>
          <w:color w:val="auto"/>
        </w:rPr>
      </w:pPr>
      <w:r>
        <w:rPr>
          <w:rFonts w:ascii="Times New Roman" w:cs="Times New Roman" w:eastAsia="Times New Roman" w:hAnsi="Times New Roman"/>
          <w:sz w:val="24"/>
          <w:szCs w:val="24"/>
          <w:b w:val="1"/>
          <w:bCs w:val="1"/>
          <w:color w:val="4C4C4C"/>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720840"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3">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Reference is made to the section entitled “Management’s Discussion and Analysis of Financial Condition and Results of Operations” in the Financial Section of this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6720840"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4">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Reference is made to the section entitled “Market Risks” in the Financial Section of this report. All statements, other than historical information incorporated in this Item 7A, are forward-looking statements. The actual impact of future market changes could differ materially due to, among other things, factors discussed in this report.</w:t>
      </w:r>
    </w:p>
    <w:p>
      <w:pPr>
        <w:sectPr>
          <w:pgSz w:w="11880" w:h="15480" w:orient="portrait"/>
          <w:cols w:equalWidth="0" w:num="1">
            <w:col w:w="10600"/>
          </w:cols>
          <w:pgMar w:left="640" w:top="69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600"/>
          </w:cols>
          <w:pgMar w:left="640" w:top="697" w:right="640" w:bottom="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24"/>
          <w:szCs w:val="24"/>
          <w:b w:val="1"/>
          <w:bCs w:val="1"/>
          <w:color w:val="4C4C4C"/>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5">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 is made to the following in the Financial Section of this report:</w:t>
      </w:r>
    </w:p>
    <w:p>
      <w:pPr>
        <w:spacing w:after="0" w:line="103" w:lineRule="exact"/>
        <w:rPr>
          <w:sz w:val="20"/>
          <w:szCs w:val="20"/>
          <w:color w:val="auto"/>
        </w:rPr>
      </w:pPr>
    </w:p>
    <w:p>
      <w:pPr>
        <w:jc w:val="both"/>
        <w:ind w:left="720" w:hanging="359"/>
        <w:spacing w:after="0" w:line="259"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together with the report thereon of PricewaterhouseCoopers LLP (PCAOB ID 238) dated February 28, 2024, beginning with the section entitled “Report of Independent Registered Public Accounting Firm” and continuing through “Note 21: Mergers and Acquisitions”;</w:t>
      </w:r>
    </w:p>
    <w:p>
      <w:pPr>
        <w:spacing w:after="0" w:line="59"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“Supplemental Information on Oil and Gas Exploration and Production Activities” (unaudited); and</w:t>
      </w:r>
    </w:p>
    <w:p>
      <w:pPr>
        <w:spacing w:after="0" w:line="103"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“Frequently Used Terms” (unaudited).</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Financial Statement Schedules have been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87" w:lineRule="exact"/>
        <w:rPr>
          <w:sz w:val="20"/>
          <w:szCs w:val="20"/>
          <w:color w:val="auto"/>
        </w:rPr>
      </w:pPr>
    </w:p>
    <w:p>
      <w:pPr>
        <w:ind w:left="1020" w:right="180" w:hanging="969"/>
        <w:spacing w:after="0" w:line="237" w:lineRule="auto"/>
        <w:rPr>
          <w:sz w:val="20"/>
          <w:szCs w:val="20"/>
          <w:color w:val="auto"/>
        </w:rPr>
      </w:pPr>
      <w:r>
        <w:rPr>
          <w:rFonts w:ascii="Times New Roman" w:cs="Times New Roman" w:eastAsia="Times New Roman" w:hAnsi="Times New Roman"/>
          <w:sz w:val="24"/>
          <w:szCs w:val="24"/>
          <w:b w:val="1"/>
          <w:bCs w:val="1"/>
          <w:color w:val="4C4C4C"/>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720840"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6">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9A. CONTROLS AND PROCEDURES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27305</wp:posOffset>
                </wp:positionV>
                <wp:extent cx="672084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18668">
                          <a:solidFill>
                            <a:srgbClr val="4C4C4C"/>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15pt" to="529.6pt,2.15pt" o:allowincell="f" strokecolor="#4C4C4C" strokeweight="1.4699pt"/>
            </w:pict>
          </mc:Fallback>
        </mc:AlternateContent>
        <mc:AlternateContent>
          <mc:Choice Requires="wps">
            <w:drawing>
              <wp:anchor simplePos="0" relativeHeight="251657728" behindDoc="1" locked="0" layoutInCell="0" allowOverlap="1">
                <wp:simplePos x="0" y="0"/>
                <wp:positionH relativeFrom="column">
                  <wp:posOffset>5120005</wp:posOffset>
                </wp:positionH>
                <wp:positionV relativeFrom="paragraph">
                  <wp:posOffset>17780</wp:posOffset>
                </wp:positionV>
                <wp:extent cx="0" cy="1905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
                        </a:xfrm>
                        <a:prstGeom prst="line">
                          <a:avLst/>
                        </a:prstGeom>
                        <a:solidFill>
                          <a:srgbClr val="FFFFFF"/>
                        </a:solidFill>
                        <a:ln w="127">
                          <a:solidFill>
                            <a:srgbClr val="4C4C4C"/>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15pt,1.4pt" to="403.15pt,2.9pt" o:allowincell="f" strokecolor="#4C4C4C" strokeweight="0.01pt"/>
            </w:pict>
          </mc:Fallback>
        </mc:AlternateContent>
        <mc:AlternateContent>
          <mc:Choice Requires="wps">
            <w:drawing>
              <wp:anchor simplePos="0" relativeHeight="251657728" behindDoc="1" locked="0" layoutInCell="0" allowOverlap="1">
                <wp:simplePos x="0" y="0"/>
                <wp:positionH relativeFrom="column">
                  <wp:posOffset>6725285</wp:posOffset>
                </wp:positionH>
                <wp:positionV relativeFrom="paragraph">
                  <wp:posOffset>17780</wp:posOffset>
                </wp:positionV>
                <wp:extent cx="0" cy="1905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
                        </a:xfrm>
                        <a:prstGeom prst="line">
                          <a:avLst/>
                        </a:prstGeom>
                        <a:solidFill>
                          <a:srgbClr val="FFFFFF"/>
                        </a:solidFill>
                        <a:ln w="63">
                          <a:solidFill>
                            <a:srgbClr val="4C4C4C"/>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55pt,1.4pt" to="529.55pt,2.9pt" o:allowincell="f" strokecolor="#4C4C4C" strokeweight="0.005pt"/>
            </w:pict>
          </mc:Fallback>
        </mc:AlternateConten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Management’s Evaluation of Disclosure Controls and Procedures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indicated in the certifications in Exhibit 31 of this report, the Corporation’s Chief Executive Officer, Chief Financial Officer, and Principal Accounting Officer have evaluated the Corporation’s disclosure controls and procedures as of December 31, 2023.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Management’s Report on Internal Control Over Financial Reporting</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Management, including the Corporation’s Chief Executive Officer, Chief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this evaluation, management concluded that Exxon Mobil Corporation’s internal control over financial reporting was effective as of December 31, 2023.</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excluded Denbury Inc. from our assessment of internal control over financial reporting as of December 31, 2023, because it was acquired by the Corporation in a business combination during 2023. Total assets and total revenues of Denbury Inc., a wholly owned subsidiary, represent two percent and less than one percent, respectively, of the related consolidated financial statement amounts as of and for the year ended December 31, 2023.</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PricewaterhouseCoopers LLP, an independent registered public accounting firm, audited the effectiveness of the Corporation’s internal control over financial reporting as of December 31, 2023, as stated in their report included in the Financial Section of this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Changes in Internal Control Over Financial Reporting</w:t>
      </w:r>
    </w:p>
    <w:p>
      <w:pPr>
        <w:spacing w:after="0" w:line="1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There were no changes during the Corporation’s last fiscal quarter that materially affected, or are reasonably likely to materially affect, the Corporation’s internal control over financial reporting.</w:t>
      </w:r>
    </w:p>
    <w:p>
      <w:pPr>
        <w:sectPr>
          <w:pgSz w:w="11880" w:h="15480" w:orient="portrait"/>
          <w:cols w:equalWidth="0" w:num="1">
            <w:col w:w="10600"/>
          </w:cols>
          <w:pgMar w:left="640" w:top="78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600"/>
          </w:cols>
          <w:pgMar w:left="640" w:top="781" w:right="640" w:bottom="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24"/>
          <w:szCs w:val="24"/>
          <w:b w:val="1"/>
          <w:bCs w:val="1"/>
          <w:color w:val="4C4C4C"/>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7">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During the three months ended December 31, 2023, none of the Company’s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87" w:lineRule="exact"/>
        <w:rPr>
          <w:sz w:val="20"/>
          <w:szCs w:val="20"/>
          <w:color w:val="auto"/>
        </w:rPr>
      </w:pPr>
    </w:p>
    <w:p>
      <w:pPr>
        <w:ind w:left="1200" w:right="1440" w:hanging="1146"/>
        <w:spacing w:after="0" w:line="237" w:lineRule="auto"/>
        <w:rPr>
          <w:sz w:val="20"/>
          <w:szCs w:val="20"/>
          <w:color w:val="auto"/>
        </w:rPr>
      </w:pPr>
      <w:r>
        <w:rPr>
          <w:rFonts w:ascii="Times New Roman" w:cs="Times New Roman" w:eastAsia="Times New Roman" w:hAnsi="Times New Roman"/>
          <w:sz w:val="24"/>
          <w:szCs w:val="24"/>
          <w:b w:val="1"/>
          <w:bCs w:val="1"/>
          <w:color w:val="4C4C4C"/>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720840"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8">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4C4C4C"/>
        </w:rPr>
        <w:t>PART III</w:t>
      </w: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9">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 is made to the section of this report titled “Information about our Executive Officers”.</w:t>
      </w:r>
    </w:p>
    <w:p>
      <w:pPr>
        <w:spacing w:after="0" w:line="1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Incorporated by reference to the following from the registrant’s definitive proxy statement for the 2024 annual meeting of shareholders (the “2024 Proxy Statement”):</w:t>
      </w:r>
    </w:p>
    <w:p>
      <w:pPr>
        <w:spacing w:after="0" w:line="45" w:lineRule="exact"/>
        <w:rPr>
          <w:sz w:val="20"/>
          <w:szCs w:val="20"/>
          <w:color w:val="auto"/>
        </w:rPr>
      </w:pPr>
    </w:p>
    <w:p>
      <w:pPr>
        <w:ind w:left="720" w:hanging="359"/>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section entitled “Election of Directors”;</w:t>
      </w:r>
    </w:p>
    <w:p>
      <w:pPr>
        <w:spacing w:after="0" w:line="103" w:lineRule="exact"/>
        <w:rPr>
          <w:rFonts w:ascii="Times New Roman" w:cs="Times New Roman" w:eastAsia="Times New Roman" w:hAnsi="Times New Roman"/>
          <w:sz w:val="20"/>
          <w:szCs w:val="20"/>
          <w:color w:val="auto"/>
        </w:rPr>
      </w:pPr>
    </w:p>
    <w:p>
      <w:pPr>
        <w:ind w:left="720" w:hanging="359"/>
        <w:spacing w:after="0" w:line="27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portions entitled “Director Qualifications”, “Director Nomination Process and Board Succession”, and “Code of Ethics and Business Conduct” of the section entitled “Corporate Governance”; and</w:t>
      </w:r>
    </w:p>
    <w:p>
      <w:pPr>
        <w:spacing w:after="0" w:line="45" w:lineRule="exact"/>
        <w:rPr>
          <w:rFonts w:ascii="Times New Roman" w:cs="Times New Roman" w:eastAsia="Times New Roman" w:hAnsi="Times New Roman"/>
          <w:sz w:val="20"/>
          <w:szCs w:val="20"/>
          <w:color w:val="auto"/>
        </w:rPr>
      </w:pPr>
    </w:p>
    <w:p>
      <w:pPr>
        <w:jc w:val="both"/>
        <w:ind w:left="720" w:hanging="359"/>
        <w:spacing w:after="0" w:line="259"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Independence” portion, “Board Meetings and Annual Meeting Attendance” portion, the membership table of the portion entitled “Board Committees”, the "Nominating and Governance Committee" portion and the "Audit Committee" portion of the section entitled “Corporate Governance”.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0">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Incorporated by reference to the sections entitled “Director Compensation”, “Compensation Committee Report”, “Compensation Discussion and Analysis”, “Executive Compensation Tables”, “Pay Ratio”, and "Pay Versus Performance" of the registrant’s 2024 Proxy Statement.</w:t>
      </w:r>
    </w:p>
    <w:p>
      <w:pPr>
        <w:sectPr>
          <w:pgSz w:w="11880" w:h="15480" w:orient="portrait"/>
          <w:cols w:equalWidth="0" w:num="1">
            <w:col w:w="10600"/>
          </w:cols>
          <w:pgMar w:left="640" w:top="78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600"/>
          </w:cols>
          <w:pgMar w:left="640" w:top="781" w:right="640" w:bottom="0" w:gutter="0" w:footer="0" w:header="0"/>
          <w:type w:val="continuous"/>
        </w:sectPr>
      </w:pPr>
    </w:p>
    <w:bookmarkStart w:id="42" w:name="page43"/>
    <w:bookmarkEnd w:id="42"/>
    <w:p>
      <w:pPr>
        <w:ind w:left="1120" w:right="200" w:hanging="1058"/>
        <w:spacing w:after="0" w:line="237" w:lineRule="auto"/>
        <w:rPr>
          <w:sz w:val="20"/>
          <w:szCs w:val="20"/>
          <w:color w:val="auto"/>
        </w:rPr>
      </w:pPr>
      <w:r>
        <w:rPr>
          <w:rFonts w:ascii="Times New Roman" w:cs="Times New Roman" w:eastAsia="Times New Roman" w:hAnsi="Times New Roman"/>
          <w:sz w:val="24"/>
          <w:szCs w:val="24"/>
          <w:b w:val="1"/>
          <w:bCs w:val="1"/>
          <w:color w:val="4C4C4C"/>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720840"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1">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1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The information required under Item 403 of Regulation S-K is incorporated by reference to the sections “Certain Beneficial Owners” and “Director and Executive Officer Stock Ownership” of the registrant’s 2024 Proxy Statement.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C"/>
        </w:rPr>
        <w:t>Equity Compensation Plan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wp:posOffset>
                </wp:positionH>
                <wp:positionV relativeFrom="paragraph">
                  <wp:posOffset>38735</wp:posOffset>
                </wp:positionV>
                <wp:extent cx="661860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8605"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pt,3.05pt" to="525.55pt,3.05pt" o:allowincell="f" strokecolor="#4C4C4C" strokeweight="0.49pt"/>
            </w:pict>
          </mc:Fallback>
        </mc:AlternateContent>
      </w:r>
    </w:p>
    <w:p>
      <w:pPr>
        <w:spacing w:after="0" w:line="7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1400" w:type="dxa"/>
            <w:vAlign w:val="bottom"/>
          </w:tcPr>
          <w:p>
            <w:pPr>
              <w:jc w:val="center"/>
              <w:ind w:left="404"/>
              <w:spacing w:after="0"/>
              <w:rPr>
                <w:sz w:val="20"/>
                <w:szCs w:val="20"/>
                <w:color w:val="auto"/>
              </w:rPr>
            </w:pPr>
            <w:r>
              <w:rPr>
                <w:rFonts w:ascii="Times New Roman" w:cs="Times New Roman" w:eastAsia="Times New Roman" w:hAnsi="Times New Roman"/>
                <w:sz w:val="16"/>
                <w:szCs w:val="16"/>
                <w:b w:val="1"/>
                <w:bCs w:val="1"/>
                <w:i w:val="1"/>
                <w:iCs w:val="1"/>
                <w:color w:val="4C4C4C"/>
                <w:w w:val="96"/>
              </w:rPr>
              <w:t>(a)</w:t>
            </w:r>
          </w:p>
        </w:tc>
        <w:tc>
          <w:tcPr>
            <w:tcW w:w="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4C4C4C"/>
                <w:w w:val="96"/>
              </w:rPr>
              <w:t>(b)</w:t>
            </w:r>
          </w:p>
        </w:tc>
        <w:tc>
          <w:tcPr>
            <w:tcW w:w="1340" w:type="dxa"/>
            <w:vAlign w:val="bottom"/>
          </w:tcPr>
          <w:p>
            <w:pPr>
              <w:jc w:val="center"/>
              <w:ind w:left="784"/>
              <w:spacing w:after="0"/>
              <w:rPr>
                <w:sz w:val="20"/>
                <w:szCs w:val="20"/>
                <w:color w:val="auto"/>
              </w:rPr>
            </w:pPr>
            <w:r>
              <w:rPr>
                <w:rFonts w:ascii="Times New Roman" w:cs="Times New Roman" w:eastAsia="Times New Roman" w:hAnsi="Times New Roman"/>
                <w:sz w:val="16"/>
                <w:szCs w:val="16"/>
                <w:b w:val="1"/>
                <w:bCs w:val="1"/>
                <w:i w:val="1"/>
                <w:iCs w:val="1"/>
                <w:color w:val="4C4C4C"/>
              </w:rPr>
              <w:t>(c)</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49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940" w:type="dxa"/>
            <w:vAlign w:val="bottom"/>
            <w:shd w:val="clear" w:color="auto" w:fill="4C4C4C"/>
          </w:tcPr>
          <w:p>
            <w:pPr>
              <w:spacing w:after="0"/>
              <w:rPr>
                <w:sz w:val="24"/>
                <w:szCs w:val="24"/>
                <w:color w:val="auto"/>
              </w:rPr>
            </w:pPr>
          </w:p>
        </w:tc>
        <w:tc>
          <w:tcPr>
            <w:tcW w:w="1400" w:type="dxa"/>
            <w:vAlign w:val="bottom"/>
            <w:shd w:val="clear" w:color="auto" w:fill="4C4C4C"/>
          </w:tcPr>
          <w:p>
            <w:pPr>
              <w:jc w:val="center"/>
              <w:ind w:left="404"/>
              <w:spacing w:after="0"/>
              <w:rPr>
                <w:sz w:val="20"/>
                <w:szCs w:val="20"/>
                <w:color w:val="auto"/>
              </w:rPr>
            </w:pPr>
            <w:r>
              <w:rPr>
                <w:rFonts w:ascii="Times New Roman" w:cs="Times New Roman" w:eastAsia="Times New Roman" w:hAnsi="Times New Roman"/>
                <w:sz w:val="20"/>
                <w:szCs w:val="20"/>
                <w:b w:val="1"/>
                <w:bCs w:val="1"/>
                <w:color w:val="FFFFFF"/>
                <w:w w:val="96"/>
              </w:rPr>
              <w:t>Number of</w:t>
            </w:r>
          </w:p>
        </w:tc>
        <w:tc>
          <w:tcPr>
            <w:tcW w:w="440" w:type="dxa"/>
            <w:vAlign w:val="bottom"/>
            <w:shd w:val="clear" w:color="auto" w:fill="4C4C4C"/>
          </w:tcPr>
          <w:p>
            <w:pPr>
              <w:spacing w:after="0"/>
              <w:rPr>
                <w:sz w:val="24"/>
                <w:szCs w:val="24"/>
                <w:color w:val="auto"/>
              </w:rPr>
            </w:pPr>
          </w:p>
        </w:tc>
        <w:tc>
          <w:tcPr>
            <w:tcW w:w="14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Weighted-</w:t>
            </w:r>
          </w:p>
        </w:tc>
        <w:tc>
          <w:tcPr>
            <w:tcW w:w="2200" w:type="dxa"/>
            <w:vAlign w:val="bottom"/>
            <w:gridSpan w:val="2"/>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Number of Securities</w:t>
            </w:r>
          </w:p>
        </w:tc>
        <w:tc>
          <w:tcPr>
            <w:tcW w:w="0" w:type="dxa"/>
            <w:vAlign w:val="bottom"/>
          </w:tcPr>
          <w:p>
            <w:pPr>
              <w:spacing w:after="0"/>
              <w:rPr>
                <w:sz w:val="1"/>
                <w:szCs w:val="1"/>
                <w:color w:val="auto"/>
              </w:rPr>
            </w:pPr>
          </w:p>
        </w:tc>
      </w:tr>
      <w:tr>
        <w:trPr>
          <w:trHeight w:val="196"/>
        </w:trPr>
        <w:tc>
          <w:tcPr>
            <w:tcW w:w="4940" w:type="dxa"/>
            <w:vAlign w:val="bottom"/>
            <w:shd w:val="clear" w:color="auto" w:fill="4C4C4C"/>
          </w:tcPr>
          <w:p>
            <w:pPr>
              <w:spacing w:after="0"/>
              <w:rPr>
                <w:sz w:val="17"/>
                <w:szCs w:val="17"/>
                <w:color w:val="auto"/>
              </w:rPr>
            </w:pPr>
          </w:p>
        </w:tc>
        <w:tc>
          <w:tcPr>
            <w:tcW w:w="184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6"/>
              </w:rPr>
              <w:t>Securities to be</w:t>
            </w:r>
          </w:p>
        </w:tc>
        <w:tc>
          <w:tcPr>
            <w:tcW w:w="1460" w:type="dxa"/>
            <w:vAlign w:val="bottom"/>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8"/>
              </w:rPr>
              <w:t>Average</w:t>
            </w:r>
          </w:p>
        </w:tc>
        <w:tc>
          <w:tcPr>
            <w:tcW w:w="220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8"/>
              </w:rPr>
              <w:t>Remaining Available for</w:t>
            </w:r>
          </w:p>
        </w:tc>
        <w:tc>
          <w:tcPr>
            <w:tcW w:w="0" w:type="dxa"/>
            <w:vAlign w:val="bottom"/>
          </w:tcPr>
          <w:p>
            <w:pPr>
              <w:spacing w:after="0"/>
              <w:rPr>
                <w:sz w:val="1"/>
                <w:szCs w:val="1"/>
                <w:color w:val="auto"/>
              </w:rPr>
            </w:pPr>
          </w:p>
        </w:tc>
      </w:tr>
      <w:tr>
        <w:trPr>
          <w:trHeight w:val="196"/>
        </w:trPr>
        <w:tc>
          <w:tcPr>
            <w:tcW w:w="494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Plan Category</w:t>
            </w:r>
          </w:p>
        </w:tc>
        <w:tc>
          <w:tcPr>
            <w:tcW w:w="184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Issued Upon</w:t>
            </w:r>
          </w:p>
        </w:tc>
        <w:tc>
          <w:tcPr>
            <w:tcW w:w="1460" w:type="dxa"/>
            <w:vAlign w:val="bottom"/>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6"/>
              </w:rPr>
              <w:t>Exercise Price</w:t>
            </w:r>
          </w:p>
        </w:tc>
        <w:tc>
          <w:tcPr>
            <w:tcW w:w="220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8"/>
              </w:rPr>
              <w:t>Future Issuance Under</w:t>
            </w:r>
          </w:p>
        </w:tc>
        <w:tc>
          <w:tcPr>
            <w:tcW w:w="0" w:type="dxa"/>
            <w:vAlign w:val="bottom"/>
          </w:tcPr>
          <w:p>
            <w:pPr>
              <w:spacing w:after="0"/>
              <w:rPr>
                <w:sz w:val="1"/>
                <w:szCs w:val="1"/>
                <w:color w:val="auto"/>
              </w:rPr>
            </w:pPr>
          </w:p>
        </w:tc>
      </w:tr>
      <w:tr>
        <w:trPr>
          <w:trHeight w:val="196"/>
        </w:trPr>
        <w:tc>
          <w:tcPr>
            <w:tcW w:w="4940" w:type="dxa"/>
            <w:vAlign w:val="bottom"/>
            <w:vMerge w:val="continue"/>
            <w:shd w:val="clear" w:color="auto" w:fill="4C4C4C"/>
          </w:tcPr>
          <w:p>
            <w:pPr>
              <w:spacing w:after="0"/>
              <w:rPr>
                <w:sz w:val="17"/>
                <w:szCs w:val="17"/>
                <w:color w:val="auto"/>
              </w:rPr>
            </w:pPr>
          </w:p>
        </w:tc>
        <w:tc>
          <w:tcPr>
            <w:tcW w:w="184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Exercise of</w:t>
            </w:r>
          </w:p>
        </w:tc>
        <w:tc>
          <w:tcPr>
            <w:tcW w:w="1460" w:type="dxa"/>
            <w:vAlign w:val="bottom"/>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8"/>
              </w:rPr>
              <w:t>of Outstanding</w:t>
            </w:r>
          </w:p>
        </w:tc>
        <w:tc>
          <w:tcPr>
            <w:tcW w:w="220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Equity Compensation</w:t>
            </w:r>
          </w:p>
        </w:tc>
        <w:tc>
          <w:tcPr>
            <w:tcW w:w="0" w:type="dxa"/>
            <w:vAlign w:val="bottom"/>
          </w:tcPr>
          <w:p>
            <w:pPr>
              <w:spacing w:after="0"/>
              <w:rPr>
                <w:sz w:val="1"/>
                <w:szCs w:val="1"/>
                <w:color w:val="auto"/>
              </w:rPr>
            </w:pPr>
          </w:p>
        </w:tc>
      </w:tr>
      <w:tr>
        <w:trPr>
          <w:trHeight w:val="196"/>
        </w:trPr>
        <w:tc>
          <w:tcPr>
            <w:tcW w:w="4940" w:type="dxa"/>
            <w:vAlign w:val="bottom"/>
            <w:shd w:val="clear" w:color="auto" w:fill="4C4C4C"/>
          </w:tcPr>
          <w:p>
            <w:pPr>
              <w:spacing w:after="0"/>
              <w:rPr>
                <w:sz w:val="17"/>
                <w:szCs w:val="17"/>
                <w:color w:val="auto"/>
              </w:rPr>
            </w:pPr>
          </w:p>
        </w:tc>
        <w:tc>
          <w:tcPr>
            <w:tcW w:w="184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9"/>
              </w:rPr>
              <w:t>Outstanding</w:t>
            </w:r>
          </w:p>
        </w:tc>
        <w:tc>
          <w:tcPr>
            <w:tcW w:w="1460" w:type="dxa"/>
            <w:vAlign w:val="bottom"/>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6"/>
              </w:rPr>
              <w:t>Options,</w:t>
            </w:r>
          </w:p>
        </w:tc>
        <w:tc>
          <w:tcPr>
            <w:tcW w:w="220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Plans [Excluding</w:t>
            </w:r>
          </w:p>
        </w:tc>
        <w:tc>
          <w:tcPr>
            <w:tcW w:w="0" w:type="dxa"/>
            <w:vAlign w:val="bottom"/>
          </w:tcPr>
          <w:p>
            <w:pPr>
              <w:spacing w:after="0"/>
              <w:rPr>
                <w:sz w:val="1"/>
                <w:szCs w:val="1"/>
                <w:color w:val="auto"/>
              </w:rPr>
            </w:pPr>
          </w:p>
        </w:tc>
      </w:tr>
      <w:tr>
        <w:trPr>
          <w:trHeight w:val="196"/>
        </w:trPr>
        <w:tc>
          <w:tcPr>
            <w:tcW w:w="4940" w:type="dxa"/>
            <w:vAlign w:val="bottom"/>
            <w:shd w:val="clear" w:color="auto" w:fill="4C4C4C"/>
          </w:tcPr>
          <w:p>
            <w:pPr>
              <w:spacing w:after="0"/>
              <w:rPr>
                <w:sz w:val="17"/>
                <w:szCs w:val="17"/>
                <w:color w:val="auto"/>
              </w:rPr>
            </w:pPr>
          </w:p>
        </w:tc>
        <w:tc>
          <w:tcPr>
            <w:tcW w:w="184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8"/>
              </w:rPr>
              <w:t>Options, Warrants</w:t>
            </w:r>
          </w:p>
        </w:tc>
        <w:tc>
          <w:tcPr>
            <w:tcW w:w="1460" w:type="dxa"/>
            <w:vAlign w:val="bottom"/>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Warrants and</w:t>
            </w:r>
          </w:p>
        </w:tc>
        <w:tc>
          <w:tcPr>
            <w:tcW w:w="2200" w:type="dxa"/>
            <w:vAlign w:val="bottom"/>
            <w:gridSpan w:val="2"/>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Securities Reflected in</w:t>
            </w:r>
          </w:p>
        </w:tc>
        <w:tc>
          <w:tcPr>
            <w:tcW w:w="0" w:type="dxa"/>
            <w:vAlign w:val="bottom"/>
          </w:tcPr>
          <w:p>
            <w:pPr>
              <w:spacing w:after="0"/>
              <w:rPr>
                <w:sz w:val="1"/>
                <w:szCs w:val="1"/>
                <w:color w:val="auto"/>
              </w:rPr>
            </w:pPr>
          </w:p>
        </w:tc>
      </w:tr>
      <w:tr>
        <w:trPr>
          <w:trHeight w:val="261"/>
        </w:trPr>
        <w:tc>
          <w:tcPr>
            <w:tcW w:w="4940" w:type="dxa"/>
            <w:vAlign w:val="bottom"/>
            <w:shd w:val="clear" w:color="auto" w:fill="4C4C4C"/>
          </w:tcPr>
          <w:p>
            <w:pPr>
              <w:spacing w:after="0"/>
              <w:rPr>
                <w:sz w:val="22"/>
                <w:szCs w:val="22"/>
                <w:color w:val="auto"/>
              </w:rPr>
            </w:pPr>
          </w:p>
        </w:tc>
        <w:tc>
          <w:tcPr>
            <w:tcW w:w="1400" w:type="dxa"/>
            <w:vAlign w:val="bottom"/>
            <w:shd w:val="clear" w:color="auto" w:fill="4C4C4C"/>
          </w:tcPr>
          <w:p>
            <w:pPr>
              <w:jc w:val="center"/>
              <w:ind w:left="404"/>
              <w:spacing w:after="0"/>
              <w:rPr>
                <w:sz w:val="20"/>
                <w:szCs w:val="20"/>
                <w:color w:val="auto"/>
              </w:rPr>
            </w:pPr>
            <w:r>
              <w:rPr>
                <w:rFonts w:ascii="Times New Roman" w:cs="Times New Roman" w:eastAsia="Times New Roman" w:hAnsi="Times New Roman"/>
                <w:sz w:val="20"/>
                <w:szCs w:val="20"/>
                <w:b w:val="1"/>
                <w:bCs w:val="1"/>
                <w:color w:val="FFFFFF"/>
                <w:w w:val="96"/>
              </w:rPr>
              <w:t>and Rights</w:t>
            </w:r>
          </w:p>
        </w:tc>
        <w:tc>
          <w:tcPr>
            <w:tcW w:w="440" w:type="dxa"/>
            <w:vAlign w:val="bottom"/>
            <w:shd w:val="clear" w:color="auto" w:fill="4C4C4C"/>
          </w:tcPr>
          <w:p>
            <w:pPr>
              <w:spacing w:after="0"/>
              <w:rPr>
                <w:sz w:val="22"/>
                <w:szCs w:val="22"/>
                <w:color w:val="auto"/>
              </w:rPr>
            </w:pPr>
          </w:p>
        </w:tc>
        <w:tc>
          <w:tcPr>
            <w:tcW w:w="14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Rights</w:t>
            </w:r>
          </w:p>
        </w:tc>
        <w:tc>
          <w:tcPr>
            <w:tcW w:w="2200" w:type="dxa"/>
            <w:vAlign w:val="bottom"/>
            <w:gridSpan w:val="2"/>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Column (a)]</w:t>
            </w:r>
          </w:p>
        </w:tc>
        <w:tc>
          <w:tcPr>
            <w:tcW w:w="0" w:type="dxa"/>
            <w:vAlign w:val="bottom"/>
          </w:tcPr>
          <w:p>
            <w:pPr>
              <w:spacing w:after="0"/>
              <w:rPr>
                <w:sz w:val="1"/>
                <w:szCs w:val="1"/>
                <w:color w:val="auto"/>
              </w:rPr>
            </w:pPr>
          </w:p>
        </w:tc>
      </w:tr>
      <w:tr>
        <w:trPr>
          <w:trHeight w:val="224"/>
        </w:trPr>
        <w:tc>
          <w:tcPr>
            <w:tcW w:w="4940" w:type="dxa"/>
            <w:vAlign w:val="bottom"/>
            <w:shd w:val="clear" w:color="auto" w:fill="4C4C4C"/>
          </w:tcPr>
          <w:p>
            <w:pPr>
              <w:spacing w:after="0"/>
              <w:rPr>
                <w:sz w:val="19"/>
                <w:szCs w:val="19"/>
                <w:color w:val="auto"/>
              </w:rPr>
            </w:pPr>
          </w:p>
        </w:tc>
        <w:tc>
          <w:tcPr>
            <w:tcW w:w="1400" w:type="dxa"/>
            <w:vAlign w:val="bottom"/>
            <w:shd w:val="clear" w:color="auto" w:fill="4C4C4C"/>
          </w:tcPr>
          <w:p>
            <w:pPr>
              <w:spacing w:after="0"/>
              <w:rPr>
                <w:sz w:val="19"/>
                <w:szCs w:val="19"/>
                <w:color w:val="auto"/>
              </w:rPr>
            </w:pPr>
          </w:p>
        </w:tc>
        <w:tc>
          <w:tcPr>
            <w:tcW w:w="440" w:type="dxa"/>
            <w:vAlign w:val="bottom"/>
            <w:shd w:val="clear" w:color="auto" w:fill="4C4C4C"/>
          </w:tcPr>
          <w:p>
            <w:pPr>
              <w:spacing w:after="0"/>
              <w:rPr>
                <w:sz w:val="19"/>
                <w:szCs w:val="19"/>
                <w:color w:val="auto"/>
              </w:rPr>
            </w:pPr>
          </w:p>
        </w:tc>
        <w:tc>
          <w:tcPr>
            <w:tcW w:w="1460" w:type="dxa"/>
            <w:vAlign w:val="bottom"/>
            <w:shd w:val="clear" w:color="auto" w:fill="4C4C4C"/>
          </w:tcPr>
          <w:p>
            <w:pPr>
              <w:spacing w:after="0"/>
              <w:rPr>
                <w:sz w:val="19"/>
                <w:szCs w:val="19"/>
                <w:color w:val="auto"/>
              </w:rPr>
            </w:pPr>
          </w:p>
        </w:tc>
        <w:tc>
          <w:tcPr>
            <w:tcW w:w="1340" w:type="dxa"/>
            <w:vAlign w:val="bottom"/>
            <w:shd w:val="clear" w:color="auto" w:fill="4C4C4C"/>
          </w:tcPr>
          <w:p>
            <w:pPr>
              <w:spacing w:after="0"/>
              <w:rPr>
                <w:sz w:val="19"/>
                <w:szCs w:val="19"/>
                <w:color w:val="auto"/>
              </w:rPr>
            </w:pPr>
          </w:p>
        </w:tc>
        <w:tc>
          <w:tcPr>
            <w:tcW w:w="860" w:type="dxa"/>
            <w:vAlign w:val="bottom"/>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4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43,076,160</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0"/>
                <w:szCs w:val="10"/>
                <w:i w:val="1"/>
                <w:iCs w:val="1"/>
                <w:color w:val="auto"/>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54,253,587</w:t>
            </w:r>
          </w:p>
        </w:tc>
        <w:tc>
          <w:tcPr>
            <w:tcW w:w="860" w:type="dxa"/>
            <w:vAlign w:val="bottom"/>
          </w:tcPr>
          <w:p>
            <w:pPr>
              <w:jc w:val="right"/>
              <w:ind w:right="469"/>
              <w:spacing w:after="0"/>
              <w:rPr>
                <w:sz w:val="20"/>
                <w:szCs w:val="20"/>
                <w:color w:val="auto"/>
              </w:rPr>
            </w:pPr>
            <w:r>
              <w:rPr>
                <w:rFonts w:ascii="Times New Roman" w:cs="Times New Roman" w:eastAsia="Times New Roman" w:hAnsi="Times New Roman"/>
                <w:sz w:val="10"/>
                <w:szCs w:val="10"/>
                <w:i w:val="1"/>
                <w:iCs w:val="1"/>
                <w:color w:val="auto"/>
              </w:rPr>
              <w:t>(2)(3)</w:t>
            </w:r>
          </w:p>
        </w:tc>
        <w:tc>
          <w:tcPr>
            <w:tcW w:w="0" w:type="dxa"/>
            <w:vAlign w:val="bottom"/>
          </w:tcPr>
          <w:p>
            <w:pPr>
              <w:spacing w:after="0"/>
              <w:rPr>
                <w:sz w:val="1"/>
                <w:szCs w:val="1"/>
                <w:color w:val="auto"/>
              </w:rPr>
            </w:pPr>
          </w:p>
        </w:tc>
      </w:tr>
      <w:tr>
        <w:trPr>
          <w:trHeight w:val="588"/>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4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40" w:type="dxa"/>
            <w:vAlign w:val="bottom"/>
            <w:tcBorders>
              <w:bottom w:val="single" w:sz="8" w:color="4C4C4C"/>
            </w:tcBorders>
          </w:tcPr>
          <w:p>
            <w:pPr>
              <w:spacing w:after="0"/>
              <w:rPr>
                <w:sz w:val="24"/>
                <w:szCs w:val="24"/>
                <w:color w:val="auto"/>
              </w:rPr>
            </w:pPr>
          </w:p>
        </w:tc>
        <w:tc>
          <w:tcPr>
            <w:tcW w:w="1400" w:type="dxa"/>
            <w:vAlign w:val="bottom"/>
            <w:tcBorders>
              <w:bottom w:val="single" w:sz="8" w:color="4C4C4C"/>
            </w:tcBorders>
          </w:tcPr>
          <w:p>
            <w:pPr>
              <w:spacing w:after="0"/>
              <w:rPr>
                <w:sz w:val="24"/>
                <w:szCs w:val="24"/>
                <w:color w:val="auto"/>
              </w:rPr>
            </w:pPr>
          </w:p>
        </w:tc>
        <w:tc>
          <w:tcPr>
            <w:tcW w:w="440" w:type="dxa"/>
            <w:vAlign w:val="bottom"/>
            <w:tcBorders>
              <w:bottom w:val="single" w:sz="8" w:color="4C4C4C"/>
            </w:tcBorders>
          </w:tcPr>
          <w:p>
            <w:pPr>
              <w:spacing w:after="0"/>
              <w:rPr>
                <w:sz w:val="24"/>
                <w:szCs w:val="24"/>
                <w:color w:val="auto"/>
              </w:rPr>
            </w:pPr>
          </w:p>
        </w:tc>
        <w:tc>
          <w:tcPr>
            <w:tcW w:w="1460" w:type="dxa"/>
            <w:vAlign w:val="bottom"/>
            <w:tcBorders>
              <w:bottom w:val="single" w:sz="8" w:color="4C4C4C"/>
            </w:tcBorders>
          </w:tcPr>
          <w:p>
            <w:pPr>
              <w:spacing w:after="0"/>
              <w:rPr>
                <w:sz w:val="24"/>
                <w:szCs w:val="24"/>
                <w:color w:val="auto"/>
              </w:rPr>
            </w:pPr>
          </w:p>
        </w:tc>
        <w:tc>
          <w:tcPr>
            <w:tcW w:w="1340" w:type="dxa"/>
            <w:vAlign w:val="bottom"/>
            <w:tcBorders>
              <w:bottom w:val="single" w:sz="8" w:color="4C4C4C"/>
            </w:tcBorders>
          </w:tcPr>
          <w:p>
            <w:pPr>
              <w:spacing w:after="0"/>
              <w:rPr>
                <w:sz w:val="24"/>
                <w:szCs w:val="24"/>
                <w:color w:val="auto"/>
              </w:rPr>
            </w:pPr>
          </w:p>
        </w:tc>
        <w:tc>
          <w:tcPr>
            <w:tcW w:w="860" w:type="dxa"/>
            <w:vAlign w:val="bottom"/>
            <w:tcBorders>
              <w:bottom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9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tcBorders>
              <w:bottom w:val="single" w:sz="8" w:color="4C4C4C"/>
            </w:tcBorders>
          </w:tcPr>
          <w:p>
            <w:pPr>
              <w:jc w:val="right"/>
              <w:ind w:right="84"/>
              <w:spacing w:after="0"/>
              <w:rPr>
                <w:sz w:val="20"/>
                <w:szCs w:val="20"/>
                <w:color w:val="auto"/>
              </w:rPr>
            </w:pPr>
            <w:r>
              <w:rPr>
                <w:rFonts w:ascii="Times New Roman" w:cs="Times New Roman" w:eastAsia="Times New Roman" w:hAnsi="Times New Roman"/>
                <w:sz w:val="20"/>
                <w:szCs w:val="20"/>
                <w:b w:val="1"/>
                <w:bCs w:val="1"/>
                <w:color w:val="auto"/>
              </w:rPr>
              <w:t>43,076,160</w:t>
            </w:r>
          </w:p>
        </w:tc>
        <w:tc>
          <w:tcPr>
            <w:tcW w:w="440" w:type="dxa"/>
            <w:vAlign w:val="bottom"/>
            <w:tcBorders>
              <w:bottom w:val="single" w:sz="8" w:color="4C4C4C"/>
            </w:tcBorders>
          </w:tcPr>
          <w:p>
            <w:pPr>
              <w:spacing w:after="0"/>
              <w:rPr>
                <w:sz w:val="23"/>
                <w:szCs w:val="23"/>
                <w:color w:val="auto"/>
              </w:rPr>
            </w:pPr>
          </w:p>
        </w:tc>
        <w:tc>
          <w:tcPr>
            <w:tcW w:w="146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34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54,253,587</w:t>
            </w:r>
          </w:p>
        </w:tc>
        <w:tc>
          <w:tcPr>
            <w:tcW w:w="860" w:type="dxa"/>
            <w:vAlign w:val="bottom"/>
            <w:tcBorders>
              <w:bottom w:val="single" w:sz="8" w:color="4C4C4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300" w:hanging="160"/>
        <w:spacing w:after="0"/>
        <w:tabs>
          <w:tab w:leader="none" w:pos="300" w:val="left"/>
        </w:tabs>
        <w:numPr>
          <w:ilvl w:val="0"/>
          <w:numId w:val="1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The number of restricted stock units to be settled in shares.</w:t>
      </w:r>
    </w:p>
    <w:p>
      <w:pPr>
        <w:spacing w:after="0" w:line="34" w:lineRule="exact"/>
        <w:rPr>
          <w:rFonts w:ascii="Times New Roman" w:cs="Times New Roman" w:eastAsia="Times New Roman" w:hAnsi="Times New Roman"/>
          <w:sz w:val="20"/>
          <w:szCs w:val="20"/>
          <w:i w:val="1"/>
          <w:iCs w:val="1"/>
          <w:color w:val="auto"/>
          <w:vertAlign w:val="superscript"/>
        </w:rPr>
      </w:pPr>
    </w:p>
    <w:p>
      <w:pPr>
        <w:ind w:left="140" w:right="140"/>
        <w:spacing w:after="0" w:line="217" w:lineRule="auto"/>
        <w:tabs>
          <w:tab w:leader="none" w:pos="299" w:val="left"/>
        </w:tabs>
        <w:numPr>
          <w:ilvl w:val="0"/>
          <w:numId w:val="1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Available shares can be granted in the form of restricted stock or other stock-based awards. Includes 53,971,387 shares available for award under the 2003 Incentive Program and 282,200 shares available for award under the 2004 Non-Employee Director Restricted Stock Plan.</w:t>
      </w:r>
    </w:p>
    <w:p>
      <w:pPr>
        <w:spacing w:after="0" w:line="20" w:lineRule="exact"/>
        <w:rPr>
          <w:rFonts w:ascii="Times New Roman" w:cs="Times New Roman" w:eastAsia="Times New Roman" w:hAnsi="Times New Roman"/>
          <w:sz w:val="20"/>
          <w:szCs w:val="20"/>
          <w:i w:val="1"/>
          <w:iCs w:val="1"/>
          <w:color w:val="auto"/>
          <w:vertAlign w:val="superscript"/>
        </w:rPr>
      </w:pPr>
    </w:p>
    <w:p>
      <w:pPr>
        <w:jc w:val="both"/>
        <w:ind w:left="140" w:right="140"/>
        <w:spacing w:after="0" w:line="277" w:lineRule="auto"/>
        <w:tabs>
          <w:tab w:leader="none" w:pos="286" w:val="left"/>
        </w:tabs>
        <w:numPr>
          <w:ilvl w:val="0"/>
          <w:numId w:val="14"/>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Under the 2004 Non-Employee Director Restricted Stock Plan approved by shareholders in May 2004, and the related standing resolution adopted by the Board, each non-employee director automatically receives 8,000 shares of restricted stock when first elected to the Board and, if the director remains in office, an additional 2,500 restricted shares each following year. While on the Board, each non-employee director receives the same cash dividends on restricted shares as a holder of regular common stock, but the director is not allowed to sell the shares. The restricted shares may be forfeited if the director leaves the Board early.</w:t>
      </w:r>
    </w:p>
    <w:p>
      <w:pPr>
        <w:spacing w:after="0" w:line="345" w:lineRule="exact"/>
        <w:rPr>
          <w:sz w:val="20"/>
          <w:szCs w:val="20"/>
          <w:color w:val="auto"/>
        </w:rPr>
      </w:pPr>
    </w:p>
    <w:p>
      <w:pPr>
        <w:ind w:left="1120" w:right="780" w:hanging="1058"/>
        <w:spacing w:after="0" w:line="237" w:lineRule="auto"/>
        <w:rPr>
          <w:sz w:val="20"/>
          <w:szCs w:val="20"/>
          <w:color w:val="auto"/>
        </w:rPr>
      </w:pPr>
      <w:r>
        <w:rPr>
          <w:rFonts w:ascii="Times New Roman" w:cs="Times New Roman" w:eastAsia="Times New Roman" w:hAnsi="Times New Roman"/>
          <w:sz w:val="24"/>
          <w:szCs w:val="24"/>
          <w:b w:val="1"/>
          <w:bCs w:val="1"/>
          <w:color w:val="4C4C4C"/>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720840"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2">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Incorporated by reference to the portion entitled “Related Person Transactions and Procedures” of the section entitled “Director and Executive Officer Stock Ownership”; and the portion entitled “Director Independence” of the section entitled “Corporate Governance” of the registrant’s 2024 Proxy Statement.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3">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Incorporated by reference to the portion entitled “Audit Committee” of the section entitled “Corporate Governance” and the section entitled “Ratification of Independent Auditors” of the registrant’s 2024 Proxy Statement.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4C4C4C"/>
        </w:rPr>
        <w:t>PART IV</w:t>
      </w: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15. EXHIBIT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4">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74" w:lineRule="exact"/>
        <w:rPr>
          <w:sz w:val="20"/>
          <w:szCs w:val="20"/>
          <w:color w:val="auto"/>
        </w:rPr>
      </w:pPr>
    </w:p>
    <w:p>
      <w:pPr>
        <w:ind w:left="720" w:hanging="359"/>
        <w:spacing w:after="0"/>
        <w:tabs>
          <w:tab w:leader="none" w:pos="7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 and (2) Financial Statements: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See Table of Contents of the Financial Section of this report.</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 (3) Exhibits:</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See Index to Exhibits of this report.</w:t>
      </w:r>
    </w:p>
    <w:p>
      <w:pPr>
        <w:spacing w:after="0" w:line="3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4C4C4C"/>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720840"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5">
                      <a:extLst>
                        <a:ext uri="{28A0092B-C50C-407E-A947-70E740481C1C}"/>
                      </a:extLst>
                    </a:blip>
                    <a:srcRect/>
                    <a:stretch>
                      <a:fillRect/>
                    </a:stretch>
                  </pic:blipFill>
                  <pic:spPr bwMode="auto">
                    <a:xfrm>
                      <a:off x="0" y="0"/>
                      <a:ext cx="6720840" cy="184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600"/>
          </w:cols>
          <w:pgMar w:left="640" w:top="763" w:right="640" w:bottom="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600"/>
          </w:cols>
          <w:pgMar w:left="640" w:top="763" w:right="640"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364"/>
        </w:trPr>
        <w:tc>
          <w:tcPr>
            <w:tcW w:w="800" w:type="dxa"/>
            <w:vAlign w:val="bottom"/>
          </w:tcPr>
          <w:p>
            <w:pPr>
              <w:spacing w:after="0"/>
              <w:rPr>
                <w:sz w:val="24"/>
                <w:szCs w:val="24"/>
                <w:color w:val="auto"/>
              </w:rPr>
            </w:pPr>
          </w:p>
        </w:tc>
        <w:tc>
          <w:tcPr>
            <w:tcW w:w="8500" w:type="dxa"/>
            <w:vAlign w:val="bottom"/>
          </w:tcPr>
          <w:p>
            <w:pPr>
              <w:ind w:left="2780"/>
              <w:spacing w:after="0"/>
              <w:rPr>
                <w:sz w:val="20"/>
                <w:szCs w:val="20"/>
                <w:color w:val="auto"/>
              </w:rPr>
            </w:pPr>
            <w:r>
              <w:rPr>
                <w:rFonts w:ascii="Times New Roman" w:cs="Times New Roman" w:eastAsia="Times New Roman" w:hAnsi="Times New Roman"/>
                <w:sz w:val="27"/>
                <w:szCs w:val="27"/>
                <w:b w:val="1"/>
                <w:bCs w:val="1"/>
                <w:color w:val="4C4C4C"/>
              </w:rPr>
              <w:t>FINANCIAL SECTION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00" w:type="dxa"/>
            <w:vAlign w:val="bottom"/>
            <w:tcBorders>
              <w:bottom w:val="single" w:sz="8" w:color="4C4C4C"/>
            </w:tcBorders>
          </w:tcPr>
          <w:p>
            <w:pPr>
              <w:spacing w:after="0"/>
              <w:rPr>
                <w:sz w:val="24"/>
                <w:szCs w:val="24"/>
                <w:color w:val="auto"/>
              </w:rPr>
            </w:pPr>
          </w:p>
        </w:tc>
        <w:tc>
          <w:tcPr>
            <w:tcW w:w="8500" w:type="dxa"/>
            <w:vAlign w:val="bottom"/>
            <w:tcBorders>
              <w:bottom w:val="single" w:sz="8" w:color="4C4C4C"/>
            </w:tcBorders>
          </w:tcPr>
          <w:p>
            <w:pPr>
              <w:ind w:left="2720"/>
              <w:spacing w:after="0"/>
              <w:rPr>
                <w:sz w:val="20"/>
                <w:szCs w:val="20"/>
                <w:color w:val="auto"/>
              </w:rPr>
            </w:pPr>
            <w:r>
              <w:rPr>
                <w:rFonts w:ascii="Times New Roman" w:cs="Times New Roman" w:eastAsia="Times New Roman" w:hAnsi="Times New Roman"/>
                <w:sz w:val="27"/>
                <w:szCs w:val="27"/>
                <w:b w:val="1"/>
                <w:bCs w:val="1"/>
                <w:color w:val="4C4C4C"/>
              </w:rPr>
              <w:t>TABLE OF CONTENTS</w:t>
            </w:r>
          </w:p>
        </w:tc>
        <w:tc>
          <w:tcPr>
            <w:tcW w:w="360" w:type="dxa"/>
            <w:vAlign w:val="bottom"/>
            <w:tcBorders>
              <w:bottom w:val="single" w:sz="8" w:color="4C4C4C"/>
            </w:tcBorders>
          </w:tcPr>
          <w:p>
            <w:pPr>
              <w:spacing w:after="0"/>
              <w:rPr>
                <w:sz w:val="24"/>
                <w:szCs w:val="24"/>
                <w:color w:val="auto"/>
              </w:rPr>
            </w:pPr>
          </w:p>
        </w:tc>
        <w:tc>
          <w:tcPr>
            <w:tcW w:w="100" w:type="dxa"/>
            <w:vAlign w:val="bottom"/>
            <w:tcBorders>
              <w:bottom w:val="single" w:sz="8" w:color="4C4C4C"/>
            </w:tcBorders>
          </w:tcPr>
          <w:p>
            <w:pPr>
              <w:spacing w:after="0"/>
              <w:rPr>
                <w:sz w:val="24"/>
                <w:szCs w:val="24"/>
                <w:color w:val="auto"/>
              </w:rPr>
            </w:pPr>
          </w:p>
        </w:tc>
        <w:tc>
          <w:tcPr>
            <w:tcW w:w="180" w:type="dxa"/>
            <w:vAlign w:val="bottom"/>
            <w:tcBorders>
              <w:bottom w:val="single" w:sz="8" w:color="4C4C4C"/>
            </w:tcBorders>
          </w:tcPr>
          <w:p>
            <w:pPr>
              <w:spacing w:after="0"/>
              <w:rPr>
                <w:sz w:val="24"/>
                <w:szCs w:val="24"/>
                <w:color w:val="auto"/>
              </w:rPr>
            </w:pPr>
          </w:p>
        </w:tc>
        <w:tc>
          <w:tcPr>
            <w:tcW w:w="80" w:type="dxa"/>
            <w:vAlign w:val="bottom"/>
            <w:tcBorders>
              <w:bottom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9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Business Profile</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Financial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Frequently Used Terms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FFFFFF"/>
              </w:rPr>
              <w:t>Management’s Discussion and Analysis of Financial Condition and Results of Operations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4C4C4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3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right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Forward-Looking Statements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42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Overview</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Business Environment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Business Results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Liquidity and Capital Resources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Capital and Exploration Expenditures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Taxes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Environmental Matters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Market Risks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Critical Accounting Estimates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Management’s Report on Internal Control Over Financial Reporting</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FFFFFF"/>
              </w:rPr>
              <w:t>Consolidated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4C4C4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300" w:type="dxa"/>
            <w:vAlign w:val="bottom"/>
            <w:gridSpan w:val="2"/>
            <w:vMerge w:val="continue"/>
          </w:tcPr>
          <w:p>
            <w:pPr>
              <w:spacing w:after="0"/>
              <w:rPr>
                <w:sz w:val="24"/>
                <w:szCs w:val="24"/>
                <w:color w:val="auto"/>
              </w:rPr>
            </w:pPr>
          </w:p>
        </w:tc>
        <w:tc>
          <w:tcPr>
            <w:tcW w:w="360" w:type="dxa"/>
            <w:vAlign w:val="bottom"/>
            <w:tcBorders>
              <w:lef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right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Statement of Income</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Statement of Comprehensive Income</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Balance Sheet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Statement of Cash Flows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Statement of Changes in Equity</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FFFFFF"/>
              </w:rPr>
              <w:t>Notes to Consolidated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4C4C4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3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right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 Summary of Accounting Policies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2. Russia</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3. Miscellaneous Financial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4. Other Comprehensive Income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5. Cash Flow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6. Additional Working Capital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7. Equity Company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8. Investments, Advances and Long-Term Receivables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9. Property, Plant and Equipment and Asset Retirement Obligations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10.</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for Suspended Exploratory Well Costs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11.</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12.</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Earnings Per Share</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13.</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Financial Instruments and Derivatives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14.</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15.</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Incentive Program</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16.</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Litigation and Other Contingencies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17.</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Pension and Other Postretirement Benefits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18.</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Disclosures about Segments and Related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19.</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and Other Taxes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20.</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Divestment Activities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21.</w:t>
            </w:r>
          </w:p>
        </w:tc>
        <w:tc>
          <w:tcPr>
            <w:tcW w:w="8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Mergers and Acquisitions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Supplemental Information on Oil and Gas Exploration and Production Activities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C"/>
              </w:rPr>
              <w:t>120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4C4C4C"/>
          </w:tcPr>
          <w:p>
            <w:pPr>
              <w:spacing w:after="0" w:line="20" w:lineRule="exact"/>
              <w:rPr>
                <w:sz w:val="1"/>
                <w:szCs w:val="1"/>
                <w:color w:val="auto"/>
              </w:rPr>
            </w:pPr>
          </w:p>
        </w:tc>
        <w:tc>
          <w:tcPr>
            <w:tcW w:w="18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-7506970</wp:posOffset>
            </wp:positionV>
            <wp:extent cx="6372860" cy="3862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6">
                      <a:extLst>
                        <a:ext uri="{28A0092B-C50C-407E-A947-70E740481C1C}"/>
                      </a:extLst>
                    </a:blip>
                    <a:srcRect/>
                    <a:stretch>
                      <a:fillRect/>
                    </a:stretch>
                  </pic:blipFill>
                  <pic:spPr bwMode="auto">
                    <a:xfrm>
                      <a:off x="0" y="0"/>
                      <a:ext cx="6372860" cy="3862070"/>
                    </a:xfrm>
                    <a:prstGeom prst="rect">
                      <a:avLst/>
                    </a:prstGeom>
                    <a:noFill/>
                  </pic:spPr>
                </pic:pic>
              </a:graphicData>
            </a:graphic>
          </wp:anchor>
        </w:drawing>
      </w:r>
    </w:p>
    <w:p>
      <w:pPr>
        <w:sectPr>
          <w:pgSz w:w="11880" w:h="15480" w:orient="portrait"/>
          <w:cols w:equalWidth="0" w:num="1">
            <w:col w:w="10000"/>
          </w:cols>
          <w:pgMar w:left="940" w:top="697" w:right="940" w:bottom="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000"/>
          </w:cols>
          <w:pgMar w:left="940" w:top="697" w:right="94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7"/>
          <w:szCs w:val="27"/>
          <w:b w:val="1"/>
          <w:bCs w:val="1"/>
          <w:color w:val="4C4C4C"/>
        </w:rPr>
        <w:t>BUSINESS PROFILE</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40" w:type="dxa"/>
            <w:vAlign w:val="bottom"/>
            <w:shd w:val="clear" w:color="auto" w:fill="4C4C4C"/>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gridSpan w:val="2"/>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Earnings (Loss) After</w:t>
            </w:r>
          </w:p>
        </w:tc>
        <w:tc>
          <w:tcPr>
            <w:tcW w:w="60" w:type="dxa"/>
            <w:vAlign w:val="bottom"/>
          </w:tcPr>
          <w:p>
            <w:pPr>
              <w:spacing w:after="0"/>
              <w:rPr>
                <w:sz w:val="16"/>
                <w:szCs w:val="16"/>
                <w:color w:val="auto"/>
              </w:rPr>
            </w:pPr>
          </w:p>
        </w:tc>
        <w:tc>
          <w:tcPr>
            <w:tcW w:w="1820" w:type="dxa"/>
            <w:vAlign w:val="bottom"/>
            <w:gridSpan w:val="2"/>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Average Capital</w:t>
            </w:r>
          </w:p>
        </w:tc>
        <w:tc>
          <w:tcPr>
            <w:tcW w:w="60" w:type="dxa"/>
            <w:vAlign w:val="bottom"/>
          </w:tcPr>
          <w:p>
            <w:pPr>
              <w:spacing w:after="0"/>
              <w:rPr>
                <w:sz w:val="16"/>
                <w:szCs w:val="16"/>
                <w:color w:val="auto"/>
              </w:rPr>
            </w:pPr>
          </w:p>
        </w:tc>
        <w:tc>
          <w:tcPr>
            <w:tcW w:w="1340" w:type="dxa"/>
            <w:vAlign w:val="bottom"/>
            <w:gridSpan w:val="2"/>
            <w:shd w:val="clear" w:color="auto" w:fill="4C4C4C"/>
          </w:tcPr>
          <w:p>
            <w:pPr>
              <w:jc w:val="center"/>
              <w:ind w:left="378"/>
              <w:spacing w:after="0"/>
              <w:rPr>
                <w:sz w:val="20"/>
                <w:szCs w:val="20"/>
                <w:color w:val="auto"/>
              </w:rPr>
            </w:pPr>
            <w:r>
              <w:rPr>
                <w:rFonts w:ascii="Times New Roman" w:cs="Times New Roman" w:eastAsia="Times New Roman" w:hAnsi="Times New Roman"/>
                <w:sz w:val="16"/>
                <w:szCs w:val="16"/>
                <w:b w:val="1"/>
                <w:bCs w:val="1"/>
                <w:color w:val="FFFFFF"/>
                <w:w w:val="97"/>
              </w:rPr>
              <w:t>Return on</w:t>
            </w:r>
          </w:p>
        </w:tc>
        <w:tc>
          <w:tcPr>
            <w:tcW w:w="480" w:type="dxa"/>
            <w:vAlign w:val="bottom"/>
            <w:shd w:val="clear" w:color="auto" w:fill="4C4C4C"/>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2"/>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Capital and</w:t>
            </w:r>
          </w:p>
        </w:tc>
        <w:tc>
          <w:tcPr>
            <w:tcW w:w="0" w:type="dxa"/>
            <w:vAlign w:val="bottom"/>
          </w:tcPr>
          <w:p>
            <w:pPr>
              <w:spacing w:after="0"/>
              <w:rPr>
                <w:sz w:val="1"/>
                <w:szCs w:val="1"/>
                <w:color w:val="auto"/>
              </w:rPr>
            </w:pPr>
          </w:p>
        </w:tc>
      </w:tr>
      <w:tr>
        <w:trPr>
          <w:trHeight w:val="157"/>
        </w:trPr>
        <w:tc>
          <w:tcPr>
            <w:tcW w:w="3040" w:type="dxa"/>
            <w:vAlign w:val="bottom"/>
            <w:shd w:val="clear" w:color="auto" w:fill="4C4C4C"/>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2"/>
            <w:vMerge w:val="continue"/>
            <w:shd w:val="clear" w:color="auto" w:fill="4C4C4C"/>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2"/>
            <w:vMerge w:val="continue"/>
            <w:shd w:val="clear" w:color="auto" w:fill="4C4C4C"/>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3"/>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Average Capital</w:t>
            </w:r>
          </w:p>
        </w:tc>
        <w:tc>
          <w:tcPr>
            <w:tcW w:w="60" w:type="dxa"/>
            <w:vAlign w:val="bottom"/>
          </w:tcPr>
          <w:p>
            <w:pPr>
              <w:spacing w:after="0"/>
              <w:rPr>
                <w:sz w:val="13"/>
                <w:szCs w:val="13"/>
                <w:color w:val="auto"/>
              </w:rPr>
            </w:pPr>
          </w:p>
        </w:tc>
        <w:tc>
          <w:tcPr>
            <w:tcW w:w="1820" w:type="dxa"/>
            <w:vAlign w:val="bottom"/>
            <w:gridSpan w:val="2"/>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Exploration</w:t>
            </w:r>
          </w:p>
        </w:tc>
        <w:tc>
          <w:tcPr>
            <w:tcW w:w="0" w:type="dxa"/>
            <w:vAlign w:val="bottom"/>
          </w:tcPr>
          <w:p>
            <w:pPr>
              <w:spacing w:after="0"/>
              <w:rPr>
                <w:sz w:val="1"/>
                <w:szCs w:val="1"/>
                <w:color w:val="auto"/>
              </w:rPr>
            </w:pPr>
          </w:p>
        </w:tc>
      </w:tr>
      <w:tr>
        <w:trPr>
          <w:trHeight w:val="208"/>
        </w:trPr>
        <w:tc>
          <w:tcPr>
            <w:tcW w:w="3040" w:type="dxa"/>
            <w:vAlign w:val="bottom"/>
            <w:shd w:val="clear" w:color="auto" w:fill="4C4C4C"/>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2"/>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Income Taxes</w:t>
            </w:r>
          </w:p>
        </w:tc>
        <w:tc>
          <w:tcPr>
            <w:tcW w:w="60" w:type="dxa"/>
            <w:vAlign w:val="bottom"/>
          </w:tcPr>
          <w:p>
            <w:pPr>
              <w:spacing w:after="0"/>
              <w:rPr>
                <w:sz w:val="18"/>
                <w:szCs w:val="18"/>
                <w:color w:val="auto"/>
              </w:rPr>
            </w:pPr>
          </w:p>
        </w:tc>
        <w:tc>
          <w:tcPr>
            <w:tcW w:w="1820" w:type="dxa"/>
            <w:vAlign w:val="bottom"/>
            <w:gridSpan w:val="2"/>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 xml:space="preserve">Employed </w:t>
            </w:r>
            <w:r>
              <w:rPr>
                <w:rFonts w:ascii="Times New Roman" w:cs="Times New Roman" w:eastAsia="Times New Roman" w:hAnsi="Times New Roman"/>
                <w:sz w:val="16"/>
                <w:szCs w:val="16"/>
                <w:color w:val="FFFFFF"/>
                <w:w w:val="97"/>
              </w:rPr>
              <w:t>(Non-GAAP)</w:t>
            </w:r>
          </w:p>
        </w:tc>
        <w:tc>
          <w:tcPr>
            <w:tcW w:w="60" w:type="dxa"/>
            <w:vAlign w:val="bottom"/>
          </w:tcPr>
          <w:p>
            <w:pPr>
              <w:spacing w:after="0"/>
              <w:rPr>
                <w:sz w:val="18"/>
                <w:szCs w:val="18"/>
                <w:color w:val="auto"/>
              </w:rPr>
            </w:pPr>
          </w:p>
        </w:tc>
        <w:tc>
          <w:tcPr>
            <w:tcW w:w="1820" w:type="dxa"/>
            <w:vAlign w:val="bottom"/>
            <w:gridSpan w:val="3"/>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 xml:space="preserve">Employed </w:t>
            </w:r>
            <w:r>
              <w:rPr>
                <w:rFonts w:ascii="Times New Roman" w:cs="Times New Roman" w:eastAsia="Times New Roman" w:hAnsi="Times New Roman"/>
                <w:sz w:val="16"/>
                <w:szCs w:val="16"/>
                <w:color w:val="FFFFFF"/>
                <w:w w:val="98"/>
              </w:rPr>
              <w:t>(Non-GAAP)</w:t>
            </w:r>
          </w:p>
        </w:tc>
        <w:tc>
          <w:tcPr>
            <w:tcW w:w="60" w:type="dxa"/>
            <w:vAlign w:val="bottom"/>
          </w:tcPr>
          <w:p>
            <w:pPr>
              <w:spacing w:after="0"/>
              <w:rPr>
                <w:sz w:val="18"/>
                <w:szCs w:val="18"/>
                <w:color w:val="auto"/>
              </w:rPr>
            </w:pPr>
          </w:p>
        </w:tc>
        <w:tc>
          <w:tcPr>
            <w:tcW w:w="1820" w:type="dxa"/>
            <w:vAlign w:val="bottom"/>
            <w:gridSpan w:val="2"/>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Expenditures</w:t>
            </w:r>
          </w:p>
        </w:tc>
        <w:tc>
          <w:tcPr>
            <w:tcW w:w="0" w:type="dxa"/>
            <w:vAlign w:val="bottom"/>
          </w:tcPr>
          <w:p>
            <w:pPr>
              <w:spacing w:after="0"/>
              <w:rPr>
                <w:sz w:val="1"/>
                <w:szCs w:val="1"/>
                <w:color w:val="auto"/>
              </w:rPr>
            </w:pPr>
          </w:p>
        </w:tc>
      </w:tr>
      <w:tr>
        <w:trPr>
          <w:trHeight w:val="291"/>
        </w:trPr>
        <w:tc>
          <w:tcPr>
            <w:tcW w:w="304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Financial</w:t>
            </w:r>
          </w:p>
        </w:tc>
        <w:tc>
          <w:tcPr>
            <w:tcW w:w="40" w:type="dxa"/>
            <w:vAlign w:val="bottom"/>
          </w:tcPr>
          <w:p>
            <w:pPr>
              <w:spacing w:after="0"/>
              <w:rPr>
                <w:sz w:val="24"/>
                <w:szCs w:val="24"/>
                <w:color w:val="auto"/>
              </w:rPr>
            </w:pPr>
          </w:p>
        </w:tc>
        <w:tc>
          <w:tcPr>
            <w:tcW w:w="1040" w:type="dxa"/>
            <w:vAlign w:val="bottom"/>
            <w:shd w:val="clear" w:color="auto" w:fill="4C4C4C"/>
          </w:tcPr>
          <w:p>
            <w:pPr>
              <w:jc w:val="right"/>
              <w:ind w:right="12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0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tcPr>
          <w:p>
            <w:pPr>
              <w:spacing w:after="0"/>
              <w:rPr>
                <w:sz w:val="24"/>
                <w:szCs w:val="24"/>
                <w:color w:val="auto"/>
              </w:rPr>
            </w:pPr>
          </w:p>
        </w:tc>
        <w:tc>
          <w:tcPr>
            <w:tcW w:w="8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94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tcPr>
          <w:p>
            <w:pPr>
              <w:spacing w:after="0"/>
              <w:rPr>
                <w:sz w:val="24"/>
                <w:szCs w:val="24"/>
                <w:color w:val="auto"/>
              </w:rPr>
            </w:pPr>
          </w:p>
        </w:tc>
        <w:tc>
          <w:tcPr>
            <w:tcW w:w="8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460" w:type="dxa"/>
            <w:vAlign w:val="bottom"/>
            <w:shd w:val="clear" w:color="auto" w:fill="4C4C4C"/>
          </w:tcPr>
          <w:p>
            <w:pPr>
              <w:spacing w:after="0"/>
              <w:rPr>
                <w:sz w:val="24"/>
                <w:szCs w:val="24"/>
                <w:color w:val="auto"/>
              </w:rPr>
            </w:pPr>
          </w:p>
        </w:tc>
        <w:tc>
          <w:tcPr>
            <w:tcW w:w="4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tcPr>
          <w:p>
            <w:pPr>
              <w:spacing w:after="0"/>
              <w:rPr>
                <w:sz w:val="24"/>
                <w:szCs w:val="24"/>
                <w:color w:val="auto"/>
              </w:rPr>
            </w:pPr>
          </w:p>
        </w:tc>
        <w:tc>
          <w:tcPr>
            <w:tcW w:w="1020" w:type="dxa"/>
            <w:vAlign w:val="bottom"/>
            <w:shd w:val="clear" w:color="auto" w:fill="4C4C4C"/>
          </w:tcPr>
          <w:p>
            <w:pPr>
              <w:jc w:val="right"/>
              <w:ind w:right="12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0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(millions of dollars)</w:t>
            </w:r>
          </w:p>
        </w:tc>
        <w:tc>
          <w:tcPr>
            <w:tcW w:w="60" w:type="dxa"/>
            <w:vAlign w:val="bottom"/>
          </w:tcPr>
          <w:p>
            <w:pPr>
              <w:spacing w:after="0"/>
              <w:rPr>
                <w:sz w:val="20"/>
                <w:szCs w:val="20"/>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(millions of dollars)</w:t>
            </w:r>
          </w:p>
        </w:tc>
        <w:tc>
          <w:tcPr>
            <w:tcW w:w="60" w:type="dxa"/>
            <w:vAlign w:val="bottom"/>
          </w:tcPr>
          <w:p>
            <w:pPr>
              <w:spacing w:after="0"/>
              <w:rPr>
                <w:sz w:val="20"/>
                <w:szCs w:val="20"/>
                <w:color w:val="auto"/>
              </w:rPr>
            </w:pPr>
          </w:p>
        </w:tc>
        <w:tc>
          <w:tcPr>
            <w:tcW w:w="1340" w:type="dxa"/>
            <w:vAlign w:val="bottom"/>
            <w:gridSpan w:val="2"/>
          </w:tcPr>
          <w:p>
            <w:pPr>
              <w:jc w:val="center"/>
              <w:ind w:left="398"/>
              <w:spacing w:after="0"/>
              <w:rPr>
                <w:sz w:val="20"/>
                <w:szCs w:val="20"/>
                <w:color w:val="auto"/>
              </w:rPr>
            </w:pPr>
            <w:r>
              <w:rPr>
                <w:rFonts w:ascii="Times New Roman" w:cs="Times New Roman" w:eastAsia="Times New Roman" w:hAnsi="Times New Roman"/>
                <w:sz w:val="16"/>
                <w:szCs w:val="16"/>
                <w:i w:val="1"/>
                <w:iCs w:val="1"/>
                <w:color w:val="auto"/>
                <w:w w:val="98"/>
              </w:rPr>
              <w:t>(percent)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(millions of dollars)</w:t>
            </w:r>
          </w:p>
        </w:tc>
        <w:tc>
          <w:tcPr>
            <w:tcW w:w="0" w:type="dxa"/>
            <w:vAlign w:val="bottom"/>
          </w:tcPr>
          <w:p>
            <w:pPr>
              <w:spacing w:after="0"/>
              <w:rPr>
                <w:sz w:val="1"/>
                <w:szCs w:val="1"/>
                <w:color w:val="auto"/>
              </w:rPr>
            </w:pPr>
          </w:p>
        </w:tc>
      </w:tr>
      <w:tr>
        <w:trPr>
          <w:trHeight w:val="299"/>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Upstream</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4,202</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11,728</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51,957</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8,813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6,968</w:t>
            </w:r>
          </w:p>
        </w:tc>
        <w:tc>
          <w:tcPr>
            <w:tcW w:w="0" w:type="dxa"/>
            <w:vAlign w:val="bottom"/>
          </w:tcPr>
          <w:p>
            <w:pPr>
              <w:spacing w:after="0"/>
              <w:rPr>
                <w:sz w:val="1"/>
                <w:szCs w:val="1"/>
                <w:color w:val="auto"/>
              </w:rPr>
            </w:pPr>
          </w:p>
        </w:tc>
      </w:tr>
      <w:tr>
        <w:trPr>
          <w:trHeight w:val="288"/>
        </w:trPr>
        <w:tc>
          <w:tcPr>
            <w:tcW w:w="3040" w:type="dxa"/>
            <w:vAlign w:val="bottom"/>
            <w:tcBorders>
              <w:bottom w:val="single" w:sz="8" w:color="4C4C4C"/>
            </w:tcBorders>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17,106</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24,751</w:t>
            </w:r>
          </w:p>
        </w:tc>
        <w:tc>
          <w:tcPr>
            <w:tcW w:w="94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91,358</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93,250</w:t>
            </w:r>
          </w:p>
        </w:tc>
        <w:tc>
          <w:tcPr>
            <w:tcW w:w="94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460" w:type="dxa"/>
            <w:vAlign w:val="bottom"/>
            <w:tcBorders>
              <w:bottom w:val="single" w:sz="8" w:color="4C4C4C"/>
            </w:tcBorders>
          </w:tcPr>
          <w:p>
            <w:pPr>
              <w:spacing w:after="0"/>
              <w:rPr>
                <w:sz w:val="24"/>
                <w:szCs w:val="24"/>
                <w:color w:val="auto"/>
              </w:rPr>
            </w:pPr>
          </w:p>
        </w:tc>
        <w:tc>
          <w:tcPr>
            <w:tcW w:w="4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10,948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10,034</w:t>
            </w:r>
          </w:p>
        </w:tc>
        <w:tc>
          <w:tcPr>
            <w:tcW w:w="0" w:type="dxa"/>
            <w:vAlign w:val="bottom"/>
          </w:tcPr>
          <w:p>
            <w:pPr>
              <w:spacing w:after="0"/>
              <w:rPr>
                <w:sz w:val="1"/>
                <w:szCs w:val="1"/>
                <w:color w:val="auto"/>
              </w:rPr>
            </w:pPr>
          </w:p>
        </w:tc>
      </w:tr>
      <w:tr>
        <w:trPr>
          <w:trHeight w:val="255"/>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21,308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36,479</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143,315</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4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19,761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17,002</w:t>
            </w:r>
          </w:p>
        </w:tc>
        <w:tc>
          <w:tcPr>
            <w:tcW w:w="0" w:type="dxa"/>
            <w:vAlign w:val="bottom"/>
          </w:tcPr>
          <w:p>
            <w:pPr>
              <w:spacing w:after="0"/>
              <w:rPr>
                <w:sz w:val="1"/>
                <w:szCs w:val="1"/>
                <w:color w:val="auto"/>
              </w:rPr>
            </w:pPr>
          </w:p>
        </w:tc>
      </w:tr>
      <w:tr>
        <w:trPr>
          <w:trHeight w:val="333"/>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Energy Products</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6,123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8,340</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12,540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1,195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w:t>
            </w:r>
          </w:p>
        </w:tc>
        <w:tc>
          <w:tcPr>
            <w:tcW w:w="0" w:type="dxa"/>
            <w:vAlign w:val="bottom"/>
          </w:tcPr>
          <w:p>
            <w:pPr>
              <w:spacing w:after="0"/>
              <w:rPr>
                <w:sz w:val="1"/>
                <w:szCs w:val="1"/>
                <w:color w:val="auto"/>
              </w:rPr>
            </w:pPr>
          </w:p>
        </w:tc>
      </w:tr>
      <w:tr>
        <w:trPr>
          <w:trHeight w:val="288"/>
        </w:trPr>
        <w:tc>
          <w:tcPr>
            <w:tcW w:w="3040" w:type="dxa"/>
            <w:vAlign w:val="bottom"/>
            <w:tcBorders>
              <w:bottom w:val="single" w:sz="8" w:color="4C4C4C"/>
            </w:tcBorders>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6,019</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6,626</w:t>
            </w:r>
          </w:p>
        </w:tc>
        <w:tc>
          <w:tcPr>
            <w:tcW w:w="94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20,010</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18,855</w:t>
            </w:r>
          </w:p>
        </w:tc>
        <w:tc>
          <w:tcPr>
            <w:tcW w:w="94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460" w:type="dxa"/>
            <w:vAlign w:val="bottom"/>
            <w:tcBorders>
              <w:bottom w:val="single" w:sz="8" w:color="4C4C4C"/>
            </w:tcBorders>
          </w:tcPr>
          <w:p>
            <w:pPr>
              <w:spacing w:after="0"/>
              <w:rPr>
                <w:sz w:val="24"/>
                <w:szCs w:val="24"/>
                <w:color w:val="auto"/>
              </w:rPr>
            </w:pPr>
          </w:p>
        </w:tc>
        <w:tc>
          <w:tcPr>
            <w:tcW w:w="4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1,580</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0" w:type="dxa"/>
            <w:vAlign w:val="bottom"/>
          </w:tcPr>
          <w:p>
            <w:pPr>
              <w:spacing w:after="0"/>
              <w:rPr>
                <w:sz w:val="1"/>
                <w:szCs w:val="1"/>
                <w:color w:val="auto"/>
              </w:rPr>
            </w:pPr>
          </w:p>
        </w:tc>
      </w:tr>
      <w:tr>
        <w:trPr>
          <w:trHeight w:val="255"/>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12,142</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14,966</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32,550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4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2,775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2,410</w:t>
            </w:r>
          </w:p>
        </w:tc>
        <w:tc>
          <w:tcPr>
            <w:tcW w:w="0" w:type="dxa"/>
            <w:vAlign w:val="bottom"/>
          </w:tcPr>
          <w:p>
            <w:pPr>
              <w:spacing w:after="0"/>
              <w:rPr>
                <w:sz w:val="1"/>
                <w:szCs w:val="1"/>
                <w:color w:val="auto"/>
              </w:rPr>
            </w:pPr>
          </w:p>
        </w:tc>
      </w:tr>
      <w:tr>
        <w:trPr>
          <w:trHeight w:val="333"/>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Chemical Products</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1,626</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2,328</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14,702</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751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w:t>
            </w:r>
          </w:p>
        </w:tc>
        <w:tc>
          <w:tcPr>
            <w:tcW w:w="0" w:type="dxa"/>
            <w:vAlign w:val="bottom"/>
          </w:tcPr>
          <w:p>
            <w:pPr>
              <w:spacing w:after="0"/>
              <w:rPr>
                <w:sz w:val="1"/>
                <w:szCs w:val="1"/>
                <w:color w:val="auto"/>
              </w:rPr>
            </w:pPr>
          </w:p>
        </w:tc>
      </w:tr>
      <w:tr>
        <w:trPr>
          <w:trHeight w:val="288"/>
        </w:trPr>
        <w:tc>
          <w:tcPr>
            <w:tcW w:w="3040" w:type="dxa"/>
            <w:vAlign w:val="bottom"/>
            <w:tcBorders>
              <w:bottom w:val="single" w:sz="8" w:color="4C4C4C"/>
            </w:tcBorders>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11</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1,215</w:t>
            </w:r>
          </w:p>
        </w:tc>
        <w:tc>
          <w:tcPr>
            <w:tcW w:w="94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13,859</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12,513</w:t>
            </w:r>
          </w:p>
        </w:tc>
        <w:tc>
          <w:tcPr>
            <w:tcW w:w="94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460" w:type="dxa"/>
            <w:vAlign w:val="bottom"/>
            <w:tcBorders>
              <w:bottom w:val="single" w:sz="8" w:color="4C4C4C"/>
            </w:tcBorders>
          </w:tcPr>
          <w:p>
            <w:pPr>
              <w:spacing w:after="0"/>
              <w:rPr>
                <w:sz w:val="24"/>
                <w:szCs w:val="24"/>
                <w:color w:val="auto"/>
              </w:rPr>
            </w:pPr>
          </w:p>
        </w:tc>
        <w:tc>
          <w:tcPr>
            <w:tcW w:w="4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1,962</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1,842</w:t>
            </w:r>
          </w:p>
        </w:tc>
        <w:tc>
          <w:tcPr>
            <w:tcW w:w="0" w:type="dxa"/>
            <w:vAlign w:val="bottom"/>
          </w:tcPr>
          <w:p>
            <w:pPr>
              <w:spacing w:after="0"/>
              <w:rPr>
                <w:sz w:val="1"/>
                <w:szCs w:val="1"/>
                <w:color w:val="auto"/>
              </w:rPr>
            </w:pPr>
          </w:p>
        </w:tc>
      </w:tr>
      <w:tr>
        <w:trPr>
          <w:trHeight w:val="255"/>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1,637</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3,543</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28,561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4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2,713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2,965</w:t>
            </w:r>
          </w:p>
        </w:tc>
        <w:tc>
          <w:tcPr>
            <w:tcW w:w="0" w:type="dxa"/>
            <w:vAlign w:val="bottom"/>
          </w:tcPr>
          <w:p>
            <w:pPr>
              <w:spacing w:after="0"/>
              <w:rPr>
                <w:sz w:val="1"/>
                <w:szCs w:val="1"/>
                <w:color w:val="auto"/>
              </w:rPr>
            </w:pPr>
          </w:p>
        </w:tc>
      </w:tr>
      <w:tr>
        <w:trPr>
          <w:trHeight w:val="333"/>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Specialty Products</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1,536</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2,148</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63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88"/>
        </w:trPr>
        <w:tc>
          <w:tcPr>
            <w:tcW w:w="3040" w:type="dxa"/>
            <w:vAlign w:val="bottom"/>
            <w:tcBorders>
              <w:bottom w:val="single" w:sz="8" w:color="4C4C4C"/>
            </w:tcBorders>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1,178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94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6,366</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6,207</w:t>
            </w:r>
          </w:p>
        </w:tc>
        <w:tc>
          <w:tcPr>
            <w:tcW w:w="94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460" w:type="dxa"/>
            <w:vAlign w:val="bottom"/>
            <w:tcBorders>
              <w:bottom w:val="single" w:sz="8" w:color="4C4C4C"/>
            </w:tcBorders>
          </w:tcPr>
          <w:p>
            <w:pPr>
              <w:spacing w:after="0"/>
              <w:rPr>
                <w:sz w:val="24"/>
                <w:szCs w:val="24"/>
                <w:color w:val="auto"/>
              </w:rPr>
            </w:pPr>
          </w:p>
        </w:tc>
        <w:tc>
          <w:tcPr>
            <w:tcW w:w="4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391</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0" w:type="dxa"/>
            <w:vAlign w:val="bottom"/>
          </w:tcPr>
          <w:p>
            <w:pPr>
              <w:spacing w:after="0"/>
              <w:rPr>
                <w:sz w:val="1"/>
                <w:szCs w:val="1"/>
                <w:color w:val="auto"/>
              </w:rPr>
            </w:pPr>
          </w:p>
        </w:tc>
      </w:tr>
      <w:tr>
        <w:trPr>
          <w:trHeight w:val="255"/>
        </w:trPr>
        <w:tc>
          <w:tcPr>
            <w:tcW w:w="3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2,714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w:t>
            </w: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8,514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4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454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0" w:type="dxa"/>
            <w:vAlign w:val="bottom"/>
          </w:tcPr>
          <w:p>
            <w:pPr>
              <w:spacing w:after="0"/>
              <w:rPr>
                <w:sz w:val="1"/>
                <w:szCs w:val="1"/>
                <w:color w:val="auto"/>
              </w:rPr>
            </w:pPr>
          </w:p>
        </w:tc>
      </w:tr>
      <w:tr>
        <w:trPr>
          <w:trHeight w:val="77"/>
        </w:trPr>
        <w:tc>
          <w:tcPr>
            <w:tcW w:w="304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4C4C4C"/>
              </w:rPr>
              <w:t>Corporate and Financing</w:t>
            </w:r>
          </w:p>
        </w:tc>
        <w:tc>
          <w:tcPr>
            <w:tcW w:w="108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rPr>
              <w:t>(1,791)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(1,663)</w:t>
            </w:r>
          </w:p>
        </w:tc>
        <w:tc>
          <w:tcPr>
            <w:tcW w:w="9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30,500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16,471</w:t>
            </w:r>
          </w:p>
        </w:tc>
        <w:tc>
          <w:tcPr>
            <w:tcW w:w="6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20"/>
                <w:szCs w:val="20"/>
                <w:color w:val="auto"/>
              </w:rPr>
              <w:t>622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74"/>
        </w:trPr>
        <w:tc>
          <w:tcPr>
            <w:tcW w:w="3040" w:type="dxa"/>
            <w:vAlign w:val="bottom"/>
            <w:tcBorders>
              <w:bottom w:val="single" w:sz="8" w:color="4C4C4C"/>
            </w:tcBorders>
            <w:vMerge w:val="continue"/>
          </w:tcPr>
          <w:p>
            <w:pPr>
              <w:spacing w:after="0"/>
              <w:rPr>
                <w:sz w:val="23"/>
                <w:szCs w:val="23"/>
                <w:color w:val="auto"/>
              </w:rPr>
            </w:pPr>
          </w:p>
        </w:tc>
        <w:tc>
          <w:tcPr>
            <w:tcW w:w="1080" w:type="dxa"/>
            <w:vAlign w:val="bottom"/>
            <w:tcBorders>
              <w:bottom w:val="single" w:sz="8" w:color="4C4C4C"/>
            </w:tcBorders>
            <w:gridSpan w:val="2"/>
            <w:vMerge w:val="continue"/>
          </w:tcPr>
          <w:p>
            <w:pPr>
              <w:spacing w:after="0"/>
              <w:rPr>
                <w:sz w:val="23"/>
                <w:szCs w:val="23"/>
                <w:color w:val="auto"/>
              </w:rPr>
            </w:pPr>
          </w:p>
        </w:tc>
        <w:tc>
          <w:tcPr>
            <w:tcW w:w="800" w:type="dxa"/>
            <w:vAlign w:val="bottom"/>
            <w:tcBorders>
              <w:bottom w:val="single" w:sz="8" w:color="4C4C4C"/>
            </w:tcBorders>
            <w:vMerge w:val="continue"/>
          </w:tcPr>
          <w:p>
            <w:pPr>
              <w:spacing w:after="0"/>
              <w:rPr>
                <w:sz w:val="23"/>
                <w:szCs w:val="23"/>
                <w:color w:val="auto"/>
              </w:rPr>
            </w:pPr>
          </w:p>
        </w:tc>
        <w:tc>
          <w:tcPr>
            <w:tcW w:w="940" w:type="dxa"/>
            <w:vAlign w:val="bottom"/>
            <w:tcBorders>
              <w:bottom w:val="single" w:sz="8" w:color="4C4C4C"/>
            </w:tcBorders>
            <w:gridSpan w:val="2"/>
            <w:vMerge w:val="continue"/>
          </w:tcPr>
          <w:p>
            <w:pPr>
              <w:spacing w:after="0"/>
              <w:rPr>
                <w:sz w:val="23"/>
                <w:szCs w:val="23"/>
                <w:color w:val="auto"/>
              </w:rPr>
            </w:pPr>
          </w:p>
        </w:tc>
        <w:tc>
          <w:tcPr>
            <w:tcW w:w="940" w:type="dxa"/>
            <w:vAlign w:val="bottom"/>
            <w:tcBorders>
              <w:bottom w:val="single" w:sz="8" w:color="4C4C4C"/>
            </w:tcBorders>
            <w:vMerge w:val="continue"/>
          </w:tcPr>
          <w:p>
            <w:pPr>
              <w:spacing w:after="0"/>
              <w:rPr>
                <w:sz w:val="23"/>
                <w:szCs w:val="23"/>
                <w:color w:val="auto"/>
              </w:rPr>
            </w:pPr>
          </w:p>
        </w:tc>
        <w:tc>
          <w:tcPr>
            <w:tcW w:w="60" w:type="dxa"/>
            <w:vAlign w:val="bottom"/>
            <w:tcBorders>
              <w:bottom w:val="single" w:sz="8" w:color="4C4C4C"/>
            </w:tcBorders>
          </w:tcPr>
          <w:p>
            <w:pPr>
              <w:spacing w:after="0"/>
              <w:rPr>
                <w:sz w:val="23"/>
                <w:szCs w:val="23"/>
                <w:color w:val="auto"/>
              </w:rPr>
            </w:pP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4C4C4C"/>
            </w:tcBorders>
          </w:tcPr>
          <w:p>
            <w:pPr>
              <w:spacing w:after="0"/>
              <w:rPr>
                <w:sz w:val="23"/>
                <w:szCs w:val="23"/>
                <w:color w:val="auto"/>
              </w:rPr>
            </w:pPr>
          </w:p>
        </w:tc>
        <w:tc>
          <w:tcPr>
            <w:tcW w:w="480" w:type="dxa"/>
            <w:vAlign w:val="bottom"/>
            <w:tcBorders>
              <w:bottom w:val="single" w:sz="8" w:color="4C4C4C"/>
            </w:tcBorders>
            <w:vMerge w:val="continue"/>
          </w:tcPr>
          <w:p>
            <w:pPr>
              <w:spacing w:after="0"/>
              <w:rPr>
                <w:sz w:val="23"/>
                <w:szCs w:val="23"/>
                <w:color w:val="auto"/>
              </w:rPr>
            </w:pPr>
          </w:p>
        </w:tc>
        <w:tc>
          <w:tcPr>
            <w:tcW w:w="1080" w:type="dxa"/>
            <w:vAlign w:val="bottom"/>
            <w:tcBorders>
              <w:bottom w:val="single" w:sz="8" w:color="4C4C4C"/>
            </w:tcBorders>
            <w:gridSpan w:val="2"/>
            <w:vMerge w:val="continue"/>
          </w:tcPr>
          <w:p>
            <w:pPr>
              <w:spacing w:after="0"/>
              <w:rPr>
                <w:sz w:val="23"/>
                <w:szCs w:val="23"/>
                <w:color w:val="auto"/>
              </w:rPr>
            </w:pPr>
          </w:p>
        </w:tc>
        <w:tc>
          <w:tcPr>
            <w:tcW w:w="800" w:type="dxa"/>
            <w:vAlign w:val="bottom"/>
            <w:tcBorders>
              <w:bottom w:val="single" w:sz="8" w:color="4C4C4C"/>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30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Corporate total</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36,010</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55,740</w:t>
            </w:r>
          </w:p>
        </w:tc>
        <w:tc>
          <w:tcPr>
            <w:tcW w:w="94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243,440</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228,404</w:t>
            </w:r>
          </w:p>
        </w:tc>
        <w:tc>
          <w:tcPr>
            <w:tcW w:w="94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15.0</w:t>
            </w:r>
          </w:p>
        </w:tc>
        <w:tc>
          <w:tcPr>
            <w:tcW w:w="460" w:type="dxa"/>
            <w:vAlign w:val="bottom"/>
            <w:tcBorders>
              <w:bottom w:val="single" w:sz="8" w:color="4C4C4C"/>
            </w:tcBorders>
          </w:tcPr>
          <w:p>
            <w:pPr>
              <w:spacing w:after="0"/>
              <w:rPr>
                <w:sz w:val="22"/>
                <w:szCs w:val="22"/>
                <w:color w:val="auto"/>
              </w:rPr>
            </w:pPr>
          </w:p>
        </w:tc>
        <w:tc>
          <w:tcPr>
            <w:tcW w:w="4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24.9</w:t>
            </w:r>
          </w:p>
        </w:tc>
        <w:tc>
          <w:tcPr>
            <w:tcW w:w="1080" w:type="dxa"/>
            <w:vAlign w:val="bottom"/>
            <w:tcBorders>
              <w:bottom w:val="single" w:sz="8" w:color="4C4C4C"/>
            </w:tcBorders>
            <w:gridSpan w:val="2"/>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26,325</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-3362960</wp:posOffset>
            </wp:positionV>
            <wp:extent cx="6776720" cy="3718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7">
                      <a:extLst>
                        <a:ext uri="{28A0092B-C50C-407E-A947-70E740481C1C}"/>
                      </a:extLst>
                    </a:blip>
                    <a:srcRect/>
                    <a:stretch>
                      <a:fillRect/>
                    </a:stretch>
                  </pic:blipFill>
                  <pic:spPr bwMode="auto">
                    <a:xfrm>
                      <a:off x="0" y="0"/>
                      <a:ext cx="6776720" cy="3718560"/>
                    </a:xfrm>
                    <a:prstGeom prst="rect">
                      <a:avLst/>
                    </a:prstGeom>
                    <a:noFill/>
                  </pic:spPr>
                </pic:pic>
              </a:graphicData>
            </a:graphic>
          </wp:anchor>
        </w:drawing>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See Frequently Used Terms for a definition and calculation of capital employed and return on average capital employed.</w:t>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39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Operating</w:t>
            </w:r>
          </w:p>
        </w:tc>
        <w:tc>
          <w:tcPr>
            <w:tcW w:w="7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4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200" w:type="dxa"/>
            <w:vAlign w:val="bottom"/>
          </w:tcPr>
          <w:p>
            <w:pPr>
              <w:spacing w:after="0"/>
              <w:rPr>
                <w:sz w:val="24"/>
                <w:szCs w:val="24"/>
                <w:color w:val="auto"/>
              </w:rPr>
            </w:pPr>
          </w:p>
        </w:tc>
        <w:tc>
          <w:tcPr>
            <w:tcW w:w="3160" w:type="dxa"/>
            <w:vAlign w:val="bottom"/>
            <w:shd w:val="clear" w:color="auto" w:fill="4C4C4C"/>
          </w:tcPr>
          <w:p>
            <w:pPr>
              <w:spacing w:after="0"/>
              <w:rPr>
                <w:sz w:val="24"/>
                <w:szCs w:val="24"/>
                <w:color w:val="auto"/>
              </w:rPr>
            </w:pPr>
          </w:p>
        </w:tc>
        <w:tc>
          <w:tcPr>
            <w:tcW w:w="60" w:type="dxa"/>
            <w:vAlign w:val="bottom"/>
            <w:shd w:val="clear" w:color="auto" w:fill="4C4C4C"/>
          </w:tcPr>
          <w:p>
            <w:pPr>
              <w:spacing w:after="0"/>
              <w:rPr>
                <w:sz w:val="24"/>
                <w:szCs w:val="24"/>
                <w:color w:val="auto"/>
              </w:rPr>
            </w:pPr>
          </w:p>
        </w:tc>
        <w:tc>
          <w:tcPr>
            <w:tcW w:w="7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4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0" w:type="dxa"/>
            <w:vAlign w:val="bottom"/>
          </w:tcPr>
          <w:p>
            <w:pPr>
              <w:spacing w:after="0"/>
              <w:rPr>
                <w:sz w:val="1"/>
                <w:szCs w:val="1"/>
                <w:color w:val="auto"/>
              </w:rPr>
            </w:pPr>
          </w:p>
        </w:tc>
      </w:tr>
      <w:tr>
        <w:trPr>
          <w:trHeight w:val="200"/>
        </w:trPr>
        <w:tc>
          <w:tcPr>
            <w:tcW w:w="39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4C4C4C"/>
              </w:rPr>
              <w:t>Net liquids production</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4C4C4C"/>
              </w:rPr>
              <w:t>Refinery throughput</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barrels daily)</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barrels daily)</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w:t>
            </w:r>
          </w:p>
        </w:tc>
        <w:tc>
          <w:tcPr>
            <w:tcW w:w="200" w:type="dxa"/>
            <w:vAlign w:val="bottom"/>
          </w:tcPr>
          <w:p>
            <w:pPr>
              <w:spacing w:after="0"/>
              <w:rPr>
                <w:sz w:val="24"/>
                <w:szCs w:val="24"/>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0" w:type="dxa"/>
            <w:vAlign w:val="bottom"/>
          </w:tcPr>
          <w:p>
            <w:pPr>
              <w:spacing w:after="0"/>
              <w:rPr>
                <w:sz w:val="1"/>
                <w:szCs w:val="1"/>
                <w:color w:val="auto"/>
              </w:rPr>
            </w:pPr>
          </w:p>
        </w:tc>
      </w:tr>
      <w:tr>
        <w:trPr>
          <w:trHeight w:val="288"/>
        </w:trPr>
        <w:tc>
          <w:tcPr>
            <w:tcW w:w="3900" w:type="dxa"/>
            <w:vAlign w:val="bottom"/>
            <w:tcBorders>
              <w:bottom w:val="single" w:sz="8" w:color="4C4C4C"/>
            </w:tcBorders>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1,646</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1,578</w:t>
            </w:r>
          </w:p>
        </w:tc>
        <w:tc>
          <w:tcPr>
            <w:tcW w:w="200" w:type="dxa"/>
            <w:vAlign w:val="bottom"/>
          </w:tcPr>
          <w:p>
            <w:pPr>
              <w:spacing w:after="0"/>
              <w:rPr>
                <w:sz w:val="24"/>
                <w:szCs w:val="24"/>
                <w:color w:val="auto"/>
              </w:rPr>
            </w:pPr>
          </w:p>
        </w:tc>
        <w:tc>
          <w:tcPr>
            <w:tcW w:w="3220" w:type="dxa"/>
            <w:vAlign w:val="bottom"/>
            <w:tcBorders>
              <w:bottom w:val="single" w:sz="8" w:color="4C4C4C"/>
            </w:tcBorders>
            <w:gridSpan w:val="2"/>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2,220</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2,328</w:t>
            </w:r>
          </w:p>
        </w:tc>
        <w:tc>
          <w:tcPr>
            <w:tcW w:w="0" w:type="dxa"/>
            <w:vAlign w:val="bottom"/>
          </w:tcPr>
          <w:p>
            <w:pPr>
              <w:spacing w:after="0"/>
              <w:rPr>
                <w:sz w:val="1"/>
                <w:szCs w:val="1"/>
                <w:color w:val="auto"/>
              </w:rPr>
            </w:pPr>
          </w:p>
        </w:tc>
      </w:tr>
      <w:tr>
        <w:trPr>
          <w:trHeight w:val="255"/>
        </w:trPr>
        <w:tc>
          <w:tcPr>
            <w:tcW w:w="3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2,354</w:t>
            </w:r>
          </w:p>
        </w:tc>
        <w:tc>
          <w:tcPr>
            <w:tcW w:w="200" w:type="dxa"/>
            <w:vAlign w:val="bottom"/>
          </w:tcPr>
          <w:p>
            <w:pPr>
              <w:spacing w:after="0"/>
              <w:rPr>
                <w:sz w:val="22"/>
                <w:szCs w:val="22"/>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4,068</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w:t>
            </w:r>
          </w:p>
        </w:tc>
        <w:tc>
          <w:tcPr>
            <w:tcW w:w="0" w:type="dxa"/>
            <w:vAlign w:val="bottom"/>
          </w:tcPr>
          <w:p>
            <w:pPr>
              <w:spacing w:after="0"/>
              <w:rPr>
                <w:sz w:val="1"/>
                <w:szCs w:val="1"/>
                <w:color w:val="auto"/>
              </w:rPr>
            </w:pPr>
          </w:p>
        </w:tc>
      </w:tr>
      <w:tr>
        <w:trPr>
          <w:trHeight w:val="277"/>
        </w:trPr>
        <w:tc>
          <w:tcPr>
            <w:tcW w:w="3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Natural gas production available for sale</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Energy Products sales </w:t>
            </w:r>
            <w:r>
              <w:rPr>
                <w:rFonts w:ascii="Times New Roman" w:cs="Times New Roman" w:eastAsia="Times New Roman" w:hAnsi="Times New Roman"/>
                <w:sz w:val="10"/>
                <w:szCs w:val="10"/>
                <w:i w:val="1"/>
                <w:iCs w:val="1"/>
                <w:color w:val="4C4C4C"/>
              </w:rPr>
              <w:t>(2)</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(millions of cubic feet daily)</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barrels daily)</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7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2,551</w:t>
            </w:r>
          </w:p>
        </w:tc>
        <w:tc>
          <w:tcPr>
            <w:tcW w:w="200" w:type="dxa"/>
            <w:vAlign w:val="bottom"/>
          </w:tcPr>
          <w:p>
            <w:pPr>
              <w:spacing w:after="0"/>
              <w:rPr>
                <w:sz w:val="23"/>
                <w:szCs w:val="23"/>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w:t>
            </w:r>
          </w:p>
        </w:tc>
        <w:tc>
          <w:tcPr>
            <w:tcW w:w="0" w:type="dxa"/>
            <w:vAlign w:val="bottom"/>
          </w:tcPr>
          <w:p>
            <w:pPr>
              <w:spacing w:after="0"/>
              <w:rPr>
                <w:sz w:val="1"/>
                <w:szCs w:val="1"/>
                <w:color w:val="auto"/>
              </w:rPr>
            </w:pPr>
          </w:p>
        </w:tc>
      </w:tr>
      <w:tr>
        <w:trPr>
          <w:trHeight w:val="288"/>
        </w:trPr>
        <w:tc>
          <w:tcPr>
            <w:tcW w:w="3900" w:type="dxa"/>
            <w:vAlign w:val="bottom"/>
            <w:tcBorders>
              <w:bottom w:val="single" w:sz="8" w:color="4C4C4C"/>
            </w:tcBorders>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7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5,423</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5,744</w:t>
            </w:r>
          </w:p>
        </w:tc>
        <w:tc>
          <w:tcPr>
            <w:tcW w:w="200" w:type="dxa"/>
            <w:vAlign w:val="bottom"/>
          </w:tcPr>
          <w:p>
            <w:pPr>
              <w:spacing w:after="0"/>
              <w:rPr>
                <w:sz w:val="24"/>
                <w:szCs w:val="24"/>
                <w:color w:val="auto"/>
              </w:rPr>
            </w:pPr>
          </w:p>
        </w:tc>
        <w:tc>
          <w:tcPr>
            <w:tcW w:w="3220" w:type="dxa"/>
            <w:vAlign w:val="bottom"/>
            <w:tcBorders>
              <w:bottom w:val="single" w:sz="8" w:color="4C4C4C"/>
            </w:tcBorders>
            <w:gridSpan w:val="2"/>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2,828</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2,921</w:t>
            </w:r>
          </w:p>
        </w:tc>
        <w:tc>
          <w:tcPr>
            <w:tcW w:w="0" w:type="dxa"/>
            <w:vAlign w:val="bottom"/>
          </w:tcPr>
          <w:p>
            <w:pPr>
              <w:spacing w:after="0"/>
              <w:rPr>
                <w:sz w:val="1"/>
                <w:szCs w:val="1"/>
                <w:color w:val="auto"/>
              </w:rPr>
            </w:pPr>
          </w:p>
        </w:tc>
      </w:tr>
      <w:tr>
        <w:trPr>
          <w:trHeight w:val="255"/>
        </w:trPr>
        <w:tc>
          <w:tcPr>
            <w:tcW w:w="3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7,734</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8,295</w:t>
            </w:r>
          </w:p>
        </w:tc>
        <w:tc>
          <w:tcPr>
            <w:tcW w:w="200" w:type="dxa"/>
            <w:vAlign w:val="bottom"/>
          </w:tcPr>
          <w:p>
            <w:pPr>
              <w:spacing w:after="0"/>
              <w:rPr>
                <w:sz w:val="22"/>
                <w:szCs w:val="22"/>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5,461</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5,347</w:t>
            </w:r>
          </w:p>
        </w:tc>
        <w:tc>
          <w:tcPr>
            <w:tcW w:w="0" w:type="dxa"/>
            <w:vAlign w:val="bottom"/>
          </w:tcPr>
          <w:p>
            <w:pPr>
              <w:spacing w:after="0"/>
              <w:rPr>
                <w:sz w:val="1"/>
                <w:szCs w:val="1"/>
                <w:color w:val="auto"/>
              </w:rPr>
            </w:pPr>
          </w:p>
        </w:tc>
      </w:tr>
      <w:tr>
        <w:trPr>
          <w:trHeight w:val="280"/>
        </w:trPr>
        <w:tc>
          <w:tcPr>
            <w:tcW w:w="3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Oil-equivalent production </w:t>
            </w:r>
            <w:r>
              <w:rPr>
                <w:rFonts w:ascii="Times New Roman" w:cs="Times New Roman" w:eastAsia="Times New Roman" w:hAnsi="Times New Roman"/>
                <w:sz w:val="10"/>
                <w:szCs w:val="10"/>
                <w:i w:val="1"/>
                <w:iCs w:val="1"/>
                <w:color w:val="4C4C4C"/>
              </w:rPr>
              <w:t>(1)</w:t>
            </w:r>
          </w:p>
        </w:tc>
        <w:tc>
          <w:tcPr>
            <w:tcW w:w="7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3,738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3,737</w:t>
            </w:r>
          </w:p>
        </w:tc>
        <w:tc>
          <w:tcPr>
            <w:tcW w:w="200" w:type="dxa"/>
            <w:vAlign w:val="bottom"/>
          </w:tcPr>
          <w:p>
            <w:pPr>
              <w:spacing w:after="0"/>
              <w:rPr>
                <w:sz w:val="24"/>
                <w:szCs w:val="24"/>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Chemical Products sales </w:t>
            </w:r>
            <w:r>
              <w:rPr>
                <w:rFonts w:ascii="Times New Roman" w:cs="Times New Roman" w:eastAsia="Times New Roman" w:hAnsi="Times New Roman"/>
                <w:sz w:val="10"/>
                <w:szCs w:val="10"/>
                <w:i w:val="1"/>
                <w:iCs w:val="1"/>
                <w:color w:val="4C4C4C"/>
              </w:rPr>
              <w:t>(2)</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oil-equivalent barrels daily)</w:t>
            </w:r>
          </w:p>
        </w:tc>
        <w:tc>
          <w:tcPr>
            <w:tcW w:w="780" w:type="dxa"/>
            <w:vAlign w:val="bottom"/>
            <w:vMerge w:val="continue"/>
            <w:shd w:val="clear" w:color="auto" w:fill="F0F0F0"/>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metric tons)</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780" w:type="dxa"/>
            <w:vAlign w:val="bottom"/>
            <w:shd w:val="clear" w:color="auto" w:fill="F0F0F0"/>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6,779</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7,270</w:t>
            </w:r>
          </w:p>
        </w:tc>
        <w:tc>
          <w:tcPr>
            <w:tcW w:w="0" w:type="dxa"/>
            <w:vAlign w:val="bottom"/>
          </w:tcPr>
          <w:p>
            <w:pPr>
              <w:spacing w:after="0"/>
              <w:rPr>
                <w:sz w:val="1"/>
                <w:szCs w:val="1"/>
                <w:color w:val="auto"/>
              </w:rPr>
            </w:pPr>
          </w:p>
        </w:tc>
      </w:tr>
      <w:tr>
        <w:trPr>
          <w:trHeight w:val="288"/>
        </w:trPr>
        <w:tc>
          <w:tcPr>
            <w:tcW w:w="3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tcBorders>
              <w:bottom w:val="single" w:sz="8" w:color="4C4C4C"/>
            </w:tcBorders>
            <w:gridSpan w:val="2"/>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12,603</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11,897</w:t>
            </w:r>
          </w:p>
        </w:tc>
        <w:tc>
          <w:tcPr>
            <w:tcW w:w="0" w:type="dxa"/>
            <w:vAlign w:val="bottom"/>
          </w:tcPr>
          <w:p>
            <w:pPr>
              <w:spacing w:after="0"/>
              <w:rPr>
                <w:sz w:val="1"/>
                <w:szCs w:val="1"/>
                <w:color w:val="auto"/>
              </w:rPr>
            </w:pPr>
          </w:p>
        </w:tc>
      </w:tr>
      <w:tr>
        <w:trPr>
          <w:trHeight w:val="255"/>
        </w:trPr>
        <w:tc>
          <w:tcPr>
            <w:tcW w:w="3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19,382</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19,167</w:t>
            </w:r>
          </w:p>
        </w:tc>
        <w:tc>
          <w:tcPr>
            <w:tcW w:w="0" w:type="dxa"/>
            <w:vAlign w:val="bottom"/>
          </w:tcPr>
          <w:p>
            <w:pPr>
              <w:spacing w:after="0"/>
              <w:rPr>
                <w:sz w:val="1"/>
                <w:szCs w:val="1"/>
                <w:color w:val="auto"/>
              </w:rPr>
            </w:pPr>
          </w:p>
        </w:tc>
      </w:tr>
      <w:tr>
        <w:trPr>
          <w:trHeight w:val="280"/>
        </w:trPr>
        <w:tc>
          <w:tcPr>
            <w:tcW w:w="3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Specialty Products sales </w:t>
            </w:r>
            <w:r>
              <w:rPr>
                <w:rFonts w:ascii="Times New Roman" w:cs="Times New Roman" w:eastAsia="Times New Roman" w:hAnsi="Times New Roman"/>
                <w:sz w:val="10"/>
                <w:szCs w:val="10"/>
                <w:i w:val="1"/>
                <w:iCs w:val="1"/>
                <w:color w:val="4C4C4C"/>
              </w:rPr>
              <w:t>(2)</w:t>
            </w:r>
          </w:p>
        </w:tc>
        <w:tc>
          <w:tcPr>
            <w:tcW w:w="780" w:type="dxa"/>
            <w:vAlign w:val="bottom"/>
            <w:shd w:val="clear" w:color="auto" w:fill="F0F0F0"/>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metric tons)</w:t>
            </w:r>
          </w:p>
        </w:tc>
        <w:tc>
          <w:tcPr>
            <w:tcW w:w="780" w:type="dxa"/>
            <w:vAlign w:val="bottom"/>
            <w:shd w:val="clear" w:color="auto" w:fill="F0F0F0"/>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1,962</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2,049</w:t>
            </w:r>
          </w:p>
        </w:tc>
        <w:tc>
          <w:tcPr>
            <w:tcW w:w="0" w:type="dxa"/>
            <w:vAlign w:val="bottom"/>
          </w:tcPr>
          <w:p>
            <w:pPr>
              <w:spacing w:after="0"/>
              <w:rPr>
                <w:sz w:val="1"/>
                <w:szCs w:val="1"/>
                <w:color w:val="auto"/>
              </w:rPr>
            </w:pPr>
          </w:p>
        </w:tc>
      </w:tr>
      <w:tr>
        <w:trPr>
          <w:trHeight w:val="288"/>
        </w:trPr>
        <w:tc>
          <w:tcPr>
            <w:tcW w:w="3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tcBorders>
              <w:bottom w:val="single" w:sz="8" w:color="4C4C4C"/>
            </w:tcBorders>
            <w:gridSpan w:val="2"/>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5,635</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5,762</w:t>
            </w:r>
          </w:p>
        </w:tc>
        <w:tc>
          <w:tcPr>
            <w:tcW w:w="0" w:type="dxa"/>
            <w:vAlign w:val="bottom"/>
          </w:tcPr>
          <w:p>
            <w:pPr>
              <w:spacing w:after="0"/>
              <w:rPr>
                <w:sz w:val="1"/>
                <w:szCs w:val="1"/>
                <w:color w:val="auto"/>
              </w:rPr>
            </w:pPr>
          </w:p>
        </w:tc>
      </w:tr>
      <w:tr>
        <w:trPr>
          <w:trHeight w:val="267"/>
        </w:trPr>
        <w:tc>
          <w:tcPr>
            <w:tcW w:w="3900" w:type="dxa"/>
            <w:vAlign w:val="bottom"/>
            <w:tcBorders>
              <w:bottom w:val="single" w:sz="8" w:color="4C4C4C"/>
            </w:tcBorders>
          </w:tcPr>
          <w:p>
            <w:pPr>
              <w:spacing w:after="0"/>
              <w:rPr>
                <w:sz w:val="23"/>
                <w:szCs w:val="23"/>
                <w:color w:val="auto"/>
              </w:rPr>
            </w:pPr>
          </w:p>
        </w:tc>
        <w:tc>
          <w:tcPr>
            <w:tcW w:w="780" w:type="dxa"/>
            <w:vAlign w:val="bottom"/>
            <w:tcBorders>
              <w:bottom w:val="single" w:sz="8" w:color="4C4C4C"/>
            </w:tcBorders>
          </w:tcPr>
          <w:p>
            <w:pPr>
              <w:spacing w:after="0"/>
              <w:rPr>
                <w:sz w:val="23"/>
                <w:szCs w:val="23"/>
                <w:color w:val="auto"/>
              </w:rPr>
            </w:pPr>
          </w:p>
        </w:tc>
        <w:tc>
          <w:tcPr>
            <w:tcW w:w="840" w:type="dxa"/>
            <w:vAlign w:val="bottom"/>
            <w:tcBorders>
              <w:bottom w:val="single" w:sz="8" w:color="4C4C4C"/>
            </w:tcBorders>
          </w:tcPr>
          <w:p>
            <w:pPr>
              <w:spacing w:after="0"/>
              <w:rPr>
                <w:sz w:val="23"/>
                <w:szCs w:val="23"/>
                <w:color w:val="auto"/>
              </w:rPr>
            </w:pPr>
          </w:p>
        </w:tc>
        <w:tc>
          <w:tcPr>
            <w:tcW w:w="200" w:type="dxa"/>
            <w:vAlign w:val="bottom"/>
            <w:tcBorders>
              <w:bottom w:val="single" w:sz="8" w:color="4C4C4C"/>
            </w:tcBorders>
          </w:tcPr>
          <w:p>
            <w:pPr>
              <w:spacing w:after="0"/>
              <w:rPr>
                <w:sz w:val="23"/>
                <w:szCs w:val="23"/>
                <w:color w:val="auto"/>
              </w:rPr>
            </w:pPr>
          </w:p>
        </w:tc>
        <w:tc>
          <w:tcPr>
            <w:tcW w:w="31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Borders>
              <w:bottom w:val="single" w:sz="8" w:color="4C4C4C"/>
            </w:tcBorders>
          </w:tcPr>
          <w:p>
            <w:pPr>
              <w:spacing w:after="0"/>
              <w:rPr>
                <w:sz w:val="23"/>
                <w:szCs w:val="23"/>
                <w:color w:val="auto"/>
              </w:rPr>
            </w:pP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7,597</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-3369310</wp:posOffset>
            </wp:positionV>
            <wp:extent cx="6711315" cy="33883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8">
                      <a:extLst>
                        <a:ext uri="{28A0092B-C50C-407E-A947-70E740481C1C}"/>
                      </a:extLst>
                    </a:blip>
                    <a:srcRect/>
                    <a:stretch>
                      <a:fillRect/>
                    </a:stretch>
                  </pic:blipFill>
                  <pic:spPr bwMode="auto">
                    <a:xfrm>
                      <a:off x="0" y="0"/>
                      <a:ext cx="6711315" cy="3388360"/>
                    </a:xfrm>
                    <a:prstGeom prst="rect">
                      <a:avLst/>
                    </a:prstGeom>
                    <a:noFill/>
                  </pic:spPr>
                </pic:pic>
              </a:graphicData>
            </a:graphic>
          </wp:anchor>
        </w:drawing>
      </w:r>
    </w:p>
    <w:p>
      <w:pPr>
        <w:spacing w:after="0" w:line="70" w:lineRule="exact"/>
        <w:rPr>
          <w:sz w:val="20"/>
          <w:szCs w:val="20"/>
          <w:color w:val="auto"/>
        </w:rPr>
      </w:pPr>
    </w:p>
    <w:p>
      <w:pPr>
        <w:ind w:left="220" w:hanging="153"/>
        <w:spacing w:after="0"/>
        <w:tabs>
          <w:tab w:leader="none" w:pos="220" w:val="left"/>
        </w:tabs>
        <w:numPr>
          <w:ilvl w:val="0"/>
          <w:numId w:val="1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Natural gas is converted to an oil-equivalent basis at six million cubic feet per one thousand barrels.</w:t>
      </w:r>
    </w:p>
    <w:p>
      <w:pPr>
        <w:spacing w:after="0" w:line="47" w:lineRule="exact"/>
        <w:rPr>
          <w:rFonts w:ascii="Times New Roman" w:cs="Times New Roman" w:eastAsia="Times New Roman" w:hAnsi="Times New Roman"/>
          <w:sz w:val="19"/>
          <w:szCs w:val="19"/>
          <w:i w:val="1"/>
          <w:iCs w:val="1"/>
          <w:color w:val="auto"/>
          <w:vertAlign w:val="superscript"/>
        </w:rPr>
      </w:pPr>
    </w:p>
    <w:p>
      <w:pPr>
        <w:ind w:left="220" w:hanging="153"/>
        <w:spacing w:after="0" w:line="206" w:lineRule="auto"/>
        <w:tabs>
          <w:tab w:leader="none" w:pos="220" w:val="left"/>
        </w:tabs>
        <w:numPr>
          <w:ilvl w:val="0"/>
          <w:numId w:val="1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Data reported net of purchases/sales contracts with the same counterparty.</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ectPr>
          <w:pgSz w:w="11880" w:h="15480" w:orient="portrait"/>
          <w:cols w:equalWidth="0" w:num="1">
            <w:col w:w="10580"/>
          </w:cols>
          <w:pgMar w:left="640" w:top="477" w:right="660" w:bottom="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580"/>
          </w:cols>
          <w:pgMar w:left="640" w:top="477" w:right="66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7"/>
          <w:szCs w:val="27"/>
          <w:b w:val="1"/>
          <w:bCs w:val="1"/>
          <w:color w:val="4C4C4C"/>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130175</wp:posOffset>
            </wp:positionV>
            <wp:extent cx="6615430" cy="212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9">
                      <a:extLst>
                        <a:ext uri="{28A0092B-C50C-407E-A947-70E740481C1C}"/>
                      </a:extLst>
                    </a:blip>
                    <a:srcRect/>
                    <a:stretch>
                      <a:fillRect/>
                    </a:stretch>
                  </pic:blipFill>
                  <pic:spPr bwMode="auto">
                    <a:xfrm>
                      <a:off x="0" y="0"/>
                      <a:ext cx="6615430" cy="212090"/>
                    </a:xfrm>
                    <a:prstGeom prst="rect">
                      <a:avLst/>
                    </a:prstGeom>
                    <a:noFill/>
                  </pic:spPr>
                </pic:pic>
              </a:graphicData>
            </a:graphic>
          </wp:anchor>
        </w:drawing>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 except where stated otherwise)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50"/>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Sales and other operating revenue</w:t>
            </w:r>
          </w:p>
        </w:tc>
        <w:tc>
          <w:tcPr>
            <w:tcW w:w="1060" w:type="dxa"/>
            <w:vAlign w:val="bottom"/>
          </w:tcPr>
          <w:p>
            <w:pPr>
              <w:spacing w:after="0"/>
              <w:rPr>
                <w:sz w:val="4"/>
                <w:szCs w:val="4"/>
                <w:color w:val="auto"/>
              </w:rPr>
            </w:pPr>
          </w:p>
        </w:tc>
        <w:tc>
          <w:tcPr>
            <w:tcW w:w="1320" w:type="dxa"/>
            <w:vAlign w:val="bottom"/>
            <w:vMerge w:val="restart"/>
          </w:tcPr>
          <w:p>
            <w:pPr>
              <w:jc w:val="right"/>
              <w:ind w:right="163"/>
              <w:spacing w:after="0"/>
              <w:rPr>
                <w:sz w:val="20"/>
                <w:szCs w:val="20"/>
                <w:color w:val="auto"/>
              </w:rPr>
            </w:pPr>
            <w:r>
              <w:rPr>
                <w:rFonts w:ascii="Times New Roman" w:cs="Times New Roman" w:eastAsia="Times New Roman" w:hAnsi="Times New Roman"/>
                <w:sz w:val="20"/>
                <w:szCs w:val="20"/>
                <w:color w:val="auto"/>
              </w:rPr>
              <w:t>398,675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276,692</w:t>
            </w:r>
          </w:p>
        </w:tc>
        <w:tc>
          <w:tcPr>
            <w:tcW w:w="0" w:type="dxa"/>
            <w:vAlign w:val="bottom"/>
          </w:tcPr>
          <w:p>
            <w:pPr>
              <w:spacing w:after="0"/>
              <w:rPr>
                <w:sz w:val="1"/>
                <w:szCs w:val="1"/>
                <w:color w:val="auto"/>
              </w:rPr>
            </w:pPr>
          </w:p>
        </w:tc>
      </w:tr>
      <w:tr>
        <w:trPr>
          <w:trHeight w:val="274"/>
        </w:trPr>
        <w:tc>
          <w:tcPr>
            <w:tcW w:w="7040" w:type="dxa"/>
            <w:vAlign w:val="bottom"/>
            <w:vMerge w:val="continue"/>
          </w:tcPr>
          <w:p>
            <w:pPr>
              <w:spacing w:after="0"/>
              <w:rPr>
                <w:sz w:val="23"/>
                <w:szCs w:val="23"/>
                <w:color w:val="auto"/>
              </w:rPr>
            </w:pPr>
          </w:p>
        </w:tc>
        <w:tc>
          <w:tcPr>
            <w:tcW w:w="10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334,697</w:t>
            </w:r>
          </w:p>
        </w:tc>
        <w:tc>
          <w:tcPr>
            <w:tcW w:w="132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ExxonMobil</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36,010</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55,740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23,040</w:t>
            </w:r>
          </w:p>
        </w:tc>
        <w:tc>
          <w:tcPr>
            <w:tcW w:w="0" w:type="dxa"/>
            <w:vAlign w:val="bottom"/>
          </w:tcPr>
          <w:p>
            <w:pPr>
              <w:spacing w:after="0"/>
              <w:rPr>
                <w:sz w:val="1"/>
                <w:szCs w:val="1"/>
                <w:color w:val="auto"/>
              </w:rPr>
            </w:pPr>
          </w:p>
        </w:tc>
      </w:tr>
      <w:tr>
        <w:trPr>
          <w:trHeight w:val="588"/>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Earnings (loss) per common share (dollars)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13.26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w:t>
            </w:r>
          </w:p>
        </w:tc>
        <w:tc>
          <w:tcPr>
            <w:tcW w:w="0" w:type="dxa"/>
            <w:vAlign w:val="bottom"/>
          </w:tcPr>
          <w:p>
            <w:pPr>
              <w:spacing w:after="0"/>
              <w:rPr>
                <w:sz w:val="1"/>
                <w:szCs w:val="1"/>
                <w:color w:val="auto"/>
              </w:rPr>
            </w:pPr>
          </w:p>
        </w:tc>
      </w:tr>
      <w:tr>
        <w:trPr>
          <w:trHeight w:val="294"/>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Earnings (loss) per common share – assuming dilution (dollars)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13.26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w:t>
            </w:r>
          </w:p>
        </w:tc>
        <w:tc>
          <w:tcPr>
            <w:tcW w:w="0" w:type="dxa"/>
            <w:vAlign w:val="bottom"/>
          </w:tcPr>
          <w:p>
            <w:pPr>
              <w:spacing w:after="0"/>
              <w:rPr>
                <w:sz w:val="1"/>
                <w:szCs w:val="1"/>
                <w:color w:val="auto"/>
              </w:rPr>
            </w:pPr>
          </w:p>
        </w:tc>
      </w:tr>
      <w:tr>
        <w:trPr>
          <w:trHeight w:val="588"/>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Earnings (loss) to average ExxonMobil share of equity (percent)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30.7</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60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Working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31,293</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28,586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2,511</w:t>
            </w:r>
          </w:p>
        </w:tc>
        <w:tc>
          <w:tcPr>
            <w:tcW w:w="0" w:type="dxa"/>
            <w:vAlign w:val="bottom"/>
          </w:tcPr>
          <w:p>
            <w:pPr>
              <w:spacing w:after="0"/>
              <w:rPr>
                <w:sz w:val="1"/>
                <w:szCs w:val="1"/>
                <w:color w:val="auto"/>
              </w:rPr>
            </w:pPr>
          </w:p>
        </w:tc>
      </w:tr>
      <w:tr>
        <w:trPr>
          <w:trHeight w:val="27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Ratio of current assets to current liabilities (times)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1.41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60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to property, plant and equipment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29,038</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18,338</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12,541</w:t>
            </w:r>
          </w:p>
        </w:tc>
        <w:tc>
          <w:tcPr>
            <w:tcW w:w="0" w:type="dxa"/>
            <w:vAlign w:val="bottom"/>
          </w:tcPr>
          <w:p>
            <w:pPr>
              <w:spacing w:after="0"/>
              <w:rPr>
                <w:sz w:val="1"/>
                <w:szCs w:val="1"/>
                <w:color w:val="auto"/>
              </w:rPr>
            </w:pPr>
          </w:p>
        </w:tc>
      </w:tr>
      <w:tr>
        <w:trPr>
          <w:trHeight w:val="27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less allowances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214,940</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204,692</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216,552</w:t>
            </w:r>
          </w:p>
        </w:tc>
        <w:tc>
          <w:tcPr>
            <w:tcW w:w="0" w:type="dxa"/>
            <w:vAlign w:val="bottom"/>
          </w:tcPr>
          <w:p>
            <w:pPr>
              <w:spacing w:after="0"/>
              <w:rPr>
                <w:sz w:val="1"/>
                <w:szCs w:val="1"/>
                <w:color w:val="auto"/>
              </w:rPr>
            </w:pPr>
          </w:p>
        </w:tc>
      </w:tr>
      <w:tr>
        <w:trPr>
          <w:trHeight w:val="294"/>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376,317</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369,067</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338,923</w:t>
            </w:r>
          </w:p>
        </w:tc>
        <w:tc>
          <w:tcPr>
            <w:tcW w:w="0" w:type="dxa"/>
            <w:vAlign w:val="bottom"/>
          </w:tcPr>
          <w:p>
            <w:pPr>
              <w:spacing w:after="0"/>
              <w:rPr>
                <w:sz w:val="1"/>
                <w:szCs w:val="1"/>
                <w:color w:val="auto"/>
              </w:rPr>
            </w:pPr>
          </w:p>
        </w:tc>
      </w:tr>
      <w:tr>
        <w:trPr>
          <w:trHeight w:val="60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Exploration expenses, including dry holes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1,025</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w:t>
            </w:r>
          </w:p>
        </w:tc>
        <w:tc>
          <w:tcPr>
            <w:tcW w:w="0" w:type="dxa"/>
            <w:vAlign w:val="bottom"/>
          </w:tcPr>
          <w:p>
            <w:pPr>
              <w:spacing w:after="0"/>
              <w:rPr>
                <w:sz w:val="1"/>
                <w:szCs w:val="1"/>
                <w:color w:val="auto"/>
              </w:rPr>
            </w:pPr>
          </w:p>
        </w:tc>
      </w:tr>
      <w:tr>
        <w:trPr>
          <w:trHeight w:val="27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Research and development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824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w:t>
            </w:r>
          </w:p>
        </w:tc>
        <w:tc>
          <w:tcPr>
            <w:tcW w:w="0" w:type="dxa"/>
            <w:vAlign w:val="bottom"/>
          </w:tcPr>
          <w:p>
            <w:pPr>
              <w:spacing w:after="0"/>
              <w:rPr>
                <w:sz w:val="1"/>
                <w:szCs w:val="1"/>
                <w:color w:val="auto"/>
              </w:rPr>
            </w:pPr>
          </w:p>
        </w:tc>
      </w:tr>
      <w:tr>
        <w:trPr>
          <w:trHeight w:val="60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37,483</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40,559</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43,428</w:t>
            </w:r>
          </w:p>
        </w:tc>
        <w:tc>
          <w:tcPr>
            <w:tcW w:w="0" w:type="dxa"/>
            <w:vAlign w:val="bottom"/>
          </w:tcPr>
          <w:p>
            <w:pPr>
              <w:spacing w:after="0"/>
              <w:rPr>
                <w:sz w:val="1"/>
                <w:szCs w:val="1"/>
                <w:color w:val="auto"/>
              </w:rPr>
            </w:pPr>
          </w:p>
        </w:tc>
      </w:tr>
      <w:tr>
        <w:trPr>
          <w:trHeight w:val="27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41,573</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41,193</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47,704</w:t>
            </w:r>
          </w:p>
        </w:tc>
        <w:tc>
          <w:tcPr>
            <w:tcW w:w="0" w:type="dxa"/>
            <w:vAlign w:val="bottom"/>
          </w:tcPr>
          <w:p>
            <w:pPr>
              <w:spacing w:after="0"/>
              <w:rPr>
                <w:sz w:val="1"/>
                <w:szCs w:val="1"/>
                <w:color w:val="auto"/>
              </w:rPr>
            </w:pPr>
          </w:p>
        </w:tc>
      </w:tr>
      <w:tr>
        <w:trPr>
          <w:trHeight w:val="294"/>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Debt to capital (percent)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16.9</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0" w:type="dxa"/>
            <w:vAlign w:val="bottom"/>
          </w:tcPr>
          <w:p>
            <w:pPr>
              <w:spacing w:after="0"/>
              <w:rPr>
                <w:sz w:val="1"/>
                <w:szCs w:val="1"/>
                <w:color w:val="auto"/>
              </w:rPr>
            </w:pPr>
          </w:p>
        </w:tc>
      </w:tr>
      <w:tr>
        <w:trPr>
          <w:trHeight w:val="312"/>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Net debt to capital (percent) </w:t>
            </w:r>
            <w:r>
              <w:rPr>
                <w:rFonts w:ascii="Times New Roman" w:cs="Times New Roman" w:eastAsia="Times New Roman" w:hAnsi="Times New Roman"/>
                <w:sz w:val="10"/>
                <w:szCs w:val="10"/>
                <w:i w:val="1"/>
                <w:iCs w:val="1"/>
                <w:color w:val="auto"/>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5.4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588"/>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ExxonMobil share of equity at year-end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204,802</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195,049</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168,577</w:t>
            </w:r>
          </w:p>
        </w:tc>
        <w:tc>
          <w:tcPr>
            <w:tcW w:w="0" w:type="dxa"/>
            <w:vAlign w:val="bottom"/>
          </w:tcPr>
          <w:p>
            <w:pPr>
              <w:spacing w:after="0"/>
              <w:rPr>
                <w:sz w:val="1"/>
                <w:szCs w:val="1"/>
                <w:color w:val="auto"/>
              </w:rPr>
            </w:pPr>
          </w:p>
        </w:tc>
      </w:tr>
      <w:tr>
        <w:trPr>
          <w:trHeight w:val="276"/>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ExxonMobil share of equity per common share (dollars)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51.57</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47.78</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39.77</w:t>
            </w:r>
          </w:p>
        </w:tc>
        <w:tc>
          <w:tcPr>
            <w:tcW w:w="0" w:type="dxa"/>
            <w:vAlign w:val="bottom"/>
          </w:tcPr>
          <w:p>
            <w:pPr>
              <w:spacing w:after="0"/>
              <w:rPr>
                <w:sz w:val="1"/>
                <w:szCs w:val="1"/>
                <w:color w:val="auto"/>
              </w:rPr>
            </w:pPr>
          </w:p>
        </w:tc>
      </w:tr>
      <w:tr>
        <w:trPr>
          <w:trHeight w:val="294"/>
        </w:trPr>
        <w:tc>
          <w:tcPr>
            <w:tcW w:w="7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 average number of common shares outstanding (millions)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4,052</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4,205</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4,275</w:t>
            </w:r>
          </w:p>
        </w:tc>
        <w:tc>
          <w:tcPr>
            <w:tcW w:w="0" w:type="dxa"/>
            <w:vAlign w:val="bottom"/>
          </w:tcPr>
          <w:p>
            <w:pPr>
              <w:spacing w:after="0"/>
              <w:rPr>
                <w:sz w:val="1"/>
                <w:szCs w:val="1"/>
                <w:color w:val="auto"/>
              </w:rPr>
            </w:pPr>
          </w:p>
        </w:tc>
      </w:tr>
      <w:tr>
        <w:trPr>
          <w:trHeight w:val="323"/>
        </w:trPr>
        <w:tc>
          <w:tcPr>
            <w:tcW w:w="7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0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 xml:space="preserve">Number of regular employees at year-end (thousands) </w:t>
            </w:r>
            <w:r>
              <w:rPr>
                <w:rFonts w:ascii="Times New Roman" w:cs="Times New Roman" w:eastAsia="Times New Roman" w:hAnsi="Times New Roman"/>
                <w:sz w:val="10"/>
                <w:szCs w:val="10"/>
                <w:i w:val="1"/>
                <w:iCs w:val="1"/>
                <w:color w:val="auto"/>
              </w:rPr>
              <w:t>(2)</w:t>
            </w:r>
          </w:p>
        </w:tc>
        <w:tc>
          <w:tcPr>
            <w:tcW w:w="10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3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color w:val="auto"/>
              </w:rPr>
              <w:t>62.3</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-5062220</wp:posOffset>
            </wp:positionV>
            <wp:extent cx="6615430" cy="5066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0">
                      <a:extLst>
                        <a:ext uri="{28A0092B-C50C-407E-A947-70E740481C1C}"/>
                      </a:extLst>
                    </a:blip>
                    <a:srcRect/>
                    <a:stretch>
                      <a:fillRect/>
                    </a:stretch>
                  </pic:blipFill>
                  <pic:spPr bwMode="auto">
                    <a:xfrm>
                      <a:off x="0" y="0"/>
                      <a:ext cx="6615430" cy="5066030"/>
                    </a:xfrm>
                    <a:prstGeom prst="rect">
                      <a:avLst/>
                    </a:prstGeom>
                    <a:noFill/>
                  </pic:spPr>
                </pic:pic>
              </a:graphicData>
            </a:graphic>
          </wp:anchor>
        </w:drawing>
      </w:r>
    </w:p>
    <w:p>
      <w:pPr>
        <w:spacing w:after="0" w:line="81" w:lineRule="exact"/>
        <w:rPr>
          <w:sz w:val="20"/>
          <w:szCs w:val="20"/>
          <w:color w:val="auto"/>
        </w:rPr>
      </w:pPr>
    </w:p>
    <w:p>
      <w:pPr>
        <w:ind w:left="300" w:hanging="138"/>
        <w:spacing w:after="0"/>
        <w:tabs>
          <w:tab w:leader="none" w:pos="300" w:val="left"/>
        </w:tabs>
        <w:numPr>
          <w:ilvl w:val="0"/>
          <w:numId w:val="1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Debt net of cash.</w:t>
      </w:r>
    </w:p>
    <w:p>
      <w:pPr>
        <w:spacing w:after="0" w:line="60" w:lineRule="exact"/>
        <w:rPr>
          <w:rFonts w:ascii="Times New Roman" w:cs="Times New Roman" w:eastAsia="Times New Roman" w:hAnsi="Times New Roman"/>
          <w:sz w:val="17"/>
          <w:szCs w:val="17"/>
          <w:i w:val="1"/>
          <w:iCs w:val="1"/>
          <w:color w:val="auto"/>
          <w:vertAlign w:val="superscript"/>
        </w:rPr>
      </w:pPr>
    </w:p>
    <w:p>
      <w:pPr>
        <w:ind w:left="160" w:right="40" w:firstLine="2"/>
        <w:spacing w:after="0" w:line="254" w:lineRule="auto"/>
        <w:tabs>
          <w:tab w:leader="none" w:pos="304" w:val="left"/>
        </w:tabs>
        <w:numPr>
          <w:ilvl w:val="0"/>
          <w:numId w:val="17"/>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Regular employees are defined as active executive, management, professional, technical, administrative, and wage employees who work full time or part time for the Corporation and are covered by the Corporation’s benefit plans and programs.</w:t>
      </w:r>
    </w:p>
    <w:p>
      <w:pPr>
        <w:sectPr>
          <w:pgSz w:w="11880" w:h="15480" w:orient="portrait"/>
          <w:cols w:equalWidth="0" w:num="1">
            <w:col w:w="10480"/>
          </w:cols>
          <w:pgMar w:left="640" w:top="47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480"/>
          </w:cols>
          <w:pgMar w:left="640" w:top="477" w:right="76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4"/>
          <w:szCs w:val="24"/>
          <w:b w:val="1"/>
          <w:bCs w:val="1"/>
          <w:color w:val="4C4C4C"/>
        </w:rPr>
        <w:t>FREQUENTLY USED TERMS</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Listed below are definitions of several of ExxonMobil’s key business and financial performance measures. These definitions are provided to facilitate understanding of the terms and their calculation.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 xml:space="preserve">Cash Flow From Operations and Asset Sales </w:t>
      </w:r>
      <w:r>
        <w:rPr>
          <w:rFonts w:ascii="Times New Roman" w:cs="Times New Roman" w:eastAsia="Times New Roman" w:hAnsi="Times New Roman"/>
          <w:sz w:val="20"/>
          <w:szCs w:val="20"/>
          <w:color w:val="4C4C4C"/>
        </w:rPr>
        <w:t>(Non-GAAP)</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Cash flow from operations and asset sales is the sum of the net cash provided by operating activities and proceeds associated with sales of subsidiaries, property, plant and equipment, and sales and returns of investments from the Consolidated Statement of Cash Flows. This cash flow reflects the total sources of cash both from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32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Cash Flow From Operations and Asset Sales</w:t>
            </w:r>
          </w:p>
        </w:tc>
        <w:tc>
          <w:tcPr>
            <w:tcW w:w="10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20" w:type="dxa"/>
            <w:vAlign w:val="bottom"/>
            <w:vMerge w:val="restart"/>
            <w:shd w:val="clear" w:color="auto" w:fill="4C4C4C"/>
          </w:tcPr>
          <w:p>
            <w:pPr>
              <w:jc w:val="right"/>
              <w:ind w:right="167"/>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8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5"/>
        </w:trPr>
        <w:tc>
          <w:tcPr>
            <w:tcW w:w="732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40" w:type="dxa"/>
            <w:vAlign w:val="bottom"/>
            <w:vMerge w:val="continue"/>
            <w:shd w:val="clear" w:color="auto" w:fill="4C4C4C"/>
          </w:tcPr>
          <w:p>
            <w:pPr>
              <w:spacing w:after="0"/>
              <w:rPr>
                <w:sz w:val="9"/>
                <w:szCs w:val="9"/>
                <w:color w:val="auto"/>
              </w:rPr>
            </w:pPr>
          </w:p>
        </w:tc>
        <w:tc>
          <w:tcPr>
            <w:tcW w:w="1320" w:type="dxa"/>
            <w:vAlign w:val="bottom"/>
            <w:vMerge w:val="continue"/>
            <w:shd w:val="clear" w:color="auto" w:fill="4C4C4C"/>
          </w:tcPr>
          <w:p>
            <w:pPr>
              <w:spacing w:after="0"/>
              <w:rPr>
                <w:sz w:val="9"/>
                <w:szCs w:val="9"/>
                <w:color w:val="auto"/>
              </w:rPr>
            </w:pPr>
          </w:p>
        </w:tc>
        <w:tc>
          <w:tcPr>
            <w:tcW w:w="88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320" w:type="dxa"/>
            <w:vAlign w:val="bottom"/>
            <w:vMerge w:val="continue"/>
            <w:shd w:val="clear" w:color="auto" w:fill="4C4C4C"/>
          </w:tcPr>
          <w:p>
            <w:pPr>
              <w:spacing w:after="0"/>
              <w:rPr>
                <w:sz w:val="10"/>
                <w:szCs w:val="10"/>
                <w:color w:val="auto"/>
              </w:rPr>
            </w:pPr>
          </w:p>
        </w:tc>
        <w:tc>
          <w:tcPr>
            <w:tcW w:w="1040" w:type="dxa"/>
            <w:vAlign w:val="bottom"/>
            <w:shd w:val="clear" w:color="auto" w:fill="4C4C4C"/>
          </w:tcPr>
          <w:p>
            <w:pPr>
              <w:spacing w:after="0"/>
              <w:rPr>
                <w:sz w:val="10"/>
                <w:szCs w:val="10"/>
                <w:color w:val="auto"/>
              </w:rPr>
            </w:pPr>
          </w:p>
        </w:tc>
        <w:tc>
          <w:tcPr>
            <w:tcW w:w="1320" w:type="dxa"/>
            <w:vAlign w:val="bottom"/>
            <w:shd w:val="clear" w:color="auto" w:fill="4C4C4C"/>
          </w:tcPr>
          <w:p>
            <w:pPr>
              <w:spacing w:after="0"/>
              <w:rPr>
                <w:sz w:val="10"/>
                <w:szCs w:val="10"/>
                <w:color w:val="auto"/>
              </w:rPr>
            </w:pPr>
          </w:p>
        </w:tc>
        <w:tc>
          <w:tcPr>
            <w:tcW w:w="88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55,369</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76,797</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48,129</w:t>
            </w:r>
          </w:p>
        </w:tc>
        <w:tc>
          <w:tcPr>
            <w:tcW w:w="0" w:type="dxa"/>
            <w:vAlign w:val="bottom"/>
          </w:tcPr>
          <w:p>
            <w:pPr>
              <w:spacing w:after="0"/>
              <w:rPr>
                <w:sz w:val="1"/>
                <w:szCs w:val="1"/>
                <w:color w:val="auto"/>
              </w:rPr>
            </w:pPr>
          </w:p>
        </w:tc>
      </w:tr>
      <w:tr>
        <w:trPr>
          <w:trHeight w:val="247"/>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Proceeds associated with sales of subsidiaries, property, plant and equipment, and sales and</w:t>
            </w:r>
          </w:p>
        </w:tc>
        <w:tc>
          <w:tcPr>
            <w:tcW w:w="10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4,078</w:t>
            </w:r>
          </w:p>
        </w:tc>
        <w:tc>
          <w:tcPr>
            <w:tcW w:w="1320" w:type="dxa"/>
            <w:vAlign w:val="bottom"/>
            <w:vMerge w:val="restart"/>
          </w:tcPr>
          <w:p>
            <w:pPr>
              <w:jc w:val="right"/>
              <w:ind w:right="207"/>
              <w:spacing w:after="0"/>
              <w:rPr>
                <w:sz w:val="20"/>
                <w:szCs w:val="20"/>
                <w:color w:val="auto"/>
              </w:rPr>
            </w:pPr>
            <w:r>
              <w:rPr>
                <w:rFonts w:ascii="Times New Roman" w:cs="Times New Roman" w:eastAsia="Times New Roman" w:hAnsi="Times New Roman"/>
                <w:sz w:val="20"/>
                <w:szCs w:val="20"/>
                <w:color w:val="auto"/>
              </w:rPr>
              <w:t>5,247</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3,176</w:t>
            </w:r>
          </w:p>
        </w:tc>
        <w:tc>
          <w:tcPr>
            <w:tcW w:w="0" w:type="dxa"/>
            <w:vAlign w:val="bottom"/>
          </w:tcPr>
          <w:p>
            <w:pPr>
              <w:spacing w:after="0"/>
              <w:rPr>
                <w:sz w:val="1"/>
                <w:szCs w:val="1"/>
                <w:color w:val="auto"/>
              </w:rPr>
            </w:pPr>
          </w:p>
        </w:tc>
      </w:tr>
      <w:tr>
        <w:trPr>
          <w:trHeight w:val="260"/>
        </w:trPr>
        <w:tc>
          <w:tcPr>
            <w:tcW w:w="732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returns of investments</w:t>
            </w:r>
          </w:p>
        </w:tc>
        <w:tc>
          <w:tcPr>
            <w:tcW w:w="1040" w:type="dxa"/>
            <w:vAlign w:val="bottom"/>
            <w:tcBorders>
              <w:bottom w:val="single" w:sz="8" w:color="4C4C4C"/>
            </w:tcBorders>
            <w:vMerge w:val="continue"/>
            <w:shd w:val="clear" w:color="auto" w:fill="F0F0F0"/>
          </w:tcPr>
          <w:p>
            <w:pPr>
              <w:spacing w:after="0"/>
              <w:rPr>
                <w:sz w:val="22"/>
                <w:szCs w:val="22"/>
                <w:color w:val="auto"/>
              </w:rPr>
            </w:pPr>
          </w:p>
        </w:tc>
        <w:tc>
          <w:tcPr>
            <w:tcW w:w="1320" w:type="dxa"/>
            <w:vAlign w:val="bottom"/>
            <w:tcBorders>
              <w:bottom w:val="single" w:sz="8" w:color="4C4C4C"/>
            </w:tcBorders>
            <w:vMerge w:val="continue"/>
          </w:tcPr>
          <w:p>
            <w:pPr>
              <w:spacing w:after="0"/>
              <w:rPr>
                <w:sz w:val="22"/>
                <w:szCs w:val="22"/>
                <w:color w:val="auto"/>
              </w:rPr>
            </w:pPr>
          </w:p>
        </w:tc>
        <w:tc>
          <w:tcPr>
            <w:tcW w:w="88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Cash flow from operations and asset sales </w:t>
            </w:r>
            <w:r>
              <w:rPr>
                <w:rFonts w:ascii="Times New Roman" w:cs="Times New Roman" w:eastAsia="Times New Roman" w:hAnsi="Times New Roman"/>
                <w:sz w:val="20"/>
                <w:szCs w:val="20"/>
                <w:color w:val="auto"/>
              </w:rPr>
              <w:t>(Non-GAAP)</w:t>
            </w:r>
          </w:p>
        </w:tc>
        <w:tc>
          <w:tcPr>
            <w:tcW w:w="10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59,447</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20"/>
                <w:szCs w:val="20"/>
                <w:b w:val="1"/>
                <w:bCs w:val="1"/>
                <w:color w:val="auto"/>
              </w:rPr>
              <w:t>82,044</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51,305</w:t>
            </w:r>
          </w:p>
        </w:tc>
        <w:tc>
          <w:tcPr>
            <w:tcW w:w="0" w:type="dxa"/>
            <w:vAlign w:val="bottom"/>
          </w:tcPr>
          <w:p>
            <w:pPr>
              <w:spacing w:after="0"/>
              <w:rPr>
                <w:sz w:val="1"/>
                <w:szCs w:val="1"/>
                <w:color w:val="auto"/>
              </w:rPr>
            </w:pPr>
          </w:p>
        </w:tc>
      </w:tr>
      <w:tr>
        <w:trPr>
          <w:trHeight w:val="20"/>
        </w:trPr>
        <w:tc>
          <w:tcPr>
            <w:tcW w:w="7320" w:type="dxa"/>
            <w:vAlign w:val="bottom"/>
            <w:shd w:val="clear" w:color="auto" w:fill="4C4C4C"/>
          </w:tcPr>
          <w:p>
            <w:pPr>
              <w:spacing w:after="0" w:line="20" w:lineRule="exact"/>
              <w:rPr>
                <w:sz w:val="1"/>
                <w:szCs w:val="1"/>
                <w:color w:val="auto"/>
              </w:rPr>
            </w:pPr>
          </w:p>
        </w:tc>
        <w:tc>
          <w:tcPr>
            <w:tcW w:w="1040" w:type="dxa"/>
            <w:vAlign w:val="bottom"/>
            <w:shd w:val="clear" w:color="auto" w:fill="4C4C4C"/>
          </w:tcPr>
          <w:p>
            <w:pPr>
              <w:spacing w:after="0" w:line="20" w:lineRule="exact"/>
              <w:rPr>
                <w:sz w:val="1"/>
                <w:szCs w:val="1"/>
                <w:color w:val="auto"/>
              </w:rPr>
            </w:pPr>
          </w:p>
        </w:tc>
        <w:tc>
          <w:tcPr>
            <w:tcW w:w="1320" w:type="dxa"/>
            <w:vAlign w:val="bottom"/>
            <w:shd w:val="clear" w:color="auto" w:fill="4C4C4C"/>
          </w:tcPr>
          <w:p>
            <w:pPr>
              <w:spacing w:after="0" w:line="20" w:lineRule="exact"/>
              <w:rPr>
                <w:sz w:val="1"/>
                <w:szCs w:val="1"/>
                <w:color w:val="auto"/>
              </w:rPr>
            </w:pPr>
          </w:p>
        </w:tc>
        <w:tc>
          <w:tcPr>
            <w:tcW w:w="880" w:type="dxa"/>
            <w:vAlign w:val="bottom"/>
            <w:shd w:val="clear" w:color="auto" w:fill="4C4C4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 xml:space="preserve">Capital Employed </w:t>
      </w:r>
      <w:r>
        <w:rPr>
          <w:rFonts w:ascii="Times New Roman" w:cs="Times New Roman" w:eastAsia="Times New Roman" w:hAnsi="Times New Roman"/>
          <w:sz w:val="20"/>
          <w:szCs w:val="20"/>
          <w:color w:val="4C4C4C"/>
        </w:rPr>
        <w:t>(Non-GAAP)</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32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Capital Employed</w:t>
            </w:r>
          </w:p>
        </w:tc>
        <w:tc>
          <w:tcPr>
            <w:tcW w:w="10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80" w:type="dxa"/>
            <w:vAlign w:val="bottom"/>
            <w:vMerge w:val="restart"/>
            <w:shd w:val="clear" w:color="auto" w:fill="4C4C4C"/>
          </w:tcPr>
          <w:p>
            <w:pPr>
              <w:jc w:val="right"/>
              <w:ind w:right="12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2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8"/>
        </w:trPr>
        <w:tc>
          <w:tcPr>
            <w:tcW w:w="732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40" w:type="dxa"/>
            <w:vAlign w:val="bottom"/>
            <w:vMerge w:val="continue"/>
            <w:shd w:val="clear" w:color="auto" w:fill="4C4C4C"/>
          </w:tcPr>
          <w:p>
            <w:pPr>
              <w:spacing w:after="0"/>
              <w:rPr>
                <w:sz w:val="9"/>
                <w:szCs w:val="9"/>
                <w:color w:val="auto"/>
              </w:rPr>
            </w:pPr>
          </w:p>
        </w:tc>
        <w:tc>
          <w:tcPr>
            <w:tcW w:w="1280" w:type="dxa"/>
            <w:vAlign w:val="bottom"/>
            <w:vMerge w:val="continue"/>
            <w:shd w:val="clear" w:color="auto" w:fill="4C4C4C"/>
          </w:tcPr>
          <w:p>
            <w:pPr>
              <w:spacing w:after="0"/>
              <w:rPr>
                <w:sz w:val="9"/>
                <w:szCs w:val="9"/>
                <w:color w:val="auto"/>
              </w:rPr>
            </w:pPr>
          </w:p>
        </w:tc>
        <w:tc>
          <w:tcPr>
            <w:tcW w:w="92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320" w:type="dxa"/>
            <w:vAlign w:val="bottom"/>
            <w:vMerge w:val="continue"/>
            <w:shd w:val="clear" w:color="auto" w:fill="4C4C4C"/>
          </w:tcPr>
          <w:p>
            <w:pPr>
              <w:spacing w:after="0"/>
              <w:rPr>
                <w:sz w:val="10"/>
                <w:szCs w:val="10"/>
                <w:color w:val="auto"/>
              </w:rPr>
            </w:pPr>
          </w:p>
        </w:tc>
        <w:tc>
          <w:tcPr>
            <w:tcW w:w="1040" w:type="dxa"/>
            <w:vAlign w:val="bottom"/>
            <w:shd w:val="clear" w:color="auto" w:fill="4C4C4C"/>
          </w:tcPr>
          <w:p>
            <w:pPr>
              <w:spacing w:after="0"/>
              <w:rPr>
                <w:sz w:val="10"/>
                <w:szCs w:val="10"/>
                <w:color w:val="auto"/>
              </w:rPr>
            </w:pPr>
          </w:p>
        </w:tc>
        <w:tc>
          <w:tcPr>
            <w:tcW w:w="1280" w:type="dxa"/>
            <w:vAlign w:val="bottom"/>
            <w:shd w:val="clear" w:color="auto" w:fill="4C4C4C"/>
          </w:tcPr>
          <w:p>
            <w:pPr>
              <w:spacing w:after="0"/>
              <w:rPr>
                <w:sz w:val="10"/>
                <w:szCs w:val="10"/>
                <w:color w:val="auto"/>
              </w:rPr>
            </w:pPr>
          </w:p>
        </w:tc>
        <w:tc>
          <w:tcPr>
            <w:tcW w:w="92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Business uses: asset and liability perspective</w:t>
            </w:r>
          </w:p>
        </w:tc>
        <w:tc>
          <w:tcPr>
            <w:tcW w:w="1040" w:type="dxa"/>
            <w:vAlign w:val="bottom"/>
            <w:shd w:val="clear" w:color="auto" w:fill="F0F0F0"/>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376,317</w:t>
            </w: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369,067</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338,923</w:t>
            </w:r>
          </w:p>
        </w:tc>
        <w:tc>
          <w:tcPr>
            <w:tcW w:w="0" w:type="dxa"/>
            <w:vAlign w:val="bottom"/>
          </w:tcPr>
          <w:p>
            <w:pPr>
              <w:spacing w:after="0"/>
              <w:rPr>
                <w:sz w:val="1"/>
                <w:szCs w:val="1"/>
                <w:color w:val="auto"/>
              </w:rPr>
            </w:pPr>
          </w:p>
        </w:tc>
      </w:tr>
      <w:tr>
        <w:trPr>
          <w:trHeight w:val="294"/>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liabilities and noncontrolling interests share of assets and liabilities</w:t>
            </w:r>
          </w:p>
        </w:tc>
        <w:tc>
          <w:tcPr>
            <w:tcW w:w="104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Total current liabilities excluding notes and loans payable</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(61,226)</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(68,411)</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(52,367)</w:t>
            </w:r>
          </w:p>
        </w:tc>
        <w:tc>
          <w:tcPr>
            <w:tcW w:w="0" w:type="dxa"/>
            <w:vAlign w:val="bottom"/>
          </w:tcPr>
          <w:p>
            <w:pPr>
              <w:spacing w:after="0"/>
              <w:rPr>
                <w:sz w:val="1"/>
                <w:szCs w:val="1"/>
                <w:color w:val="auto"/>
              </w:rPr>
            </w:pPr>
          </w:p>
        </w:tc>
      </w:tr>
      <w:tr>
        <w:trPr>
          <w:trHeight w:val="294"/>
        </w:trPr>
        <w:tc>
          <w:tcPr>
            <w:tcW w:w="7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Total long-term liabilities excluding long-term debt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(60,980)</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(56,990)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(63,169)</w:t>
            </w:r>
          </w:p>
        </w:tc>
        <w:tc>
          <w:tcPr>
            <w:tcW w:w="0" w:type="dxa"/>
            <w:vAlign w:val="bottom"/>
          </w:tcPr>
          <w:p>
            <w:pPr>
              <w:spacing w:after="0"/>
              <w:rPr>
                <w:sz w:val="1"/>
                <w:szCs w:val="1"/>
                <w:color w:val="auto"/>
              </w:rPr>
            </w:pPr>
          </w:p>
        </w:tc>
      </w:tr>
      <w:tr>
        <w:trPr>
          <w:trHeight w:val="294"/>
        </w:trPr>
        <w:tc>
          <w:tcPr>
            <w:tcW w:w="7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Noncontrolling interests share of assets and liabilities</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(8,878)</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(9,205)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(8,746)</w:t>
            </w:r>
          </w:p>
        </w:tc>
        <w:tc>
          <w:tcPr>
            <w:tcW w:w="0" w:type="dxa"/>
            <w:vAlign w:val="bottom"/>
          </w:tcPr>
          <w:p>
            <w:pPr>
              <w:spacing w:after="0"/>
              <w:rPr>
                <w:sz w:val="1"/>
                <w:szCs w:val="1"/>
                <w:color w:val="auto"/>
              </w:rPr>
            </w:pPr>
          </w:p>
        </w:tc>
      </w:tr>
      <w:tr>
        <w:trPr>
          <w:trHeight w:val="318"/>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 ExxonMobil share of debt-financed equity company net assets</w:t>
            </w:r>
          </w:p>
        </w:tc>
        <w:tc>
          <w:tcPr>
            <w:tcW w:w="10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3,481</w:t>
            </w: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3,705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0" w:type="dxa"/>
            <w:vAlign w:val="bottom"/>
          </w:tcPr>
          <w:p>
            <w:pPr>
              <w:spacing w:after="0"/>
              <w:rPr>
                <w:sz w:val="1"/>
                <w:szCs w:val="1"/>
                <w:color w:val="auto"/>
              </w:rPr>
            </w:pPr>
          </w:p>
        </w:tc>
      </w:tr>
      <w:tr>
        <w:trPr>
          <w:trHeight w:val="274"/>
        </w:trPr>
        <w:tc>
          <w:tcPr>
            <w:tcW w:w="732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Total capital employed </w:t>
            </w:r>
            <w:r>
              <w:rPr>
                <w:rFonts w:ascii="Times New Roman" w:cs="Times New Roman" w:eastAsia="Times New Roman" w:hAnsi="Times New Roman"/>
                <w:sz w:val="20"/>
                <w:szCs w:val="20"/>
                <w:color w:val="auto"/>
              </w:rPr>
              <w:t>(Non-GAAP)</w:t>
            </w:r>
          </w:p>
        </w:tc>
        <w:tc>
          <w:tcPr>
            <w:tcW w:w="104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248,714</w:t>
            </w:r>
          </w:p>
        </w:tc>
        <w:tc>
          <w:tcPr>
            <w:tcW w:w="1280" w:type="dxa"/>
            <w:vAlign w:val="bottom"/>
            <w:tcBorders>
              <w:top w:val="single" w:sz="8" w:color="4C4C4C"/>
              <w:bottom w:val="single" w:sz="8" w:color="4C4C4C"/>
            </w:tcBorders>
          </w:tcPr>
          <w:p>
            <w:pPr>
              <w:jc w:val="right"/>
              <w:ind w:right="164"/>
              <w:spacing w:after="0"/>
              <w:rPr>
                <w:sz w:val="20"/>
                <w:szCs w:val="20"/>
                <w:color w:val="auto"/>
              </w:rPr>
            </w:pPr>
            <w:r>
              <w:rPr>
                <w:rFonts w:ascii="Times New Roman" w:cs="Times New Roman" w:eastAsia="Times New Roman" w:hAnsi="Times New Roman"/>
                <w:sz w:val="20"/>
                <w:szCs w:val="20"/>
                <w:b w:val="1"/>
                <w:bCs w:val="1"/>
                <w:color w:val="auto"/>
              </w:rPr>
              <w:t>238,166</w:t>
            </w:r>
          </w:p>
        </w:tc>
        <w:tc>
          <w:tcPr>
            <w:tcW w:w="92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218,642</w:t>
            </w:r>
          </w:p>
        </w:tc>
        <w:tc>
          <w:tcPr>
            <w:tcW w:w="0" w:type="dxa"/>
            <w:vAlign w:val="bottom"/>
          </w:tcPr>
          <w:p>
            <w:pPr>
              <w:spacing w:after="0"/>
              <w:rPr>
                <w:sz w:val="1"/>
                <w:szCs w:val="1"/>
                <w:color w:val="auto"/>
              </w:rPr>
            </w:pPr>
          </w:p>
        </w:tc>
      </w:tr>
      <w:tr>
        <w:trPr>
          <w:trHeight w:val="562"/>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Total corporate sources: debt and equity perspective</w:t>
            </w:r>
          </w:p>
        </w:tc>
        <w:tc>
          <w:tcPr>
            <w:tcW w:w="104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Notes and loans payable</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4,090</w:t>
            </w: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634</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4,276</w:t>
            </w:r>
          </w:p>
        </w:tc>
        <w:tc>
          <w:tcPr>
            <w:tcW w:w="0" w:type="dxa"/>
            <w:vAlign w:val="bottom"/>
          </w:tcPr>
          <w:p>
            <w:pPr>
              <w:spacing w:after="0"/>
              <w:rPr>
                <w:sz w:val="1"/>
                <w:szCs w:val="1"/>
                <w:color w:val="auto"/>
              </w:rPr>
            </w:pPr>
          </w:p>
        </w:tc>
      </w:tr>
      <w:tr>
        <w:trPr>
          <w:trHeight w:val="294"/>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37,483</w:t>
            </w: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40,559</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43,428</w:t>
            </w:r>
          </w:p>
        </w:tc>
        <w:tc>
          <w:tcPr>
            <w:tcW w:w="0" w:type="dxa"/>
            <w:vAlign w:val="bottom"/>
          </w:tcPr>
          <w:p>
            <w:pPr>
              <w:spacing w:after="0"/>
              <w:rPr>
                <w:sz w:val="1"/>
                <w:szCs w:val="1"/>
                <w:color w:val="auto"/>
              </w:rPr>
            </w:pPr>
          </w:p>
        </w:tc>
      </w:tr>
      <w:tr>
        <w:trPr>
          <w:trHeight w:val="294"/>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ExxonMobil share of equity</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204,802</w:t>
            </w: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195,049</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168,577</w:t>
            </w:r>
          </w:p>
        </w:tc>
        <w:tc>
          <w:tcPr>
            <w:tcW w:w="0" w:type="dxa"/>
            <w:vAlign w:val="bottom"/>
          </w:tcPr>
          <w:p>
            <w:pPr>
              <w:spacing w:after="0"/>
              <w:rPr>
                <w:sz w:val="1"/>
                <w:szCs w:val="1"/>
                <w:color w:val="auto"/>
              </w:rPr>
            </w:pPr>
          </w:p>
        </w:tc>
      </w:tr>
      <w:tr>
        <w:trPr>
          <w:trHeight w:val="294"/>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noncontrolling interests share of total debt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(1,142)</w:t>
            </w: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(1,781)</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w:t>
            </w:r>
          </w:p>
        </w:tc>
        <w:tc>
          <w:tcPr>
            <w:tcW w:w="0" w:type="dxa"/>
            <w:vAlign w:val="bottom"/>
          </w:tcPr>
          <w:p>
            <w:pPr>
              <w:spacing w:after="0"/>
              <w:rPr>
                <w:sz w:val="1"/>
                <w:szCs w:val="1"/>
                <w:color w:val="auto"/>
              </w:rPr>
            </w:pPr>
          </w:p>
        </w:tc>
      </w:tr>
      <w:tr>
        <w:trPr>
          <w:trHeight w:val="318"/>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 ExxonMobil share of equity company debt</w:t>
            </w:r>
          </w:p>
        </w:tc>
        <w:tc>
          <w:tcPr>
            <w:tcW w:w="10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3,481</w:t>
            </w: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3,705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0" w:type="dxa"/>
            <w:vAlign w:val="bottom"/>
          </w:tcPr>
          <w:p>
            <w:pPr>
              <w:spacing w:after="0"/>
              <w:rPr>
                <w:sz w:val="1"/>
                <w:szCs w:val="1"/>
                <w:color w:val="auto"/>
              </w:rPr>
            </w:pPr>
          </w:p>
        </w:tc>
      </w:tr>
      <w:tr>
        <w:trPr>
          <w:trHeight w:val="274"/>
        </w:trPr>
        <w:tc>
          <w:tcPr>
            <w:tcW w:w="732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Total capital employed </w:t>
            </w:r>
            <w:r>
              <w:rPr>
                <w:rFonts w:ascii="Times New Roman" w:cs="Times New Roman" w:eastAsia="Times New Roman" w:hAnsi="Times New Roman"/>
                <w:sz w:val="20"/>
                <w:szCs w:val="20"/>
                <w:color w:val="auto"/>
              </w:rPr>
              <w:t>(Non-GAAP)</w:t>
            </w:r>
          </w:p>
        </w:tc>
        <w:tc>
          <w:tcPr>
            <w:tcW w:w="104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248,714</w:t>
            </w:r>
          </w:p>
        </w:tc>
        <w:tc>
          <w:tcPr>
            <w:tcW w:w="1280" w:type="dxa"/>
            <w:vAlign w:val="bottom"/>
            <w:tcBorders>
              <w:top w:val="single" w:sz="8" w:color="4C4C4C"/>
              <w:bottom w:val="single" w:sz="8" w:color="4C4C4C"/>
            </w:tcBorders>
          </w:tcPr>
          <w:p>
            <w:pPr>
              <w:jc w:val="right"/>
              <w:ind w:right="164"/>
              <w:spacing w:after="0"/>
              <w:rPr>
                <w:sz w:val="20"/>
                <w:szCs w:val="20"/>
                <w:color w:val="auto"/>
              </w:rPr>
            </w:pPr>
            <w:r>
              <w:rPr>
                <w:rFonts w:ascii="Times New Roman" w:cs="Times New Roman" w:eastAsia="Times New Roman" w:hAnsi="Times New Roman"/>
                <w:sz w:val="20"/>
                <w:szCs w:val="20"/>
                <w:b w:val="1"/>
                <w:bCs w:val="1"/>
                <w:color w:val="auto"/>
              </w:rPr>
              <w:t>238,166</w:t>
            </w:r>
          </w:p>
        </w:tc>
        <w:tc>
          <w:tcPr>
            <w:tcW w:w="92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218,642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-1502410</wp:posOffset>
                </wp:positionV>
                <wp:extent cx="671131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315" cy="4763"/>
                        </a:xfrm>
                        <a:prstGeom prst="line">
                          <a:avLst/>
                        </a:prstGeom>
                        <a:solidFill>
                          <a:srgbClr val="FFFFFF"/>
                        </a:solidFill>
                        <a:ln w="125">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18.2999pt" to="529.2pt,-118.2999pt" o:allowincell="f" strokecolor="#FFFFFF" strokeweight="0.0098pt"/>
            </w:pict>
          </mc:Fallback>
        </mc:AlternateConten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600"/>
          </w:cols>
          <w:pgMar w:left="640" w:top="491" w:right="64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4"/>
          <w:szCs w:val="24"/>
          <w:b w:val="1"/>
          <w:bCs w:val="1"/>
          <w:color w:val="4C4C4C"/>
        </w:rPr>
        <w:t>FREQUENTLY USED TERMS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 xml:space="preserve">Return on Average Capital Employed </w:t>
      </w:r>
      <w:r>
        <w:rPr>
          <w:rFonts w:ascii="Times New Roman" w:cs="Times New Roman" w:eastAsia="Times New Roman" w:hAnsi="Times New Roman"/>
          <w:sz w:val="20"/>
          <w:szCs w:val="20"/>
          <w:color w:val="4C4C4C"/>
        </w:rPr>
        <w:t>(Non-GAAP)</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one of the best measures of historical capital productivity in our capital-intensive, long-term industry. Additional measures, which are more cash flow based, are used to make investment decisions.</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30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Return on Average Capital Employed</w:t>
            </w:r>
          </w:p>
        </w:tc>
        <w:tc>
          <w:tcPr>
            <w:tcW w:w="106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60" w:type="dxa"/>
            <w:vAlign w:val="bottom"/>
            <w:vMerge w:val="restart"/>
            <w:shd w:val="clear" w:color="auto" w:fill="4C4C4C"/>
          </w:tcPr>
          <w:p>
            <w:pPr>
              <w:jc w:val="right"/>
              <w:ind w:right="12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8"/>
        </w:trPr>
        <w:tc>
          <w:tcPr>
            <w:tcW w:w="730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60" w:type="dxa"/>
            <w:vAlign w:val="bottom"/>
            <w:vMerge w:val="continue"/>
            <w:shd w:val="clear" w:color="auto" w:fill="4C4C4C"/>
          </w:tcPr>
          <w:p>
            <w:pPr>
              <w:spacing w:after="0"/>
              <w:rPr>
                <w:sz w:val="9"/>
                <w:szCs w:val="9"/>
                <w:color w:val="auto"/>
              </w:rPr>
            </w:pPr>
          </w:p>
        </w:tc>
        <w:tc>
          <w:tcPr>
            <w:tcW w:w="1260" w:type="dxa"/>
            <w:vAlign w:val="bottom"/>
            <w:vMerge w:val="continue"/>
            <w:shd w:val="clear" w:color="auto" w:fill="4C4C4C"/>
          </w:tcPr>
          <w:p>
            <w:pPr>
              <w:spacing w:after="0"/>
              <w:rPr>
                <w:sz w:val="9"/>
                <w:szCs w:val="9"/>
                <w:color w:val="auto"/>
              </w:rPr>
            </w:pPr>
          </w:p>
        </w:tc>
        <w:tc>
          <w:tcPr>
            <w:tcW w:w="94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300" w:type="dxa"/>
            <w:vAlign w:val="bottom"/>
            <w:vMerge w:val="continue"/>
            <w:shd w:val="clear" w:color="auto" w:fill="4C4C4C"/>
          </w:tcPr>
          <w:p>
            <w:pPr>
              <w:spacing w:after="0"/>
              <w:rPr>
                <w:sz w:val="10"/>
                <w:szCs w:val="10"/>
                <w:color w:val="auto"/>
              </w:rPr>
            </w:pPr>
          </w:p>
        </w:tc>
        <w:tc>
          <w:tcPr>
            <w:tcW w:w="1060" w:type="dxa"/>
            <w:vAlign w:val="bottom"/>
            <w:shd w:val="clear" w:color="auto" w:fill="4C4C4C"/>
          </w:tcPr>
          <w:p>
            <w:pPr>
              <w:spacing w:after="0"/>
              <w:rPr>
                <w:sz w:val="10"/>
                <w:szCs w:val="10"/>
                <w:color w:val="auto"/>
              </w:rPr>
            </w:pPr>
          </w:p>
        </w:tc>
        <w:tc>
          <w:tcPr>
            <w:tcW w:w="1260" w:type="dxa"/>
            <w:vAlign w:val="bottom"/>
            <w:shd w:val="clear" w:color="auto" w:fill="4C4C4C"/>
          </w:tcPr>
          <w:p>
            <w:pPr>
              <w:spacing w:after="0"/>
              <w:rPr>
                <w:sz w:val="10"/>
                <w:szCs w:val="10"/>
                <w:color w:val="auto"/>
              </w:rPr>
            </w:pPr>
          </w:p>
        </w:tc>
        <w:tc>
          <w:tcPr>
            <w:tcW w:w="94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 ExxonMobil</w:t>
            </w:r>
          </w:p>
        </w:tc>
        <w:tc>
          <w:tcPr>
            <w:tcW w:w="10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36,010</w:t>
            </w: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55,740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23,040</w:t>
            </w:r>
          </w:p>
        </w:tc>
        <w:tc>
          <w:tcPr>
            <w:tcW w:w="0" w:type="dxa"/>
            <w:vAlign w:val="bottom"/>
          </w:tcPr>
          <w:p>
            <w:pPr>
              <w:spacing w:after="0"/>
              <w:rPr>
                <w:sz w:val="1"/>
                <w:szCs w:val="1"/>
                <w:color w:val="auto"/>
              </w:rPr>
            </w:pPr>
          </w:p>
        </w:tc>
      </w:tr>
      <w:tr>
        <w:trPr>
          <w:trHeight w:val="294"/>
        </w:trPr>
        <w:tc>
          <w:tcPr>
            <w:tcW w:w="7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Financing costs (after-tax)</w:t>
            </w:r>
          </w:p>
        </w:tc>
        <w:tc>
          <w:tcPr>
            <w:tcW w:w="1060" w:type="dxa"/>
            <w:vAlign w:val="bottom"/>
            <w:shd w:val="clear" w:color="auto" w:fill="F0F0F0"/>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Gross third-party debt</w:t>
            </w:r>
          </w:p>
        </w:tc>
        <w:tc>
          <w:tcPr>
            <w:tcW w:w="10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(1,175)</w:t>
            </w:r>
          </w:p>
        </w:tc>
        <w:tc>
          <w:tcPr>
            <w:tcW w:w="126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(1,213)</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w:t>
            </w:r>
          </w:p>
        </w:tc>
        <w:tc>
          <w:tcPr>
            <w:tcW w:w="0" w:type="dxa"/>
            <w:vAlign w:val="bottom"/>
          </w:tcPr>
          <w:p>
            <w:pPr>
              <w:spacing w:after="0"/>
              <w:rPr>
                <w:sz w:val="1"/>
                <w:szCs w:val="1"/>
                <w:color w:val="auto"/>
              </w:rPr>
            </w:pPr>
          </w:p>
        </w:tc>
      </w:tr>
      <w:tr>
        <w:trPr>
          <w:trHeight w:val="294"/>
        </w:trPr>
        <w:tc>
          <w:tcPr>
            <w:tcW w:w="73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ExxonMobil share of equity companies</w:t>
            </w:r>
          </w:p>
        </w:tc>
        <w:tc>
          <w:tcPr>
            <w:tcW w:w="10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26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(198)</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0" w:type="dxa"/>
            <w:vAlign w:val="bottom"/>
          </w:tcPr>
          <w:p>
            <w:pPr>
              <w:spacing w:after="0"/>
              <w:rPr>
                <w:sz w:val="1"/>
                <w:szCs w:val="1"/>
                <w:color w:val="auto"/>
              </w:rPr>
            </w:pPr>
          </w:p>
        </w:tc>
      </w:tr>
      <w:tr>
        <w:trPr>
          <w:trHeight w:val="318"/>
        </w:trPr>
        <w:tc>
          <w:tcPr>
            <w:tcW w:w="73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All other financing costs – net</w:t>
            </w:r>
          </w:p>
        </w:tc>
        <w:tc>
          <w:tcPr>
            <w:tcW w:w="10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276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74"/>
        </w:trPr>
        <w:tc>
          <w:tcPr>
            <w:tcW w:w="730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financing costs</w:t>
            </w:r>
          </w:p>
        </w:tc>
        <w:tc>
          <w:tcPr>
            <w:tcW w:w="106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1260" w:type="dxa"/>
            <w:vAlign w:val="bottom"/>
            <w:tcBorders>
              <w:top w:val="single" w:sz="8" w:color="4C4C4C"/>
            </w:tcBorders>
          </w:tcPr>
          <w:p>
            <w:pPr>
              <w:jc w:val="right"/>
              <w:ind w:right="84"/>
              <w:spacing w:after="0"/>
              <w:rPr>
                <w:sz w:val="20"/>
                <w:szCs w:val="20"/>
                <w:color w:val="auto"/>
              </w:rPr>
            </w:pPr>
            <w:r>
              <w:rPr>
                <w:rFonts w:ascii="Times New Roman" w:cs="Times New Roman" w:eastAsia="Times New Roman" w:hAnsi="Times New Roman"/>
                <w:sz w:val="20"/>
                <w:szCs w:val="20"/>
                <w:color w:val="auto"/>
              </w:rPr>
              <w:t>(1,135)</w:t>
            </w:r>
          </w:p>
        </w:tc>
        <w:tc>
          <w:tcPr>
            <w:tcW w:w="94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(1,355)</w:t>
            </w:r>
          </w:p>
        </w:tc>
        <w:tc>
          <w:tcPr>
            <w:tcW w:w="0" w:type="dxa"/>
            <w:vAlign w:val="bottom"/>
          </w:tcPr>
          <w:p>
            <w:pPr>
              <w:spacing w:after="0"/>
              <w:rPr>
                <w:sz w:val="1"/>
                <w:szCs w:val="1"/>
                <w:color w:val="auto"/>
              </w:rPr>
            </w:pPr>
          </w:p>
        </w:tc>
      </w:tr>
      <w:tr>
        <w:trPr>
          <w:trHeight w:val="274"/>
        </w:trPr>
        <w:tc>
          <w:tcPr>
            <w:tcW w:w="730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Earnings (loss) excluding financing costs </w:t>
            </w:r>
            <w:r>
              <w:rPr>
                <w:rFonts w:ascii="Times New Roman" w:cs="Times New Roman" w:eastAsia="Times New Roman" w:hAnsi="Times New Roman"/>
                <w:sz w:val="20"/>
                <w:szCs w:val="20"/>
                <w:color w:val="auto"/>
              </w:rPr>
              <w:t>(Non-GAAP)</w:t>
            </w:r>
          </w:p>
        </w:tc>
        <w:tc>
          <w:tcPr>
            <w:tcW w:w="106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36,561</w:t>
            </w:r>
          </w:p>
        </w:tc>
        <w:tc>
          <w:tcPr>
            <w:tcW w:w="1260" w:type="dxa"/>
            <w:vAlign w:val="bottom"/>
            <w:tcBorders>
              <w:top w:val="single" w:sz="8" w:color="4C4C4C"/>
              <w:bottom w:val="single" w:sz="8" w:color="4C4C4C"/>
            </w:tcBorders>
          </w:tcPr>
          <w:p>
            <w:pPr>
              <w:jc w:val="right"/>
              <w:ind w:right="144"/>
              <w:spacing w:after="0"/>
              <w:rPr>
                <w:sz w:val="20"/>
                <w:szCs w:val="20"/>
                <w:color w:val="auto"/>
              </w:rPr>
            </w:pPr>
            <w:r>
              <w:rPr>
                <w:rFonts w:ascii="Times New Roman" w:cs="Times New Roman" w:eastAsia="Times New Roman" w:hAnsi="Times New Roman"/>
                <w:sz w:val="20"/>
                <w:szCs w:val="20"/>
                <w:b w:val="1"/>
                <w:bCs w:val="1"/>
                <w:color w:val="auto"/>
              </w:rPr>
              <w:t>56,875</w:t>
            </w:r>
          </w:p>
        </w:tc>
        <w:tc>
          <w:tcPr>
            <w:tcW w:w="94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24,395</w:t>
            </w:r>
          </w:p>
        </w:tc>
        <w:tc>
          <w:tcPr>
            <w:tcW w:w="0" w:type="dxa"/>
            <w:vAlign w:val="bottom"/>
          </w:tcPr>
          <w:p>
            <w:pPr>
              <w:spacing w:after="0"/>
              <w:rPr>
                <w:sz w:val="1"/>
                <w:szCs w:val="1"/>
                <w:color w:val="auto"/>
              </w:rPr>
            </w:pPr>
          </w:p>
        </w:tc>
      </w:tr>
      <w:tr>
        <w:trPr>
          <w:trHeight w:val="562"/>
        </w:trPr>
        <w:tc>
          <w:tcPr>
            <w:tcW w:w="7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Average capital employed (Non-GAAP)</w:t>
            </w:r>
          </w:p>
        </w:tc>
        <w:tc>
          <w:tcPr>
            <w:tcW w:w="10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243,440</w:t>
            </w: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228,404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222,890</w:t>
            </w:r>
          </w:p>
        </w:tc>
        <w:tc>
          <w:tcPr>
            <w:tcW w:w="0" w:type="dxa"/>
            <w:vAlign w:val="bottom"/>
          </w:tcPr>
          <w:p>
            <w:pPr>
              <w:spacing w:after="0"/>
              <w:rPr>
                <w:sz w:val="1"/>
                <w:szCs w:val="1"/>
                <w:color w:val="auto"/>
              </w:rPr>
            </w:pPr>
          </w:p>
        </w:tc>
      </w:tr>
      <w:tr>
        <w:trPr>
          <w:trHeight w:val="594"/>
        </w:trPr>
        <w:tc>
          <w:tcPr>
            <w:tcW w:w="7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Return on average capital employed – corporate total </w:t>
            </w:r>
            <w:r>
              <w:rPr>
                <w:rFonts w:ascii="Times New Roman" w:cs="Times New Roman" w:eastAsia="Times New Roman" w:hAnsi="Times New Roman"/>
                <w:sz w:val="20"/>
                <w:szCs w:val="20"/>
                <w:color w:val="auto"/>
              </w:rPr>
              <w:t>(Non-GAAP)</w:t>
            </w:r>
          </w:p>
        </w:tc>
        <w:tc>
          <w:tcPr>
            <w:tcW w:w="1060" w:type="dxa"/>
            <w:vAlign w:val="bottom"/>
            <w:tcBorders>
              <w:bottom w:val="single" w:sz="8" w:color="4C4C4C"/>
            </w:tcBorders>
            <w:shd w:val="clear" w:color="auto" w:fill="F0F0F0"/>
          </w:tcPr>
          <w:p>
            <w:pPr>
              <w:jc w:val="right"/>
              <w:ind w:right="144"/>
              <w:spacing w:after="0"/>
              <w:rPr>
                <w:sz w:val="20"/>
                <w:szCs w:val="20"/>
                <w:color w:val="auto"/>
              </w:rPr>
            </w:pPr>
            <w:r>
              <w:rPr>
                <w:rFonts w:ascii="Times New Roman" w:cs="Times New Roman" w:eastAsia="Times New Roman" w:hAnsi="Times New Roman"/>
                <w:sz w:val="20"/>
                <w:szCs w:val="20"/>
                <w:b w:val="1"/>
                <w:bCs w:val="1"/>
                <w:color w:val="auto"/>
              </w:rPr>
              <w:t>15.0%</w:t>
            </w:r>
          </w:p>
        </w:tc>
        <w:tc>
          <w:tcPr>
            <w:tcW w:w="1260" w:type="dxa"/>
            <w:vAlign w:val="bottom"/>
            <w:tcBorders>
              <w:bottom w:val="single" w:sz="8" w:color="4C4C4C"/>
            </w:tcBorders>
          </w:tcPr>
          <w:p>
            <w:pPr>
              <w:jc w:val="right"/>
              <w:ind w:right="304"/>
              <w:spacing w:after="0"/>
              <w:rPr>
                <w:sz w:val="20"/>
                <w:szCs w:val="20"/>
                <w:color w:val="auto"/>
              </w:rPr>
            </w:pPr>
            <w:r>
              <w:rPr>
                <w:rFonts w:ascii="Times New Roman" w:cs="Times New Roman" w:eastAsia="Times New Roman" w:hAnsi="Times New Roman"/>
                <w:sz w:val="20"/>
                <w:szCs w:val="20"/>
                <w:b w:val="1"/>
                <w:bCs w:val="1"/>
                <w:color w:val="auto"/>
              </w:rPr>
              <w:t>24.9%</w:t>
            </w:r>
          </w:p>
        </w:tc>
        <w:tc>
          <w:tcPr>
            <w:tcW w:w="940" w:type="dxa"/>
            <w:vAlign w:val="bottom"/>
            <w:tcBorders>
              <w:bottom w:val="single" w:sz="8" w:color="4C4C4C"/>
            </w:tcBorders>
          </w:tcPr>
          <w:p>
            <w:pPr>
              <w:jc w:val="right"/>
              <w:ind w:right="144"/>
              <w:spacing w:after="0"/>
              <w:rPr>
                <w:sz w:val="20"/>
                <w:szCs w:val="20"/>
                <w:color w:val="auto"/>
              </w:rPr>
            </w:pPr>
            <w:r>
              <w:rPr>
                <w:rFonts w:ascii="Times New Roman" w:cs="Times New Roman" w:eastAsia="Times New Roman" w:hAnsi="Times New Roman"/>
                <w:sz w:val="20"/>
                <w:szCs w:val="20"/>
                <w:b w:val="1"/>
                <w:bCs w:val="1"/>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-755650</wp:posOffset>
                </wp:positionV>
                <wp:extent cx="670242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2425" cy="4763"/>
                        </a:xfrm>
                        <a:prstGeom prst="line">
                          <a:avLst/>
                        </a:prstGeom>
                        <a:solidFill>
                          <a:srgbClr val="FFFFFF"/>
                        </a:solidFill>
                        <a:ln w="126">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59.4999pt" to="528.85pt,-59.4999pt" o:allowincell="f" strokecolor="#FFFFFF" strokeweight="0.0099pt"/>
            </w:pict>
          </mc:Fallback>
        </mc:AlternateConten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600"/>
          </w:cols>
          <w:pgMar w:left="640" w:top="491" w:right="64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4"/>
          <w:szCs w:val="24"/>
          <w:b w:val="1"/>
          <w:bCs w:val="1"/>
          <w:color w:val="4C4C4C"/>
        </w:rPr>
        <w:t>FREQUENTLY USED TERMS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Structural Cost Savings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Structural cost savings describe decreases in cash opex excluding energy and production taxes as a result of operational efficiencies, workforce reductions, and other cost saving measures that are expected to be sustainable compared to 2019 levels. Relative to 2019, estimated cumulative structural cost savings totaled $9.7 billion. The total change between periods in expenses below will reflect both structural cost savings and other changes in spend, including market factors, such as inflation and foreign exchange impacts, as well as changes in activity levels and costs associated with new operations. Estimates of cumulative annual structural savings may be revised depending on whether cost reductions realized in prior periods are determined to be sustainable compared to 2019 levels. Structural cost savings are stewarded internally to support management’s oversight of spending over time. This measure is useful for investors to understand the Corporation’s efforts to optimize spending through disciplined expense management.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Calculation of Structural Cost Savings</w:t>
            </w:r>
          </w:p>
        </w:tc>
        <w:tc>
          <w:tcPr>
            <w:tcW w:w="4240" w:type="dxa"/>
            <w:vAlign w:val="bottom"/>
            <w:vMerge w:val="restart"/>
            <w:shd w:val="clear" w:color="auto" w:fill="4C4C4C"/>
          </w:tcPr>
          <w:p>
            <w:pPr>
              <w:jc w:val="right"/>
              <w:ind w:right="3085"/>
              <w:spacing w:after="0"/>
              <w:rPr>
                <w:sz w:val="20"/>
                <w:szCs w:val="20"/>
                <w:color w:val="auto"/>
              </w:rPr>
            </w:pPr>
            <w:r>
              <w:rPr>
                <w:rFonts w:ascii="Times New Roman" w:cs="Times New Roman" w:eastAsia="Times New Roman" w:hAnsi="Times New Roman"/>
                <w:sz w:val="16"/>
                <w:szCs w:val="16"/>
                <w:b w:val="1"/>
                <w:bCs w:val="1"/>
                <w:color w:val="FFFFFF"/>
              </w:rPr>
              <w:t>2019</w:t>
            </w:r>
          </w:p>
        </w:tc>
        <w:tc>
          <w:tcPr>
            <w:tcW w:w="100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0" w:type="dxa"/>
            <w:vAlign w:val="bottom"/>
          </w:tcPr>
          <w:p>
            <w:pPr>
              <w:spacing w:after="0"/>
              <w:rPr>
                <w:sz w:val="1"/>
                <w:szCs w:val="1"/>
                <w:color w:val="auto"/>
              </w:rPr>
            </w:pPr>
          </w:p>
        </w:tc>
      </w:tr>
      <w:tr>
        <w:trPr>
          <w:trHeight w:val="108"/>
        </w:trPr>
        <w:tc>
          <w:tcPr>
            <w:tcW w:w="536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(billions of dollars)</w:t>
            </w:r>
          </w:p>
        </w:tc>
        <w:tc>
          <w:tcPr>
            <w:tcW w:w="4240" w:type="dxa"/>
            <w:vAlign w:val="bottom"/>
            <w:vMerge w:val="continue"/>
            <w:shd w:val="clear" w:color="auto" w:fill="4C4C4C"/>
          </w:tcPr>
          <w:p>
            <w:pPr>
              <w:spacing w:after="0"/>
              <w:rPr>
                <w:sz w:val="9"/>
                <w:szCs w:val="9"/>
                <w:color w:val="auto"/>
              </w:rPr>
            </w:pPr>
          </w:p>
        </w:tc>
        <w:tc>
          <w:tcPr>
            <w:tcW w:w="100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60" w:type="dxa"/>
            <w:vAlign w:val="bottom"/>
            <w:vMerge w:val="continue"/>
            <w:shd w:val="clear" w:color="auto" w:fill="4C4C4C"/>
          </w:tcPr>
          <w:p>
            <w:pPr>
              <w:spacing w:after="0"/>
              <w:rPr>
                <w:sz w:val="10"/>
                <w:szCs w:val="10"/>
                <w:color w:val="auto"/>
              </w:rPr>
            </w:pPr>
          </w:p>
        </w:tc>
        <w:tc>
          <w:tcPr>
            <w:tcW w:w="4240" w:type="dxa"/>
            <w:vAlign w:val="bottom"/>
            <w:shd w:val="clear" w:color="auto" w:fill="4C4C4C"/>
          </w:tcPr>
          <w:p>
            <w:pPr>
              <w:spacing w:after="0"/>
              <w:rPr>
                <w:sz w:val="10"/>
                <w:szCs w:val="10"/>
                <w:color w:val="auto"/>
              </w:rPr>
            </w:pPr>
          </w:p>
        </w:tc>
        <w:tc>
          <w:tcPr>
            <w:tcW w:w="100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Components of Operating Costs</w:t>
            </w:r>
          </w:p>
        </w:tc>
        <w:tc>
          <w:tcPr>
            <w:tcW w:w="4240" w:type="dxa"/>
            <w:vAlign w:val="bottom"/>
          </w:tcPr>
          <w:p>
            <w:pPr>
              <w:spacing w:after="0"/>
              <w:rPr>
                <w:sz w:val="22"/>
                <w:szCs w:val="22"/>
                <w:color w:val="auto"/>
              </w:rPr>
            </w:pPr>
          </w:p>
        </w:tc>
        <w:tc>
          <w:tcPr>
            <w:tcW w:w="1000" w:type="dxa"/>
            <w:vAlign w:val="bottom"/>
            <w:shd w:val="clear" w:color="auto" w:fill="F0F0F0"/>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60"/>
              <w:spacing w:after="0" w:line="217" w:lineRule="exact"/>
              <w:rPr>
                <w:sz w:val="20"/>
                <w:szCs w:val="20"/>
                <w:color w:val="auto"/>
              </w:rPr>
            </w:pPr>
            <w:r>
              <w:rPr>
                <w:rFonts w:ascii="Times New Roman" w:cs="Times New Roman" w:eastAsia="Times New Roman" w:hAnsi="Times New Roman"/>
                <w:sz w:val="20"/>
                <w:szCs w:val="20"/>
                <w:b w:val="1"/>
                <w:bCs w:val="1"/>
                <w:color w:val="auto"/>
              </w:rPr>
              <w:t>From ExxonMobil’s Consolidated Statement of Income</w:t>
            </w:r>
          </w:p>
        </w:tc>
        <w:tc>
          <w:tcPr>
            <w:tcW w:w="4240" w:type="dxa"/>
            <w:vAlign w:val="bottom"/>
          </w:tcPr>
          <w:p>
            <w:pPr>
              <w:spacing w:after="0"/>
              <w:rPr>
                <w:sz w:val="18"/>
                <w:szCs w:val="18"/>
                <w:color w:val="auto"/>
              </w:rPr>
            </w:pPr>
          </w:p>
        </w:tc>
        <w:tc>
          <w:tcPr>
            <w:tcW w:w="1000" w:type="dxa"/>
            <w:vAlign w:val="bottom"/>
            <w:shd w:val="clear" w:color="auto" w:fill="F0F0F0"/>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(U.S. GAAP)</w:t>
            </w:r>
          </w:p>
        </w:tc>
        <w:tc>
          <w:tcPr>
            <w:tcW w:w="4240" w:type="dxa"/>
            <w:vAlign w:val="bottom"/>
          </w:tcPr>
          <w:p>
            <w:pPr>
              <w:spacing w:after="0"/>
              <w:rPr>
                <w:sz w:val="23"/>
                <w:szCs w:val="23"/>
                <w:color w:val="auto"/>
              </w:rPr>
            </w:pPr>
          </w:p>
        </w:tc>
        <w:tc>
          <w:tcPr>
            <w:tcW w:w="1000" w:type="dxa"/>
            <w:vAlign w:val="bottom"/>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Production and manufacturing expenses</w:t>
            </w:r>
          </w:p>
        </w:tc>
        <w:tc>
          <w:tcPr>
            <w:tcW w:w="4240" w:type="dxa"/>
            <w:vAlign w:val="bottom"/>
          </w:tcPr>
          <w:p>
            <w:pPr>
              <w:jc w:val="right"/>
              <w:ind w:right="3105"/>
              <w:spacing w:after="0"/>
              <w:rPr>
                <w:sz w:val="20"/>
                <w:szCs w:val="20"/>
                <w:color w:val="auto"/>
              </w:rPr>
            </w:pPr>
            <w:r>
              <w:rPr>
                <w:rFonts w:ascii="Times New Roman" w:cs="Times New Roman" w:eastAsia="Times New Roman" w:hAnsi="Times New Roman"/>
                <w:sz w:val="20"/>
                <w:szCs w:val="20"/>
                <w:color w:val="auto"/>
              </w:rPr>
              <w:t>36.8</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0" w:type="dxa"/>
            <w:vAlign w:val="bottom"/>
          </w:tcPr>
          <w:p>
            <w:pPr>
              <w:spacing w:after="0"/>
              <w:rPr>
                <w:sz w:val="1"/>
                <w:szCs w:val="1"/>
                <w:color w:val="auto"/>
              </w:rPr>
            </w:pPr>
          </w:p>
        </w:tc>
      </w:tr>
      <w:tr>
        <w:trPr>
          <w:trHeight w:val="294"/>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4240" w:type="dxa"/>
            <w:vAlign w:val="bottom"/>
          </w:tcPr>
          <w:p>
            <w:pPr>
              <w:jc w:val="right"/>
              <w:ind w:right="3105"/>
              <w:spacing w:after="0"/>
              <w:rPr>
                <w:sz w:val="20"/>
                <w:szCs w:val="20"/>
                <w:color w:val="auto"/>
              </w:rPr>
            </w:pPr>
            <w:r>
              <w:rPr>
                <w:rFonts w:ascii="Times New Roman" w:cs="Times New Roman" w:eastAsia="Times New Roman" w:hAnsi="Times New Roman"/>
                <w:sz w:val="20"/>
                <w:szCs w:val="20"/>
                <w:color w:val="auto"/>
              </w:rPr>
              <w:t>11.4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94"/>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Depreciation and depletion (includes impairments)</w:t>
            </w:r>
          </w:p>
        </w:tc>
        <w:tc>
          <w:tcPr>
            <w:tcW w:w="4240" w:type="dxa"/>
            <w:vAlign w:val="bottom"/>
          </w:tcPr>
          <w:p>
            <w:pPr>
              <w:jc w:val="right"/>
              <w:ind w:right="3105"/>
              <w:spacing w:after="0"/>
              <w:rPr>
                <w:sz w:val="20"/>
                <w:szCs w:val="20"/>
                <w:color w:val="auto"/>
              </w:rPr>
            </w:pPr>
            <w:r>
              <w:rPr>
                <w:rFonts w:ascii="Times New Roman" w:cs="Times New Roman" w:eastAsia="Times New Roman" w:hAnsi="Times New Roman"/>
                <w:sz w:val="20"/>
                <w:szCs w:val="20"/>
                <w:color w:val="auto"/>
              </w:rPr>
              <w:t>19.0</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94"/>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Exploration expenses, including dry holes</w:t>
            </w:r>
          </w:p>
        </w:tc>
        <w:tc>
          <w:tcPr>
            <w:tcW w:w="4240" w:type="dxa"/>
            <w:vAlign w:val="bottom"/>
          </w:tcPr>
          <w:p>
            <w:pPr>
              <w:jc w:val="right"/>
              <w:ind w:right="3105"/>
              <w:spacing w:after="0"/>
              <w:rPr>
                <w:sz w:val="20"/>
                <w:szCs w:val="20"/>
                <w:color w:val="auto"/>
              </w:rPr>
            </w:pPr>
            <w:r>
              <w:rPr>
                <w:rFonts w:ascii="Times New Roman" w:cs="Times New Roman" w:eastAsia="Times New Roman" w:hAnsi="Times New Roman"/>
                <w:sz w:val="20"/>
                <w:szCs w:val="20"/>
                <w:color w:val="auto"/>
              </w:rPr>
              <w:t>1.3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94"/>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Non-service pension and postretirement benefit expense</w:t>
            </w:r>
          </w:p>
        </w:tc>
        <w:tc>
          <w:tcPr>
            <w:tcW w:w="4240" w:type="dxa"/>
            <w:vAlign w:val="bottom"/>
          </w:tcPr>
          <w:p>
            <w:pPr>
              <w:jc w:val="right"/>
              <w:ind w:right="3105"/>
              <w:spacing w:after="0"/>
              <w:rPr>
                <w:sz w:val="20"/>
                <w:szCs w:val="20"/>
                <w:color w:val="auto"/>
              </w:rPr>
            </w:pPr>
            <w:r>
              <w:rPr>
                <w:rFonts w:ascii="Times New Roman" w:cs="Times New Roman" w:eastAsia="Times New Roman" w:hAnsi="Times New Roman"/>
                <w:sz w:val="20"/>
                <w:szCs w:val="20"/>
                <w:color w:val="auto"/>
              </w:rPr>
              <w:t>1.2</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18415</wp:posOffset>
                </wp:positionV>
                <wp:extent cx="410718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718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5pt" to="323.8pt,1.45pt" o:allowincell="f" strokecolor="#4C4C4C" strokeweight="0.49pt"/>
            </w:pict>
          </mc:Fallback>
        </mc:AlternateContent>
        <w:drawing>
          <wp:anchor simplePos="0" relativeHeight="251657728" behindDoc="1" locked="0" layoutInCell="0" allowOverlap="1">
            <wp:simplePos x="0" y="0"/>
            <wp:positionH relativeFrom="column">
              <wp:posOffset>6087745</wp:posOffset>
            </wp:positionH>
            <wp:positionV relativeFrom="paragraph">
              <wp:posOffset>-927100</wp:posOffset>
            </wp:positionV>
            <wp:extent cx="650875" cy="4044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1">
                      <a:extLst>
                        <a:ext uri="{28A0092B-C50C-407E-A947-70E740481C1C}"/>
                      </a:extLst>
                    </a:blip>
                    <a:srcRect/>
                    <a:stretch>
                      <a:fillRect/>
                    </a:stretch>
                  </pic:blipFill>
                  <pic:spPr bwMode="auto">
                    <a:xfrm>
                      <a:off x="0" y="0"/>
                      <a:ext cx="650875" cy="4044950"/>
                    </a:xfrm>
                    <a:prstGeom prst="rect">
                      <a:avLst/>
                    </a:prstGeom>
                    <a:noFill/>
                  </pic:spPr>
                </pic:pic>
              </a:graphicData>
            </a:graphic>
          </wp:anchor>
        </w:drawing>
      </w:r>
    </w:p>
    <w:p>
      <w:pPr>
        <w:sectPr>
          <w:pgSz w:w="11880" w:h="15480" w:orient="portrait"/>
          <w:cols w:equalWidth="0" w:num="1">
            <w:col w:w="10600"/>
          </w:cols>
          <w:pgMar w:left="640" w:top="491" w:right="640" w:bottom="0" w:gutter="0" w:footer="0" w:header="0"/>
        </w:sectPr>
      </w:pP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Subtotal</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ExxonMobil's share of equity company expenses (Non-GAAP)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42545</wp:posOffset>
                </wp:positionV>
                <wp:extent cx="410718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718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35pt" to="323.8pt,3.35pt" o:allowincell="f" strokecolor="#4C4C4C" strokeweight="0.49pt"/>
            </w:pict>
          </mc:Fallback>
        </mc:AlternateConten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Total Adjusted Operating Costs </w:t>
      </w:r>
      <w:r>
        <w:rPr>
          <w:rFonts w:ascii="Times New Roman" w:cs="Times New Roman" w:eastAsia="Times New Roman" w:hAnsi="Times New Roman"/>
          <w:sz w:val="20"/>
          <w:szCs w:val="20"/>
          <w:color w:val="auto"/>
        </w:rPr>
        <w:t>(Non-GAAP)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37465</wp:posOffset>
                </wp:positionV>
                <wp:extent cx="410718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718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95pt" to="323.8pt,2.95pt" o:allowincell="f" strokecolor="#4C4C4C" strokeweight="0.49pt"/>
            </w:pict>
          </mc:Fallback>
        </mc:AlternateContent>
      </w:r>
    </w:p>
    <w:p>
      <w:pPr>
        <w:spacing w:after="0" w:line="3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Total Adjusted Operating Costs </w:t>
      </w:r>
      <w:r>
        <w:rPr>
          <w:rFonts w:ascii="Times New Roman" w:cs="Times New Roman" w:eastAsia="Times New Roman" w:hAnsi="Times New Roman"/>
          <w:sz w:val="20"/>
          <w:szCs w:val="20"/>
          <w:color w:val="auto"/>
        </w:rPr>
        <w:t>(Non-GAAP)</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Less:</w:t>
      </w:r>
    </w:p>
    <w:p>
      <w:pPr>
        <w:spacing w:after="0" w:line="64" w:lineRule="exact"/>
        <w:rPr>
          <w:sz w:val="20"/>
          <w:szCs w:val="20"/>
          <w:color w:val="auto"/>
        </w:rPr>
      </w:pPr>
    </w:p>
    <w:p>
      <w:pPr>
        <w:ind w:left="60" w:right="880"/>
        <w:spacing w:after="0" w:line="317" w:lineRule="auto"/>
        <w:rPr>
          <w:sz w:val="20"/>
          <w:szCs w:val="20"/>
          <w:color w:val="auto"/>
        </w:rPr>
      </w:pPr>
      <w:r>
        <w:rPr>
          <w:rFonts w:ascii="Times New Roman" w:cs="Times New Roman" w:eastAsia="Times New Roman" w:hAnsi="Times New Roman"/>
          <w:sz w:val="19"/>
          <w:szCs w:val="19"/>
          <w:color w:val="auto"/>
        </w:rPr>
        <w:t>Depreciation and depletion (includes impairments) Non-service pension and postretirement benefit expense</w:t>
      </w:r>
    </w:p>
    <w:p>
      <w:pPr>
        <w:spacing w:after="0" w:line="1" w:lineRule="exact"/>
        <w:rPr>
          <w:sz w:val="20"/>
          <w:szCs w:val="20"/>
          <w:color w:val="auto"/>
        </w:rPr>
      </w:pPr>
    </w:p>
    <w:p>
      <w:pPr>
        <w:ind w:left="60" w:right="760"/>
        <w:spacing w:after="0" w:line="236" w:lineRule="auto"/>
        <w:rPr>
          <w:sz w:val="20"/>
          <w:szCs w:val="20"/>
          <w:color w:val="auto"/>
        </w:rPr>
      </w:pPr>
      <w:r>
        <w:rPr>
          <w:rFonts w:ascii="Times New Roman" w:cs="Times New Roman" w:eastAsia="Times New Roman" w:hAnsi="Times New Roman"/>
          <w:sz w:val="20"/>
          <w:szCs w:val="20"/>
          <w:color w:val="auto"/>
        </w:rPr>
        <w:t>Other adjustments (includes equity company depreciation and depletion)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12065</wp:posOffset>
                </wp:positionV>
                <wp:extent cx="410718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718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95pt" to="323.8pt,0.95pt" o:allowincell="f" strokecolor="#4C4C4C" strokeweight="0.49pt"/>
            </w:pict>
          </mc:Fallback>
        </mc:AlternateConten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 xml:space="preserve">Total Cash Operating Expenses (Cash Opex) </w:t>
      </w:r>
      <w:r>
        <w:rPr>
          <w:rFonts w:ascii="Times New Roman" w:cs="Times New Roman" w:eastAsia="Times New Roman" w:hAnsi="Times New Roman"/>
          <w:sz w:val="19"/>
          <w:szCs w:val="19"/>
          <w:color w:val="auto"/>
        </w:rPr>
        <w:t>(Non-GAAP)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45085</wp:posOffset>
                </wp:positionV>
                <wp:extent cx="410718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718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55pt" to="323.8pt,3.55pt" o:allowincell="f" strokecolor="#4C4C4C" strokeweight="0.49pt"/>
            </w:pict>
          </mc:Fallback>
        </mc:AlternateContent>
      </w:r>
    </w:p>
    <w:p>
      <w:pPr>
        <w:spacing w:after="0" w:line="3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Energy and production taxes (Non-GAAP)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34925</wp:posOffset>
                </wp:positionV>
                <wp:extent cx="410718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718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75pt" to="323.8pt,2.75pt" o:allowincell="f" strokecolor="#4C4C4C" strokeweight="0.49pt"/>
            </w:pict>
          </mc:Fallback>
        </mc:AlternateConten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9"/>
          <w:szCs w:val="19"/>
          <w:b w:val="1"/>
          <w:bCs w:val="1"/>
          <w:color w:val="auto"/>
        </w:rPr>
        <w:t>69.7</w:t>
      </w:r>
    </w:p>
    <w:p>
      <w:pPr>
        <w:spacing w:after="0" w:line="81"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20"/>
          <w:szCs w:val="20"/>
          <w:color w:val="auto"/>
        </w:rPr>
        <w:t>9.1</w:t>
      </w:r>
    </w:p>
    <w:p>
      <w:pPr>
        <w:spacing w:after="0" w:line="58"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9"/>
          <w:szCs w:val="19"/>
          <w:b w:val="1"/>
          <w:bCs w:val="1"/>
          <w:color w:val="auto"/>
        </w:rPr>
        <w:t>78.8</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78.8</w:t>
      </w:r>
    </w:p>
    <w:p>
      <w:pPr>
        <w:spacing w:after="0" w:line="375"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9"/>
          <w:szCs w:val="19"/>
          <w:color w:val="auto"/>
        </w:rPr>
        <w:t>19.0</w:t>
      </w:r>
    </w:p>
    <w:p>
      <w:pPr>
        <w:spacing w:after="0" w:line="76"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20"/>
          <w:szCs w:val="20"/>
          <w:color w:val="auto"/>
        </w:rPr>
        <w:t>1.2</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3.6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55.0</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68.9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79.4</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79.4</w:t>
      </w:r>
    </w:p>
    <w:p>
      <w:pPr>
        <w:spacing w:after="0" w:line="3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20.6</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0.7</w:t>
      </w:r>
    </w:p>
    <w:p>
      <w:pPr>
        <w:spacing w:after="0" w:line="1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3.7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54.4</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14.9</w:t>
      </w:r>
    </w:p>
    <w:p>
      <w:pPr>
        <w:spacing w:after="0" w:line="200" w:lineRule="exact"/>
        <w:rPr>
          <w:sz w:val="20"/>
          <w:szCs w:val="20"/>
          <w:color w:val="auto"/>
        </w:rPr>
      </w:pPr>
    </w:p>
    <w:p>
      <w:pPr>
        <w:sectPr>
          <w:pgSz w:w="11880" w:h="15480" w:orient="portrait"/>
          <w:cols w:equalWidth="0" w:num="3">
            <w:col w:w="5340" w:space="720"/>
            <w:col w:w="3380" w:space="720"/>
            <w:col w:w="440"/>
          </w:cols>
          <w:pgMar w:left="640" w:top="491" w:right="640" w:bottom="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Market</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Activity /</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Structural</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Savings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680" w:type="dxa"/>
            <w:vAlign w:val="bottom"/>
          </w:tcPr>
          <w:p>
            <w:pPr>
              <w:ind w:left="60"/>
              <w:spacing w:after="0" w:line="201" w:lineRule="exact"/>
              <w:rPr>
                <w:sz w:val="20"/>
                <w:szCs w:val="20"/>
                <w:color w:val="auto"/>
              </w:rPr>
            </w:pPr>
            <w:r>
              <w:rPr>
                <w:rFonts w:ascii="Times New Roman" w:cs="Times New Roman" w:eastAsia="Times New Roman" w:hAnsi="Times New Roman"/>
                <w:sz w:val="20"/>
                <w:szCs w:val="20"/>
                <w:b w:val="1"/>
                <w:bCs w:val="1"/>
                <w:color w:val="auto"/>
              </w:rPr>
              <w:t>Total Cash Operating Expenses (Cash Opex) excluding Energy</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44.0</w:t>
            </w:r>
          </w:p>
        </w:tc>
        <w:tc>
          <w:tcPr>
            <w:tcW w:w="1000" w:type="dxa"/>
            <w:vAlign w:val="bottom"/>
            <w:vMerge w:val="restart"/>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+3.6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-9.7</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39.5</w:t>
            </w:r>
          </w:p>
        </w:tc>
        <w:tc>
          <w:tcPr>
            <w:tcW w:w="0" w:type="dxa"/>
            <w:vAlign w:val="bottom"/>
          </w:tcPr>
          <w:p>
            <w:pPr>
              <w:spacing w:after="0"/>
              <w:rPr>
                <w:sz w:val="1"/>
                <w:szCs w:val="1"/>
                <w:color w:val="auto"/>
              </w:rPr>
            </w:pPr>
          </w:p>
        </w:tc>
      </w:tr>
      <w:tr>
        <w:trPr>
          <w:trHeight w:val="270"/>
        </w:trPr>
        <w:tc>
          <w:tcPr>
            <w:tcW w:w="56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and Production Taxes </w:t>
            </w:r>
            <w:r>
              <w:rPr>
                <w:rFonts w:ascii="Times New Roman" w:cs="Times New Roman" w:eastAsia="Times New Roman" w:hAnsi="Times New Roman"/>
                <w:sz w:val="20"/>
                <w:szCs w:val="20"/>
                <w:color w:val="auto"/>
              </w:rPr>
              <w:t>(Non-GAAP)</w:t>
            </w:r>
          </w:p>
        </w:tc>
        <w:tc>
          <w:tcPr>
            <w:tcW w:w="800" w:type="dxa"/>
            <w:vAlign w:val="bottom"/>
            <w:tcBorders>
              <w:bottom w:val="single" w:sz="8" w:color="4C4C4C"/>
            </w:tcBorders>
            <w:vMerge w:val="continue"/>
          </w:tcPr>
          <w:p>
            <w:pPr>
              <w:spacing w:after="0"/>
              <w:rPr>
                <w:sz w:val="23"/>
                <w:szCs w:val="23"/>
                <w:color w:val="auto"/>
              </w:rPr>
            </w:pPr>
          </w:p>
        </w:tc>
        <w:tc>
          <w:tcPr>
            <w:tcW w:w="1000" w:type="dxa"/>
            <w:vAlign w:val="bottom"/>
            <w:tcBorders>
              <w:bottom w:val="single" w:sz="8" w:color="4C4C4C"/>
            </w:tcBorders>
            <w:vMerge w:val="continue"/>
          </w:tcPr>
          <w:p>
            <w:pPr>
              <w:spacing w:after="0"/>
              <w:rPr>
                <w:sz w:val="23"/>
                <w:szCs w:val="23"/>
                <w:color w:val="auto"/>
              </w:rPr>
            </w:pPr>
          </w:p>
        </w:tc>
        <w:tc>
          <w:tcPr>
            <w:tcW w:w="1060" w:type="dxa"/>
            <w:vAlign w:val="bottom"/>
            <w:tcBorders>
              <w:bottom w:val="single" w:sz="8" w:color="4C4C4C"/>
            </w:tcBorders>
            <w:vMerge w:val="continue"/>
          </w:tcPr>
          <w:p>
            <w:pPr>
              <w:spacing w:after="0"/>
              <w:rPr>
                <w:sz w:val="23"/>
                <w:szCs w:val="23"/>
                <w:color w:val="auto"/>
              </w:rPr>
            </w:pPr>
          </w:p>
        </w:tc>
        <w:tc>
          <w:tcPr>
            <w:tcW w:w="1060" w:type="dxa"/>
            <w:vAlign w:val="bottom"/>
            <w:tcBorders>
              <w:bottom w:val="single" w:sz="8" w:color="4C4C4C"/>
            </w:tcBorders>
            <w:vMerge w:val="continue"/>
          </w:tcPr>
          <w:p>
            <w:pPr>
              <w:spacing w:after="0"/>
              <w:rPr>
                <w:sz w:val="23"/>
                <w:szCs w:val="23"/>
                <w:color w:val="auto"/>
              </w:rPr>
            </w:pPr>
          </w:p>
        </w:tc>
        <w:tc>
          <w:tcPr>
            <w:tcW w:w="1000" w:type="dxa"/>
            <w:vAlign w:val="bottom"/>
            <w:tcBorders>
              <w:bottom w:val="single" w:sz="8" w:color="4C4C4C"/>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491"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600"/>
          </w:cols>
          <w:pgMar w:left="640" w:top="491" w:right="64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4"/>
          <w:szCs w:val="24"/>
          <w:b w:val="1"/>
          <w:bCs w:val="1"/>
          <w:color w:val="4C4C4C"/>
        </w:rPr>
        <w:t>FREQUENTLY USED TERMS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 xml:space="preserve">Earnings (loss) excluding Identified Items </w:t>
      </w:r>
      <w:r>
        <w:rPr>
          <w:rFonts w:ascii="Times New Roman" w:cs="Times New Roman" w:eastAsia="Times New Roman" w:hAnsi="Times New Roman"/>
          <w:sz w:val="20"/>
          <w:szCs w:val="20"/>
          <w:color w:val="4C4C4C"/>
        </w:rPr>
        <w:t>(Non-GAAP)</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6746240" cy="7346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2">
                      <a:extLst>
                        <a:ext uri="{28A0092B-C50C-407E-A947-70E740481C1C}"/>
                      </a:extLst>
                    </a:blip>
                    <a:srcRect/>
                    <a:stretch>
                      <a:fillRect/>
                    </a:stretch>
                  </pic:blipFill>
                  <pic:spPr bwMode="auto">
                    <a:xfrm>
                      <a:off x="0" y="0"/>
                      <a:ext cx="6746240" cy="734695"/>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366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Upstream</w:t>
            </w:r>
          </w:p>
        </w:tc>
        <w:tc>
          <w:tcPr>
            <w:tcW w:w="60" w:type="dxa"/>
            <w:vAlign w:val="bottom"/>
          </w:tcPr>
          <w:p>
            <w:pPr>
              <w:spacing w:after="0"/>
              <w:rPr>
                <w:sz w:val="24"/>
                <w:szCs w:val="24"/>
                <w:color w:val="auto"/>
              </w:rPr>
            </w:pPr>
          </w:p>
        </w:tc>
        <w:tc>
          <w:tcPr>
            <w:tcW w:w="760" w:type="dxa"/>
            <w:vAlign w:val="bottom"/>
            <w:shd w:val="clear" w:color="auto" w:fill="4C4C4C"/>
          </w:tcPr>
          <w:p>
            <w:pPr>
              <w:spacing w:after="0"/>
              <w:rPr>
                <w:sz w:val="24"/>
                <w:szCs w:val="24"/>
                <w:color w:val="auto"/>
              </w:rPr>
            </w:pPr>
          </w:p>
        </w:tc>
        <w:tc>
          <w:tcPr>
            <w:tcW w:w="8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2023</w:t>
            </w:r>
          </w:p>
        </w:tc>
        <w:tc>
          <w:tcPr>
            <w:tcW w:w="700" w:type="dxa"/>
            <w:vAlign w:val="bottom"/>
            <w:shd w:val="clear" w:color="auto" w:fill="4C4C4C"/>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shd w:val="clear" w:color="auto" w:fill="4C4C4C"/>
          </w:tcPr>
          <w:p>
            <w:pPr>
              <w:spacing w:after="0"/>
              <w:rPr>
                <w:sz w:val="24"/>
                <w:szCs w:val="24"/>
                <w:color w:val="auto"/>
              </w:rPr>
            </w:pPr>
          </w:p>
        </w:tc>
        <w:tc>
          <w:tcPr>
            <w:tcW w:w="8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680" w:type="dxa"/>
            <w:vAlign w:val="bottom"/>
            <w:shd w:val="clear" w:color="auto" w:fill="4C4C4C"/>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2021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0" w:type="dxa"/>
            <w:vAlign w:val="bottom"/>
          </w:tcPr>
          <w:p>
            <w:pPr>
              <w:spacing w:after="0"/>
              <w:rPr>
                <w:sz w:val="18"/>
                <w:szCs w:val="18"/>
                <w:color w:val="auto"/>
              </w:rPr>
            </w:pPr>
          </w:p>
        </w:tc>
        <w:tc>
          <w:tcPr>
            <w:tcW w:w="760" w:type="dxa"/>
            <w:vAlign w:val="bottom"/>
            <w:tcBorders>
              <w:bottom w:val="single" w:sz="8" w:color="4C4C4C"/>
            </w:tcBorders>
            <w:shd w:val="clear" w:color="auto" w:fill="4C4C4C"/>
          </w:tcPr>
          <w:p>
            <w:pPr>
              <w:jc w:val="right"/>
              <w:ind w:right="145"/>
              <w:spacing w:after="0"/>
              <w:rPr>
                <w:sz w:val="20"/>
                <w:szCs w:val="20"/>
                <w:color w:val="auto"/>
              </w:rPr>
            </w:pPr>
            <w:r>
              <w:rPr>
                <w:rFonts w:ascii="Times New Roman" w:cs="Times New Roman" w:eastAsia="Times New Roman" w:hAnsi="Times New Roman"/>
                <w:sz w:val="16"/>
                <w:szCs w:val="16"/>
                <w:b w:val="1"/>
                <w:bCs w:val="1"/>
                <w:color w:val="FFFFFF"/>
              </w:rPr>
              <w:t>U.S.</w:t>
            </w:r>
          </w:p>
        </w:tc>
        <w:tc>
          <w:tcPr>
            <w:tcW w:w="80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Non-U.S.</w:t>
            </w:r>
          </w:p>
        </w:tc>
        <w:tc>
          <w:tcPr>
            <w:tcW w:w="700" w:type="dxa"/>
            <w:vAlign w:val="bottom"/>
            <w:tcBorders>
              <w:bottom w:val="single" w:sz="8" w:color="4C4C4C"/>
            </w:tcBorders>
            <w:shd w:val="clear" w:color="auto" w:fill="4C4C4C"/>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0" w:type="dxa"/>
            <w:vAlign w:val="bottom"/>
          </w:tcPr>
          <w:p>
            <w:pPr>
              <w:spacing w:after="0"/>
              <w:rPr>
                <w:sz w:val="18"/>
                <w:szCs w:val="18"/>
                <w:color w:val="auto"/>
              </w:rPr>
            </w:pPr>
          </w:p>
        </w:tc>
        <w:tc>
          <w:tcPr>
            <w:tcW w:w="740" w:type="dxa"/>
            <w:vAlign w:val="bottom"/>
            <w:tcBorders>
              <w:bottom w:val="single" w:sz="8" w:color="4C4C4C"/>
            </w:tcBorders>
            <w:shd w:val="clear" w:color="auto" w:fill="4C4C4C"/>
          </w:tcPr>
          <w:p>
            <w:pPr>
              <w:jc w:val="right"/>
              <w:ind w:right="147"/>
              <w:spacing w:after="0"/>
              <w:rPr>
                <w:sz w:val="20"/>
                <w:szCs w:val="20"/>
                <w:color w:val="auto"/>
              </w:rPr>
            </w:pPr>
            <w:r>
              <w:rPr>
                <w:rFonts w:ascii="Times New Roman" w:cs="Times New Roman" w:eastAsia="Times New Roman" w:hAnsi="Times New Roman"/>
                <w:sz w:val="16"/>
                <w:szCs w:val="16"/>
                <w:b w:val="1"/>
                <w:bCs w:val="1"/>
                <w:color w:val="FFFFFF"/>
              </w:rPr>
              <w:t>U.S.</w:t>
            </w:r>
          </w:p>
        </w:tc>
        <w:tc>
          <w:tcPr>
            <w:tcW w:w="82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Non-U.S.</w:t>
            </w:r>
          </w:p>
        </w:tc>
        <w:tc>
          <w:tcPr>
            <w:tcW w:w="680" w:type="dxa"/>
            <w:vAlign w:val="bottom"/>
            <w:tcBorders>
              <w:bottom w:val="single" w:sz="8" w:color="4C4C4C"/>
            </w:tcBorders>
            <w:shd w:val="clear" w:color="auto" w:fill="4C4C4C"/>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0" w:type="dxa"/>
            <w:vAlign w:val="bottom"/>
          </w:tcPr>
          <w:p>
            <w:pPr>
              <w:spacing w:after="0"/>
              <w:rPr>
                <w:sz w:val="18"/>
                <w:szCs w:val="18"/>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FFFFFF"/>
              </w:rPr>
              <w:t>U.S.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Non-U.S.</w:t>
            </w:r>
          </w:p>
        </w:tc>
        <w:tc>
          <w:tcPr>
            <w:tcW w:w="76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288"/>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Earnings (loss) (U.S. GAAP)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4,202</w:t>
            </w:r>
          </w:p>
        </w:tc>
        <w:tc>
          <w:tcPr>
            <w:tcW w:w="8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17,106</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11,728</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24,751</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36,479</w:t>
            </w: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3,663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12,112</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15,775</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Impairments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(1,978)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0" w:type="dxa"/>
            <w:vAlign w:val="bottom"/>
          </w:tcPr>
          <w:p>
            <w:pPr>
              <w:spacing w:after="0"/>
              <w:rPr>
                <w:sz w:val="1"/>
                <w:szCs w:val="1"/>
                <w:color w:val="auto"/>
              </w:rPr>
            </w:pPr>
          </w:p>
        </w:tc>
      </w:tr>
      <w:tr>
        <w:trPr>
          <w:trHeight w:val="288"/>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Gain/(loss) on sale of assets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800" w:type="dxa"/>
            <w:vAlign w:val="bottom"/>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587</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6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Tax-related items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8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w:t>
            </w:r>
          </w:p>
        </w:tc>
        <w:tc>
          <w:tcPr>
            <w:tcW w:w="6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6"/>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Contractual provisions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286"/>
        </w:trPr>
        <w:tc>
          <w:tcPr>
            <w:tcW w:w="3660" w:type="dxa"/>
            <w:vAlign w:val="bottom"/>
            <w:tcBorders>
              <w:bottom w:val="single" w:sz="8" w:color="4C4C4C"/>
            </w:tcBorders>
          </w:tcPr>
          <w:p>
            <w:pPr>
              <w:ind w:left="32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4C4C4C"/>
            </w:tcBorders>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4C4C4C"/>
            </w:tcBorders>
          </w:tcPr>
          <w:p>
            <w:pPr>
              <w:spacing w:after="0"/>
              <w:rPr>
                <w:sz w:val="24"/>
                <w:szCs w:val="24"/>
                <w:color w:val="auto"/>
              </w:rPr>
            </w:pP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1,380</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60" w:type="dxa"/>
            <w:vAlign w:val="bottom"/>
            <w:tcBorders>
              <w:bottom w:val="single" w:sz="8" w:color="4C4C4C"/>
            </w:tcBorders>
          </w:tcPr>
          <w:p>
            <w:pPr>
              <w:spacing w:after="0"/>
              <w:rPr>
                <w:sz w:val="24"/>
                <w:szCs w:val="24"/>
                <w:color w:val="auto"/>
              </w:rPr>
            </w:pPr>
          </w:p>
        </w:tc>
        <w:tc>
          <w:tcPr>
            <w:tcW w:w="780" w:type="dxa"/>
            <w:vAlign w:val="bottom"/>
            <w:tcBorders>
              <w:bottom w:val="single" w:sz="8" w:color="4C4C4C"/>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36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Identified Items</w:t>
            </w:r>
          </w:p>
        </w:tc>
        <w:tc>
          <w:tcPr>
            <w:tcW w:w="82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(2,301)</w:t>
            </w:r>
          </w:p>
        </w:tc>
        <w:tc>
          <w:tcPr>
            <w:tcW w:w="8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(3,238)</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(2,939)</w:t>
            </w:r>
          </w:p>
        </w:tc>
        <w:tc>
          <w:tcPr>
            <w:tcW w:w="84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0" w:type="dxa"/>
            <w:vAlign w:val="bottom"/>
          </w:tcPr>
          <w:p>
            <w:pPr>
              <w:spacing w:after="0"/>
              <w:rPr>
                <w:sz w:val="1"/>
                <w:szCs w:val="1"/>
                <w:color w:val="auto"/>
              </w:rPr>
            </w:pPr>
          </w:p>
        </w:tc>
      </w:tr>
      <w:tr>
        <w:trPr>
          <w:trHeight w:val="235"/>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Earnings (loss) excluding Identified Items</w:t>
            </w:r>
          </w:p>
        </w:tc>
        <w:tc>
          <w:tcPr>
            <w:tcW w:w="60" w:type="dxa"/>
            <w:vAlign w:val="bottom"/>
          </w:tcPr>
          <w:p>
            <w:pPr>
              <w:spacing w:after="0"/>
              <w:rPr>
                <w:sz w:val="20"/>
                <w:szCs w:val="20"/>
                <w:color w:val="auto"/>
              </w:rPr>
            </w:pPr>
          </w:p>
        </w:tc>
        <w:tc>
          <w:tcPr>
            <w:tcW w:w="7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5,691</w:t>
            </w:r>
          </w:p>
        </w:tc>
        <w:tc>
          <w:tcPr>
            <w:tcW w:w="800" w:type="dxa"/>
            <w:vAlign w:val="bottom"/>
            <w:vMerge w:val="restart"/>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17,918</w:t>
            </w:r>
          </w:p>
        </w:tc>
        <w:tc>
          <w:tcPr>
            <w:tcW w:w="7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23,609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11,429</w:t>
            </w:r>
          </w:p>
        </w:tc>
        <w:tc>
          <w:tcPr>
            <w:tcW w:w="82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27,989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39,418</w:t>
            </w:r>
          </w:p>
        </w:tc>
        <w:tc>
          <w:tcPr>
            <w:tcW w:w="8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20"/>
                <w:szCs w:val="20"/>
                <w:b w:val="1"/>
                <w:bCs w:val="1"/>
                <w:color w:val="auto"/>
              </w:rPr>
              <w:t>3,926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12,392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16,318</w:t>
            </w:r>
          </w:p>
        </w:tc>
        <w:tc>
          <w:tcPr>
            <w:tcW w:w="0" w:type="dxa"/>
            <w:vAlign w:val="bottom"/>
          </w:tcPr>
          <w:p>
            <w:pPr>
              <w:spacing w:after="0"/>
              <w:rPr>
                <w:sz w:val="1"/>
                <w:szCs w:val="1"/>
                <w:color w:val="auto"/>
              </w:rPr>
            </w:pPr>
          </w:p>
        </w:tc>
      </w:tr>
      <w:tr>
        <w:trPr>
          <w:trHeight w:val="127"/>
        </w:trPr>
        <w:tc>
          <w:tcPr>
            <w:tcW w:w="36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(Non-GAAP)</w:t>
            </w:r>
          </w:p>
        </w:tc>
        <w:tc>
          <w:tcPr>
            <w:tcW w:w="60" w:type="dxa"/>
            <w:vAlign w:val="bottom"/>
          </w:tcPr>
          <w:p>
            <w:pPr>
              <w:spacing w:after="0"/>
              <w:rPr>
                <w:sz w:val="11"/>
                <w:szCs w:val="11"/>
                <w:color w:val="auto"/>
              </w:rPr>
            </w:pPr>
          </w:p>
        </w:tc>
        <w:tc>
          <w:tcPr>
            <w:tcW w:w="760" w:type="dxa"/>
            <w:vAlign w:val="bottom"/>
            <w:vMerge w:val="continue"/>
            <w:shd w:val="clear" w:color="auto" w:fill="F0F0F0"/>
          </w:tcPr>
          <w:p>
            <w:pPr>
              <w:spacing w:after="0"/>
              <w:rPr>
                <w:sz w:val="11"/>
                <w:szCs w:val="11"/>
                <w:color w:val="auto"/>
              </w:rPr>
            </w:pPr>
          </w:p>
        </w:tc>
        <w:tc>
          <w:tcPr>
            <w:tcW w:w="800" w:type="dxa"/>
            <w:vAlign w:val="bottom"/>
            <w:vMerge w:val="continue"/>
            <w:shd w:val="clear" w:color="auto" w:fill="F0F0F0"/>
          </w:tcPr>
          <w:p>
            <w:pPr>
              <w:spacing w:after="0"/>
              <w:rPr>
                <w:sz w:val="11"/>
                <w:szCs w:val="11"/>
                <w:color w:val="auto"/>
              </w:rPr>
            </w:pPr>
          </w:p>
        </w:tc>
        <w:tc>
          <w:tcPr>
            <w:tcW w:w="700" w:type="dxa"/>
            <w:vAlign w:val="bottom"/>
            <w:vMerge w:val="continue"/>
            <w:shd w:val="clear" w:color="auto" w:fill="F0F0F0"/>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60" w:type="dxa"/>
            <w:vAlign w:val="bottom"/>
            <w:tcBorders>
              <w:bottom w:val="single" w:sz="8" w:color="4C4C4C"/>
            </w:tcBorders>
            <w:vMerge w:val="continue"/>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shd w:val="clear" w:color="auto" w:fill="F0F0F0"/>
          </w:tcPr>
          <w:p>
            <w:pPr>
              <w:spacing w:after="0"/>
              <w:rPr>
                <w:sz w:val="11"/>
                <w:szCs w:val="11"/>
                <w:color w:val="auto"/>
              </w:rPr>
            </w:pPr>
          </w:p>
        </w:tc>
        <w:tc>
          <w:tcPr>
            <w:tcW w:w="800" w:type="dxa"/>
            <w:vAlign w:val="bottom"/>
            <w:tcBorders>
              <w:bottom w:val="single" w:sz="8" w:color="4C4C4C"/>
            </w:tcBorders>
            <w:shd w:val="clear" w:color="auto" w:fill="F0F0F0"/>
          </w:tcPr>
          <w:p>
            <w:pPr>
              <w:spacing w:after="0"/>
              <w:rPr>
                <w:sz w:val="11"/>
                <w:szCs w:val="11"/>
                <w:color w:val="auto"/>
              </w:rPr>
            </w:pPr>
          </w:p>
        </w:tc>
        <w:tc>
          <w:tcPr>
            <w:tcW w:w="700" w:type="dxa"/>
            <w:vAlign w:val="bottom"/>
            <w:tcBorders>
              <w:bottom w:val="single" w:sz="8" w:color="4C4C4C"/>
            </w:tcBorders>
            <w:shd w:val="clear" w:color="auto" w:fill="F0F0F0"/>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40" w:type="dxa"/>
            <w:vAlign w:val="bottom"/>
            <w:tcBorders>
              <w:bottom w:val="single" w:sz="8" w:color="4C4C4C"/>
            </w:tcBorders>
          </w:tcPr>
          <w:p>
            <w:pPr>
              <w:spacing w:after="0"/>
              <w:rPr>
                <w:sz w:val="11"/>
                <w:szCs w:val="11"/>
                <w:color w:val="auto"/>
              </w:rPr>
            </w:pPr>
          </w:p>
        </w:tc>
        <w:tc>
          <w:tcPr>
            <w:tcW w:w="820" w:type="dxa"/>
            <w:vAlign w:val="bottom"/>
            <w:tcBorders>
              <w:bottom w:val="single" w:sz="8" w:color="4C4C4C"/>
            </w:tcBorders>
          </w:tcPr>
          <w:p>
            <w:pPr>
              <w:spacing w:after="0"/>
              <w:rPr>
                <w:sz w:val="11"/>
                <w:szCs w:val="11"/>
                <w:color w:val="auto"/>
              </w:rPr>
            </w:pPr>
          </w:p>
        </w:tc>
        <w:tc>
          <w:tcPr>
            <w:tcW w:w="680" w:type="dxa"/>
            <w:vAlign w:val="bottom"/>
            <w:tcBorders>
              <w:bottom w:val="single" w:sz="8" w:color="4C4C4C"/>
            </w:tcBorders>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80" w:type="dxa"/>
            <w:vAlign w:val="bottom"/>
            <w:tcBorders>
              <w:bottom w:val="single" w:sz="8" w:color="4C4C4C"/>
            </w:tcBorders>
          </w:tcPr>
          <w:p>
            <w:pPr>
              <w:spacing w:after="0"/>
              <w:rPr>
                <w:sz w:val="11"/>
                <w:szCs w:val="11"/>
                <w:color w:val="auto"/>
              </w:rPr>
            </w:pPr>
          </w:p>
        </w:tc>
        <w:tc>
          <w:tcPr>
            <w:tcW w:w="72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tcPr>
          <w:p>
            <w:pPr>
              <w:spacing w:after="0"/>
              <w:rPr>
                <w:sz w:val="11"/>
                <w:szCs w:val="11"/>
                <w:color w:val="auto"/>
              </w:rPr>
            </w:pPr>
          </w:p>
        </w:tc>
        <w:tc>
          <w:tcPr>
            <w:tcW w:w="0" w:type="dxa"/>
            <w:vAlign w:val="bottom"/>
          </w:tcPr>
          <w:p>
            <w:pPr>
              <w:spacing w:after="0"/>
              <w:rPr>
                <w:sz w:val="1"/>
                <w:szCs w:val="1"/>
                <w:color w:val="auto"/>
              </w:rPr>
            </w:pPr>
          </w:p>
        </w:tc>
      </w:tr>
      <w:tr>
        <w:trPr>
          <w:trHeight w:val="417"/>
        </w:trPr>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Energy Products</w:t>
            </w:r>
          </w:p>
        </w:tc>
        <w:tc>
          <w:tcPr>
            <w:tcW w:w="60" w:type="dxa"/>
            <w:vAlign w:val="bottom"/>
          </w:tcPr>
          <w:p>
            <w:pPr>
              <w:spacing w:after="0"/>
              <w:rPr>
                <w:sz w:val="22"/>
                <w:szCs w:val="22"/>
                <w:color w:val="auto"/>
              </w:rPr>
            </w:pPr>
          </w:p>
        </w:tc>
        <w:tc>
          <w:tcPr>
            <w:tcW w:w="760" w:type="dxa"/>
            <w:vAlign w:val="bottom"/>
            <w:shd w:val="clear" w:color="auto" w:fill="4C4C4C"/>
          </w:tcPr>
          <w:p>
            <w:pPr>
              <w:spacing w:after="0"/>
              <w:rPr>
                <w:sz w:val="22"/>
                <w:szCs w:val="22"/>
                <w:color w:val="auto"/>
              </w:rPr>
            </w:pPr>
          </w:p>
        </w:tc>
        <w:tc>
          <w:tcPr>
            <w:tcW w:w="8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2023</w:t>
            </w:r>
          </w:p>
        </w:tc>
        <w:tc>
          <w:tcPr>
            <w:tcW w:w="700" w:type="dxa"/>
            <w:vAlign w:val="bottom"/>
            <w:shd w:val="clear" w:color="auto" w:fill="4C4C4C"/>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shd w:val="clear" w:color="auto" w:fill="4C4C4C"/>
          </w:tcPr>
          <w:p>
            <w:pPr>
              <w:spacing w:after="0"/>
              <w:rPr>
                <w:sz w:val="22"/>
                <w:szCs w:val="22"/>
                <w:color w:val="auto"/>
              </w:rPr>
            </w:pPr>
          </w:p>
        </w:tc>
        <w:tc>
          <w:tcPr>
            <w:tcW w:w="8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680" w:type="dxa"/>
            <w:vAlign w:val="bottom"/>
            <w:shd w:val="clear" w:color="auto" w:fill="4C4C4C"/>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shd w:val="clear" w:color="auto" w:fill="4C4C4C"/>
          </w:tcPr>
          <w:p>
            <w:pPr>
              <w:spacing w:after="0"/>
              <w:rPr>
                <w:sz w:val="22"/>
                <w:szCs w:val="22"/>
                <w:color w:val="auto"/>
              </w:rPr>
            </w:pPr>
          </w:p>
        </w:tc>
        <w:tc>
          <w:tcPr>
            <w:tcW w:w="7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2021</w:t>
            </w:r>
          </w:p>
        </w:tc>
        <w:tc>
          <w:tcPr>
            <w:tcW w:w="760" w:type="dxa"/>
            <w:vAlign w:val="bottom"/>
            <w:shd w:val="clear" w:color="auto" w:fill="4C4C4C"/>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6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0" w:type="dxa"/>
            <w:vAlign w:val="bottom"/>
          </w:tcPr>
          <w:p>
            <w:pPr>
              <w:spacing w:after="0"/>
              <w:rPr>
                <w:sz w:val="21"/>
                <w:szCs w:val="21"/>
                <w:color w:val="auto"/>
              </w:rPr>
            </w:pPr>
          </w:p>
        </w:tc>
        <w:tc>
          <w:tcPr>
            <w:tcW w:w="760" w:type="dxa"/>
            <w:vAlign w:val="bottom"/>
            <w:tcBorders>
              <w:bottom w:val="single" w:sz="8" w:color="4C4C4C"/>
            </w:tcBorders>
            <w:shd w:val="clear" w:color="auto" w:fill="4C4C4C"/>
          </w:tcPr>
          <w:p>
            <w:pPr>
              <w:jc w:val="right"/>
              <w:ind w:right="145"/>
              <w:spacing w:after="0"/>
              <w:rPr>
                <w:sz w:val="20"/>
                <w:szCs w:val="20"/>
                <w:color w:val="auto"/>
              </w:rPr>
            </w:pPr>
            <w:r>
              <w:rPr>
                <w:rFonts w:ascii="Times New Roman" w:cs="Times New Roman" w:eastAsia="Times New Roman" w:hAnsi="Times New Roman"/>
                <w:sz w:val="16"/>
                <w:szCs w:val="16"/>
                <w:b w:val="1"/>
                <w:bCs w:val="1"/>
                <w:color w:val="FFFFFF"/>
              </w:rPr>
              <w:t>U.S.</w:t>
            </w:r>
          </w:p>
        </w:tc>
        <w:tc>
          <w:tcPr>
            <w:tcW w:w="80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Non-U.S.</w:t>
            </w:r>
          </w:p>
        </w:tc>
        <w:tc>
          <w:tcPr>
            <w:tcW w:w="700" w:type="dxa"/>
            <w:vAlign w:val="bottom"/>
            <w:tcBorders>
              <w:bottom w:val="single" w:sz="8" w:color="4C4C4C"/>
            </w:tcBorders>
            <w:shd w:val="clear" w:color="auto" w:fill="4C4C4C"/>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0" w:type="dxa"/>
            <w:vAlign w:val="bottom"/>
          </w:tcPr>
          <w:p>
            <w:pPr>
              <w:spacing w:after="0"/>
              <w:rPr>
                <w:sz w:val="21"/>
                <w:szCs w:val="21"/>
                <w:color w:val="auto"/>
              </w:rPr>
            </w:pPr>
          </w:p>
        </w:tc>
        <w:tc>
          <w:tcPr>
            <w:tcW w:w="740" w:type="dxa"/>
            <w:vAlign w:val="bottom"/>
            <w:tcBorders>
              <w:bottom w:val="single" w:sz="8" w:color="4C4C4C"/>
            </w:tcBorders>
            <w:shd w:val="clear" w:color="auto" w:fill="4C4C4C"/>
          </w:tcPr>
          <w:p>
            <w:pPr>
              <w:jc w:val="right"/>
              <w:ind w:right="147"/>
              <w:spacing w:after="0"/>
              <w:rPr>
                <w:sz w:val="20"/>
                <w:szCs w:val="20"/>
                <w:color w:val="auto"/>
              </w:rPr>
            </w:pPr>
            <w:r>
              <w:rPr>
                <w:rFonts w:ascii="Times New Roman" w:cs="Times New Roman" w:eastAsia="Times New Roman" w:hAnsi="Times New Roman"/>
                <w:sz w:val="16"/>
                <w:szCs w:val="16"/>
                <w:b w:val="1"/>
                <w:bCs w:val="1"/>
                <w:color w:val="FFFFFF"/>
              </w:rPr>
              <w:t>U.S.</w:t>
            </w:r>
          </w:p>
        </w:tc>
        <w:tc>
          <w:tcPr>
            <w:tcW w:w="82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Non-U.S.</w:t>
            </w:r>
          </w:p>
        </w:tc>
        <w:tc>
          <w:tcPr>
            <w:tcW w:w="680" w:type="dxa"/>
            <w:vAlign w:val="bottom"/>
            <w:tcBorders>
              <w:bottom w:val="single" w:sz="8" w:color="4C4C4C"/>
            </w:tcBorders>
            <w:shd w:val="clear" w:color="auto" w:fill="4C4C4C"/>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0" w:type="dxa"/>
            <w:vAlign w:val="bottom"/>
          </w:tcPr>
          <w:p>
            <w:pPr>
              <w:spacing w:after="0"/>
              <w:rPr>
                <w:sz w:val="21"/>
                <w:szCs w:val="21"/>
                <w:color w:val="auto"/>
              </w:rPr>
            </w:pPr>
          </w:p>
        </w:tc>
        <w:tc>
          <w:tcPr>
            <w:tcW w:w="780" w:type="dxa"/>
            <w:vAlign w:val="bottom"/>
            <w:tcBorders>
              <w:bottom w:val="single" w:sz="8" w:color="4C4C4C"/>
            </w:tcBorders>
            <w:shd w:val="clear" w:color="auto" w:fill="4C4C4C"/>
          </w:tcPr>
          <w:p>
            <w:pPr>
              <w:jc w:val="right"/>
              <w:ind w:right="166"/>
              <w:spacing w:after="0"/>
              <w:rPr>
                <w:sz w:val="20"/>
                <w:szCs w:val="20"/>
                <w:color w:val="auto"/>
              </w:rPr>
            </w:pPr>
            <w:r>
              <w:rPr>
                <w:rFonts w:ascii="Times New Roman" w:cs="Times New Roman" w:eastAsia="Times New Roman" w:hAnsi="Times New Roman"/>
                <w:sz w:val="16"/>
                <w:szCs w:val="16"/>
                <w:b w:val="1"/>
                <w:bCs w:val="1"/>
                <w:color w:val="FFFFFF"/>
              </w:rPr>
              <w:t>U.S.</w:t>
            </w:r>
          </w:p>
        </w:tc>
        <w:tc>
          <w:tcPr>
            <w:tcW w:w="72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Non-U.S.</w:t>
            </w:r>
          </w:p>
        </w:tc>
        <w:tc>
          <w:tcPr>
            <w:tcW w:w="760" w:type="dxa"/>
            <w:vAlign w:val="bottom"/>
            <w:tcBorders>
              <w:bottom w:val="single" w:sz="8" w:color="4C4C4C"/>
            </w:tcBorders>
            <w:shd w:val="clear" w:color="auto" w:fill="4C4C4C"/>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282"/>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Earnings (loss) (U.S. GAAP)</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6,123</w:t>
            </w:r>
          </w:p>
        </w:tc>
        <w:tc>
          <w:tcPr>
            <w:tcW w:w="800" w:type="dxa"/>
            <w:vAlign w:val="bottom"/>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color w:val="auto"/>
              </w:rPr>
              <w:t>6,019</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12,142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8,340</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6,626</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14,966</w:t>
            </w: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668</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0" w:type="dxa"/>
            <w:vAlign w:val="bottom"/>
          </w:tcPr>
          <w:p>
            <w:pPr>
              <w:spacing w:after="0"/>
              <w:rPr>
                <w:sz w:val="1"/>
                <w:szCs w:val="1"/>
                <w:color w:val="auto"/>
              </w:rPr>
            </w:pPr>
          </w:p>
        </w:tc>
      </w:tr>
      <w:tr>
        <w:trPr>
          <w:trHeight w:val="306"/>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Impairments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6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3660" w:type="dxa"/>
            <w:vAlign w:val="bottom"/>
            <w:tcBorders>
              <w:bottom w:val="single" w:sz="8" w:color="4C4C4C"/>
            </w:tcBorders>
          </w:tcPr>
          <w:p>
            <w:pPr>
              <w:ind w:left="320"/>
              <w:spacing w:after="0"/>
              <w:rPr>
                <w:sz w:val="20"/>
                <w:szCs w:val="20"/>
                <w:color w:val="auto"/>
              </w:rPr>
            </w:pPr>
            <w:r>
              <w:rPr>
                <w:rFonts w:ascii="Times New Roman" w:cs="Times New Roman" w:eastAsia="Times New Roman" w:hAnsi="Times New Roman"/>
                <w:sz w:val="20"/>
                <w:szCs w:val="20"/>
                <w:color w:val="auto"/>
              </w:rPr>
              <w:t>Tax-related items</w:t>
            </w:r>
          </w:p>
        </w:tc>
        <w:tc>
          <w:tcPr>
            <w:tcW w:w="6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60" w:type="dxa"/>
            <w:vAlign w:val="bottom"/>
            <w:tcBorders>
              <w:bottom w:val="single" w:sz="8" w:color="4C4C4C"/>
            </w:tcBorders>
          </w:tcPr>
          <w:p>
            <w:pPr>
              <w:spacing w:after="0"/>
              <w:rPr>
                <w:sz w:val="24"/>
                <w:szCs w:val="24"/>
                <w:color w:val="auto"/>
              </w:rPr>
            </w:pP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60" w:type="dxa"/>
            <w:vAlign w:val="bottom"/>
            <w:tcBorders>
              <w:bottom w:val="single" w:sz="8" w:color="4C4C4C"/>
            </w:tcBorders>
          </w:tcPr>
          <w:p>
            <w:pPr>
              <w:spacing w:after="0"/>
              <w:rPr>
                <w:sz w:val="24"/>
                <w:szCs w:val="24"/>
                <w:color w:val="auto"/>
              </w:rPr>
            </w:pPr>
          </w:p>
        </w:tc>
        <w:tc>
          <w:tcPr>
            <w:tcW w:w="780" w:type="dxa"/>
            <w:vAlign w:val="bottom"/>
            <w:tcBorders>
              <w:bottom w:val="single" w:sz="8" w:color="4C4C4C"/>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36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Identified Items</w:t>
            </w:r>
          </w:p>
        </w:tc>
        <w:tc>
          <w:tcPr>
            <w:tcW w:w="82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60" w:type="dxa"/>
            <w:vAlign w:val="bottom"/>
            <w:tcBorders>
              <w:bottom w:val="single" w:sz="8" w:color="4C4C4C"/>
            </w:tcBorders>
          </w:tcPr>
          <w:p>
            <w:pPr>
              <w:spacing w:after="0"/>
              <w:rPr>
                <w:sz w:val="23"/>
                <w:szCs w:val="23"/>
                <w:color w:val="auto"/>
              </w:rPr>
            </w:pPr>
          </w:p>
        </w:tc>
        <w:tc>
          <w:tcPr>
            <w:tcW w:w="780" w:type="dxa"/>
            <w:vAlign w:val="bottom"/>
            <w:tcBorders>
              <w:bottom w:val="single" w:sz="8" w:color="4C4C4C"/>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5"/>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Earnings (loss) excluding Identified Items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5,931</w:t>
            </w:r>
          </w:p>
        </w:tc>
        <w:tc>
          <w:tcPr>
            <w:tcW w:w="80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6,067</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11,998</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8,398</w:t>
            </w:r>
          </w:p>
        </w:tc>
        <w:tc>
          <w:tcPr>
            <w:tcW w:w="82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7,252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15,650</w:t>
            </w:r>
          </w:p>
        </w:tc>
        <w:tc>
          <w:tcPr>
            <w:tcW w:w="8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20"/>
                <w:szCs w:val="20"/>
                <w:b w:val="1"/>
                <w:bCs w:val="1"/>
                <w:color w:val="auto"/>
              </w:rPr>
              <w:t>668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(1,014)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(347)</w:t>
            </w:r>
          </w:p>
        </w:tc>
        <w:tc>
          <w:tcPr>
            <w:tcW w:w="0" w:type="dxa"/>
            <w:vAlign w:val="bottom"/>
          </w:tcPr>
          <w:p>
            <w:pPr>
              <w:spacing w:after="0"/>
              <w:rPr>
                <w:sz w:val="1"/>
                <w:szCs w:val="1"/>
                <w:color w:val="auto"/>
              </w:rPr>
            </w:pPr>
          </w:p>
        </w:tc>
      </w:tr>
      <w:tr>
        <w:trPr>
          <w:trHeight w:val="127"/>
        </w:trPr>
        <w:tc>
          <w:tcPr>
            <w:tcW w:w="36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(Non-GAAP)</w:t>
            </w:r>
          </w:p>
        </w:tc>
        <w:tc>
          <w:tcPr>
            <w:tcW w:w="82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60" w:type="dxa"/>
            <w:vAlign w:val="bottom"/>
            <w:tcBorders>
              <w:bottom w:val="single" w:sz="8" w:color="4C4C4C"/>
            </w:tcBorders>
            <w:vMerge w:val="continue"/>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tcPr>
          <w:p>
            <w:pPr>
              <w:spacing w:after="0"/>
              <w:rPr>
                <w:sz w:val="11"/>
                <w:szCs w:val="11"/>
                <w:color w:val="auto"/>
              </w:rPr>
            </w:pPr>
          </w:p>
        </w:tc>
        <w:tc>
          <w:tcPr>
            <w:tcW w:w="800" w:type="dxa"/>
            <w:vAlign w:val="bottom"/>
            <w:tcBorders>
              <w:bottom w:val="single" w:sz="8" w:color="4C4C4C"/>
            </w:tcBorders>
          </w:tcPr>
          <w:p>
            <w:pPr>
              <w:spacing w:after="0"/>
              <w:rPr>
                <w:sz w:val="11"/>
                <w:szCs w:val="11"/>
                <w:color w:val="auto"/>
              </w:rPr>
            </w:pPr>
          </w:p>
        </w:tc>
        <w:tc>
          <w:tcPr>
            <w:tcW w:w="700" w:type="dxa"/>
            <w:vAlign w:val="bottom"/>
            <w:tcBorders>
              <w:bottom w:val="single" w:sz="8" w:color="4C4C4C"/>
            </w:tcBorders>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40" w:type="dxa"/>
            <w:vAlign w:val="bottom"/>
            <w:tcBorders>
              <w:bottom w:val="single" w:sz="8" w:color="4C4C4C"/>
            </w:tcBorders>
          </w:tcPr>
          <w:p>
            <w:pPr>
              <w:spacing w:after="0"/>
              <w:rPr>
                <w:sz w:val="11"/>
                <w:szCs w:val="11"/>
                <w:color w:val="auto"/>
              </w:rPr>
            </w:pPr>
          </w:p>
        </w:tc>
        <w:tc>
          <w:tcPr>
            <w:tcW w:w="820" w:type="dxa"/>
            <w:vAlign w:val="bottom"/>
            <w:tcBorders>
              <w:bottom w:val="single" w:sz="8" w:color="4C4C4C"/>
            </w:tcBorders>
          </w:tcPr>
          <w:p>
            <w:pPr>
              <w:spacing w:after="0"/>
              <w:rPr>
                <w:sz w:val="11"/>
                <w:szCs w:val="11"/>
                <w:color w:val="auto"/>
              </w:rPr>
            </w:pPr>
          </w:p>
        </w:tc>
        <w:tc>
          <w:tcPr>
            <w:tcW w:w="680" w:type="dxa"/>
            <w:vAlign w:val="bottom"/>
            <w:tcBorders>
              <w:bottom w:val="single" w:sz="8" w:color="4C4C4C"/>
            </w:tcBorders>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80" w:type="dxa"/>
            <w:vAlign w:val="bottom"/>
            <w:tcBorders>
              <w:bottom w:val="single" w:sz="8" w:color="4C4C4C"/>
            </w:tcBorders>
          </w:tcPr>
          <w:p>
            <w:pPr>
              <w:spacing w:after="0"/>
              <w:rPr>
                <w:sz w:val="11"/>
                <w:szCs w:val="11"/>
                <w:color w:val="auto"/>
              </w:rPr>
            </w:pPr>
          </w:p>
        </w:tc>
        <w:tc>
          <w:tcPr>
            <w:tcW w:w="72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tcPr>
          <w:p>
            <w:pPr>
              <w:spacing w:after="0"/>
              <w:rPr>
                <w:sz w:val="11"/>
                <w:szCs w:val="11"/>
                <w:color w:val="auto"/>
              </w:rPr>
            </w:pPr>
          </w:p>
        </w:tc>
        <w:tc>
          <w:tcPr>
            <w:tcW w:w="0" w:type="dxa"/>
            <w:vAlign w:val="bottom"/>
          </w:tcPr>
          <w:p>
            <w:pPr>
              <w:spacing w:after="0"/>
              <w:rPr>
                <w:sz w:val="1"/>
                <w:szCs w:val="1"/>
                <w:color w:val="auto"/>
              </w:rPr>
            </w:pPr>
          </w:p>
        </w:tc>
      </w:tr>
      <w:tr>
        <w:trPr>
          <w:trHeight w:val="417"/>
        </w:trPr>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66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Chemical Products</w:t>
            </w:r>
          </w:p>
        </w:tc>
        <w:tc>
          <w:tcPr>
            <w:tcW w:w="60" w:type="dxa"/>
            <w:vAlign w:val="bottom"/>
          </w:tcPr>
          <w:p>
            <w:pPr>
              <w:spacing w:after="0"/>
              <w:rPr>
                <w:sz w:val="23"/>
                <w:szCs w:val="23"/>
                <w:color w:val="auto"/>
              </w:rPr>
            </w:pPr>
          </w:p>
        </w:tc>
        <w:tc>
          <w:tcPr>
            <w:tcW w:w="760" w:type="dxa"/>
            <w:vAlign w:val="bottom"/>
            <w:tcBorders>
              <w:bottom w:val="single" w:sz="8" w:color="4C4C4C"/>
            </w:tcBorders>
            <w:shd w:val="clear" w:color="auto" w:fill="4C4C4C"/>
          </w:tcPr>
          <w:p>
            <w:pPr>
              <w:spacing w:after="0"/>
              <w:rPr>
                <w:sz w:val="23"/>
                <w:szCs w:val="23"/>
                <w:color w:val="auto"/>
              </w:rPr>
            </w:pPr>
          </w:p>
        </w:tc>
        <w:tc>
          <w:tcPr>
            <w:tcW w:w="80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2023</w:t>
            </w:r>
          </w:p>
        </w:tc>
        <w:tc>
          <w:tcPr>
            <w:tcW w:w="700" w:type="dxa"/>
            <w:vAlign w:val="bottom"/>
            <w:tcBorders>
              <w:bottom w:val="single" w:sz="8" w:color="4C4C4C"/>
            </w:tcBorders>
            <w:shd w:val="clear" w:color="auto" w:fill="4C4C4C"/>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bottom w:val="single" w:sz="8" w:color="4C4C4C"/>
            </w:tcBorders>
            <w:shd w:val="clear" w:color="auto" w:fill="4C4C4C"/>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Borders>
              <w:bottom w:val="single" w:sz="8" w:color="4C4C4C"/>
            </w:tcBorders>
            <w:shd w:val="clear" w:color="auto" w:fill="4C4C4C"/>
          </w:tcPr>
          <w:p>
            <w:pPr>
              <w:spacing w:after="0"/>
              <w:rPr>
                <w:sz w:val="23"/>
                <w:szCs w:val="23"/>
                <w:color w:val="auto"/>
              </w:rPr>
            </w:pPr>
          </w:p>
        </w:tc>
        <w:tc>
          <w:tcPr>
            <w:tcW w:w="72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2021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6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0" w:type="dxa"/>
            <w:vAlign w:val="bottom"/>
          </w:tcPr>
          <w:p>
            <w:pPr>
              <w:spacing w:after="0"/>
              <w:rPr>
                <w:sz w:val="18"/>
                <w:szCs w:val="18"/>
                <w:color w:val="auto"/>
              </w:rPr>
            </w:pPr>
          </w:p>
        </w:tc>
        <w:tc>
          <w:tcPr>
            <w:tcW w:w="76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FFFFFF"/>
              </w:rPr>
              <w:t>U.S.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Non-U.S.</w:t>
            </w:r>
          </w:p>
        </w:tc>
        <w:tc>
          <w:tcPr>
            <w:tcW w:w="70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0" w:type="dxa"/>
            <w:vAlign w:val="bottom"/>
          </w:tcPr>
          <w:p>
            <w:pPr>
              <w:spacing w:after="0"/>
              <w:rPr>
                <w:sz w:val="18"/>
                <w:szCs w:val="18"/>
                <w:color w:val="auto"/>
              </w:rPr>
            </w:pPr>
          </w:p>
        </w:tc>
        <w:tc>
          <w:tcPr>
            <w:tcW w:w="74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FFFFFF"/>
              </w:rPr>
              <w:t>U.S.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Non-U.S.</w:t>
            </w:r>
          </w:p>
        </w:tc>
        <w:tc>
          <w:tcPr>
            <w:tcW w:w="68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0" w:type="dxa"/>
            <w:vAlign w:val="bottom"/>
          </w:tcPr>
          <w:p>
            <w:pPr>
              <w:spacing w:after="0"/>
              <w:rPr>
                <w:sz w:val="18"/>
                <w:szCs w:val="18"/>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FFFFFF"/>
              </w:rPr>
              <w:t>U.S.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Non-U.S.</w:t>
            </w:r>
          </w:p>
        </w:tc>
        <w:tc>
          <w:tcPr>
            <w:tcW w:w="76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282"/>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Earnings (loss) (U.S. GAAP)</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1,626</w:t>
            </w:r>
          </w:p>
        </w:tc>
        <w:tc>
          <w:tcPr>
            <w:tcW w:w="800" w:type="dxa"/>
            <w:vAlign w:val="bottom"/>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color w:val="auto"/>
              </w:rPr>
              <w:t>11</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1,637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2,328</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1,215</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3,543</w:t>
            </w: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3,697</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6,989</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Impairments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Tax-related items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0" w:type="dxa"/>
            <w:vAlign w:val="bottom"/>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4C4C4C"/>
            </w:tcBorders>
          </w:tcPr>
          <w:p>
            <w:pPr>
              <w:ind w:left="32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70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60" w:type="dxa"/>
            <w:vAlign w:val="bottom"/>
            <w:tcBorders>
              <w:bottom w:val="single" w:sz="8" w:color="4C4C4C"/>
            </w:tcBorders>
          </w:tcPr>
          <w:p>
            <w:pPr>
              <w:spacing w:after="0"/>
              <w:rPr>
                <w:sz w:val="24"/>
                <w:szCs w:val="24"/>
                <w:color w:val="auto"/>
              </w:rPr>
            </w:pP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4C4C4C"/>
            </w:tcBorders>
          </w:tcPr>
          <w:p>
            <w:pPr>
              <w:spacing w:after="0"/>
              <w:rPr>
                <w:sz w:val="24"/>
                <w:szCs w:val="24"/>
                <w:color w:val="auto"/>
              </w:rPr>
            </w:pPr>
          </w:p>
        </w:tc>
        <w:tc>
          <w:tcPr>
            <w:tcW w:w="780" w:type="dxa"/>
            <w:vAlign w:val="bottom"/>
            <w:tcBorders>
              <w:bottom w:val="single" w:sz="8" w:color="4C4C4C"/>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36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Identified Items</w:t>
            </w:r>
          </w:p>
        </w:tc>
        <w:tc>
          <w:tcPr>
            <w:tcW w:w="60" w:type="dxa"/>
            <w:vAlign w:val="bottom"/>
            <w:tcBorders>
              <w:bottom w:val="single" w:sz="8" w:color="4C4C4C"/>
            </w:tcBorders>
          </w:tcPr>
          <w:p>
            <w:pPr>
              <w:spacing w:after="0"/>
              <w:rPr>
                <w:sz w:val="23"/>
                <w:szCs w:val="23"/>
                <w:color w:val="auto"/>
              </w:rPr>
            </w:pPr>
          </w:p>
        </w:tc>
        <w:tc>
          <w:tcPr>
            <w:tcW w:w="7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70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60" w:type="dxa"/>
            <w:vAlign w:val="bottom"/>
            <w:tcBorders>
              <w:bottom w:val="single" w:sz="8" w:color="4C4C4C"/>
            </w:tcBorders>
          </w:tcPr>
          <w:p>
            <w:pPr>
              <w:spacing w:after="0"/>
              <w:rPr>
                <w:sz w:val="23"/>
                <w:szCs w:val="23"/>
                <w:color w:val="auto"/>
              </w:rPr>
            </w:pP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4C4C4C"/>
            </w:tcBorders>
          </w:tcPr>
          <w:p>
            <w:pPr>
              <w:spacing w:after="0"/>
              <w:rPr>
                <w:sz w:val="23"/>
                <w:szCs w:val="23"/>
                <w:color w:val="auto"/>
              </w:rPr>
            </w:pPr>
          </w:p>
        </w:tc>
        <w:tc>
          <w:tcPr>
            <w:tcW w:w="780" w:type="dxa"/>
            <w:vAlign w:val="bottom"/>
            <w:tcBorders>
              <w:bottom w:val="single" w:sz="8" w:color="4C4C4C"/>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5"/>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Earnings (loss) excluding Identified Items</w:t>
            </w:r>
          </w:p>
        </w:tc>
        <w:tc>
          <w:tcPr>
            <w:tcW w:w="60" w:type="dxa"/>
            <w:vAlign w:val="bottom"/>
          </w:tcPr>
          <w:p>
            <w:pPr>
              <w:spacing w:after="0"/>
              <w:rPr>
                <w:sz w:val="20"/>
                <w:szCs w:val="20"/>
                <w:color w:val="auto"/>
              </w:rPr>
            </w:pPr>
          </w:p>
        </w:tc>
        <w:tc>
          <w:tcPr>
            <w:tcW w:w="7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1,594</w:t>
            </w:r>
          </w:p>
        </w:tc>
        <w:tc>
          <w:tcPr>
            <w:tcW w:w="800" w:type="dxa"/>
            <w:vAlign w:val="bottom"/>
            <w:vMerge w:val="restart"/>
            <w:shd w:val="clear" w:color="auto" w:fill="F0F0F0"/>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431</w:t>
            </w:r>
          </w:p>
        </w:tc>
        <w:tc>
          <w:tcPr>
            <w:tcW w:w="7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2,328</w:t>
            </w:r>
          </w:p>
        </w:tc>
        <w:tc>
          <w:tcPr>
            <w:tcW w:w="82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1,215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3,543</w:t>
            </w:r>
          </w:p>
        </w:tc>
        <w:tc>
          <w:tcPr>
            <w:tcW w:w="8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20"/>
                <w:szCs w:val="20"/>
                <w:b w:val="1"/>
                <w:bCs w:val="1"/>
                <w:color w:val="auto"/>
              </w:rPr>
              <w:t>3,697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3,292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6,989</w:t>
            </w:r>
          </w:p>
        </w:tc>
        <w:tc>
          <w:tcPr>
            <w:tcW w:w="0" w:type="dxa"/>
            <w:vAlign w:val="bottom"/>
          </w:tcPr>
          <w:p>
            <w:pPr>
              <w:spacing w:after="0"/>
              <w:rPr>
                <w:sz w:val="1"/>
                <w:szCs w:val="1"/>
                <w:color w:val="auto"/>
              </w:rPr>
            </w:pPr>
          </w:p>
        </w:tc>
      </w:tr>
      <w:tr>
        <w:trPr>
          <w:trHeight w:val="127"/>
        </w:trPr>
        <w:tc>
          <w:tcPr>
            <w:tcW w:w="36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(Non-GAAP)</w:t>
            </w:r>
          </w:p>
        </w:tc>
        <w:tc>
          <w:tcPr>
            <w:tcW w:w="60" w:type="dxa"/>
            <w:vAlign w:val="bottom"/>
          </w:tcPr>
          <w:p>
            <w:pPr>
              <w:spacing w:after="0"/>
              <w:rPr>
                <w:sz w:val="11"/>
                <w:szCs w:val="11"/>
                <w:color w:val="auto"/>
              </w:rPr>
            </w:pPr>
          </w:p>
        </w:tc>
        <w:tc>
          <w:tcPr>
            <w:tcW w:w="760" w:type="dxa"/>
            <w:vAlign w:val="bottom"/>
            <w:vMerge w:val="continue"/>
            <w:shd w:val="clear" w:color="auto" w:fill="F0F0F0"/>
          </w:tcPr>
          <w:p>
            <w:pPr>
              <w:spacing w:after="0"/>
              <w:rPr>
                <w:sz w:val="11"/>
                <w:szCs w:val="11"/>
                <w:color w:val="auto"/>
              </w:rPr>
            </w:pPr>
          </w:p>
        </w:tc>
        <w:tc>
          <w:tcPr>
            <w:tcW w:w="800" w:type="dxa"/>
            <w:vAlign w:val="bottom"/>
            <w:vMerge w:val="continue"/>
            <w:shd w:val="clear" w:color="auto" w:fill="F0F0F0"/>
          </w:tcPr>
          <w:p>
            <w:pPr>
              <w:spacing w:after="0"/>
              <w:rPr>
                <w:sz w:val="11"/>
                <w:szCs w:val="11"/>
                <w:color w:val="auto"/>
              </w:rPr>
            </w:pPr>
          </w:p>
        </w:tc>
        <w:tc>
          <w:tcPr>
            <w:tcW w:w="700" w:type="dxa"/>
            <w:vAlign w:val="bottom"/>
            <w:vMerge w:val="continue"/>
            <w:shd w:val="clear" w:color="auto" w:fill="F0F0F0"/>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60" w:type="dxa"/>
            <w:vAlign w:val="bottom"/>
            <w:tcBorders>
              <w:bottom w:val="single" w:sz="8" w:color="4C4C4C"/>
            </w:tcBorders>
            <w:vMerge w:val="continue"/>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shd w:val="clear" w:color="auto" w:fill="F0F0F0"/>
          </w:tcPr>
          <w:p>
            <w:pPr>
              <w:spacing w:after="0"/>
              <w:rPr>
                <w:sz w:val="11"/>
                <w:szCs w:val="11"/>
                <w:color w:val="auto"/>
              </w:rPr>
            </w:pPr>
          </w:p>
        </w:tc>
        <w:tc>
          <w:tcPr>
            <w:tcW w:w="800" w:type="dxa"/>
            <w:vAlign w:val="bottom"/>
            <w:tcBorders>
              <w:bottom w:val="single" w:sz="8" w:color="4C4C4C"/>
            </w:tcBorders>
            <w:shd w:val="clear" w:color="auto" w:fill="F0F0F0"/>
          </w:tcPr>
          <w:p>
            <w:pPr>
              <w:spacing w:after="0"/>
              <w:rPr>
                <w:sz w:val="11"/>
                <w:szCs w:val="11"/>
                <w:color w:val="auto"/>
              </w:rPr>
            </w:pPr>
          </w:p>
        </w:tc>
        <w:tc>
          <w:tcPr>
            <w:tcW w:w="700" w:type="dxa"/>
            <w:vAlign w:val="bottom"/>
            <w:tcBorders>
              <w:bottom w:val="single" w:sz="8" w:color="4C4C4C"/>
            </w:tcBorders>
            <w:shd w:val="clear" w:color="auto" w:fill="F0F0F0"/>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40" w:type="dxa"/>
            <w:vAlign w:val="bottom"/>
            <w:tcBorders>
              <w:bottom w:val="single" w:sz="8" w:color="4C4C4C"/>
            </w:tcBorders>
          </w:tcPr>
          <w:p>
            <w:pPr>
              <w:spacing w:after="0"/>
              <w:rPr>
                <w:sz w:val="11"/>
                <w:szCs w:val="11"/>
                <w:color w:val="auto"/>
              </w:rPr>
            </w:pPr>
          </w:p>
        </w:tc>
        <w:tc>
          <w:tcPr>
            <w:tcW w:w="820" w:type="dxa"/>
            <w:vAlign w:val="bottom"/>
            <w:tcBorders>
              <w:bottom w:val="single" w:sz="8" w:color="4C4C4C"/>
            </w:tcBorders>
          </w:tcPr>
          <w:p>
            <w:pPr>
              <w:spacing w:after="0"/>
              <w:rPr>
                <w:sz w:val="11"/>
                <w:szCs w:val="11"/>
                <w:color w:val="auto"/>
              </w:rPr>
            </w:pPr>
          </w:p>
        </w:tc>
        <w:tc>
          <w:tcPr>
            <w:tcW w:w="680" w:type="dxa"/>
            <w:vAlign w:val="bottom"/>
            <w:tcBorders>
              <w:bottom w:val="single" w:sz="8" w:color="4C4C4C"/>
            </w:tcBorders>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80" w:type="dxa"/>
            <w:vAlign w:val="bottom"/>
            <w:tcBorders>
              <w:bottom w:val="single" w:sz="8" w:color="4C4C4C"/>
            </w:tcBorders>
          </w:tcPr>
          <w:p>
            <w:pPr>
              <w:spacing w:after="0"/>
              <w:rPr>
                <w:sz w:val="11"/>
                <w:szCs w:val="11"/>
                <w:color w:val="auto"/>
              </w:rPr>
            </w:pPr>
          </w:p>
        </w:tc>
        <w:tc>
          <w:tcPr>
            <w:tcW w:w="72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-4274820</wp:posOffset>
            </wp:positionV>
            <wp:extent cx="1453515" cy="395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3">
                      <a:extLst>
                        <a:ext uri="{28A0092B-C50C-407E-A947-70E740481C1C}"/>
                      </a:extLst>
                    </a:blip>
                    <a:srcRect/>
                    <a:stretch>
                      <a:fillRect/>
                    </a:stretch>
                  </pic:blipFill>
                  <pic:spPr bwMode="auto">
                    <a:xfrm>
                      <a:off x="0" y="0"/>
                      <a:ext cx="1453515" cy="395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-2616200</wp:posOffset>
            </wp:positionV>
            <wp:extent cx="6720840" cy="765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4">
                      <a:extLst>
                        <a:ext uri="{28A0092B-C50C-407E-A947-70E740481C1C}"/>
                      </a:extLst>
                    </a:blip>
                    <a:srcRect/>
                    <a:stretch>
                      <a:fillRect/>
                    </a:stretch>
                  </pic:blipFill>
                  <pic:spPr bwMode="auto">
                    <a:xfrm>
                      <a:off x="0" y="0"/>
                      <a:ext cx="6720840" cy="7651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-1642110</wp:posOffset>
            </wp:positionV>
            <wp:extent cx="4433570" cy="410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5">
                      <a:extLst>
                        <a:ext uri="{28A0092B-C50C-407E-A947-70E740481C1C}"/>
                      </a:extLst>
                    </a:blip>
                    <a:srcRect/>
                    <a:stretch>
                      <a:fillRect/>
                    </a:stretch>
                  </pic:blipFill>
                  <pic:spPr bwMode="auto">
                    <a:xfrm>
                      <a:off x="0" y="0"/>
                      <a:ext cx="4433570" cy="410845"/>
                    </a:xfrm>
                    <a:prstGeom prst="rect">
                      <a:avLst/>
                    </a:prstGeom>
                    <a:noFill/>
                  </pic:spPr>
                </pic:pic>
              </a:graphicData>
            </a:graphic>
          </wp:anchor>
        </w:drawing>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600"/>
          </w:cols>
          <w:pgMar w:left="640" w:top="491" w:right="64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4"/>
          <w:szCs w:val="24"/>
          <w:b w:val="1"/>
          <w:bCs w:val="1"/>
          <w:color w:val="4C4C4C"/>
        </w:rPr>
        <w:t>FREQUENTLY USED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114935</wp:posOffset>
            </wp:positionV>
            <wp:extent cx="4384675" cy="3613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6">
                      <a:extLst>
                        <a:ext uri="{28A0092B-C50C-407E-A947-70E740481C1C}"/>
                      </a:extLst>
                    </a:blip>
                    <a:srcRect/>
                    <a:stretch>
                      <a:fillRect/>
                    </a:stretch>
                  </pic:blipFill>
                  <pic:spPr bwMode="auto">
                    <a:xfrm>
                      <a:off x="0" y="0"/>
                      <a:ext cx="4384675" cy="36131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366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Specialty Products</w:t>
            </w:r>
          </w:p>
        </w:tc>
        <w:tc>
          <w:tcPr>
            <w:tcW w:w="60" w:type="dxa"/>
            <w:vAlign w:val="bottom"/>
          </w:tcPr>
          <w:p>
            <w:pPr>
              <w:spacing w:after="0"/>
              <w:rPr>
                <w:sz w:val="24"/>
                <w:szCs w:val="24"/>
                <w:color w:val="auto"/>
              </w:rPr>
            </w:pPr>
          </w:p>
        </w:tc>
        <w:tc>
          <w:tcPr>
            <w:tcW w:w="760" w:type="dxa"/>
            <w:vAlign w:val="bottom"/>
            <w:shd w:val="clear" w:color="auto" w:fill="4C4C4C"/>
          </w:tcPr>
          <w:p>
            <w:pPr>
              <w:spacing w:after="0"/>
              <w:rPr>
                <w:sz w:val="24"/>
                <w:szCs w:val="24"/>
                <w:color w:val="auto"/>
              </w:rPr>
            </w:pPr>
          </w:p>
        </w:tc>
        <w:tc>
          <w:tcPr>
            <w:tcW w:w="840" w:type="dxa"/>
            <w:vAlign w:val="bottom"/>
            <w:shd w:val="clear" w:color="auto" w:fill="4C4C4C"/>
          </w:tcPr>
          <w:p>
            <w:pPr>
              <w:jc w:val="right"/>
              <w:ind w:right="226"/>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60" w:type="dxa"/>
            <w:vAlign w:val="bottom"/>
            <w:shd w:val="clear" w:color="auto" w:fill="4C4C4C"/>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shd w:val="clear" w:color="auto" w:fill="4C4C4C"/>
          </w:tcPr>
          <w:p>
            <w:pPr>
              <w:spacing w:after="0"/>
              <w:rPr>
                <w:sz w:val="24"/>
                <w:szCs w:val="24"/>
                <w:color w:val="auto"/>
              </w:rPr>
            </w:pPr>
          </w:p>
        </w:tc>
        <w:tc>
          <w:tcPr>
            <w:tcW w:w="60" w:type="dxa"/>
            <w:vAlign w:val="bottom"/>
            <w:shd w:val="clear" w:color="auto" w:fill="4C4C4C"/>
          </w:tcPr>
          <w:p>
            <w:pPr>
              <w:spacing w:after="0"/>
              <w:rPr>
                <w:sz w:val="24"/>
                <w:szCs w:val="24"/>
                <w:color w:val="auto"/>
              </w:rPr>
            </w:pPr>
          </w:p>
        </w:tc>
        <w:tc>
          <w:tcPr>
            <w:tcW w:w="400" w:type="dxa"/>
            <w:vAlign w:val="bottom"/>
            <w:shd w:val="clear" w:color="auto" w:fill="4C4C4C"/>
          </w:tcPr>
          <w:p>
            <w:pPr>
              <w:spacing w:after="0"/>
              <w:rPr>
                <w:sz w:val="24"/>
                <w:szCs w:val="24"/>
                <w:color w:val="auto"/>
              </w:rPr>
            </w:pP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shd w:val="clear" w:color="auto" w:fill="4C4C4C"/>
          </w:tcPr>
          <w:p>
            <w:pPr>
              <w:spacing w:after="0"/>
              <w:rPr>
                <w:sz w:val="24"/>
                <w:szCs w:val="24"/>
                <w:color w:val="auto"/>
              </w:rPr>
            </w:pPr>
          </w:p>
        </w:tc>
        <w:tc>
          <w:tcPr>
            <w:tcW w:w="680" w:type="dxa"/>
            <w:vAlign w:val="bottom"/>
            <w:gridSpan w:val="2"/>
            <w:shd w:val="clear" w:color="auto" w:fill="4C4C4C"/>
          </w:tcPr>
          <w:p>
            <w:pPr>
              <w:jc w:val="right"/>
              <w:ind w:right="122"/>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6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0" w:type="dxa"/>
            <w:vAlign w:val="bottom"/>
          </w:tcPr>
          <w:p>
            <w:pPr>
              <w:spacing w:after="0"/>
              <w:rPr>
                <w:sz w:val="18"/>
                <w:szCs w:val="18"/>
                <w:color w:val="auto"/>
              </w:rPr>
            </w:pPr>
          </w:p>
        </w:tc>
        <w:tc>
          <w:tcPr>
            <w:tcW w:w="76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FFFFFF"/>
              </w:rPr>
              <w:t>U.S.</w:t>
            </w: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0" w:type="dxa"/>
            <w:vAlign w:val="bottom"/>
          </w:tcPr>
          <w:p>
            <w:pPr>
              <w:spacing w:after="0"/>
              <w:rPr>
                <w:sz w:val="18"/>
                <w:szCs w:val="18"/>
                <w:color w:val="auto"/>
              </w:rPr>
            </w:pPr>
          </w:p>
        </w:tc>
        <w:tc>
          <w:tcPr>
            <w:tcW w:w="7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b w:val="1"/>
                <w:bCs w:val="1"/>
                <w:color w:val="FFFFFF"/>
              </w:rPr>
              <w:t>U.S.</w:t>
            </w:r>
          </w:p>
        </w:tc>
        <w:tc>
          <w:tcPr>
            <w:tcW w:w="96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60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b w:val="1"/>
                <w:bCs w:val="1"/>
                <w:color w:val="FFFFFF"/>
                <w:w w:val="87"/>
              </w:rPr>
              <w:t>Total</w:t>
            </w: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FFFFFF"/>
              </w:rPr>
              <w:t>U.S.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FFFFFF"/>
                <w:w w:val="96"/>
              </w:rPr>
              <w:t>Non-U.S.</w:t>
            </w:r>
          </w:p>
        </w:tc>
        <w:tc>
          <w:tcPr>
            <w:tcW w:w="7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282"/>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Earnings (loss) (U.S. GAAP)</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1,536</w:t>
            </w:r>
          </w:p>
        </w:tc>
        <w:tc>
          <w:tcPr>
            <w:tcW w:w="840" w:type="dxa"/>
            <w:vAlign w:val="bottom"/>
            <w:shd w:val="clear" w:color="auto" w:fill="F0F0F0"/>
          </w:tcPr>
          <w:p>
            <w:pPr>
              <w:jc w:val="right"/>
              <w:ind w:right="86"/>
              <w:spacing w:after="0"/>
              <w:rPr>
                <w:sz w:val="20"/>
                <w:szCs w:val="20"/>
                <w:color w:val="auto"/>
              </w:rPr>
            </w:pPr>
            <w:r>
              <w:rPr>
                <w:rFonts w:ascii="Times New Roman" w:cs="Times New Roman" w:eastAsia="Times New Roman" w:hAnsi="Times New Roman"/>
                <w:sz w:val="20"/>
                <w:szCs w:val="20"/>
                <w:color w:val="auto"/>
              </w:rPr>
              <w:t>1,178</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2,714</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96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1,225</w:t>
            </w:r>
          </w:p>
        </w:tc>
        <w:tc>
          <w:tcPr>
            <w:tcW w:w="60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w w:val="97"/>
              </w:rPr>
              <w:t>2,415</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1,452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1,807</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3,259</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Impairments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F0F0F0"/>
          </w:tcPr>
          <w:p>
            <w:pPr>
              <w:jc w:val="right"/>
              <w:ind w:right="6"/>
              <w:spacing w:after="0"/>
              <w:rPr>
                <w:sz w:val="20"/>
                <w:szCs w:val="20"/>
                <w:color w:val="auto"/>
              </w:rPr>
            </w:pPr>
            <w:r>
              <w:rPr>
                <w:rFonts w:ascii="Times New Roman" w:cs="Times New Roman" w:eastAsia="Times New Roman" w:hAnsi="Times New Roman"/>
                <w:sz w:val="20"/>
                <w:szCs w:val="20"/>
                <w:color w:val="auto"/>
              </w:rPr>
              <w:t>(82)</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(40)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Gain/(loss) on sale of assets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F0F0F0"/>
          </w:tcPr>
          <w:p>
            <w:pPr>
              <w:jc w:val="right"/>
              <w:ind w:right="86"/>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498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Tax-related items</w:t>
            </w:r>
          </w:p>
        </w:tc>
        <w:tc>
          <w:tcPr>
            <w:tcW w:w="60" w:type="dxa"/>
            <w:vAlign w:val="bottom"/>
          </w:tcPr>
          <w:p>
            <w:pPr>
              <w:spacing w:after="0"/>
              <w:rPr>
                <w:sz w:val="24"/>
                <w:szCs w:val="24"/>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40" w:type="dxa"/>
            <w:vAlign w:val="bottom"/>
            <w:shd w:val="clear" w:color="auto" w:fill="F0F0F0"/>
          </w:tcPr>
          <w:p>
            <w:pPr>
              <w:jc w:val="right"/>
              <w:ind w:right="86"/>
              <w:spacing w:after="0"/>
              <w:rPr>
                <w:sz w:val="20"/>
                <w:szCs w:val="20"/>
                <w:color w:val="auto"/>
              </w:rPr>
            </w:pPr>
            <w:r>
              <w:rPr>
                <w:rFonts w:ascii="Times New Roman" w:cs="Times New Roman" w:eastAsia="Times New Roman" w:hAnsi="Times New Roman"/>
                <w:sz w:val="20"/>
                <w:szCs w:val="20"/>
                <w:color w:val="auto"/>
              </w:rPr>
              <w:t>5</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4C4C4C"/>
            </w:tcBorders>
          </w:tcPr>
          <w:p>
            <w:pPr>
              <w:ind w:left="32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4C4C4C"/>
            </w:tcBorders>
            <w:shd w:val="clear" w:color="auto" w:fill="F0F0F0"/>
          </w:tcPr>
          <w:p>
            <w:pPr>
              <w:jc w:val="right"/>
              <w:ind w:right="6"/>
              <w:spacing w:after="0"/>
              <w:rPr>
                <w:sz w:val="20"/>
                <w:szCs w:val="20"/>
                <w:color w:val="auto"/>
              </w:rPr>
            </w:pPr>
            <w:r>
              <w:rPr>
                <w:rFonts w:ascii="Times New Roman" w:cs="Times New Roman" w:eastAsia="Times New Roman" w:hAnsi="Times New Roman"/>
                <w:sz w:val="20"/>
                <w:szCs w:val="20"/>
                <w:color w:val="auto"/>
              </w:rPr>
              <w:t>(28)</w:t>
            </w:r>
          </w:p>
        </w:tc>
        <w:tc>
          <w:tcPr>
            <w:tcW w:w="6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Borders>
              <w:bottom w:val="single" w:sz="8" w:color="4C4C4C"/>
            </w:tcBorders>
          </w:tcPr>
          <w:p>
            <w:pPr>
              <w:spacing w:after="0"/>
              <w:rPr>
                <w:sz w:val="24"/>
                <w:szCs w:val="24"/>
                <w:color w:val="auto"/>
              </w:rPr>
            </w:pPr>
          </w:p>
        </w:tc>
        <w:tc>
          <w:tcPr>
            <w:tcW w:w="28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4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4C4C4C"/>
            </w:tcBorders>
          </w:tcPr>
          <w:p>
            <w:pPr>
              <w:jc w:val="right"/>
              <w:ind w:right="18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4C4C4C"/>
            </w:tcBorders>
          </w:tcPr>
          <w:p>
            <w:pPr>
              <w:spacing w:after="0"/>
              <w:rPr>
                <w:sz w:val="24"/>
                <w:szCs w:val="24"/>
                <w:color w:val="auto"/>
              </w:rPr>
            </w:pPr>
          </w:p>
        </w:tc>
        <w:tc>
          <w:tcPr>
            <w:tcW w:w="54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4C4C4C"/>
            </w:tcBorders>
          </w:tcPr>
          <w:p>
            <w:pPr>
              <w:spacing w:after="0"/>
              <w:rPr>
                <w:sz w:val="24"/>
                <w:szCs w:val="24"/>
                <w:color w:val="auto"/>
              </w:rPr>
            </w:pP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36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Identified Items</w:t>
            </w:r>
          </w:p>
        </w:tc>
        <w:tc>
          <w:tcPr>
            <w:tcW w:w="60" w:type="dxa"/>
            <w:vAlign w:val="bottom"/>
            <w:tcBorders>
              <w:bottom w:val="single" w:sz="8" w:color="4C4C4C"/>
            </w:tcBorders>
          </w:tcPr>
          <w:p>
            <w:pPr>
              <w:spacing w:after="0"/>
              <w:rPr>
                <w:sz w:val="23"/>
                <w:szCs w:val="23"/>
                <w:color w:val="auto"/>
              </w:rPr>
            </w:pPr>
          </w:p>
        </w:tc>
        <w:tc>
          <w:tcPr>
            <w:tcW w:w="7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40" w:type="dxa"/>
            <w:vAlign w:val="bottom"/>
            <w:tcBorders>
              <w:bottom w:val="single" w:sz="8" w:color="4C4C4C"/>
            </w:tcBorders>
            <w:shd w:val="clear" w:color="auto" w:fill="F0F0F0"/>
          </w:tcPr>
          <w:p>
            <w:pPr>
              <w:jc w:val="right"/>
              <w:ind w:right="6"/>
              <w:spacing w:after="0"/>
              <w:rPr>
                <w:sz w:val="20"/>
                <w:szCs w:val="20"/>
                <w:color w:val="auto"/>
              </w:rPr>
            </w:pPr>
            <w:r>
              <w:rPr>
                <w:rFonts w:ascii="Times New Roman" w:cs="Times New Roman" w:eastAsia="Times New Roman" w:hAnsi="Times New Roman"/>
                <w:sz w:val="20"/>
                <w:szCs w:val="20"/>
                <w:color w:val="auto"/>
              </w:rPr>
              <w:t>(105)</w:t>
            </w:r>
          </w:p>
        </w:tc>
        <w:tc>
          <w:tcPr>
            <w:tcW w:w="6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Borders>
              <w:bottom w:val="single" w:sz="8" w:color="4C4C4C"/>
            </w:tcBorders>
          </w:tcPr>
          <w:p>
            <w:pPr>
              <w:spacing w:after="0"/>
              <w:rPr>
                <w:sz w:val="23"/>
                <w:szCs w:val="23"/>
                <w:color w:val="auto"/>
              </w:rPr>
            </w:pPr>
          </w:p>
        </w:tc>
        <w:tc>
          <w:tcPr>
            <w:tcW w:w="280" w:type="dxa"/>
            <w:vAlign w:val="bottom"/>
            <w:tcBorders>
              <w:bottom w:val="single" w:sz="8" w:color="4C4C4C"/>
            </w:tcBorders>
          </w:tcPr>
          <w:p>
            <w:pPr>
              <w:spacing w:after="0"/>
              <w:rPr>
                <w:sz w:val="23"/>
                <w:szCs w:val="23"/>
                <w:color w:val="auto"/>
              </w:rPr>
            </w:pPr>
          </w:p>
        </w:tc>
        <w:tc>
          <w:tcPr>
            <w:tcW w:w="60" w:type="dxa"/>
            <w:vAlign w:val="bottom"/>
            <w:tcBorders>
              <w:bottom w:val="single" w:sz="8" w:color="4C4C4C"/>
            </w:tcBorders>
          </w:tcPr>
          <w:p>
            <w:pPr>
              <w:spacing w:after="0"/>
              <w:rPr>
                <w:sz w:val="23"/>
                <w:szCs w:val="23"/>
                <w:color w:val="auto"/>
              </w:rPr>
            </w:pPr>
          </w:p>
        </w:tc>
        <w:tc>
          <w:tcPr>
            <w:tcW w:w="4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4C4C4C"/>
            </w:tcBorders>
          </w:tcPr>
          <w:p>
            <w:pPr>
              <w:jc w:val="right"/>
              <w:ind w:right="125"/>
              <w:spacing w:after="0"/>
              <w:rPr>
                <w:sz w:val="20"/>
                <w:szCs w:val="20"/>
                <w:color w:val="auto"/>
              </w:rPr>
            </w:pPr>
            <w:r>
              <w:rPr>
                <w:rFonts w:ascii="Times New Roman" w:cs="Times New Roman" w:eastAsia="Times New Roman" w:hAnsi="Times New Roman"/>
                <w:sz w:val="20"/>
                <w:szCs w:val="20"/>
                <w:color w:val="auto"/>
              </w:rPr>
              <w:t>(40)</w:t>
            </w:r>
          </w:p>
        </w:tc>
        <w:tc>
          <w:tcPr>
            <w:tcW w:w="6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2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498</w:t>
            </w:r>
          </w:p>
        </w:tc>
        <w:tc>
          <w:tcPr>
            <w:tcW w:w="68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0" w:type="dxa"/>
            <w:vAlign w:val="bottom"/>
          </w:tcPr>
          <w:p>
            <w:pPr>
              <w:spacing w:after="0"/>
              <w:rPr>
                <w:sz w:val="1"/>
                <w:szCs w:val="1"/>
                <w:color w:val="auto"/>
              </w:rPr>
            </w:pPr>
          </w:p>
        </w:tc>
      </w:tr>
      <w:tr>
        <w:trPr>
          <w:trHeight w:val="235"/>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Earnings (loss) excluding Identified Items</w:t>
            </w:r>
          </w:p>
        </w:tc>
        <w:tc>
          <w:tcPr>
            <w:tcW w:w="60" w:type="dxa"/>
            <w:vAlign w:val="bottom"/>
          </w:tcPr>
          <w:p>
            <w:pPr>
              <w:spacing w:after="0"/>
              <w:rPr>
                <w:sz w:val="20"/>
                <w:szCs w:val="20"/>
                <w:color w:val="auto"/>
              </w:rPr>
            </w:pPr>
          </w:p>
        </w:tc>
        <w:tc>
          <w:tcPr>
            <w:tcW w:w="7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1,524</w:t>
            </w:r>
          </w:p>
        </w:tc>
        <w:tc>
          <w:tcPr>
            <w:tcW w:w="840" w:type="dxa"/>
            <w:vAlign w:val="bottom"/>
            <w:vMerge w:val="restart"/>
            <w:shd w:val="clear" w:color="auto" w:fill="F0F0F0"/>
          </w:tcPr>
          <w:p>
            <w:pPr>
              <w:jc w:val="right"/>
              <w:ind w:right="86"/>
              <w:spacing w:after="0"/>
              <w:rPr>
                <w:sz w:val="20"/>
                <w:szCs w:val="20"/>
                <w:color w:val="auto"/>
              </w:rPr>
            </w:pPr>
            <w:r>
              <w:rPr>
                <w:rFonts w:ascii="Times New Roman" w:cs="Times New Roman" w:eastAsia="Times New Roman" w:hAnsi="Times New Roman"/>
                <w:sz w:val="20"/>
                <w:szCs w:val="20"/>
                <w:b w:val="1"/>
                <w:bCs w:val="1"/>
                <w:color w:val="auto"/>
              </w:rPr>
              <w:t>1,283</w:t>
            </w:r>
          </w:p>
        </w:tc>
        <w:tc>
          <w:tcPr>
            <w:tcW w:w="6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2,807</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1,190</w:t>
            </w:r>
          </w:p>
        </w:tc>
        <w:tc>
          <w:tcPr>
            <w:tcW w:w="960" w:type="dxa"/>
            <w:vAlign w:val="bottom"/>
            <w:vMerge w:val="restart"/>
          </w:tcPr>
          <w:p>
            <w:pPr>
              <w:jc w:val="right"/>
              <w:ind w:right="185"/>
              <w:spacing w:after="0"/>
              <w:rPr>
                <w:sz w:val="20"/>
                <w:szCs w:val="20"/>
                <w:color w:val="auto"/>
              </w:rPr>
            </w:pPr>
            <w:r>
              <w:rPr>
                <w:rFonts w:ascii="Times New Roman" w:cs="Times New Roman" w:eastAsia="Times New Roman" w:hAnsi="Times New Roman"/>
                <w:sz w:val="20"/>
                <w:szCs w:val="20"/>
                <w:b w:val="1"/>
                <w:bCs w:val="1"/>
                <w:color w:val="auto"/>
              </w:rPr>
              <w:t>1,265</w:t>
            </w:r>
          </w:p>
        </w:tc>
        <w:tc>
          <w:tcPr>
            <w:tcW w:w="60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w w:val="97"/>
              </w:rPr>
              <w:t>2,455</w:t>
            </w:r>
          </w:p>
        </w:tc>
        <w:tc>
          <w:tcPr>
            <w:tcW w:w="820" w:type="dxa"/>
            <w:vAlign w:val="bottom"/>
            <w:vMerge w:val="restart"/>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954</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1,672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2,625</w:t>
            </w:r>
          </w:p>
        </w:tc>
        <w:tc>
          <w:tcPr>
            <w:tcW w:w="0" w:type="dxa"/>
            <w:vAlign w:val="bottom"/>
          </w:tcPr>
          <w:p>
            <w:pPr>
              <w:spacing w:after="0"/>
              <w:rPr>
                <w:sz w:val="1"/>
                <w:szCs w:val="1"/>
                <w:color w:val="auto"/>
              </w:rPr>
            </w:pPr>
          </w:p>
        </w:tc>
      </w:tr>
      <w:tr>
        <w:trPr>
          <w:trHeight w:val="127"/>
        </w:trPr>
        <w:tc>
          <w:tcPr>
            <w:tcW w:w="36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(Non-GAAP)</w:t>
            </w:r>
          </w:p>
        </w:tc>
        <w:tc>
          <w:tcPr>
            <w:tcW w:w="60" w:type="dxa"/>
            <w:vAlign w:val="bottom"/>
          </w:tcPr>
          <w:p>
            <w:pPr>
              <w:spacing w:after="0"/>
              <w:rPr>
                <w:sz w:val="11"/>
                <w:szCs w:val="11"/>
                <w:color w:val="auto"/>
              </w:rPr>
            </w:pPr>
          </w:p>
        </w:tc>
        <w:tc>
          <w:tcPr>
            <w:tcW w:w="760" w:type="dxa"/>
            <w:vAlign w:val="bottom"/>
            <w:vMerge w:val="continue"/>
            <w:shd w:val="clear" w:color="auto" w:fill="F0F0F0"/>
          </w:tcPr>
          <w:p>
            <w:pPr>
              <w:spacing w:after="0"/>
              <w:rPr>
                <w:sz w:val="11"/>
                <w:szCs w:val="11"/>
                <w:color w:val="auto"/>
              </w:rPr>
            </w:pPr>
          </w:p>
        </w:tc>
        <w:tc>
          <w:tcPr>
            <w:tcW w:w="840" w:type="dxa"/>
            <w:vAlign w:val="bottom"/>
            <w:vMerge w:val="continue"/>
            <w:shd w:val="clear" w:color="auto" w:fill="F0F0F0"/>
          </w:tcPr>
          <w:p>
            <w:pPr>
              <w:spacing w:after="0"/>
              <w:rPr>
                <w:sz w:val="11"/>
                <w:szCs w:val="11"/>
                <w:color w:val="auto"/>
              </w:rPr>
            </w:pPr>
          </w:p>
        </w:tc>
        <w:tc>
          <w:tcPr>
            <w:tcW w:w="660" w:type="dxa"/>
            <w:vAlign w:val="bottom"/>
            <w:vMerge w:val="continue"/>
            <w:shd w:val="clear" w:color="auto" w:fill="F0F0F0"/>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60" w:type="dxa"/>
            <w:vAlign w:val="bottom"/>
            <w:tcBorders>
              <w:bottom w:val="single" w:sz="8" w:color="4C4C4C"/>
            </w:tcBorders>
            <w:vMerge w:val="continue"/>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shd w:val="clear" w:color="auto" w:fill="F0F0F0"/>
          </w:tcPr>
          <w:p>
            <w:pPr>
              <w:spacing w:after="0"/>
              <w:rPr>
                <w:sz w:val="11"/>
                <w:szCs w:val="11"/>
                <w:color w:val="auto"/>
              </w:rPr>
            </w:pPr>
          </w:p>
        </w:tc>
        <w:tc>
          <w:tcPr>
            <w:tcW w:w="840" w:type="dxa"/>
            <w:vAlign w:val="bottom"/>
            <w:tcBorders>
              <w:bottom w:val="single" w:sz="8" w:color="4C4C4C"/>
            </w:tcBorders>
            <w:shd w:val="clear" w:color="auto" w:fill="F0F0F0"/>
          </w:tcPr>
          <w:p>
            <w:pPr>
              <w:spacing w:after="0"/>
              <w:rPr>
                <w:sz w:val="11"/>
                <w:szCs w:val="11"/>
                <w:color w:val="auto"/>
              </w:rPr>
            </w:pPr>
          </w:p>
        </w:tc>
        <w:tc>
          <w:tcPr>
            <w:tcW w:w="660" w:type="dxa"/>
            <w:vAlign w:val="bottom"/>
            <w:tcBorders>
              <w:bottom w:val="single" w:sz="8" w:color="4C4C4C"/>
            </w:tcBorders>
            <w:shd w:val="clear" w:color="auto" w:fill="F0F0F0"/>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280" w:type="dxa"/>
            <w:vAlign w:val="bottom"/>
            <w:tcBorders>
              <w:bottom w:val="single" w:sz="8" w:color="4C4C4C"/>
            </w:tcBorders>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400" w:type="dxa"/>
            <w:vAlign w:val="bottom"/>
            <w:tcBorders>
              <w:bottom w:val="single" w:sz="8" w:color="4C4C4C"/>
            </w:tcBorders>
          </w:tcPr>
          <w:p>
            <w:pPr>
              <w:spacing w:after="0"/>
              <w:rPr>
                <w:sz w:val="11"/>
                <w:szCs w:val="11"/>
                <w:color w:val="auto"/>
              </w:rPr>
            </w:pPr>
          </w:p>
        </w:tc>
        <w:tc>
          <w:tcPr>
            <w:tcW w:w="960" w:type="dxa"/>
            <w:vAlign w:val="bottom"/>
            <w:tcBorders>
              <w:bottom w:val="single" w:sz="8" w:color="4C4C4C"/>
            </w:tcBorders>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540" w:type="dxa"/>
            <w:vAlign w:val="bottom"/>
            <w:tcBorders>
              <w:bottom w:val="single" w:sz="8" w:color="4C4C4C"/>
            </w:tcBorders>
          </w:tcPr>
          <w:p>
            <w:pPr>
              <w:spacing w:after="0"/>
              <w:rPr>
                <w:sz w:val="11"/>
                <w:szCs w:val="11"/>
                <w:color w:val="auto"/>
              </w:rPr>
            </w:pPr>
          </w:p>
        </w:tc>
        <w:tc>
          <w:tcPr>
            <w:tcW w:w="820" w:type="dxa"/>
            <w:vAlign w:val="bottom"/>
            <w:tcBorders>
              <w:bottom w:val="single" w:sz="8" w:color="4C4C4C"/>
            </w:tcBorders>
          </w:tcPr>
          <w:p>
            <w:pPr>
              <w:spacing w:after="0"/>
              <w:rPr>
                <w:sz w:val="11"/>
                <w:szCs w:val="11"/>
                <w:color w:val="auto"/>
              </w:rPr>
            </w:pPr>
          </w:p>
        </w:tc>
        <w:tc>
          <w:tcPr>
            <w:tcW w:w="60" w:type="dxa"/>
            <w:vAlign w:val="bottom"/>
            <w:tcBorders>
              <w:bottom w:val="single" w:sz="8" w:color="4C4C4C"/>
            </w:tcBorders>
          </w:tcPr>
          <w:p>
            <w:pPr>
              <w:spacing w:after="0"/>
              <w:rPr>
                <w:sz w:val="11"/>
                <w:szCs w:val="11"/>
                <w:color w:val="auto"/>
              </w:rPr>
            </w:pPr>
          </w:p>
        </w:tc>
        <w:tc>
          <w:tcPr>
            <w:tcW w:w="620" w:type="dxa"/>
            <w:vAlign w:val="bottom"/>
            <w:tcBorders>
              <w:bottom w:val="single" w:sz="8" w:color="4C4C4C"/>
            </w:tcBorders>
          </w:tcPr>
          <w:p>
            <w:pPr>
              <w:spacing w:after="0"/>
              <w:rPr>
                <w:sz w:val="11"/>
                <w:szCs w:val="11"/>
                <w:color w:val="auto"/>
              </w:rPr>
            </w:pPr>
          </w:p>
        </w:tc>
        <w:tc>
          <w:tcPr>
            <w:tcW w:w="760" w:type="dxa"/>
            <w:vAlign w:val="bottom"/>
            <w:tcBorders>
              <w:bottom w:val="single" w:sz="8" w:color="4C4C4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4C4C4C"/>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FFFFFF"/>
              </w:rPr>
              <w:t>Corporate and Financing</w:t>
            </w:r>
          </w:p>
        </w:tc>
        <w:tc>
          <w:tcPr>
            <w:tcW w:w="60" w:type="dxa"/>
            <w:vAlign w:val="bottom"/>
            <w:shd w:val="clear" w:color="auto" w:fill="4C4C4C"/>
          </w:tcPr>
          <w:p>
            <w:pPr>
              <w:spacing w:after="0"/>
              <w:rPr>
                <w:sz w:val="17"/>
                <w:szCs w:val="17"/>
                <w:color w:val="auto"/>
              </w:rPr>
            </w:pPr>
          </w:p>
        </w:tc>
        <w:tc>
          <w:tcPr>
            <w:tcW w:w="760" w:type="dxa"/>
            <w:vAlign w:val="bottom"/>
            <w:shd w:val="clear" w:color="auto" w:fill="4C4C4C"/>
          </w:tcPr>
          <w:p>
            <w:pPr>
              <w:spacing w:after="0"/>
              <w:rPr>
                <w:sz w:val="17"/>
                <w:szCs w:val="17"/>
                <w:color w:val="auto"/>
              </w:rPr>
            </w:pPr>
          </w:p>
        </w:tc>
        <w:tc>
          <w:tcPr>
            <w:tcW w:w="840" w:type="dxa"/>
            <w:vAlign w:val="bottom"/>
            <w:shd w:val="clear" w:color="auto" w:fill="4C4C4C"/>
          </w:tcPr>
          <w:p>
            <w:pPr>
              <w:spacing w:after="0"/>
              <w:rPr>
                <w:sz w:val="17"/>
                <w:szCs w:val="17"/>
                <w:color w:val="auto"/>
              </w:rPr>
            </w:pPr>
          </w:p>
        </w:tc>
        <w:tc>
          <w:tcPr>
            <w:tcW w:w="660" w:type="dxa"/>
            <w:vAlign w:val="bottom"/>
            <w:shd w:val="clear" w:color="auto" w:fill="4C4C4C"/>
          </w:tcPr>
          <w:p>
            <w:pPr>
              <w:spacing w:after="0"/>
              <w:rPr>
                <w:sz w:val="17"/>
                <w:szCs w:val="17"/>
                <w:color w:val="auto"/>
              </w:rPr>
            </w:pPr>
          </w:p>
        </w:tc>
        <w:tc>
          <w:tcPr>
            <w:tcW w:w="60" w:type="dxa"/>
            <w:vAlign w:val="bottom"/>
            <w:shd w:val="clear" w:color="auto" w:fill="4C4C4C"/>
          </w:tcPr>
          <w:p>
            <w:pPr>
              <w:spacing w:after="0"/>
              <w:rPr>
                <w:sz w:val="17"/>
                <w:szCs w:val="17"/>
                <w:color w:val="auto"/>
              </w:rPr>
            </w:pPr>
          </w:p>
        </w:tc>
        <w:tc>
          <w:tcPr>
            <w:tcW w:w="280" w:type="dxa"/>
            <w:vAlign w:val="bottom"/>
            <w:shd w:val="clear" w:color="auto" w:fill="4C4C4C"/>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shd w:val="clear" w:color="auto" w:fill="4C4C4C"/>
          </w:tcPr>
          <w:p>
            <w:pPr>
              <w:spacing w:after="0"/>
              <w:rPr>
                <w:sz w:val="17"/>
                <w:szCs w:val="17"/>
                <w:color w:val="auto"/>
              </w:rPr>
            </w:pPr>
          </w:p>
        </w:tc>
        <w:tc>
          <w:tcPr>
            <w:tcW w:w="960" w:type="dxa"/>
            <w:vAlign w:val="bottom"/>
            <w:tcBorders>
              <w:right w:val="single" w:sz="8" w:color="4C4C4C"/>
            </w:tcBorders>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0" w:type="dxa"/>
            <w:vAlign w:val="bottom"/>
          </w:tcPr>
          <w:p>
            <w:pPr>
              <w:spacing w:after="0"/>
              <w:rPr>
                <w:sz w:val="17"/>
                <w:szCs w:val="17"/>
                <w:color w:val="auto"/>
              </w:rPr>
            </w:pPr>
          </w:p>
        </w:tc>
        <w:tc>
          <w:tcPr>
            <w:tcW w:w="540" w:type="dxa"/>
            <w:vAlign w:val="bottom"/>
            <w:shd w:val="clear" w:color="auto" w:fill="4C4C4C"/>
          </w:tcPr>
          <w:p>
            <w:pPr>
              <w:spacing w:after="0"/>
              <w:rPr>
                <w:sz w:val="17"/>
                <w:szCs w:val="17"/>
                <w:color w:val="auto"/>
              </w:rPr>
            </w:pPr>
          </w:p>
        </w:tc>
        <w:tc>
          <w:tcPr>
            <w:tcW w:w="82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tcPr>
          <w:p>
            <w:pPr>
              <w:spacing w:after="0"/>
              <w:rPr>
                <w:sz w:val="17"/>
                <w:szCs w:val="17"/>
                <w:color w:val="auto"/>
              </w:rPr>
            </w:pPr>
          </w:p>
        </w:tc>
        <w:tc>
          <w:tcPr>
            <w:tcW w:w="620" w:type="dxa"/>
            <w:vAlign w:val="bottom"/>
            <w:shd w:val="clear" w:color="auto" w:fill="4C4C4C"/>
          </w:tcPr>
          <w:p>
            <w:pPr>
              <w:spacing w:after="0"/>
              <w:rPr>
                <w:sz w:val="17"/>
                <w:szCs w:val="17"/>
                <w:color w:val="auto"/>
              </w:rPr>
            </w:pPr>
          </w:p>
        </w:tc>
        <w:tc>
          <w:tcPr>
            <w:tcW w:w="76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8"/>
        </w:trPr>
        <w:tc>
          <w:tcPr>
            <w:tcW w:w="366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0" w:type="dxa"/>
            <w:vAlign w:val="bottom"/>
            <w:shd w:val="clear" w:color="auto" w:fill="4C4C4C"/>
          </w:tcPr>
          <w:p>
            <w:pPr>
              <w:spacing w:after="0"/>
              <w:rPr>
                <w:sz w:val="9"/>
                <w:szCs w:val="9"/>
                <w:color w:val="auto"/>
              </w:rPr>
            </w:pPr>
          </w:p>
        </w:tc>
        <w:tc>
          <w:tcPr>
            <w:tcW w:w="760" w:type="dxa"/>
            <w:vAlign w:val="bottom"/>
            <w:shd w:val="clear" w:color="auto" w:fill="4C4C4C"/>
          </w:tcPr>
          <w:p>
            <w:pPr>
              <w:spacing w:after="0"/>
              <w:rPr>
                <w:sz w:val="9"/>
                <w:szCs w:val="9"/>
                <w:color w:val="auto"/>
              </w:rPr>
            </w:pPr>
          </w:p>
        </w:tc>
        <w:tc>
          <w:tcPr>
            <w:tcW w:w="840" w:type="dxa"/>
            <w:vAlign w:val="bottom"/>
            <w:shd w:val="clear" w:color="auto" w:fill="4C4C4C"/>
          </w:tcPr>
          <w:p>
            <w:pPr>
              <w:spacing w:after="0"/>
              <w:rPr>
                <w:sz w:val="9"/>
                <w:szCs w:val="9"/>
                <w:color w:val="auto"/>
              </w:rPr>
            </w:pPr>
          </w:p>
        </w:tc>
        <w:tc>
          <w:tcPr>
            <w:tcW w:w="660" w:type="dxa"/>
            <w:vAlign w:val="bottom"/>
            <w:shd w:val="clear" w:color="auto" w:fill="4C4C4C"/>
          </w:tcPr>
          <w:p>
            <w:pPr>
              <w:spacing w:after="0"/>
              <w:rPr>
                <w:sz w:val="9"/>
                <w:szCs w:val="9"/>
                <w:color w:val="auto"/>
              </w:rPr>
            </w:pPr>
          </w:p>
        </w:tc>
        <w:tc>
          <w:tcPr>
            <w:tcW w:w="60" w:type="dxa"/>
            <w:vAlign w:val="bottom"/>
            <w:shd w:val="clear" w:color="auto" w:fill="4C4C4C"/>
          </w:tcPr>
          <w:p>
            <w:pPr>
              <w:spacing w:after="0"/>
              <w:rPr>
                <w:sz w:val="9"/>
                <w:szCs w:val="9"/>
                <w:color w:val="auto"/>
              </w:rPr>
            </w:pPr>
          </w:p>
        </w:tc>
        <w:tc>
          <w:tcPr>
            <w:tcW w:w="280" w:type="dxa"/>
            <w:vAlign w:val="bottom"/>
            <w:shd w:val="clear" w:color="auto" w:fill="4C4C4C"/>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shd w:val="clear" w:color="auto" w:fill="4C4C4C"/>
          </w:tcPr>
          <w:p>
            <w:pPr>
              <w:spacing w:after="0"/>
              <w:rPr>
                <w:sz w:val="9"/>
                <w:szCs w:val="9"/>
                <w:color w:val="auto"/>
              </w:rPr>
            </w:pPr>
          </w:p>
        </w:tc>
        <w:tc>
          <w:tcPr>
            <w:tcW w:w="960" w:type="dxa"/>
            <w:vAlign w:val="bottom"/>
            <w:tcBorders>
              <w:right w:val="single" w:sz="8" w:color="4C4C4C"/>
            </w:tcBorders>
            <w:vMerge w:val="continue"/>
            <w:shd w:val="clear" w:color="auto" w:fill="4C4C4C"/>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shd w:val="clear" w:color="auto" w:fill="4C4C4C"/>
          </w:tcPr>
          <w:p>
            <w:pPr>
              <w:spacing w:after="0"/>
              <w:rPr>
                <w:sz w:val="9"/>
                <w:szCs w:val="9"/>
                <w:color w:val="auto"/>
              </w:rPr>
            </w:pPr>
          </w:p>
        </w:tc>
        <w:tc>
          <w:tcPr>
            <w:tcW w:w="820" w:type="dxa"/>
            <w:vAlign w:val="bottom"/>
            <w:vMerge w:val="continue"/>
            <w:shd w:val="clear" w:color="auto" w:fill="4C4C4C"/>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shd w:val="clear" w:color="auto" w:fill="4C4C4C"/>
          </w:tcPr>
          <w:p>
            <w:pPr>
              <w:spacing w:after="0"/>
              <w:rPr>
                <w:sz w:val="9"/>
                <w:szCs w:val="9"/>
                <w:color w:val="auto"/>
              </w:rPr>
            </w:pPr>
          </w:p>
        </w:tc>
        <w:tc>
          <w:tcPr>
            <w:tcW w:w="76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660" w:type="dxa"/>
            <w:vAlign w:val="bottom"/>
            <w:vMerge w:val="continue"/>
            <w:shd w:val="clear" w:color="auto" w:fill="4C4C4C"/>
          </w:tcPr>
          <w:p>
            <w:pPr>
              <w:spacing w:after="0"/>
              <w:rPr>
                <w:sz w:val="10"/>
                <w:szCs w:val="10"/>
                <w:color w:val="auto"/>
              </w:rPr>
            </w:pPr>
          </w:p>
        </w:tc>
        <w:tc>
          <w:tcPr>
            <w:tcW w:w="60" w:type="dxa"/>
            <w:vAlign w:val="bottom"/>
            <w:shd w:val="clear" w:color="auto" w:fill="4C4C4C"/>
          </w:tcPr>
          <w:p>
            <w:pPr>
              <w:spacing w:after="0"/>
              <w:rPr>
                <w:sz w:val="10"/>
                <w:szCs w:val="10"/>
                <w:color w:val="auto"/>
              </w:rPr>
            </w:pPr>
          </w:p>
        </w:tc>
        <w:tc>
          <w:tcPr>
            <w:tcW w:w="760" w:type="dxa"/>
            <w:vAlign w:val="bottom"/>
            <w:shd w:val="clear" w:color="auto" w:fill="4C4C4C"/>
          </w:tcPr>
          <w:p>
            <w:pPr>
              <w:spacing w:after="0"/>
              <w:rPr>
                <w:sz w:val="10"/>
                <w:szCs w:val="10"/>
                <w:color w:val="auto"/>
              </w:rPr>
            </w:pPr>
          </w:p>
        </w:tc>
        <w:tc>
          <w:tcPr>
            <w:tcW w:w="840" w:type="dxa"/>
            <w:vAlign w:val="bottom"/>
            <w:shd w:val="clear" w:color="auto" w:fill="4C4C4C"/>
          </w:tcPr>
          <w:p>
            <w:pPr>
              <w:spacing w:after="0"/>
              <w:rPr>
                <w:sz w:val="10"/>
                <w:szCs w:val="10"/>
                <w:color w:val="auto"/>
              </w:rPr>
            </w:pPr>
          </w:p>
        </w:tc>
        <w:tc>
          <w:tcPr>
            <w:tcW w:w="660" w:type="dxa"/>
            <w:vAlign w:val="bottom"/>
            <w:shd w:val="clear" w:color="auto" w:fill="4C4C4C"/>
          </w:tcPr>
          <w:p>
            <w:pPr>
              <w:spacing w:after="0"/>
              <w:rPr>
                <w:sz w:val="10"/>
                <w:szCs w:val="10"/>
                <w:color w:val="auto"/>
              </w:rPr>
            </w:pPr>
          </w:p>
        </w:tc>
        <w:tc>
          <w:tcPr>
            <w:tcW w:w="60" w:type="dxa"/>
            <w:vAlign w:val="bottom"/>
            <w:shd w:val="clear" w:color="auto" w:fill="4C4C4C"/>
          </w:tcPr>
          <w:p>
            <w:pPr>
              <w:spacing w:after="0"/>
              <w:rPr>
                <w:sz w:val="10"/>
                <w:szCs w:val="10"/>
                <w:color w:val="auto"/>
              </w:rPr>
            </w:pPr>
          </w:p>
        </w:tc>
        <w:tc>
          <w:tcPr>
            <w:tcW w:w="280" w:type="dxa"/>
            <w:vAlign w:val="bottom"/>
            <w:shd w:val="clear" w:color="auto" w:fill="4C4C4C"/>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shd w:val="clear" w:color="auto" w:fill="4C4C4C"/>
          </w:tcPr>
          <w:p>
            <w:pPr>
              <w:spacing w:after="0"/>
              <w:rPr>
                <w:sz w:val="10"/>
                <w:szCs w:val="10"/>
                <w:color w:val="auto"/>
              </w:rPr>
            </w:pPr>
          </w:p>
        </w:tc>
        <w:tc>
          <w:tcPr>
            <w:tcW w:w="960" w:type="dxa"/>
            <w:vAlign w:val="bottom"/>
            <w:tcBorders>
              <w:right w:val="single" w:sz="8" w:color="4C4C4C"/>
            </w:tcBorders>
            <w:shd w:val="clear" w:color="auto" w:fill="4C4C4C"/>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shd w:val="clear" w:color="auto" w:fill="4C4C4C"/>
          </w:tcPr>
          <w:p>
            <w:pPr>
              <w:spacing w:after="0"/>
              <w:rPr>
                <w:sz w:val="10"/>
                <w:szCs w:val="10"/>
                <w:color w:val="auto"/>
              </w:rPr>
            </w:pPr>
          </w:p>
        </w:tc>
        <w:tc>
          <w:tcPr>
            <w:tcW w:w="820" w:type="dxa"/>
            <w:vAlign w:val="bottom"/>
            <w:shd w:val="clear" w:color="auto" w:fill="4C4C4C"/>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shd w:val="clear" w:color="auto" w:fill="4C4C4C"/>
          </w:tcPr>
          <w:p>
            <w:pPr>
              <w:spacing w:after="0"/>
              <w:rPr>
                <w:sz w:val="10"/>
                <w:szCs w:val="10"/>
                <w:color w:val="auto"/>
              </w:rPr>
            </w:pPr>
          </w:p>
        </w:tc>
        <w:tc>
          <w:tcPr>
            <w:tcW w:w="76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Earnings (loss) (U.S. GAAP)</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(1,791)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(2,636)</w:t>
            </w:r>
          </w:p>
        </w:tc>
        <w:tc>
          <w:tcPr>
            <w:tcW w:w="0" w:type="dxa"/>
            <w:vAlign w:val="bottom"/>
          </w:tcPr>
          <w:p>
            <w:pPr>
              <w:spacing w:after="0"/>
              <w:rPr>
                <w:sz w:val="1"/>
                <w:szCs w:val="1"/>
                <w:color w:val="auto"/>
              </w:rPr>
            </w:pPr>
          </w:p>
        </w:tc>
      </w:tr>
      <w:tr>
        <w:trPr>
          <w:trHeight w:val="294"/>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Impairments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6"/>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Gain/(loss) on sale of assets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82"/>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Tax-related items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Severance charges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92"/>
        </w:trPr>
        <w:tc>
          <w:tcPr>
            <w:tcW w:w="3660" w:type="dxa"/>
            <w:vAlign w:val="bottom"/>
            <w:tcBorders>
              <w:bottom w:val="single" w:sz="8" w:color="4C4C4C"/>
            </w:tcBorders>
          </w:tcPr>
          <w:p>
            <w:pPr>
              <w:ind w:left="32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tcPr>
          <w:p>
            <w:pPr>
              <w:spacing w:after="0"/>
              <w:rPr>
                <w:sz w:val="24"/>
                <w:szCs w:val="24"/>
                <w:color w:val="auto"/>
              </w:rPr>
            </w:pPr>
          </w:p>
        </w:tc>
        <w:tc>
          <w:tcPr>
            <w:tcW w:w="840" w:type="dxa"/>
            <w:vAlign w:val="bottom"/>
            <w:tcBorders>
              <w:bottom w:val="single" w:sz="8" w:color="4C4C4C"/>
            </w:tcBorders>
          </w:tcPr>
          <w:p>
            <w:pPr>
              <w:spacing w:after="0"/>
              <w:rPr>
                <w:sz w:val="24"/>
                <w:szCs w:val="24"/>
                <w:color w:val="auto"/>
              </w:rPr>
            </w:pPr>
          </w:p>
        </w:tc>
        <w:tc>
          <w:tcPr>
            <w:tcW w:w="66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28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400" w:type="dxa"/>
            <w:vAlign w:val="bottom"/>
            <w:tcBorders>
              <w:bottom w:val="single" w:sz="8" w:color="4C4C4C"/>
            </w:tcBorders>
            <w:shd w:val="clear" w:color="auto" w:fill="F0F0F0"/>
          </w:tcPr>
          <w:p>
            <w:pPr>
              <w:spacing w:after="0"/>
              <w:rPr>
                <w:sz w:val="24"/>
                <w:szCs w:val="24"/>
                <w:color w:val="auto"/>
              </w:rPr>
            </w:pPr>
          </w:p>
        </w:tc>
        <w:tc>
          <w:tcPr>
            <w:tcW w:w="960" w:type="dxa"/>
            <w:vAlign w:val="bottom"/>
            <w:tcBorders>
              <w:bottom w:val="single" w:sz="8" w:color="4C4C4C"/>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4C4C4C"/>
            </w:tcBorders>
          </w:tcPr>
          <w:p>
            <w:pPr>
              <w:spacing w:after="0"/>
              <w:rPr>
                <w:sz w:val="24"/>
                <w:szCs w:val="24"/>
                <w:color w:val="auto"/>
              </w:rPr>
            </w:pPr>
          </w:p>
        </w:tc>
        <w:tc>
          <w:tcPr>
            <w:tcW w:w="540" w:type="dxa"/>
            <w:vAlign w:val="bottom"/>
            <w:tcBorders>
              <w:bottom w:val="single" w:sz="8" w:color="4C4C4C"/>
            </w:tcBorders>
          </w:tcPr>
          <w:p>
            <w:pPr>
              <w:spacing w:after="0"/>
              <w:rPr>
                <w:sz w:val="24"/>
                <w:szCs w:val="24"/>
                <w:color w:val="auto"/>
              </w:rPr>
            </w:pP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Borders>
              <w:bottom w:val="single" w:sz="8" w:color="4C4C4C"/>
            </w:tcBorders>
          </w:tcPr>
          <w:p>
            <w:pPr>
              <w:spacing w:after="0"/>
              <w:rPr>
                <w:sz w:val="24"/>
                <w:szCs w:val="24"/>
                <w:color w:val="auto"/>
              </w:rPr>
            </w:pPr>
          </w:p>
        </w:tc>
        <w:tc>
          <w:tcPr>
            <w:tcW w:w="62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36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Identified Items</w:t>
            </w:r>
          </w:p>
        </w:tc>
        <w:tc>
          <w:tcPr>
            <w:tcW w:w="60" w:type="dxa"/>
            <w:vAlign w:val="bottom"/>
            <w:tcBorders>
              <w:bottom w:val="single" w:sz="8" w:color="4C4C4C"/>
            </w:tcBorders>
          </w:tcPr>
          <w:p>
            <w:pPr>
              <w:spacing w:after="0"/>
              <w:rPr>
                <w:sz w:val="23"/>
                <w:szCs w:val="23"/>
                <w:color w:val="auto"/>
              </w:rPr>
            </w:pPr>
          </w:p>
        </w:tc>
        <w:tc>
          <w:tcPr>
            <w:tcW w:w="760" w:type="dxa"/>
            <w:vAlign w:val="bottom"/>
            <w:tcBorders>
              <w:bottom w:val="single" w:sz="8" w:color="4C4C4C"/>
            </w:tcBorders>
          </w:tcPr>
          <w:p>
            <w:pPr>
              <w:spacing w:after="0"/>
              <w:rPr>
                <w:sz w:val="23"/>
                <w:szCs w:val="23"/>
                <w:color w:val="auto"/>
              </w:rPr>
            </w:pPr>
          </w:p>
        </w:tc>
        <w:tc>
          <w:tcPr>
            <w:tcW w:w="840" w:type="dxa"/>
            <w:vAlign w:val="bottom"/>
            <w:tcBorders>
              <w:bottom w:val="single" w:sz="8" w:color="4C4C4C"/>
            </w:tcBorders>
          </w:tcPr>
          <w:p>
            <w:pPr>
              <w:spacing w:after="0"/>
              <w:rPr>
                <w:sz w:val="23"/>
                <w:szCs w:val="23"/>
                <w:color w:val="auto"/>
              </w:rPr>
            </w:pPr>
          </w:p>
        </w:tc>
        <w:tc>
          <w:tcPr>
            <w:tcW w:w="660" w:type="dxa"/>
            <w:vAlign w:val="bottom"/>
            <w:tcBorders>
              <w:bottom w:val="single" w:sz="8" w:color="4C4C4C"/>
            </w:tcBorders>
          </w:tcPr>
          <w:p>
            <w:pPr>
              <w:spacing w:after="0"/>
              <w:rPr>
                <w:sz w:val="23"/>
                <w:szCs w:val="23"/>
                <w:color w:val="auto"/>
              </w:rPr>
            </w:pPr>
          </w:p>
        </w:tc>
        <w:tc>
          <w:tcPr>
            <w:tcW w:w="60" w:type="dxa"/>
            <w:vAlign w:val="bottom"/>
            <w:tcBorders>
              <w:bottom w:val="single" w:sz="8" w:color="4C4C4C"/>
            </w:tcBorders>
          </w:tcPr>
          <w:p>
            <w:pPr>
              <w:spacing w:after="0"/>
              <w:rPr>
                <w:sz w:val="23"/>
                <w:szCs w:val="23"/>
                <w:color w:val="auto"/>
              </w:rPr>
            </w:pPr>
          </w:p>
        </w:tc>
        <w:tc>
          <w:tcPr>
            <w:tcW w:w="280" w:type="dxa"/>
            <w:vAlign w:val="bottom"/>
            <w:tcBorders>
              <w:bottom w:val="single" w:sz="8" w:color="4C4C4C"/>
            </w:tcBorders>
          </w:tcPr>
          <w:p>
            <w:pPr>
              <w:spacing w:after="0"/>
              <w:rPr>
                <w:sz w:val="23"/>
                <w:szCs w:val="23"/>
                <w:color w:val="auto"/>
              </w:rPr>
            </w:pPr>
          </w:p>
        </w:tc>
        <w:tc>
          <w:tcPr>
            <w:tcW w:w="60" w:type="dxa"/>
            <w:vAlign w:val="bottom"/>
            <w:tcBorders>
              <w:bottom w:val="single" w:sz="8" w:color="4C4C4C"/>
            </w:tcBorders>
          </w:tcPr>
          <w:p>
            <w:pPr>
              <w:spacing w:after="0"/>
              <w:rPr>
                <w:sz w:val="23"/>
                <w:szCs w:val="23"/>
                <w:color w:val="auto"/>
              </w:rPr>
            </w:pPr>
          </w:p>
        </w:tc>
        <w:tc>
          <w:tcPr>
            <w:tcW w:w="400" w:type="dxa"/>
            <w:vAlign w:val="bottom"/>
            <w:tcBorders>
              <w:bottom w:val="single" w:sz="8" w:color="4C4C4C"/>
            </w:tcBorders>
            <w:shd w:val="clear" w:color="auto" w:fill="F0F0F0"/>
          </w:tcPr>
          <w:p>
            <w:pPr>
              <w:spacing w:after="0"/>
              <w:rPr>
                <w:sz w:val="23"/>
                <w:szCs w:val="23"/>
                <w:color w:val="auto"/>
              </w:rPr>
            </w:pPr>
          </w:p>
        </w:tc>
        <w:tc>
          <w:tcPr>
            <w:tcW w:w="960" w:type="dxa"/>
            <w:vAlign w:val="bottom"/>
            <w:tcBorders>
              <w:bottom w:val="single" w:sz="8" w:color="4C4C4C"/>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Borders>
              <w:bottom w:val="single" w:sz="8" w:color="4C4C4C"/>
            </w:tcBorders>
          </w:tcPr>
          <w:p>
            <w:pPr>
              <w:spacing w:after="0"/>
              <w:rPr>
                <w:sz w:val="23"/>
                <w:szCs w:val="23"/>
                <w:color w:val="auto"/>
              </w:rPr>
            </w:pPr>
          </w:p>
        </w:tc>
        <w:tc>
          <w:tcPr>
            <w:tcW w:w="540" w:type="dxa"/>
            <w:vAlign w:val="bottom"/>
            <w:tcBorders>
              <w:bottom w:val="single" w:sz="8" w:color="4C4C4C"/>
            </w:tcBorders>
          </w:tcPr>
          <w:p>
            <w:pPr>
              <w:spacing w:after="0"/>
              <w:rPr>
                <w:sz w:val="23"/>
                <w:szCs w:val="23"/>
                <w:color w:val="auto"/>
              </w:rPr>
            </w:pP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60" w:type="dxa"/>
            <w:vAlign w:val="bottom"/>
            <w:tcBorders>
              <w:bottom w:val="single" w:sz="8" w:color="4C4C4C"/>
            </w:tcBorders>
          </w:tcPr>
          <w:p>
            <w:pPr>
              <w:spacing w:after="0"/>
              <w:rPr>
                <w:sz w:val="23"/>
                <w:szCs w:val="23"/>
                <w:color w:val="auto"/>
              </w:rPr>
            </w:pPr>
          </w:p>
        </w:tc>
        <w:tc>
          <w:tcPr>
            <w:tcW w:w="620" w:type="dxa"/>
            <w:vAlign w:val="bottom"/>
            <w:tcBorders>
              <w:bottom w:val="single" w:sz="8" w:color="4C4C4C"/>
            </w:tcBorders>
          </w:tcPr>
          <w:p>
            <w:pPr>
              <w:spacing w:after="0"/>
              <w:rPr>
                <w:sz w:val="23"/>
                <w:szCs w:val="23"/>
                <w:color w:val="auto"/>
              </w:rPr>
            </w:pP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77"/>
        </w:trPr>
        <w:tc>
          <w:tcPr>
            <w:tcW w:w="5320" w:type="dxa"/>
            <w:vAlign w:val="bottom"/>
            <w:tcBorders>
              <w:bottom w:val="single" w:sz="8" w:color="4C4C4C"/>
            </w:tcBorders>
            <w:gridSpan w:val="4"/>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Earnings (loss) excluding Identified Items </w:t>
            </w:r>
            <w:r>
              <w:rPr>
                <w:rFonts w:ascii="Times New Roman" w:cs="Times New Roman" w:eastAsia="Times New Roman" w:hAnsi="Times New Roman"/>
                <w:sz w:val="20"/>
                <w:szCs w:val="20"/>
                <w:color w:val="auto"/>
              </w:rPr>
              <w:t>(Non-GAAP)</w:t>
            </w:r>
          </w:p>
        </w:tc>
        <w:tc>
          <w:tcPr>
            <w:tcW w:w="66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28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400" w:type="dxa"/>
            <w:vAlign w:val="bottom"/>
            <w:tcBorders>
              <w:bottom w:val="single" w:sz="8" w:color="4C4C4C"/>
            </w:tcBorders>
            <w:shd w:val="clear" w:color="auto" w:fill="F0F0F0"/>
          </w:tcPr>
          <w:p>
            <w:pPr>
              <w:spacing w:after="0"/>
              <w:rPr>
                <w:sz w:val="24"/>
                <w:szCs w:val="24"/>
                <w:color w:val="auto"/>
              </w:rPr>
            </w:pPr>
          </w:p>
        </w:tc>
        <w:tc>
          <w:tcPr>
            <w:tcW w:w="960" w:type="dxa"/>
            <w:vAlign w:val="bottom"/>
            <w:tcBorders>
              <w:bottom w:val="single" w:sz="8" w:color="4C4C4C"/>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(1,867)</w:t>
            </w:r>
          </w:p>
        </w:tc>
        <w:tc>
          <w:tcPr>
            <w:tcW w:w="60" w:type="dxa"/>
            <w:vAlign w:val="bottom"/>
            <w:tcBorders>
              <w:bottom w:val="single" w:sz="8" w:color="4C4C4C"/>
            </w:tcBorders>
          </w:tcPr>
          <w:p>
            <w:pPr>
              <w:spacing w:after="0"/>
              <w:rPr>
                <w:sz w:val="24"/>
                <w:szCs w:val="24"/>
                <w:color w:val="auto"/>
              </w:rPr>
            </w:pPr>
          </w:p>
        </w:tc>
        <w:tc>
          <w:tcPr>
            <w:tcW w:w="540" w:type="dxa"/>
            <w:vAlign w:val="bottom"/>
            <w:tcBorders>
              <w:bottom w:val="single" w:sz="8" w:color="4C4C4C"/>
            </w:tcBorders>
          </w:tcPr>
          <w:p>
            <w:pPr>
              <w:spacing w:after="0"/>
              <w:rPr>
                <w:sz w:val="24"/>
                <w:szCs w:val="24"/>
                <w:color w:val="auto"/>
              </w:rPr>
            </w:pP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(1,965)</w:t>
            </w:r>
          </w:p>
        </w:tc>
        <w:tc>
          <w:tcPr>
            <w:tcW w:w="60" w:type="dxa"/>
            <w:vAlign w:val="bottom"/>
            <w:tcBorders>
              <w:bottom w:val="single" w:sz="8" w:color="4C4C4C"/>
            </w:tcBorders>
          </w:tcPr>
          <w:p>
            <w:pPr>
              <w:spacing w:after="0"/>
              <w:rPr>
                <w:sz w:val="24"/>
                <w:szCs w:val="24"/>
                <w:color w:val="auto"/>
              </w:rPr>
            </w:pPr>
          </w:p>
        </w:tc>
        <w:tc>
          <w:tcPr>
            <w:tcW w:w="62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(2,572)</w:t>
            </w:r>
          </w:p>
        </w:tc>
        <w:tc>
          <w:tcPr>
            <w:tcW w:w="0" w:type="dxa"/>
            <w:vAlign w:val="bottom"/>
          </w:tcPr>
          <w:p>
            <w:pPr>
              <w:spacing w:after="0"/>
              <w:rPr>
                <w:sz w:val="1"/>
                <w:szCs w:val="1"/>
                <w:color w:val="auto"/>
              </w:rPr>
            </w:pPr>
          </w:p>
        </w:tc>
      </w:tr>
      <w:tr>
        <w:trPr>
          <w:trHeight w:val="515"/>
        </w:trPr>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4C4C4C"/>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FFFFFF"/>
              </w:rPr>
              <w:t>Corporate Total</w:t>
            </w:r>
          </w:p>
        </w:tc>
        <w:tc>
          <w:tcPr>
            <w:tcW w:w="60" w:type="dxa"/>
            <w:vAlign w:val="bottom"/>
            <w:shd w:val="clear" w:color="auto" w:fill="4C4C4C"/>
          </w:tcPr>
          <w:p>
            <w:pPr>
              <w:spacing w:after="0"/>
              <w:rPr>
                <w:sz w:val="17"/>
                <w:szCs w:val="17"/>
                <w:color w:val="auto"/>
              </w:rPr>
            </w:pPr>
          </w:p>
        </w:tc>
        <w:tc>
          <w:tcPr>
            <w:tcW w:w="760" w:type="dxa"/>
            <w:vAlign w:val="bottom"/>
            <w:shd w:val="clear" w:color="auto" w:fill="4C4C4C"/>
          </w:tcPr>
          <w:p>
            <w:pPr>
              <w:spacing w:after="0"/>
              <w:rPr>
                <w:sz w:val="17"/>
                <w:szCs w:val="17"/>
                <w:color w:val="auto"/>
              </w:rPr>
            </w:pPr>
          </w:p>
        </w:tc>
        <w:tc>
          <w:tcPr>
            <w:tcW w:w="840" w:type="dxa"/>
            <w:vAlign w:val="bottom"/>
            <w:shd w:val="clear" w:color="auto" w:fill="4C4C4C"/>
          </w:tcPr>
          <w:p>
            <w:pPr>
              <w:spacing w:after="0"/>
              <w:rPr>
                <w:sz w:val="17"/>
                <w:szCs w:val="17"/>
                <w:color w:val="auto"/>
              </w:rPr>
            </w:pPr>
          </w:p>
        </w:tc>
        <w:tc>
          <w:tcPr>
            <w:tcW w:w="660" w:type="dxa"/>
            <w:vAlign w:val="bottom"/>
            <w:shd w:val="clear" w:color="auto" w:fill="4C4C4C"/>
          </w:tcPr>
          <w:p>
            <w:pPr>
              <w:spacing w:after="0"/>
              <w:rPr>
                <w:sz w:val="17"/>
                <w:szCs w:val="17"/>
                <w:color w:val="auto"/>
              </w:rPr>
            </w:pPr>
          </w:p>
        </w:tc>
        <w:tc>
          <w:tcPr>
            <w:tcW w:w="60" w:type="dxa"/>
            <w:vAlign w:val="bottom"/>
            <w:shd w:val="clear" w:color="auto" w:fill="4C4C4C"/>
          </w:tcPr>
          <w:p>
            <w:pPr>
              <w:spacing w:after="0"/>
              <w:rPr>
                <w:sz w:val="17"/>
                <w:szCs w:val="17"/>
                <w:color w:val="auto"/>
              </w:rPr>
            </w:pPr>
          </w:p>
        </w:tc>
        <w:tc>
          <w:tcPr>
            <w:tcW w:w="280" w:type="dxa"/>
            <w:vAlign w:val="bottom"/>
            <w:shd w:val="clear" w:color="auto" w:fill="4C4C4C"/>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shd w:val="clear" w:color="auto" w:fill="4C4C4C"/>
          </w:tcPr>
          <w:p>
            <w:pPr>
              <w:spacing w:after="0"/>
              <w:rPr>
                <w:sz w:val="17"/>
                <w:szCs w:val="17"/>
                <w:color w:val="auto"/>
              </w:rPr>
            </w:pPr>
          </w:p>
        </w:tc>
        <w:tc>
          <w:tcPr>
            <w:tcW w:w="960" w:type="dxa"/>
            <w:vAlign w:val="bottom"/>
            <w:tcBorders>
              <w:right w:val="single" w:sz="8" w:color="4C4C4C"/>
            </w:tcBorders>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0" w:type="dxa"/>
            <w:vAlign w:val="bottom"/>
          </w:tcPr>
          <w:p>
            <w:pPr>
              <w:spacing w:after="0"/>
              <w:rPr>
                <w:sz w:val="17"/>
                <w:szCs w:val="17"/>
                <w:color w:val="auto"/>
              </w:rPr>
            </w:pPr>
          </w:p>
        </w:tc>
        <w:tc>
          <w:tcPr>
            <w:tcW w:w="540" w:type="dxa"/>
            <w:vAlign w:val="bottom"/>
            <w:shd w:val="clear" w:color="auto" w:fill="4C4C4C"/>
          </w:tcPr>
          <w:p>
            <w:pPr>
              <w:spacing w:after="0"/>
              <w:rPr>
                <w:sz w:val="17"/>
                <w:szCs w:val="17"/>
                <w:color w:val="auto"/>
              </w:rPr>
            </w:pPr>
          </w:p>
        </w:tc>
        <w:tc>
          <w:tcPr>
            <w:tcW w:w="82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tcPr>
          <w:p>
            <w:pPr>
              <w:spacing w:after="0"/>
              <w:rPr>
                <w:sz w:val="17"/>
                <w:szCs w:val="17"/>
                <w:color w:val="auto"/>
              </w:rPr>
            </w:pPr>
          </w:p>
        </w:tc>
        <w:tc>
          <w:tcPr>
            <w:tcW w:w="620" w:type="dxa"/>
            <w:vAlign w:val="bottom"/>
            <w:shd w:val="clear" w:color="auto" w:fill="4C4C4C"/>
          </w:tcPr>
          <w:p>
            <w:pPr>
              <w:spacing w:after="0"/>
              <w:rPr>
                <w:sz w:val="17"/>
                <w:szCs w:val="17"/>
                <w:color w:val="auto"/>
              </w:rPr>
            </w:pPr>
          </w:p>
        </w:tc>
        <w:tc>
          <w:tcPr>
            <w:tcW w:w="76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8"/>
        </w:trPr>
        <w:tc>
          <w:tcPr>
            <w:tcW w:w="366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0" w:type="dxa"/>
            <w:vAlign w:val="bottom"/>
            <w:shd w:val="clear" w:color="auto" w:fill="4C4C4C"/>
          </w:tcPr>
          <w:p>
            <w:pPr>
              <w:spacing w:after="0"/>
              <w:rPr>
                <w:sz w:val="9"/>
                <w:szCs w:val="9"/>
                <w:color w:val="auto"/>
              </w:rPr>
            </w:pPr>
          </w:p>
        </w:tc>
        <w:tc>
          <w:tcPr>
            <w:tcW w:w="760" w:type="dxa"/>
            <w:vAlign w:val="bottom"/>
            <w:shd w:val="clear" w:color="auto" w:fill="4C4C4C"/>
          </w:tcPr>
          <w:p>
            <w:pPr>
              <w:spacing w:after="0"/>
              <w:rPr>
                <w:sz w:val="9"/>
                <w:szCs w:val="9"/>
                <w:color w:val="auto"/>
              </w:rPr>
            </w:pPr>
          </w:p>
        </w:tc>
        <w:tc>
          <w:tcPr>
            <w:tcW w:w="840" w:type="dxa"/>
            <w:vAlign w:val="bottom"/>
            <w:shd w:val="clear" w:color="auto" w:fill="4C4C4C"/>
          </w:tcPr>
          <w:p>
            <w:pPr>
              <w:spacing w:after="0"/>
              <w:rPr>
                <w:sz w:val="9"/>
                <w:szCs w:val="9"/>
                <w:color w:val="auto"/>
              </w:rPr>
            </w:pPr>
          </w:p>
        </w:tc>
        <w:tc>
          <w:tcPr>
            <w:tcW w:w="660" w:type="dxa"/>
            <w:vAlign w:val="bottom"/>
            <w:shd w:val="clear" w:color="auto" w:fill="4C4C4C"/>
          </w:tcPr>
          <w:p>
            <w:pPr>
              <w:spacing w:after="0"/>
              <w:rPr>
                <w:sz w:val="9"/>
                <w:szCs w:val="9"/>
                <w:color w:val="auto"/>
              </w:rPr>
            </w:pPr>
          </w:p>
        </w:tc>
        <w:tc>
          <w:tcPr>
            <w:tcW w:w="60" w:type="dxa"/>
            <w:vAlign w:val="bottom"/>
            <w:shd w:val="clear" w:color="auto" w:fill="4C4C4C"/>
          </w:tcPr>
          <w:p>
            <w:pPr>
              <w:spacing w:after="0"/>
              <w:rPr>
                <w:sz w:val="9"/>
                <w:szCs w:val="9"/>
                <w:color w:val="auto"/>
              </w:rPr>
            </w:pPr>
          </w:p>
        </w:tc>
        <w:tc>
          <w:tcPr>
            <w:tcW w:w="280" w:type="dxa"/>
            <w:vAlign w:val="bottom"/>
            <w:shd w:val="clear" w:color="auto" w:fill="4C4C4C"/>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shd w:val="clear" w:color="auto" w:fill="4C4C4C"/>
          </w:tcPr>
          <w:p>
            <w:pPr>
              <w:spacing w:after="0"/>
              <w:rPr>
                <w:sz w:val="9"/>
                <w:szCs w:val="9"/>
                <w:color w:val="auto"/>
              </w:rPr>
            </w:pPr>
          </w:p>
        </w:tc>
        <w:tc>
          <w:tcPr>
            <w:tcW w:w="960" w:type="dxa"/>
            <w:vAlign w:val="bottom"/>
            <w:tcBorders>
              <w:right w:val="single" w:sz="8" w:color="4C4C4C"/>
            </w:tcBorders>
            <w:vMerge w:val="continue"/>
            <w:shd w:val="clear" w:color="auto" w:fill="4C4C4C"/>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shd w:val="clear" w:color="auto" w:fill="4C4C4C"/>
          </w:tcPr>
          <w:p>
            <w:pPr>
              <w:spacing w:after="0"/>
              <w:rPr>
                <w:sz w:val="9"/>
                <w:szCs w:val="9"/>
                <w:color w:val="auto"/>
              </w:rPr>
            </w:pPr>
          </w:p>
        </w:tc>
        <w:tc>
          <w:tcPr>
            <w:tcW w:w="820" w:type="dxa"/>
            <w:vAlign w:val="bottom"/>
            <w:vMerge w:val="continue"/>
            <w:shd w:val="clear" w:color="auto" w:fill="4C4C4C"/>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shd w:val="clear" w:color="auto" w:fill="4C4C4C"/>
          </w:tcPr>
          <w:p>
            <w:pPr>
              <w:spacing w:after="0"/>
              <w:rPr>
                <w:sz w:val="9"/>
                <w:szCs w:val="9"/>
                <w:color w:val="auto"/>
              </w:rPr>
            </w:pPr>
          </w:p>
        </w:tc>
        <w:tc>
          <w:tcPr>
            <w:tcW w:w="76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660" w:type="dxa"/>
            <w:vAlign w:val="bottom"/>
            <w:vMerge w:val="continue"/>
            <w:shd w:val="clear" w:color="auto" w:fill="4C4C4C"/>
          </w:tcPr>
          <w:p>
            <w:pPr>
              <w:spacing w:after="0"/>
              <w:rPr>
                <w:sz w:val="10"/>
                <w:szCs w:val="10"/>
                <w:color w:val="auto"/>
              </w:rPr>
            </w:pPr>
          </w:p>
        </w:tc>
        <w:tc>
          <w:tcPr>
            <w:tcW w:w="60" w:type="dxa"/>
            <w:vAlign w:val="bottom"/>
            <w:shd w:val="clear" w:color="auto" w:fill="4C4C4C"/>
          </w:tcPr>
          <w:p>
            <w:pPr>
              <w:spacing w:after="0"/>
              <w:rPr>
                <w:sz w:val="10"/>
                <w:szCs w:val="10"/>
                <w:color w:val="auto"/>
              </w:rPr>
            </w:pPr>
          </w:p>
        </w:tc>
        <w:tc>
          <w:tcPr>
            <w:tcW w:w="760" w:type="dxa"/>
            <w:vAlign w:val="bottom"/>
            <w:shd w:val="clear" w:color="auto" w:fill="4C4C4C"/>
          </w:tcPr>
          <w:p>
            <w:pPr>
              <w:spacing w:after="0"/>
              <w:rPr>
                <w:sz w:val="10"/>
                <w:szCs w:val="10"/>
                <w:color w:val="auto"/>
              </w:rPr>
            </w:pPr>
          </w:p>
        </w:tc>
        <w:tc>
          <w:tcPr>
            <w:tcW w:w="840" w:type="dxa"/>
            <w:vAlign w:val="bottom"/>
            <w:shd w:val="clear" w:color="auto" w:fill="4C4C4C"/>
          </w:tcPr>
          <w:p>
            <w:pPr>
              <w:spacing w:after="0"/>
              <w:rPr>
                <w:sz w:val="10"/>
                <w:szCs w:val="10"/>
                <w:color w:val="auto"/>
              </w:rPr>
            </w:pPr>
          </w:p>
        </w:tc>
        <w:tc>
          <w:tcPr>
            <w:tcW w:w="660" w:type="dxa"/>
            <w:vAlign w:val="bottom"/>
            <w:shd w:val="clear" w:color="auto" w:fill="4C4C4C"/>
          </w:tcPr>
          <w:p>
            <w:pPr>
              <w:spacing w:after="0"/>
              <w:rPr>
                <w:sz w:val="10"/>
                <w:szCs w:val="10"/>
                <w:color w:val="auto"/>
              </w:rPr>
            </w:pPr>
          </w:p>
        </w:tc>
        <w:tc>
          <w:tcPr>
            <w:tcW w:w="60" w:type="dxa"/>
            <w:vAlign w:val="bottom"/>
            <w:shd w:val="clear" w:color="auto" w:fill="4C4C4C"/>
          </w:tcPr>
          <w:p>
            <w:pPr>
              <w:spacing w:after="0"/>
              <w:rPr>
                <w:sz w:val="10"/>
                <w:szCs w:val="10"/>
                <w:color w:val="auto"/>
              </w:rPr>
            </w:pPr>
          </w:p>
        </w:tc>
        <w:tc>
          <w:tcPr>
            <w:tcW w:w="280" w:type="dxa"/>
            <w:vAlign w:val="bottom"/>
            <w:shd w:val="clear" w:color="auto" w:fill="4C4C4C"/>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shd w:val="clear" w:color="auto" w:fill="4C4C4C"/>
          </w:tcPr>
          <w:p>
            <w:pPr>
              <w:spacing w:after="0"/>
              <w:rPr>
                <w:sz w:val="10"/>
                <w:szCs w:val="10"/>
                <w:color w:val="auto"/>
              </w:rPr>
            </w:pPr>
          </w:p>
        </w:tc>
        <w:tc>
          <w:tcPr>
            <w:tcW w:w="960" w:type="dxa"/>
            <w:vAlign w:val="bottom"/>
            <w:tcBorders>
              <w:right w:val="single" w:sz="8" w:color="4C4C4C"/>
            </w:tcBorders>
            <w:shd w:val="clear" w:color="auto" w:fill="4C4C4C"/>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shd w:val="clear" w:color="auto" w:fill="4C4C4C"/>
          </w:tcPr>
          <w:p>
            <w:pPr>
              <w:spacing w:after="0"/>
              <w:rPr>
                <w:sz w:val="10"/>
                <w:szCs w:val="10"/>
                <w:color w:val="auto"/>
              </w:rPr>
            </w:pPr>
          </w:p>
        </w:tc>
        <w:tc>
          <w:tcPr>
            <w:tcW w:w="820" w:type="dxa"/>
            <w:vAlign w:val="bottom"/>
            <w:shd w:val="clear" w:color="auto" w:fill="4C4C4C"/>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shd w:val="clear" w:color="auto" w:fill="4C4C4C"/>
          </w:tcPr>
          <w:p>
            <w:pPr>
              <w:spacing w:after="0"/>
              <w:rPr>
                <w:sz w:val="10"/>
                <w:szCs w:val="10"/>
                <w:color w:val="auto"/>
              </w:rPr>
            </w:pPr>
          </w:p>
        </w:tc>
        <w:tc>
          <w:tcPr>
            <w:tcW w:w="76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53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 ExxonMobil (U.S. GAAP)</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36,010</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55,740</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23,040</w:t>
            </w:r>
          </w:p>
        </w:tc>
        <w:tc>
          <w:tcPr>
            <w:tcW w:w="0" w:type="dxa"/>
            <w:vAlign w:val="bottom"/>
          </w:tcPr>
          <w:p>
            <w:pPr>
              <w:spacing w:after="0"/>
              <w:rPr>
                <w:sz w:val="1"/>
                <w:szCs w:val="1"/>
                <w:color w:val="auto"/>
              </w:rPr>
            </w:pPr>
          </w:p>
        </w:tc>
      </w:tr>
      <w:tr>
        <w:trPr>
          <w:trHeight w:val="294"/>
        </w:trPr>
        <w:tc>
          <w:tcPr>
            <w:tcW w:w="3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Impairments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(3,040)</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(4,202)</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0" w:type="dxa"/>
            <w:vAlign w:val="bottom"/>
          </w:tcPr>
          <w:p>
            <w:pPr>
              <w:spacing w:after="0"/>
              <w:rPr>
                <w:sz w:val="1"/>
                <w:szCs w:val="1"/>
                <w:color w:val="auto"/>
              </w:rPr>
            </w:pPr>
          </w:p>
        </w:tc>
      </w:tr>
      <w:tr>
        <w:trPr>
          <w:trHeight w:val="294"/>
        </w:trPr>
        <w:tc>
          <w:tcPr>
            <w:tcW w:w="3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Gain/(loss) on sale of assets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w:t>
            </w:r>
          </w:p>
        </w:tc>
        <w:tc>
          <w:tcPr>
            <w:tcW w:w="0" w:type="dxa"/>
            <w:vAlign w:val="bottom"/>
          </w:tcPr>
          <w:p>
            <w:pPr>
              <w:spacing w:after="0"/>
              <w:rPr>
                <w:sz w:val="1"/>
                <w:szCs w:val="1"/>
                <w:color w:val="auto"/>
              </w:rPr>
            </w:pPr>
          </w:p>
        </w:tc>
      </w:tr>
      <w:tr>
        <w:trPr>
          <w:trHeight w:val="294"/>
        </w:trPr>
        <w:tc>
          <w:tcPr>
            <w:tcW w:w="3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Tax-related items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3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Severance charges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94"/>
        </w:trPr>
        <w:tc>
          <w:tcPr>
            <w:tcW w:w="3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Contractual provisions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shd w:val="clear" w:color="auto" w:fill="F0F0F0"/>
          </w:tcPr>
          <w:p>
            <w:pPr>
              <w:spacing w:after="0"/>
              <w:rPr>
                <w:sz w:val="24"/>
                <w:szCs w:val="24"/>
                <w:color w:val="auto"/>
              </w:rPr>
            </w:pPr>
          </w:p>
        </w:tc>
        <w:tc>
          <w:tcPr>
            <w:tcW w:w="9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4C4C4C"/>
            </w:tcBorders>
          </w:tcPr>
          <w:p>
            <w:pPr>
              <w:ind w:left="42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tcPr>
          <w:p>
            <w:pPr>
              <w:spacing w:after="0"/>
              <w:rPr>
                <w:sz w:val="24"/>
                <w:szCs w:val="24"/>
                <w:color w:val="auto"/>
              </w:rPr>
            </w:pPr>
          </w:p>
        </w:tc>
        <w:tc>
          <w:tcPr>
            <w:tcW w:w="840" w:type="dxa"/>
            <w:vAlign w:val="bottom"/>
            <w:tcBorders>
              <w:bottom w:val="single" w:sz="8" w:color="4C4C4C"/>
            </w:tcBorders>
          </w:tcPr>
          <w:p>
            <w:pPr>
              <w:spacing w:after="0"/>
              <w:rPr>
                <w:sz w:val="24"/>
                <w:szCs w:val="24"/>
                <w:color w:val="auto"/>
              </w:rPr>
            </w:pPr>
          </w:p>
        </w:tc>
        <w:tc>
          <w:tcPr>
            <w:tcW w:w="66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28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400" w:type="dxa"/>
            <w:vAlign w:val="bottom"/>
            <w:tcBorders>
              <w:bottom w:val="single" w:sz="8" w:color="4C4C4C"/>
            </w:tcBorders>
            <w:shd w:val="clear" w:color="auto" w:fill="F0F0F0"/>
          </w:tcPr>
          <w:p>
            <w:pPr>
              <w:spacing w:after="0"/>
              <w:rPr>
                <w:sz w:val="24"/>
                <w:szCs w:val="24"/>
                <w:color w:val="auto"/>
              </w:rPr>
            </w:pPr>
          </w:p>
        </w:tc>
        <w:tc>
          <w:tcPr>
            <w:tcW w:w="960" w:type="dxa"/>
            <w:vAlign w:val="bottom"/>
            <w:tcBorders>
              <w:bottom w:val="single" w:sz="8" w:color="4C4C4C"/>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60" w:type="dxa"/>
            <w:vAlign w:val="bottom"/>
            <w:tcBorders>
              <w:bottom w:val="single" w:sz="8" w:color="4C4C4C"/>
            </w:tcBorders>
          </w:tcPr>
          <w:p>
            <w:pPr>
              <w:spacing w:after="0"/>
              <w:rPr>
                <w:sz w:val="24"/>
                <w:szCs w:val="24"/>
                <w:color w:val="auto"/>
              </w:rPr>
            </w:pPr>
          </w:p>
        </w:tc>
        <w:tc>
          <w:tcPr>
            <w:tcW w:w="540" w:type="dxa"/>
            <w:vAlign w:val="bottom"/>
            <w:tcBorders>
              <w:bottom w:val="single" w:sz="8" w:color="4C4C4C"/>
            </w:tcBorders>
          </w:tcPr>
          <w:p>
            <w:pPr>
              <w:spacing w:after="0"/>
              <w:rPr>
                <w:sz w:val="24"/>
                <w:szCs w:val="24"/>
                <w:color w:val="auto"/>
              </w:rPr>
            </w:pP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1,456</w:t>
            </w:r>
          </w:p>
        </w:tc>
        <w:tc>
          <w:tcPr>
            <w:tcW w:w="60" w:type="dxa"/>
            <w:vAlign w:val="bottom"/>
            <w:tcBorders>
              <w:bottom w:val="single" w:sz="8" w:color="4C4C4C"/>
            </w:tcBorders>
          </w:tcPr>
          <w:p>
            <w:pPr>
              <w:spacing w:after="0"/>
              <w:rPr>
                <w:sz w:val="24"/>
                <w:szCs w:val="24"/>
                <w:color w:val="auto"/>
              </w:rPr>
            </w:pPr>
          </w:p>
        </w:tc>
        <w:tc>
          <w:tcPr>
            <w:tcW w:w="62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36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Identified Items</w:t>
            </w:r>
          </w:p>
        </w:tc>
        <w:tc>
          <w:tcPr>
            <w:tcW w:w="60" w:type="dxa"/>
            <w:vAlign w:val="bottom"/>
            <w:tcBorders>
              <w:bottom w:val="single" w:sz="8" w:color="4C4C4C"/>
            </w:tcBorders>
          </w:tcPr>
          <w:p>
            <w:pPr>
              <w:spacing w:after="0"/>
              <w:rPr>
                <w:sz w:val="23"/>
                <w:szCs w:val="23"/>
                <w:color w:val="auto"/>
              </w:rPr>
            </w:pPr>
          </w:p>
        </w:tc>
        <w:tc>
          <w:tcPr>
            <w:tcW w:w="760" w:type="dxa"/>
            <w:vAlign w:val="bottom"/>
            <w:tcBorders>
              <w:bottom w:val="single" w:sz="8" w:color="4C4C4C"/>
            </w:tcBorders>
          </w:tcPr>
          <w:p>
            <w:pPr>
              <w:spacing w:after="0"/>
              <w:rPr>
                <w:sz w:val="23"/>
                <w:szCs w:val="23"/>
                <w:color w:val="auto"/>
              </w:rPr>
            </w:pPr>
          </w:p>
        </w:tc>
        <w:tc>
          <w:tcPr>
            <w:tcW w:w="840" w:type="dxa"/>
            <w:vAlign w:val="bottom"/>
            <w:tcBorders>
              <w:bottom w:val="single" w:sz="8" w:color="4C4C4C"/>
            </w:tcBorders>
          </w:tcPr>
          <w:p>
            <w:pPr>
              <w:spacing w:after="0"/>
              <w:rPr>
                <w:sz w:val="23"/>
                <w:szCs w:val="23"/>
                <w:color w:val="auto"/>
              </w:rPr>
            </w:pPr>
          </w:p>
        </w:tc>
        <w:tc>
          <w:tcPr>
            <w:tcW w:w="660" w:type="dxa"/>
            <w:vAlign w:val="bottom"/>
            <w:tcBorders>
              <w:bottom w:val="single" w:sz="8" w:color="4C4C4C"/>
            </w:tcBorders>
          </w:tcPr>
          <w:p>
            <w:pPr>
              <w:spacing w:after="0"/>
              <w:rPr>
                <w:sz w:val="23"/>
                <w:szCs w:val="23"/>
                <w:color w:val="auto"/>
              </w:rPr>
            </w:pPr>
          </w:p>
        </w:tc>
        <w:tc>
          <w:tcPr>
            <w:tcW w:w="60" w:type="dxa"/>
            <w:vAlign w:val="bottom"/>
            <w:tcBorders>
              <w:bottom w:val="single" w:sz="8" w:color="4C4C4C"/>
            </w:tcBorders>
          </w:tcPr>
          <w:p>
            <w:pPr>
              <w:spacing w:after="0"/>
              <w:rPr>
                <w:sz w:val="23"/>
                <w:szCs w:val="23"/>
                <w:color w:val="auto"/>
              </w:rPr>
            </w:pPr>
          </w:p>
        </w:tc>
        <w:tc>
          <w:tcPr>
            <w:tcW w:w="280" w:type="dxa"/>
            <w:vAlign w:val="bottom"/>
            <w:tcBorders>
              <w:bottom w:val="single" w:sz="8" w:color="4C4C4C"/>
            </w:tcBorders>
          </w:tcPr>
          <w:p>
            <w:pPr>
              <w:spacing w:after="0"/>
              <w:rPr>
                <w:sz w:val="23"/>
                <w:szCs w:val="23"/>
                <w:color w:val="auto"/>
              </w:rPr>
            </w:pPr>
          </w:p>
        </w:tc>
        <w:tc>
          <w:tcPr>
            <w:tcW w:w="60" w:type="dxa"/>
            <w:vAlign w:val="bottom"/>
            <w:tcBorders>
              <w:bottom w:val="single" w:sz="8" w:color="4C4C4C"/>
            </w:tcBorders>
          </w:tcPr>
          <w:p>
            <w:pPr>
              <w:spacing w:after="0"/>
              <w:rPr>
                <w:sz w:val="23"/>
                <w:szCs w:val="23"/>
                <w:color w:val="auto"/>
              </w:rPr>
            </w:pPr>
          </w:p>
        </w:tc>
        <w:tc>
          <w:tcPr>
            <w:tcW w:w="400" w:type="dxa"/>
            <w:vAlign w:val="bottom"/>
            <w:tcBorders>
              <w:bottom w:val="single" w:sz="8" w:color="4C4C4C"/>
            </w:tcBorders>
            <w:shd w:val="clear" w:color="auto" w:fill="F0F0F0"/>
          </w:tcPr>
          <w:p>
            <w:pPr>
              <w:spacing w:after="0"/>
              <w:rPr>
                <w:sz w:val="23"/>
                <w:szCs w:val="23"/>
                <w:color w:val="auto"/>
              </w:rPr>
            </w:pPr>
          </w:p>
        </w:tc>
        <w:tc>
          <w:tcPr>
            <w:tcW w:w="960" w:type="dxa"/>
            <w:vAlign w:val="bottom"/>
            <w:tcBorders>
              <w:bottom w:val="single" w:sz="8" w:color="4C4C4C"/>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(2,562)</w:t>
            </w:r>
          </w:p>
        </w:tc>
        <w:tc>
          <w:tcPr>
            <w:tcW w:w="60" w:type="dxa"/>
            <w:vAlign w:val="bottom"/>
            <w:tcBorders>
              <w:bottom w:val="single" w:sz="8" w:color="4C4C4C"/>
            </w:tcBorders>
          </w:tcPr>
          <w:p>
            <w:pPr>
              <w:spacing w:after="0"/>
              <w:rPr>
                <w:sz w:val="23"/>
                <w:szCs w:val="23"/>
                <w:color w:val="auto"/>
              </w:rPr>
            </w:pPr>
          </w:p>
        </w:tc>
        <w:tc>
          <w:tcPr>
            <w:tcW w:w="540" w:type="dxa"/>
            <w:vAlign w:val="bottom"/>
            <w:tcBorders>
              <w:bottom w:val="single" w:sz="8" w:color="4C4C4C"/>
            </w:tcBorders>
          </w:tcPr>
          <w:p>
            <w:pPr>
              <w:spacing w:after="0"/>
              <w:rPr>
                <w:sz w:val="23"/>
                <w:szCs w:val="23"/>
                <w:color w:val="auto"/>
              </w:rPr>
            </w:pP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(3,361)</w:t>
            </w:r>
          </w:p>
        </w:tc>
        <w:tc>
          <w:tcPr>
            <w:tcW w:w="60" w:type="dxa"/>
            <w:vAlign w:val="bottom"/>
            <w:tcBorders>
              <w:bottom w:val="single" w:sz="8" w:color="4C4C4C"/>
            </w:tcBorders>
          </w:tcPr>
          <w:p>
            <w:pPr>
              <w:spacing w:after="0"/>
              <w:rPr>
                <w:sz w:val="23"/>
                <w:szCs w:val="23"/>
                <w:color w:val="auto"/>
              </w:rPr>
            </w:pPr>
          </w:p>
        </w:tc>
        <w:tc>
          <w:tcPr>
            <w:tcW w:w="620" w:type="dxa"/>
            <w:vAlign w:val="bottom"/>
            <w:tcBorders>
              <w:bottom w:val="single" w:sz="8" w:color="4C4C4C"/>
            </w:tcBorders>
          </w:tcPr>
          <w:p>
            <w:pPr>
              <w:spacing w:after="0"/>
              <w:rPr>
                <w:sz w:val="23"/>
                <w:szCs w:val="23"/>
                <w:color w:val="auto"/>
              </w:rPr>
            </w:pP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77"/>
        </w:trPr>
        <w:tc>
          <w:tcPr>
            <w:tcW w:w="5320" w:type="dxa"/>
            <w:vAlign w:val="bottom"/>
            <w:tcBorders>
              <w:bottom w:val="single" w:sz="8" w:color="4C4C4C"/>
            </w:tcBorders>
            <w:gridSpan w:val="4"/>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Earnings (loss) excluding Identified Items </w:t>
            </w:r>
            <w:r>
              <w:rPr>
                <w:rFonts w:ascii="Times New Roman" w:cs="Times New Roman" w:eastAsia="Times New Roman" w:hAnsi="Times New Roman"/>
                <w:sz w:val="20"/>
                <w:szCs w:val="20"/>
                <w:color w:val="auto"/>
              </w:rPr>
              <w:t>(Non-GAAP)</w:t>
            </w:r>
          </w:p>
        </w:tc>
        <w:tc>
          <w:tcPr>
            <w:tcW w:w="66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280" w:type="dxa"/>
            <w:vAlign w:val="bottom"/>
            <w:tcBorders>
              <w:bottom w:val="single" w:sz="8" w:color="4C4C4C"/>
            </w:tcBorders>
          </w:tcPr>
          <w:p>
            <w:pPr>
              <w:spacing w:after="0"/>
              <w:rPr>
                <w:sz w:val="24"/>
                <w:szCs w:val="24"/>
                <w:color w:val="auto"/>
              </w:rPr>
            </w:pPr>
          </w:p>
        </w:tc>
        <w:tc>
          <w:tcPr>
            <w:tcW w:w="60" w:type="dxa"/>
            <w:vAlign w:val="bottom"/>
            <w:tcBorders>
              <w:bottom w:val="single" w:sz="8" w:color="4C4C4C"/>
            </w:tcBorders>
          </w:tcPr>
          <w:p>
            <w:pPr>
              <w:spacing w:after="0"/>
              <w:rPr>
                <w:sz w:val="24"/>
                <w:szCs w:val="24"/>
                <w:color w:val="auto"/>
              </w:rPr>
            </w:pPr>
          </w:p>
        </w:tc>
        <w:tc>
          <w:tcPr>
            <w:tcW w:w="400" w:type="dxa"/>
            <w:vAlign w:val="bottom"/>
            <w:tcBorders>
              <w:bottom w:val="single" w:sz="8" w:color="4C4C4C"/>
            </w:tcBorders>
            <w:shd w:val="clear" w:color="auto" w:fill="F0F0F0"/>
          </w:tcPr>
          <w:p>
            <w:pPr>
              <w:spacing w:after="0"/>
              <w:rPr>
                <w:sz w:val="24"/>
                <w:szCs w:val="24"/>
                <w:color w:val="auto"/>
              </w:rPr>
            </w:pPr>
          </w:p>
        </w:tc>
        <w:tc>
          <w:tcPr>
            <w:tcW w:w="960" w:type="dxa"/>
            <w:vAlign w:val="bottom"/>
            <w:tcBorders>
              <w:bottom w:val="single" w:sz="8" w:color="4C4C4C"/>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38,572</w:t>
            </w:r>
          </w:p>
        </w:tc>
        <w:tc>
          <w:tcPr>
            <w:tcW w:w="60" w:type="dxa"/>
            <w:vAlign w:val="bottom"/>
            <w:tcBorders>
              <w:bottom w:val="single" w:sz="8" w:color="4C4C4C"/>
            </w:tcBorders>
          </w:tcPr>
          <w:p>
            <w:pPr>
              <w:spacing w:after="0"/>
              <w:rPr>
                <w:sz w:val="24"/>
                <w:szCs w:val="24"/>
                <w:color w:val="auto"/>
              </w:rPr>
            </w:pPr>
          </w:p>
        </w:tc>
        <w:tc>
          <w:tcPr>
            <w:tcW w:w="540" w:type="dxa"/>
            <w:vAlign w:val="bottom"/>
            <w:tcBorders>
              <w:bottom w:val="single" w:sz="8" w:color="4C4C4C"/>
            </w:tcBorders>
          </w:tcPr>
          <w:p>
            <w:pPr>
              <w:spacing w:after="0"/>
              <w:rPr>
                <w:sz w:val="24"/>
                <w:szCs w:val="24"/>
                <w:color w:val="auto"/>
              </w:rPr>
            </w:pP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59,101</w:t>
            </w:r>
          </w:p>
        </w:tc>
        <w:tc>
          <w:tcPr>
            <w:tcW w:w="60" w:type="dxa"/>
            <w:vAlign w:val="bottom"/>
            <w:tcBorders>
              <w:bottom w:val="single" w:sz="8" w:color="4C4C4C"/>
            </w:tcBorders>
          </w:tcPr>
          <w:p>
            <w:pPr>
              <w:spacing w:after="0"/>
              <w:rPr>
                <w:sz w:val="24"/>
                <w:szCs w:val="24"/>
                <w:color w:val="auto"/>
              </w:rPr>
            </w:pPr>
          </w:p>
        </w:tc>
        <w:tc>
          <w:tcPr>
            <w:tcW w:w="620" w:type="dxa"/>
            <w:vAlign w:val="bottom"/>
            <w:tcBorders>
              <w:bottom w:val="single" w:sz="8" w:color="4C4C4C"/>
            </w:tcBorders>
          </w:tcPr>
          <w:p>
            <w:pPr>
              <w:spacing w:after="0"/>
              <w:rPr>
                <w:sz w:val="24"/>
                <w:szCs w:val="24"/>
                <w:color w:val="auto"/>
              </w:rPr>
            </w:pP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-3266440</wp:posOffset>
            </wp:positionV>
            <wp:extent cx="942975" cy="4483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7">
                      <a:extLst>
                        <a:ext uri="{28A0092B-C50C-407E-A947-70E740481C1C}"/>
                      </a:extLst>
                    </a:blip>
                    <a:srcRect/>
                    <a:stretch>
                      <a:fillRect/>
                    </a:stretch>
                  </pic:blipFill>
                  <pic:spPr bwMode="auto">
                    <a:xfrm>
                      <a:off x="0" y="0"/>
                      <a:ext cx="942975" cy="44831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References in this discussion to Corporate earnings (loss) mean net income (loss) attributable to ExxonMobil (U.S. GAAP) from the Consolidated Statement of Income. Unless otherwise indicated, references to earnings (loss), Upstream, Energy Products, Chemical Products, Specialty Products, and Corporate and Financing earnings (loss), and earnings (loss) per share are ExxonMobil's share after excluding amounts attributable to noncontrolling interests.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Due to rounding, numbers presented may not add up precisely to the totals indicated.</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600"/>
          </w:cols>
          <w:pgMar w:left="640" w:top="491" w:right="640" w:bottom="0" w:gutter="0" w:footer="0" w:header="0"/>
          <w:type w:val="continuous"/>
        </w:sectPr>
      </w:pPr>
    </w:p>
    <w:bookmarkStart w:id="51" w:name="page52"/>
    <w:bookmarkEnd w:id="51"/>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b w:val="1"/>
          <w:bCs w:val="1"/>
          <w:color w:val="4C4C4C"/>
        </w:rPr>
        <w:t>FORWARD-LOOKING STATEMENTS</w:t>
      </w:r>
    </w:p>
    <w:p>
      <w:pPr>
        <w:spacing w:after="0" w:line="124"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color w:val="auto"/>
        </w:rPr>
        <w:t>Statements related to future events; projections; descriptions of strategic, operating, and financial plans and objectives; statements of future ambitions and plans; and other statements of future events or conditions are forward-looking statements. Similarly, discussion of roadmaps or future plans related to carbon capture, transportation and storage, biofuel, hydrogen, lithium and other future plans to reduce emissions and emission intensity of ExxonMobil, its affiliates, companies it is seeking to acquire and third parties are dependent on future market factors, such as continued technological progress, policy support and timely rule-making and permitting, and represent forward-looking statements.</w:t>
      </w:r>
    </w:p>
    <w:p>
      <w:pPr>
        <w:spacing w:after="0" w:line="66" w:lineRule="exact"/>
        <w:rPr>
          <w:sz w:val="20"/>
          <w:szCs w:val="20"/>
          <w:color w:val="auto"/>
        </w:rPr>
      </w:pPr>
    </w:p>
    <w:p>
      <w:pPr>
        <w:jc w:val="both"/>
        <w:ind w:left="40"/>
        <w:spacing w:after="0" w:line="247" w:lineRule="auto"/>
        <w:rPr>
          <w:sz w:val="20"/>
          <w:szCs w:val="20"/>
          <w:color w:val="auto"/>
        </w:rPr>
      </w:pPr>
      <w:r>
        <w:rPr>
          <w:rFonts w:ascii="Times New Roman" w:cs="Times New Roman" w:eastAsia="Times New Roman" w:hAnsi="Times New Roman"/>
          <w:sz w:val="20"/>
          <w:szCs w:val="20"/>
          <w:color w:val="auto"/>
        </w:rPr>
        <w:t>Actual future results, including financial and operating performance; potential earnings, cash flow, dividends or shareholder returns, including the timing and amounts of share repurchases; total capital expenditures and mix, including allocations of capital to low carbon investments; realization and maintenance of structural cost reductions and efficiency gains, including the ability to offset inflationary pressure; plans to reduce future emissions and emissions intensity, including ambitions to reach Scope 1 and Scope 2 net zero from operated assets by 2050, to reach Scope 1 and 2 net zero in Upstream Permian Basin unconventional operated assets by 2030 and in Pioneer Permian assets by 2035, to eliminate routine flaring in-line with World Bank Zero Routine Flaring, and to reach near-zero methane emissions from operated assets and other methane initiatives; meeting ExxonMobil’s divestment and start-up plans, and associated project plans as well as technology advances, including the timing and outcome of projects to capture, transport and store CO2, produce hydrogen, produce biofuels, produce lithium, and use plastic waste as feedstock for advanced recycling; timely granting of governmental permits and certifications; future debt levels and credit ratings; business and project plans, timing, costs, capacities and profitability; resource recoveries and production rates; and planned Denbury and Pioneer integrated benefits, could differ materially due to a number of factors.</w:t>
      </w:r>
    </w:p>
    <w:p>
      <w:pPr>
        <w:spacing w:after="0" w:line="80" w:lineRule="exact"/>
        <w:rPr>
          <w:sz w:val="20"/>
          <w:szCs w:val="20"/>
          <w:color w:val="auto"/>
        </w:rPr>
      </w:pPr>
    </w:p>
    <w:p>
      <w:pPr>
        <w:jc w:val="both"/>
        <w:ind w:left="40"/>
        <w:spacing w:after="0" w:line="260" w:lineRule="auto"/>
        <w:rPr>
          <w:sz w:val="20"/>
          <w:szCs w:val="20"/>
          <w:color w:val="auto"/>
        </w:rPr>
      </w:pPr>
      <w:r>
        <w:rPr>
          <w:rFonts w:ascii="Times New Roman" w:cs="Times New Roman" w:eastAsia="Times New Roman" w:hAnsi="Times New Roman"/>
          <w:sz w:val="19"/>
          <w:szCs w:val="19"/>
          <w:color w:val="auto"/>
        </w:rPr>
        <w:t>These include global or regional changes in the supply and demand for oil, natural gas, petrochemicals, and feedstocks and other market factors, economic conditions and seasonal fluctuations that impact prices and differentials for our products; changes in law, regulations, taxes, trade sanctions, or policies, such as government policies supporting lower carbon investment opportunities such as the U.S. Inflation Reduction Act and the ability for projects to qualify for the financial incentives available thereunder, the punitive European taxes on the oil and gas sector and unequal support for different technological methods of emissions reduction or evolving, ambiguous and unharmonized standards imposed by various jurisdictions related to sustainability and GHG reporting; variable impacts of trading activities on our margins and results each quarter; actions of competitors and commercial counterparties; the outcome of commercial negotiations, including final agreed terms and conditions; the ability to access debt markets on favorable terms or at all; the occurrence, pace, rate of recovery and effects of public health crises, including the responses from governments; reservoir performance, including variability and timing factors applicable to unconventional resources; the level and outcome of exploration projects and decisions to invest in future reserves; timely completion of development and other construction projects; final management approval of future projects and any changes in the scope, terms, costs or assumptions of such projects as approved; the actions of government or other actors against our core business activities and acquisitions, divestitures or financing opportunities; war, civil unrest, attacks against the company or industry, and other geopolitical or security disturbances, including disruption of land or sea transportation routes; expropriations, seizure, or capacity, insurance, shipping or export limitations imposed by governments or laws; opportunities for potential acquisitions, investments or divestments and satisfaction of applicable conditions to closing, including timely regulatory approvals; the capture of efficiencies within and between business lines and the ability to maintain near-term cost reductions as ongoing efficiencies; unforeseen technical or operating difficulties and unplanned maintenance; the development and competitiveness of alternative energy and emission reduction technologies; the results of research programs and the ability to bring new technologies to commercial scale on a cost-competitive basis; and other factors discussed under "Item 1A. Risk Factors."</w:t>
      </w:r>
    </w:p>
    <w:p>
      <w:pPr>
        <w:spacing w:after="0" w:line="68"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20"/>
          <w:szCs w:val="20"/>
          <w:color w:val="auto"/>
        </w:rPr>
        <w:t>Forward-looking and other statements regarding environmental and other sustainability efforts and aspirations are not an indication that these statements are material to investors or require disclosure in our filing with the SEC. In addition, historical, current, and forward-looking environmental and other sustainability-related statements may be based on standards for measuring progress that are still developing, internal controls and processes that continue to evolve, and assumptions that are subject to change in the future, including future rule-making.</w:t>
      </w:r>
    </w:p>
    <w:p>
      <w:pPr>
        <w:spacing w:after="0" w:line="67"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0"/>
          <w:szCs w:val="20"/>
          <w:color w:val="auto"/>
        </w:rPr>
        <w:t>Energy demand models are forward-looking by nature and aim to replicate system dynamics of the global energy system, requiring simplifications. The reference to any scenario in this report, including any potential net-zero scenarios, does not imply ExxonMobil views any particular scenario as likely to occur. In addition, energy demand scenarios require assumptions on a variety of parameters. As such, the outcome of any given scenario using an energy demand model comes with a high degree of uncertainty. Third-party scenarios discussed in this report reflect the modeling assumptions and outputs of their respective authors, not ExxonMobil, and their use by ExxonMobil is not an endorsement by ExxonMobil of their underlying assumptions, likelihood or probability. Investment decisions are made on the basis of ExxonMobil’s separate planning process. Any use of the modeling of a third-party organization within this report does not constitute or imply an endorsement by ExxonMobil of any or all of the positions or activities of such organization.</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640"/>
          </w:cols>
          <w:pgMar w:left="600" w:top="491" w:right="640" w:bottom="0" w:gutter="0" w:footer="0" w:header="0"/>
          <w:type w:val="continuous"/>
        </w:sectPr>
      </w:pPr>
    </w:p>
    <w:bookmarkStart w:id="52" w:name="page53"/>
    <w:bookmarkEnd w:id="52"/>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90" w:lineRule="exact"/>
        <w:rPr>
          <w:sz w:val="20"/>
          <w:szCs w:val="20"/>
          <w:color w:val="auto"/>
        </w:rPr>
      </w:pPr>
    </w:p>
    <w:p>
      <w:pPr>
        <w:jc w:val="both"/>
        <w:ind w:left="40"/>
        <w:spacing w:after="0" w:line="247" w:lineRule="auto"/>
        <w:rPr>
          <w:sz w:val="20"/>
          <w:szCs w:val="20"/>
          <w:color w:val="auto"/>
        </w:rPr>
      </w:pPr>
      <w:r>
        <w:rPr>
          <w:rFonts w:ascii="Times New Roman" w:cs="Times New Roman" w:eastAsia="Times New Roman" w:hAnsi="Times New Roman"/>
          <w:sz w:val="20"/>
          <w:szCs w:val="20"/>
          <w:color w:val="auto"/>
        </w:rPr>
        <w:t>Actions needed to advance ExxonMobil’s 2030 greenhouse gas emission-reductions plans are incorporated into its medium-term business plans, which are updated annually. The reference case for planning beyond 2030 is based on the Company’s Global Outlook (Outlook) research and publication. The Outlook is reflective of the existing global policy environment and an assumption of increasing policy stringency and technology improvement to 2050. However, the Outlook does not attempt to project the degree of required future policy and technology advancement and deployment for the world, or ExxonMobil, to meet net zero by 2050. As future policies and technology advancements emerge, they will be incorporated into the Outlook, and the Company’s business plans will be updated accordingly. References to projects or opportunities may not reflect investment decisions made by the Corporation or its affiliates. Individual projects or opportunities may advance based on a number of factors, including availability of supportive policy, permitting, technological advancement for cost-effective abatement, insights from the company planning process, and alignment with our partners and other stakeholders. Capital investment guidance in lower-emission investments is based on our corporate plan; however, actual investment levels will be subject to the availability of the opportunity set, public policy support, and focused on returns.</w:t>
      </w:r>
    </w:p>
    <w:p>
      <w:pPr>
        <w:spacing w:after="0" w:line="80"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The term “project” as used in this report can refer to a variety of different activities and does not necessarily have the same meaning as in any government payment transparency reports.</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b w:val="1"/>
          <w:bCs w:val="1"/>
          <w:color w:val="4C4C4C"/>
        </w:rPr>
        <w:t>OVERVIEW</w:t>
      </w:r>
    </w:p>
    <w:p>
      <w:pPr>
        <w:spacing w:after="0" w:line="124"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0"/>
          <w:szCs w:val="20"/>
          <w:color w:val="auto"/>
        </w:rPr>
        <w:t>The following discussion and analysis of ExxonMobil’s financial results, as well as the accompanying financial statements and related notes to consolidated financial statements to which they refer, are the responsibility of the management of Exxon Mobil Corporation. The Corporation’s accounting and financial reporting fairly reflect its integrated business model involving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lower-emission fuels, and lithium. ExxonMobil's reportable segments are Upstream, Energy Products, Chemical Products, and Specialty Products. Where applicable, ExxonMobil voluntarily discloses additional U.S., Non-U.S., and regional splits to help investors better understand the company's operations.</w:t>
      </w:r>
    </w:p>
    <w:p>
      <w:pPr>
        <w:spacing w:after="0" w:line="71"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color w:val="auto"/>
        </w:rPr>
        <w:t>The company is organized along three businesses – Upstream, Product Solutions, and Low Carbon Solutions, aligning along market-focused value chains. Product Solutions consists of Energy Products, Chemical Products, and Specialty Products. Low Carbon Solutions is included in Corporate and Financing as the business continues to mature through commercialization and deployment of technology. The businesses are supported by centralized service-delivery groups, including Global Projects, Technology and Engineering, Global Operations and Sustainability, as well as three organizations formed in 2023: Global Trading, Supply Chain, and Global Business Solutions.</w:t>
      </w:r>
    </w:p>
    <w:p>
      <w:pPr>
        <w:spacing w:after="0" w:line="66" w:lineRule="exact"/>
        <w:rPr>
          <w:sz w:val="20"/>
          <w:szCs w:val="20"/>
          <w:color w:val="auto"/>
        </w:rPr>
      </w:pPr>
    </w:p>
    <w:p>
      <w:pPr>
        <w:jc w:val="both"/>
        <w:ind w:left="40"/>
        <w:spacing w:after="0" w:line="247" w:lineRule="auto"/>
        <w:rPr>
          <w:sz w:val="20"/>
          <w:szCs w:val="20"/>
          <w:color w:val="auto"/>
        </w:rPr>
      </w:pPr>
      <w:r>
        <w:rPr>
          <w:rFonts w:ascii="Times New Roman" w:cs="Times New Roman" w:eastAsia="Times New Roman" w:hAnsi="Times New Roman"/>
          <w:sz w:val="20"/>
          <w:szCs w:val="20"/>
          <w:color w:val="auto"/>
        </w:rPr>
        <w:t>ExxonMobil, with its resource base, financial strength, disciplined investment approach and technology portfolio, is well-positioned to participate in substantial investments to develop new supplies of reliable and affordable lower-emission energy and other critical products. The company’s integrated business model, with significant investments in Upstream, Energy Products, Chemical Products, and Specialty Products segments and Low Carbon Solutions businesses, generally reduces the Corporation’s risk from changes in commodity prices. While commodity prices depend on supply and demand and may be volatile on a short-term basis, ExxonMobil’s investment decisions are grounded on fundamentals reflected in our long-term business outlook, and use a disciplined approach in selecting and pursuing the most attractive investment opportunities which target a low cost of supply to ensure long-term competitiveness. The annual Corporate Plan process establishes the economic assumptions used for evaluating investments and sets operating and capital objectives. The Global Outlook (Outlook), developed annually, is the foundation for the Corporate Plan assumptions. Price ranges for crude oil and natural gas, including price differentials, refinery and chemical margins, volumes, development and operating costs, including greenhouse gas emissions pricing, and foreign currency exchange rates are part of the Corporate Plan assumptions developed annually. Corporate Plan volume projections are based on individual field production profiles, which are also updated at least annually. Major investment opportunities are evaluated over a range of potential market conditions. All major investments are reappraised to ensure we learn from our decisions, and the development and execution of the project. Lessons learned are incorporated in future projects.</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640"/>
          </w:cols>
          <w:pgMar w:left="600" w:top="491" w:right="640" w:bottom="0" w:gutter="0" w:footer="0" w:header="0"/>
          <w:type w:val="continuous"/>
        </w:sectPr>
      </w:pPr>
    </w:p>
    <w:bookmarkStart w:id="53" w:name="page54"/>
    <w:bookmarkEnd w:id="53"/>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b w:val="1"/>
          <w:bCs w:val="1"/>
          <w:color w:val="4C4C4C"/>
        </w:rPr>
        <w:t>BUSINESS ENVIRONMENT</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Long-Term Business Outlook</w:t>
      </w:r>
    </w:p>
    <w:p>
      <w:pPr>
        <w:spacing w:after="0" w:line="110"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9"/>
          <w:szCs w:val="19"/>
          <w:color w:val="auto"/>
        </w:rPr>
        <w:t>ExxonMobil’s business planning is underpinned by a deep understanding of long-term market fundamentals. These fundamentals include supply and demand trends; the scale and variety of energy needs worldwide; capability, practicality and affordability of energy alternatives, including low-carbon solutions; greenhouse gas emission-reduction technologies; and relevant government policies. The Outlook considers these fundamentals to form the basis for the company’s long-term business planning, investment decisions, and research programs. The Outlook reflects the company’s view of global energy demand and supply through 2050. It is a projection based on current trends in technology, government policies, consumer preferences, geopolitics, and economic development.</w:t>
      </w:r>
    </w:p>
    <w:p>
      <w:pPr>
        <w:spacing w:after="0" w:line="56"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0"/>
          <w:szCs w:val="20"/>
          <w:color w:val="auto"/>
        </w:rPr>
        <w:t>In addition, ExxonMobil considers a range of scenarios - including remote scenarios - to help inform perspective of the future and enhance strategic thinking over time. Included in the range of these scenarios are the Intergovernmental Panel on Climate Change (IPCC) Likely Below 2°C scenarios and three scenarios from the International Energy Agency (IEA): IEA Stated Policies Scenario (STEPS), which reflects a sector-by-sector assessment of current policy in place or announced by governments; IEA Announced Pledges Scenario (APS), which reflects aspirational government targets met on time and in full; and IEA Net Zero Emissions by 2050 Scenario (NZE), which the IEA describes as extremely challenging, acknowledging that society is not currently on the IEA NZE pathway. No single transition pathway can be reasonably predicted, given the wide range of uncertainties. Key unknowns include yet-to-be-developed government policies, market conditions, and advances in technology that may influence the cost, pace, and potential availability of certain pathways. Scenarios that employ a full complement of technology options are likely to provide the most economically efficient pathways.</w:t>
      </w:r>
    </w:p>
    <w:p>
      <w:pPr>
        <w:spacing w:after="0" w:line="74"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20"/>
          <w:szCs w:val="20"/>
          <w:color w:val="auto"/>
        </w:rPr>
        <w:t>Using our own experts and third-party sources, we monitor a variety of signposts that may indicate a potential shift in the energy transition. For example, the regional pace of the transition could be influenced by the cost of new technologies compared to existing or alternative energy sources. To effectively evaluate the pace of change, ExxonMobil uses many scenarios to help identify signposts that provide leading indicators of future developments and allow for timely adjustments to future versions of the Outlook.</w:t>
      </w:r>
    </w:p>
    <w:p>
      <w:pPr>
        <w:sectPr>
          <w:pgSz w:w="11880" w:h="15480" w:orient="portrait"/>
          <w:cols w:equalWidth="0" w:num="1">
            <w:col w:w="10640"/>
          </w:cols>
          <w:pgMar w:left="600" w:top="491" w:right="640" w:bottom="0" w:gutter="0" w:footer="0" w:header="0"/>
        </w:sectPr>
      </w:pPr>
    </w:p>
    <w:p>
      <w:pPr>
        <w:spacing w:after="0" w:line="136" w:lineRule="exact"/>
        <w:rPr>
          <w:sz w:val="20"/>
          <w:szCs w:val="20"/>
          <w:color w:val="auto"/>
        </w:rPr>
      </w:pPr>
    </w:p>
    <w:p>
      <w:pPr>
        <w:ind w:left="100"/>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C"/>
        </w:rPr>
        <w:t>Developing countries projected to drive energy demand growth</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Primary energy - Quadrillion Btu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83185</wp:posOffset>
            </wp:positionV>
            <wp:extent cx="2185035" cy="22402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8">
                      <a:extLst>
                        <a:ext uri="{28A0092B-C50C-407E-A947-70E740481C1C}"/>
                      </a:extLst>
                    </a:blip>
                    <a:srcRect/>
                    <a:stretch>
                      <a:fillRect/>
                    </a:stretch>
                  </pic:blipFill>
                  <pic:spPr bwMode="auto">
                    <a:xfrm>
                      <a:off x="0" y="0"/>
                      <a:ext cx="2185035" cy="224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Source: ExxonMobil 2023 Global Outlook</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20"/>
          <w:szCs w:val="20"/>
          <w:color w:val="auto"/>
        </w:rPr>
        <w:t>By 2050, the world’s population is projected to be around 9.7 billion people, or about 2 billion more than in 2021. Coincident with this population increase, the Outlook projects worldwide economic growth to average approximately 2.5 percent per year, with economic output growing by around 110 percent by 2050 compared to 2021. As economies and populations grow, and as living standards improve for billions of people, the need for energy is expected to continue to rise. Even with significant efficiency gains, global energy demand is projected to rise by almost 15 percent from 2021 to 2050. This increase in energy demand is expected to be driven by developing countries (i.e., those that are not member nations of the Organization for Economic Co-operation and Development (OECD)).</w:t>
      </w:r>
    </w:p>
    <w:p>
      <w:pPr>
        <w:spacing w:after="0" w:line="9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20"/>
          <w:szCs w:val="20"/>
          <w:color w:val="auto"/>
        </w:rPr>
        <w:t>As expanding prosperity drives global energy demand higher, increasing use of energy-efficient technologies and practices as well as lower-emission products will continue to help significantly reduce energy consumption and CO2 emissions per unit of economic output over time. Substantial efficiency gains are likely in all key aspects of the world’s economy through 2050, affecting energy requirements for power generation, transportation, industrial applications, and residential and commercial needs.</w:t>
      </w:r>
    </w:p>
    <w:p>
      <w:pPr>
        <w:spacing w:after="0" w:line="301" w:lineRule="exact"/>
        <w:rPr>
          <w:sz w:val="20"/>
          <w:szCs w:val="20"/>
          <w:color w:val="auto"/>
        </w:rPr>
      </w:pPr>
    </w:p>
    <w:p>
      <w:pPr>
        <w:sectPr>
          <w:pgSz w:w="11880" w:h="15480" w:orient="portrait"/>
          <w:cols w:equalWidth="0" w:num="2">
            <w:col w:w="3840" w:space="400"/>
            <w:col w:w="6400"/>
          </w:cols>
          <w:pgMar w:left="600" w:top="491" w:right="640" w:bottom="0" w:gutter="0" w:footer="0" w:header="0"/>
          <w:type w:val="continuous"/>
        </w:sectPr>
      </w:pPr>
    </w:p>
    <w:p>
      <w:pPr>
        <w:jc w:val="both"/>
        <w:ind w:left="40"/>
        <w:spacing w:after="0" w:line="247" w:lineRule="auto"/>
        <w:rPr>
          <w:sz w:val="20"/>
          <w:szCs w:val="20"/>
          <w:color w:val="auto"/>
        </w:rPr>
      </w:pPr>
      <w:r>
        <w:rPr>
          <w:rFonts w:ascii="Times New Roman" w:cs="Times New Roman" w:eastAsia="Times New Roman" w:hAnsi="Times New Roman"/>
          <w:sz w:val="20"/>
          <w:szCs w:val="20"/>
          <w:color w:val="auto"/>
        </w:rPr>
        <w:t>Under our Outlook, global electricity demand is expected to increase about 80 percent from 2021 to 2050, with developing countries likely to account for over 75 percent of the increase. Consistent with this projection, power generation is expected to remain the largest and fastest growing major segment of global primary energy demand, supported by a wide variety of energy sources. The share of coal-fired generation is expected to decline substantially to approximately 15 percent of the world’s electricity in 2050, versus approximately 35 percent in 2021, in part due to policies to improve air quality as well as reduce greenhouse gas emissions to address risks related to climate change. From 2021 to 2050, the amount of electricity supplied using natural gas, nuclear power, and renewables is expected to more than double, accounting for the entire growth in electricity supplies and offsetting the reduction of coal. Electricity from wind and solar is expected to increase more than 550 percent, helping total renewables (including other sources, e.g., hydropower) to account for over 80 percent of the increase in electricity supplies through 2050. Total renewables are expected to reach about 50 percent of global electricity supplies by 2050. Natural gas and nuclear are expected to be about 20 percent and 10 percent, respectively, of global electricity supplies by 2050. Supplies of electricity by energy type will reflect significant differences across regions reflecting a wide range of factors, including the cost and availability of various energy supplies and policy developments.</w:t>
      </w:r>
    </w:p>
    <w:p>
      <w:pPr>
        <w:sectPr>
          <w:pgSz w:w="11880" w:h="15480" w:orient="portrait"/>
          <w:cols w:equalWidth="0" w:num="1">
            <w:col w:w="10640"/>
          </w:cols>
          <w:pgMar w:left="600" w:top="491" w:right="640" w:bottom="0" w:gutter="0" w:footer="0" w:header="0"/>
          <w:type w:val="continuous"/>
        </w:sectPr>
      </w:pP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640"/>
          </w:cols>
          <w:pgMar w:left="600" w:top="491" w:right="640" w:bottom="0" w:gutter="0" w:footer="0" w:header="0"/>
          <w:type w:val="continuous"/>
        </w:sectPr>
      </w:pPr>
    </w:p>
    <w:bookmarkStart w:id="54" w:name="page55"/>
    <w:bookmarkEnd w:id="54"/>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90"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0"/>
          <w:szCs w:val="20"/>
          <w:color w:val="auto"/>
        </w:rPr>
        <w:t>Energy for transportation - including cars, trucks, ships, trains, and airplanes - is expected to increase by over 30 percent from 2021 to 2050. Transportation energy demand is expected to account for more than 60 percent of the growth in liquid fuels demand worldwide over this period. Light-duty vehicle demand for liquid fuels is projected to peak by around 2025, and then decline to levels seen in the early-2000s by 2050, as the impact of better fuel economy and significant growth in electric cars, led by China, Europe, and the United States, work to offset growth in the worldwide car fleet of almost 70 percent. By 2050, light-duty vehicles are expected to account for around 15 percent of global liquid fuels demand. During the same time period, nearly all the world’s commercial transportation fleets are expected to continue to run on liquid fuels, including biofuels, which are expected to be widely available and offer practical advantages in providing a large quantity of energy in small volumes.</w:t>
      </w:r>
    </w:p>
    <w:p>
      <w:pPr>
        <w:spacing w:after="0" w:line="71"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20"/>
          <w:szCs w:val="20"/>
          <w:color w:val="auto"/>
        </w:rPr>
        <w:t>Almost half of the world’s energy use is dedicated to industrial activity. As the global middle class continues to grow, demand for durable products, appliances, and consumable goods will increase. Industry uses energy products both as a fuel and as a feedstock for chemicals, asphalt, lubricants, waxes, and other specialty products. The Outlook anticipates technology advances, as well as the increasing shift toward cleaner forms of energy, such as electricity and natural gas, with coal declining. Demand for oil will continue to grow as a feedstock for industry.</w:t>
      </w:r>
    </w:p>
    <w:p>
      <w:pPr>
        <w:spacing w:after="0" w:line="67" w:lineRule="exact"/>
        <w:rPr>
          <w:sz w:val="20"/>
          <w:szCs w:val="20"/>
          <w:color w:val="auto"/>
        </w:rPr>
      </w:pPr>
    </w:p>
    <w:p>
      <w:pPr>
        <w:jc w:val="both"/>
        <w:ind w:left="40"/>
        <w:spacing w:after="0" w:line="279" w:lineRule="auto"/>
        <w:rPr>
          <w:sz w:val="20"/>
          <w:szCs w:val="20"/>
          <w:color w:val="auto"/>
        </w:rPr>
      </w:pPr>
      <w:r>
        <w:rPr>
          <w:rFonts w:ascii="Times New Roman" w:cs="Times New Roman" w:eastAsia="Times New Roman" w:hAnsi="Times New Roman"/>
          <w:sz w:val="19"/>
          <w:szCs w:val="19"/>
          <w:color w:val="auto"/>
        </w:rPr>
        <w:t>As populations grow and prosperity rises, more energy will be needed to power homes, offices, schools, shopping centers, hospitals, etc. Combined residential and commercial energy demand is projected to rise by around 15 percent through 2050. Led by the growing economies of developing nations, average worldwide household electricity use will rise about 75 percent between 2021 and 2050.</w:t>
      </w:r>
    </w:p>
    <w:p>
      <w:pPr>
        <w:spacing w:after="0" w:line="42"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0"/>
          <w:szCs w:val="20"/>
          <w:color w:val="auto"/>
        </w:rPr>
        <w:t>Liquid fuels provide the largest share of global energy supplies today reflecting broad-based availability, affordability, ease of transportation, and fitness as a practical solution to meet a wide variety of needs. By 2050, global demand for liquid fuels is projected to grow to approximately 110 million oil-equivalent barrels per day, an increase of about 15 percent from 2021. The non-OECD share of global liquid fuels demand is expected to increase to nearly 70 percent by 2050, as liquid fuels demand in the OECD is expected to decline by more than 20 percent. Much of the global liquid fuels demand today is met by crude production from conventional sources; these supplies will remain important, and significant development activity is expected to offset much of the natural declines from these fields. At the same time, a variety of emerging supply sources - including tight oil, deepwater, oil sands, natural gas liquids, and biofuels - are expected to grow to help meet rising demand. Timely investments will remain critical to meeting global needs with reliable and affordable supplies.</w:t>
      </w:r>
    </w:p>
    <w:p>
      <w:pPr>
        <w:spacing w:after="0" w:line="76"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0"/>
          <w:szCs w:val="20"/>
          <w:color w:val="auto"/>
        </w:rPr>
        <w:t>Natural gas is a lower-emission, versatile, and practical fuel for a wide variety of applications. It is expected to grow the most of any primary energy type from 2021 to 2050, meeting about 40 percent of global energy demand growth. Global natural gas demand is expected to rise nearly 25 percent from 2021 to 2050, with greater than 75 percent of that increase coming from the Asia Pacific region. Significant growth in supplies of unconventional gas - the natural gas found in shale and other tight rock formations - will help meet these needs. In total, about 50 percent of the growth in natural gas supplies is expected to come from unconventional sources. At the same time, conventionally-produced natural gas is likely to remain the cornerstone of global supply, meeting around two-thirds of worldwide demand in 2050. LNG trade will expand significantly, meeting about two thirds of the increase in global demand growth, with much of this supply expected to help meet rising demand in Asia Pacific.</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640"/>
          </w:cols>
          <w:pgMar w:left="600" w:top="491" w:right="640" w:bottom="0" w:gutter="0" w:footer="0" w:header="0"/>
          <w:type w:val="continuous"/>
        </w:sectPr>
      </w:pPr>
    </w:p>
    <w:bookmarkStart w:id="55" w:name="page56"/>
    <w:bookmarkEnd w:id="55"/>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4C4C4C"/>
        </w:rPr>
        <w:t>Oil and natural gas projected to play a critical role in the global energy mix</w:t>
      </w:r>
    </w:p>
    <w:p>
      <w:pPr>
        <w:spacing w:after="0" w:line="184" w:lineRule="exact"/>
        <w:rPr>
          <w:sz w:val="20"/>
          <w:szCs w:val="20"/>
          <w:color w:val="auto"/>
        </w:rPr>
      </w:pPr>
    </w:p>
    <w:p>
      <w:pPr>
        <w:ind w:left="1240"/>
        <w:spacing w:after="0"/>
        <w:tabs>
          <w:tab w:leader="none" w:pos="6220" w:val="left"/>
        </w:tabs>
        <w:rPr>
          <w:sz w:val="20"/>
          <w:szCs w:val="20"/>
          <w:color w:val="auto"/>
        </w:rPr>
      </w:pPr>
      <w:r>
        <w:rPr>
          <w:rFonts w:ascii="Times New Roman" w:cs="Times New Roman" w:eastAsia="Times New Roman" w:hAnsi="Times New Roman"/>
          <w:sz w:val="16"/>
          <w:szCs w:val="16"/>
          <w:i w:val="1"/>
          <w:iCs w:val="1"/>
          <w:color w:val="auto"/>
        </w:rPr>
        <w:t>Primary energy - Quadrillion Btu</w:t>
      </w:r>
      <w:r>
        <w:rPr>
          <w:sz w:val="20"/>
          <w:szCs w:val="20"/>
          <w:color w:val="auto"/>
        </w:rPr>
        <w:tab/>
      </w:r>
      <w:r>
        <w:rPr>
          <w:rFonts w:ascii="Times New Roman" w:cs="Times New Roman" w:eastAsia="Times New Roman" w:hAnsi="Times New Roman"/>
          <w:sz w:val="15"/>
          <w:szCs w:val="15"/>
          <w:i w:val="1"/>
          <w:iCs w:val="1"/>
          <w:color w:val="auto"/>
        </w:rPr>
        <w:t>Percent of primary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149225</wp:posOffset>
            </wp:positionV>
            <wp:extent cx="5935345" cy="2419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9">
                      <a:extLst>
                        <a:ext uri="{28A0092B-C50C-407E-A947-70E740481C1C}"/>
                      </a:extLst>
                    </a:blip>
                    <a:srcRect/>
                    <a:stretch>
                      <a:fillRect/>
                    </a:stretch>
                  </pic:blipFill>
                  <pic:spPr bwMode="auto">
                    <a:xfrm>
                      <a:off x="0" y="0"/>
                      <a:ext cx="5935345" cy="241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40"/>
        <w:spacing w:after="0"/>
        <w:tabs>
          <w:tab w:leader="none" w:pos="6220" w:val="left"/>
        </w:tabs>
        <w:rPr>
          <w:sz w:val="20"/>
          <w:szCs w:val="20"/>
          <w:color w:val="auto"/>
        </w:rPr>
      </w:pPr>
      <w:r>
        <w:rPr>
          <w:rFonts w:ascii="Times New Roman" w:cs="Times New Roman" w:eastAsia="Times New Roman" w:hAnsi="Times New Roman"/>
          <w:sz w:val="16"/>
          <w:szCs w:val="16"/>
          <w:i w:val="1"/>
          <w:iCs w:val="1"/>
          <w:color w:val="auto"/>
        </w:rPr>
        <w:t>Source: ExxonMobil 2023 Global Outlook</w:t>
      </w:r>
      <w:r>
        <w:rPr>
          <w:sz w:val="20"/>
          <w:szCs w:val="20"/>
          <w:color w:val="auto"/>
        </w:rPr>
        <w:tab/>
      </w:r>
      <w:r>
        <w:rPr>
          <w:rFonts w:ascii="Times New Roman" w:cs="Times New Roman" w:eastAsia="Times New Roman" w:hAnsi="Times New Roman"/>
          <w:sz w:val="15"/>
          <w:szCs w:val="15"/>
          <w:i w:val="1"/>
          <w:iCs w:val="1"/>
          <w:color w:val="auto"/>
        </w:rPr>
        <w:t>Source: ExxonMobil 2023 Global Outlook</w:t>
      </w:r>
    </w:p>
    <w:p>
      <w:pPr>
        <w:spacing w:after="0" w:line="110" w:lineRule="exact"/>
        <w:rPr>
          <w:sz w:val="20"/>
          <w:szCs w:val="20"/>
          <w:color w:val="auto"/>
        </w:rPr>
      </w:pPr>
    </w:p>
    <w:p>
      <w:pPr>
        <w:ind w:left="1240" w:right="3560" w:hanging="9"/>
        <w:spacing w:after="0" w:line="337" w:lineRule="auto"/>
        <w:tabs>
          <w:tab w:leader="none" w:pos="1358"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Electricity and Hydrogen are secondary energies derived from the primary energies shown **Includes biomass, biofuels, hydropower, and geothermal</w:t>
      </w:r>
    </w:p>
    <w:p>
      <w:pPr>
        <w:spacing w:after="0" w:line="238"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0"/>
          <w:szCs w:val="20"/>
          <w:color w:val="auto"/>
        </w:rPr>
        <w:t>The world’s energy mix is highly diverse and will remain so through 2050. Oil is expected to continue as the largest source of energy with its share remaining close to 30 percent in 2050. Coal and natural gas are the next largest sources of energy today, with the share of natural gas growing to more than 25 percent by 2050, while the share of coal falls to about half that of natural gas. Nuclear power is projected to grow, as many nations are likely to expand nuclear capacity to address rising electricity needs as well as energy security and environmental issues. Total renewable energy is expected to exceed 20 percent of global energy by 2050, with other renewables (e.g., biomass, hydropower, geothermal) contributing a combined share of more than 10 percent. Total energy supplied from wind and solar is expected to increase rapidly, growing over 500 percent from 2021 to 2050, when they are projected to be around 10 percent of the world energy mix.</w:t>
      </w:r>
    </w:p>
    <w:p>
      <w:pPr>
        <w:spacing w:after="0" w:line="71" w:lineRule="exact"/>
        <w:rPr>
          <w:sz w:val="20"/>
          <w:szCs w:val="20"/>
          <w:color w:val="auto"/>
        </w:rPr>
      </w:pPr>
    </w:p>
    <w:p>
      <w:pPr>
        <w:jc w:val="both"/>
        <w:ind w:left="40"/>
        <w:spacing w:after="0" w:line="263" w:lineRule="auto"/>
        <w:rPr>
          <w:sz w:val="20"/>
          <w:szCs w:val="20"/>
          <w:color w:val="auto"/>
        </w:rPr>
      </w:pPr>
      <w:r>
        <w:rPr>
          <w:rFonts w:ascii="Times New Roman" w:cs="Times New Roman" w:eastAsia="Times New Roman" w:hAnsi="Times New Roman"/>
          <w:sz w:val="19"/>
          <w:szCs w:val="19"/>
          <w:color w:val="auto"/>
        </w:rPr>
        <w:t>Decarbonization of industrial activities will require a suite of nascent or future lower-carbon technologies and supporting policies. Lower-emission fuels, hydrogen-based fuels, and carbon capture and storage are three key lower-carbon solutions needed to support a lower-emission future, in addition to wind and solar. Along with electrification, lower-emission fuels are expected to play an important role in decarbonization of the transportation sector, particularly in hard-to-decarbonize areas, such as aviation. Low-carbon hydrogen will be a key enabler replacing traditional furnace fuel to decarbonize the industrial sector. Hydrogen and hydrogen-based fuels like ammonia are also expected to make inroads into commercial transportation as technology improves to lower its cost and policy develops to support the needed infrastructure development. Carbon capture and storage on its own, or in combination with hydrogen production, is among the few proven technologies that could enable CO2 emission reductions from high-emitting and hard-to-decarbonize sectors such as power generation and heavy industries, including manufacturing, refining, and petrochemicals.</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640"/>
          </w:cols>
          <w:pgMar w:left="600" w:top="491" w:right="640" w:bottom="0" w:gutter="0" w:footer="0" w:header="0"/>
          <w:type w:val="continuous"/>
        </w:sectPr>
      </w:pPr>
    </w:p>
    <w:bookmarkStart w:id="56" w:name="page57"/>
    <w:bookmarkEnd w:id="56"/>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4C4C4C"/>
        </w:rPr>
        <w:t>Significant oil and natural gas investment needed to meet projected global demand</w:t>
      </w:r>
    </w:p>
    <w:p>
      <w:pPr>
        <w:spacing w:after="0" w:line="103"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20"/>
          <w:szCs w:val="20"/>
          <w:b w:val="1"/>
          <w:bCs w:val="1"/>
          <w:color w:val="auto"/>
        </w:rPr>
        <w:t>Projected global oil supply and demand</w:t>
      </w:r>
      <w:r>
        <w:rPr>
          <w:sz w:val="20"/>
          <w:szCs w:val="20"/>
          <w:color w:val="auto"/>
        </w:rPr>
        <w:tab/>
      </w:r>
      <w:r>
        <w:rPr>
          <w:rFonts w:ascii="Times New Roman" w:cs="Times New Roman" w:eastAsia="Times New Roman" w:hAnsi="Times New Roman"/>
          <w:sz w:val="19"/>
          <w:szCs w:val="19"/>
          <w:b w:val="1"/>
          <w:bCs w:val="1"/>
          <w:color w:val="auto"/>
        </w:rPr>
        <w:t>Projected global natural gas supply and demand</w:t>
      </w:r>
    </w:p>
    <w:p>
      <w:pPr>
        <w:spacing w:after="0" w:line="31"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16"/>
          <w:szCs w:val="16"/>
          <w:i w:val="1"/>
          <w:iCs w:val="1"/>
          <w:color w:val="auto"/>
        </w:rPr>
        <w:t>Million barrels per day</w:t>
      </w:r>
      <w:r>
        <w:rPr>
          <w:sz w:val="20"/>
          <w:szCs w:val="20"/>
          <w:color w:val="auto"/>
        </w:rPr>
        <w:tab/>
      </w:r>
      <w:r>
        <w:rPr>
          <w:rFonts w:ascii="Times New Roman" w:cs="Times New Roman" w:eastAsia="Times New Roman" w:hAnsi="Times New Roman"/>
          <w:sz w:val="15"/>
          <w:szCs w:val="15"/>
          <w:i w:val="1"/>
          <w:iCs w:val="1"/>
          <w:color w:val="auto"/>
        </w:rPr>
        <w:t>Billion cubic feet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54610</wp:posOffset>
            </wp:positionV>
            <wp:extent cx="6588760" cy="1971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0">
                      <a:extLst>
                        <a:ext uri="{28A0092B-C50C-407E-A947-70E740481C1C}"/>
                      </a:extLst>
                    </a:blip>
                    <a:srcRect/>
                    <a:stretch>
                      <a:fillRect/>
                    </a:stretch>
                  </pic:blipFill>
                  <pic:spPr bwMode="auto">
                    <a:xfrm>
                      <a:off x="0" y="0"/>
                      <a:ext cx="6588760" cy="1971675"/>
                    </a:xfrm>
                    <a:prstGeom prst="rect">
                      <a:avLst/>
                    </a:prstGeom>
                    <a:noFill/>
                  </pic:spPr>
                </pic:pic>
              </a:graphicData>
            </a:graphic>
          </wp:anchor>
        </w:drawing>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Excludes biofuels; IEA STEPS, IEA APS, and IEA NZE Source: IEA</w:t>
      </w:r>
    </w:p>
    <w:p>
      <w:pPr>
        <w:spacing w:after="0" w:line="35" w:lineRule="exact"/>
        <w:rPr>
          <w:sz w:val="20"/>
          <w:szCs w:val="20"/>
          <w:color w:val="auto"/>
        </w:rPr>
      </w:pPr>
    </w:p>
    <w:p>
      <w:pPr>
        <w:ind w:left="120" w:right="620"/>
        <w:spacing w:after="0" w:line="247" w:lineRule="auto"/>
        <w:rPr>
          <w:sz w:val="20"/>
          <w:szCs w:val="20"/>
          <w:color w:val="auto"/>
        </w:rPr>
      </w:pPr>
      <w:r>
        <w:rPr>
          <w:rFonts w:ascii="Times New Roman" w:cs="Times New Roman" w:eastAsia="Times New Roman" w:hAnsi="Times New Roman"/>
          <w:sz w:val="16"/>
          <w:szCs w:val="16"/>
          <w:i w:val="1"/>
          <w:iCs w:val="1"/>
          <w:color w:val="auto"/>
        </w:rPr>
        <w:t>WEO 2023; Global Outlook Source: ExxonMobil 2023 Global Outlook; IPCC Likely Below 2°C Average and Range Source: IPCC AR6 Scenarios Database hosted by IIASA release 1.0 average IPCC C3: 311 “Likely below 2°C” scenarios used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IEA STEPS, IEA APS, and IEA NZE Source: IEA WEO 2023;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Global Outlook Source: ExxonMobil 2023 Global Outlook; IPCC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Likely Below 2°C Average and Range Source: IPCC AR6 Scenarios</w:t>
      </w:r>
    </w:p>
    <w:p>
      <w:pPr>
        <w:spacing w:after="0" w:line="16" w:lineRule="exact"/>
        <w:rPr>
          <w:sz w:val="20"/>
          <w:szCs w:val="20"/>
          <w:color w:val="auto"/>
        </w:rPr>
      </w:pPr>
    </w:p>
    <w:p>
      <w:pPr>
        <w:ind w:right="1000"/>
        <w:spacing w:after="0" w:line="250" w:lineRule="auto"/>
        <w:rPr>
          <w:sz w:val="20"/>
          <w:szCs w:val="20"/>
          <w:color w:val="auto"/>
        </w:rPr>
      </w:pPr>
      <w:r>
        <w:rPr>
          <w:rFonts w:ascii="Times New Roman" w:cs="Times New Roman" w:eastAsia="Times New Roman" w:hAnsi="Times New Roman"/>
          <w:sz w:val="16"/>
          <w:szCs w:val="16"/>
          <w:i w:val="1"/>
          <w:iCs w:val="1"/>
          <w:color w:val="auto"/>
        </w:rPr>
        <w:t>Database hosted by IIASA release 1.0 average IPCC C3: 311 “Likely below 2°C” scenarios used</w:t>
      </w:r>
    </w:p>
    <w:p>
      <w:pPr>
        <w:spacing w:after="0" w:line="143" w:lineRule="exact"/>
        <w:rPr>
          <w:sz w:val="20"/>
          <w:szCs w:val="20"/>
          <w:color w:val="auto"/>
        </w:rPr>
      </w:pPr>
    </w:p>
    <w:p>
      <w:pPr>
        <w:sectPr>
          <w:pgSz w:w="11880" w:h="15480" w:orient="portrait"/>
          <w:cols w:equalWidth="0" w:num="2">
            <w:col w:w="5040" w:space="720"/>
            <w:col w:w="4880"/>
          </w:cols>
          <w:pgMar w:left="600" w:top="491" w:right="640" w:bottom="0" w:gutter="0" w:footer="0" w:header="0"/>
          <w:type w:val="continuous"/>
        </w:sectPr>
      </w:pPr>
    </w:p>
    <w:p>
      <w:pPr>
        <w:jc w:val="both"/>
        <w:ind w:left="40"/>
        <w:spacing w:after="0" w:line="272" w:lineRule="auto"/>
        <w:rPr>
          <w:sz w:val="20"/>
          <w:szCs w:val="20"/>
          <w:color w:val="auto"/>
        </w:rPr>
      </w:pPr>
      <w:r>
        <w:rPr>
          <w:rFonts w:ascii="Times New Roman" w:cs="Times New Roman" w:eastAsia="Times New Roman" w:hAnsi="Times New Roman"/>
          <w:sz w:val="19"/>
          <w:szCs w:val="19"/>
          <w:color w:val="auto"/>
        </w:rPr>
        <w:t>To meet projected demand under our Outlook and the IEA's STEPS, the Corporation anticipates that the world’s available oil and gas resource base will grow, not only from new discoveries, but also from increases in previously discovered fields. Technology will underpin these increases. The investments to develop and supply resources to meet global demand through 2050 will be significant and would be needed to meet even rapidly declining demand for oil and gas envisioned in aggressive decarbonization scenarios.</w:t>
      </w:r>
    </w:p>
    <w:p>
      <w:pPr>
        <w:spacing w:after="0" w:line="48" w:lineRule="exact"/>
        <w:rPr>
          <w:sz w:val="20"/>
          <w:szCs w:val="20"/>
          <w:color w:val="auto"/>
        </w:rPr>
      </w:pPr>
    </w:p>
    <w:p>
      <w:pPr>
        <w:jc w:val="both"/>
        <w:ind w:left="40"/>
        <w:spacing w:after="0" w:line="261" w:lineRule="auto"/>
        <w:rPr>
          <w:sz w:val="20"/>
          <w:szCs w:val="20"/>
          <w:color w:val="auto"/>
        </w:rPr>
      </w:pPr>
      <w:r>
        <w:rPr>
          <w:rFonts w:ascii="Times New Roman" w:cs="Times New Roman" w:eastAsia="Times New Roman" w:hAnsi="Times New Roman"/>
          <w:sz w:val="19"/>
          <w:szCs w:val="19"/>
          <w:color w:val="auto"/>
        </w:rPr>
        <w:t>International accords and underlying regional and national regulations covering greenhouse gas emissions continue to evolve with uncertain timing and outcome, making it difficult to predict their business impact. For many years, the Corporation has taken into account policies established to reduce energy-related greenhouse gas emissions in its long-term Outlook. The climate accord reached at the 2015 Conference of the Parties (COP 21) in Paris set many new goals, and many related policies are still emerging. Our Outlook reflects an environment with increasingly stringent climate policies and is consistent with the successful achievement of the global aggregation of Nationally Determined Contributions (NDCs), submitted by the nations that are signatories to the Paris Agreement, as available at the end of 2022. We have assumed success of these NDCs, despite the 2023 United Nations Environment Programme (UNEP) Emissions Gap Report projecting that the G20 members will fall short of their NDCs. Our Outlook seeks to identify potential impacts of climate-related government policies, which often target specific sectors. For purposes of the Outlook, a proxy cost on energy-related CO2 emissions is assumed, based on regional considerations and relative levels of economic development, and by 2050, reaches up to $150 per metric ton for OECD nations and up to $100 per metric ton for non-OECD nations. China and other leading non-OECD nations are expected to trail OECD policy initiatives. Nevertheless, as people and nations look for ways to reduce risks of global climate change, they will continue to need practical solutions that do not jeopardize the affordability or reliability of the energy they need. The Corporation continues to monitor the updates to the NDCs that nations provided around COP 28 in Dubai in 2023, as well as other policy developments in light of net-zero ambitions formulated by some nations.</w:t>
      </w:r>
    </w:p>
    <w:p>
      <w:pPr>
        <w:spacing w:after="0" w:line="62"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The information provided in the Outlook includes ExxonMobil’s internal estimates and projections based upon internal data and analyses as well as publicly available information from external sources including the International Energy Agency.</w:t>
      </w:r>
    </w:p>
    <w:p>
      <w:pPr>
        <w:sectPr>
          <w:pgSz w:w="11880" w:h="15480" w:orient="portrait"/>
          <w:cols w:equalWidth="0" w:num="1">
            <w:col w:w="10640"/>
          </w:cols>
          <w:pgMar w:left="600" w:top="491"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640"/>
          </w:cols>
          <w:pgMar w:left="600" w:top="491" w:right="640" w:bottom="0" w:gutter="0" w:footer="0" w:header="0"/>
          <w:type w:val="continuous"/>
        </w:sectPr>
      </w:pPr>
    </w:p>
    <w:bookmarkStart w:id="57" w:name="page58"/>
    <w:bookmarkEnd w:id="57"/>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Progress Reducing Emissions</w:t>
      </w:r>
    </w:p>
    <w:p>
      <w:pPr>
        <w:spacing w:after="0" w:line="110"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0"/>
          <w:szCs w:val="20"/>
          <w:color w:val="auto"/>
        </w:rPr>
        <w:t>The Corporation’s strategy seeks to maximize the advantages of our scale, business integration, leading technology, functional excellence, and our people to build globally competitive businesses that lead industry in earnings and cash flow growth across a range of future scenarios. We strive to play a leading role in the energy transition, bringing to bear these same advantages while retaining investment flexibility across a portfolio of evolving opportunities to grow shareholder value. With advancements in technology, clear and consistent government policies that support needed investments, and the development of market-driven mechanisms, we aim to achieve net-zero Scope 1 and 2 greenhouse gas emissions in our operated assets by 2050. Our net-zero ambition is backed by a comprehensive approach centered on detailed emission-reduction roadmaps for our major operated assets that were completed in 2022. The roadmaps build on the company’s 2030 emission-reduction plans and, notably, include reaching net-zero Scope 1 and 2 emissions in our unconventional Permian Basin operated assets by 2030. Many of the required reduction steps are unaffordable with today's technology and policy support. We continue to update the roadmaps to reflect technology and policy, and to account for the many potential pathways, and the pace of the energy transition.</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Compared to 2016 levels, our 2030 plans are expected to drive the following reductions:</w:t>
      </w:r>
    </w:p>
    <w:p>
      <w:pPr>
        <w:spacing w:after="0" w:line="103" w:lineRule="exact"/>
        <w:rPr>
          <w:sz w:val="20"/>
          <w:szCs w:val="20"/>
          <w:color w:val="auto"/>
        </w:rPr>
      </w:pPr>
    </w:p>
    <w:p>
      <w:pPr>
        <w:ind w:left="760" w:hanging="359"/>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20-30 percent reduction in corporate-wide greenhouse gas intensity;</w:t>
      </w:r>
    </w:p>
    <w:p>
      <w:pPr>
        <w:spacing w:after="0" w:line="103" w:lineRule="exact"/>
        <w:rPr>
          <w:rFonts w:ascii="Times New Roman" w:cs="Times New Roman" w:eastAsia="Times New Roman" w:hAnsi="Times New Roman"/>
          <w:sz w:val="20"/>
          <w:szCs w:val="20"/>
          <w:color w:val="auto"/>
        </w:rPr>
      </w:pPr>
    </w:p>
    <w:p>
      <w:pPr>
        <w:ind w:left="760" w:hanging="359"/>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70-80 percent reduction in corporate-wide methane intensity;</w:t>
      </w:r>
    </w:p>
    <w:p>
      <w:pPr>
        <w:spacing w:after="0" w:line="103" w:lineRule="exact"/>
        <w:rPr>
          <w:rFonts w:ascii="Times New Roman" w:cs="Times New Roman" w:eastAsia="Times New Roman" w:hAnsi="Times New Roman"/>
          <w:sz w:val="20"/>
          <w:szCs w:val="20"/>
          <w:color w:val="auto"/>
        </w:rPr>
      </w:pPr>
    </w:p>
    <w:p>
      <w:pPr>
        <w:ind w:left="760" w:hanging="359"/>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40-50 percent reduction in upstream greenhouse gas intensity; and</w:t>
      </w:r>
    </w:p>
    <w:p>
      <w:pPr>
        <w:spacing w:after="0" w:line="103" w:lineRule="exact"/>
        <w:rPr>
          <w:rFonts w:ascii="Times New Roman" w:cs="Times New Roman" w:eastAsia="Times New Roman" w:hAnsi="Times New Roman"/>
          <w:sz w:val="20"/>
          <w:szCs w:val="20"/>
          <w:color w:val="auto"/>
        </w:rPr>
      </w:pPr>
    </w:p>
    <w:p>
      <w:pPr>
        <w:ind w:left="760" w:hanging="359"/>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60-70 percent reduction in corporate-wide flaring intensity.</w:t>
      </w:r>
    </w:p>
    <w:p>
      <w:pPr>
        <w:spacing w:after="0" w:line="103"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The achievement of these plans is also expected to result in an absolute reduction in corporate-wide greenhouse gas emissions by approximately 20 percent, compared to 2016 levels.</w:t>
      </w:r>
    </w:p>
    <w:p>
      <w:pPr>
        <w:spacing w:after="0" w:line="45"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Our emission-reduction plans cover Scope 1 and 2 emissions from assets we operate. These plans exclude our recent acquisition of Denbury Inc.</w:t>
      </w:r>
    </w:p>
    <w:p>
      <w:pPr>
        <w:spacing w:after="0" w:line="45" w:lineRule="exact"/>
        <w:rPr>
          <w:sz w:val="20"/>
          <w:szCs w:val="20"/>
          <w:color w:val="auto"/>
        </w:rPr>
      </w:pPr>
    </w:p>
    <w:p>
      <w:pPr>
        <w:jc w:val="both"/>
        <w:ind w:left="40"/>
        <w:spacing w:after="0" w:line="259" w:lineRule="auto"/>
        <w:rPr>
          <w:sz w:val="20"/>
          <w:szCs w:val="20"/>
          <w:color w:val="auto"/>
        </w:rPr>
      </w:pPr>
      <w:r>
        <w:rPr>
          <w:rFonts w:ascii="Times New Roman" w:cs="Times New Roman" w:eastAsia="Times New Roman" w:hAnsi="Times New Roman"/>
          <w:sz w:val="20"/>
          <w:szCs w:val="20"/>
          <w:color w:val="auto"/>
        </w:rPr>
        <w:t>The Corporation plans to continue to pursue lower-emission investments. These investments are targeted at reducing emissions in the company’s operations as well as reducing the emissions of other companies. At this early stage, supportive policy remains critical to enable emissions reductions, advance technology, and drive scale to improve costs.</w:t>
      </w:r>
    </w:p>
    <w:p>
      <w:pPr>
        <w:spacing w:after="0" w:line="59" w:lineRule="exact"/>
        <w:rPr>
          <w:sz w:val="20"/>
          <w:szCs w:val="20"/>
          <w:color w:val="auto"/>
        </w:rPr>
      </w:pPr>
    </w:p>
    <w:p>
      <w:pPr>
        <w:jc w:val="both"/>
        <w:ind w:left="40"/>
        <w:spacing w:after="0" w:line="247" w:lineRule="auto"/>
        <w:rPr>
          <w:sz w:val="20"/>
          <w:szCs w:val="20"/>
          <w:color w:val="auto"/>
        </w:rPr>
      </w:pPr>
      <w:r>
        <w:rPr>
          <w:rFonts w:ascii="Times New Roman" w:cs="Times New Roman" w:eastAsia="Times New Roman" w:hAnsi="Times New Roman"/>
          <w:sz w:val="20"/>
          <w:szCs w:val="20"/>
          <w:color w:val="auto"/>
        </w:rPr>
        <w:t>ExxonMobil’s Low Carbon Solutions business is working with the Product Solutions and Upstream businesses to grow a pipeline of emission-reduction opportunities in carbon capture and storage, hydrogen, and lower-emission fuels, as well as lithium to supply the global battery and electric vehicle markets. Our customers, many governments, and others recognize our combination of experience, skills, and capabilities that have the potential to help reduce the emissions of others. For example, on the U.S. Gulf Coast, we see an opportunity to create a carbon capture and storage business that will allow industrial customers to reduce their emissions. The recent acquisition of Denbury expands our capabilities in this area, providing ExxonMobil with the largest owned and operated network of CO2 pipelines in the United States, including over 900 miles of pipelines near the largest industrial complexes on the Gulf Coast. Combining Denbury’s assets and our experience expands our ability to help customers in the region reduce their emissions at a lower cost and faster pace. A cost-efficient transportation and storage system has the potential to accelerate carbon capture and storage deployment for both ExxonMobil and our third-party customers. Policy support, along with technology advancements and the development of market-driven mechanisms, will continue to be important to the development and deployment of lower-emission solutions.</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640"/>
          </w:cols>
          <w:pgMar w:left="600" w:top="491" w:right="640" w:bottom="0" w:gutter="0" w:footer="0" w:header="0"/>
          <w:type w:val="continuous"/>
        </w:sectPr>
      </w:pPr>
    </w:p>
    <w:bookmarkStart w:id="58" w:name="page59"/>
    <w:bookmarkEnd w:id="58"/>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Recent Business Environment</w:t>
      </w:r>
    </w:p>
    <w:p>
      <w:pPr>
        <w:spacing w:after="0" w:line="110"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color w:val="auto"/>
        </w:rPr>
        <w:t>Prior to the COVID-19 pandemic, many companies in the industry invested below the levels needed to maintain or increase production capacity to meet anticipated demand. During the COVID-19 pandemic, this decline in investments accelerated as industry revenue collapsed resulting in underinvestment and supply tightness as demand for petroleum and petrochemical products recovered. In addition, industry rationalization of refining assets resulted in more than 3 million barrels per day of capacity being taken offline. These reductions, along with supply chain constraints and a continuation of demand recovery, led to a steady increase in oil and natural gas prices and refining margins through 2022.</w:t>
      </w:r>
    </w:p>
    <w:p>
      <w:pPr>
        <w:spacing w:after="0" w:line="66"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color w:val="auto"/>
        </w:rPr>
        <w:t>Energy markets began to normalize in 2023, down from their 2022 highs. During the first half of 2023, the price of crude oil declined towards the average of the pre-COVID 10-year range (2010-2019), impacted by higher inventory levels. In the second half, crude oil prices increased modestly from strong demand and ongoing actions by OPEC+ oil producers to limit supply. In the first nine months of the year, natural gas prices declined significantly with storage levels increasing above historical averages in the United States and Europe on higher supply and lower demand. In the fourth quarter, natural gas prices improved as higher heating demand in the U.S. and supply interruptions in Europe and Asia brought prices back above the 10-year range.</w:t>
      </w:r>
    </w:p>
    <w:p>
      <w:pPr>
        <w:spacing w:after="0" w:line="66"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20"/>
          <w:szCs w:val="20"/>
          <w:color w:val="auto"/>
        </w:rPr>
        <w:t>Throughout 2023, refining margins declined on easing supply concerns with stabilization of Russian supply. Strong demand for gasoline and distillate, combined with low inventories, kept refining margins above the 10-year range until the fourth quarter when refining margins settled near the middle of the 10-year range due to lower seasonal demand. Chemical margins remained well below the 10-year range throughout the year as continued demand growth was met with robust supply additions.</w:t>
      </w:r>
    </w:p>
    <w:p>
      <w:pPr>
        <w:spacing w:after="0" w:line="65"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20"/>
          <w:szCs w:val="20"/>
          <w:color w:val="auto"/>
        </w:rPr>
        <w:t>The general rate of inflation across major countries peaked in 2022, rising from already elevated levels in 2021, due to additional impacts on energy and other commodities from the Russia-Ukraine conflict. Inflation moderated in 2023 as major central banks tightened monetary policy aggressively and global GDP growth slowed. It currently remains higher than the central bank’s inflation target in the U.S. and Eurozone; however, major central banks have recently paused further rate tightening. Meanwhile, there are significant variations across OECD and non-OECD in the pace of change in inflation.</w:t>
      </w:r>
    </w:p>
    <w:p>
      <w:pPr>
        <w:spacing w:after="0" w:line="67"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0"/>
          <w:szCs w:val="20"/>
          <w:color w:val="auto"/>
        </w:rPr>
        <w:t>The Corporation closely monitors market trends and works to mitigate both operating and capital cost impacts in all price environments. Organizational changes implemented over the past several years enabled the Corporation to capture $9.7 billion of structural cost savings</w:t>
      </w:r>
      <w:r>
        <w:rPr>
          <w:rFonts w:ascii="Times New Roman" w:cs="Times New Roman" w:eastAsia="Times New Roman" w:hAnsi="Times New Roman"/>
          <w:sz w:val="25"/>
          <w:szCs w:val="25"/>
          <w:i w:val="1"/>
          <w:iCs w:val="1"/>
          <w:color w:val="auto"/>
          <w:vertAlign w:val="superscript"/>
        </w:rPr>
        <w:t>(1)</w:t>
      </w:r>
      <w:r>
        <w:rPr>
          <w:rFonts w:ascii="Times New Roman" w:cs="Times New Roman" w:eastAsia="Times New Roman" w:hAnsi="Times New Roman"/>
          <w:sz w:val="20"/>
          <w:szCs w:val="20"/>
          <w:color w:val="auto"/>
        </w:rPr>
        <w:t xml:space="preserve"> versus 2019, including $2.3 billion of savings during 2023, through increased operational efficiencies and reduced staffing costs. The company sees additional opportunities in areas such as supply chain efficiency, improved maintenance and turnarounds, modernized data management, and simplified business processes. These savings are key drivers for further improving the earnings power of the Corporation.</w:t>
      </w:r>
    </w:p>
    <w:p>
      <w:pPr>
        <w:spacing w:after="0" w:line="57" w:lineRule="exact"/>
        <w:rPr>
          <w:sz w:val="20"/>
          <w:szCs w:val="20"/>
          <w:color w:val="auto"/>
        </w:rPr>
      </w:pPr>
    </w:p>
    <w:p>
      <w:pPr>
        <w:ind w:left="200" w:hanging="152"/>
        <w:spacing w:after="0"/>
        <w:tabs>
          <w:tab w:leader="none" w:pos="200" w:val="left"/>
        </w:tabs>
        <w:numPr>
          <w:ilvl w:val="0"/>
          <w:numId w:val="2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structural cost savings.</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Transportation of Kazakhstan Production</w:t>
      </w:r>
    </w:p>
    <w:p>
      <w:pPr>
        <w:spacing w:after="0" w:line="110"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0"/>
          <w:szCs w:val="20"/>
          <w:color w:val="auto"/>
        </w:rPr>
        <w:t>The Corporation holds a 25 percent interest in Tengizchevroil, LLP (TCO), which operates the Tengiz and Korolev oil fields in Kazakhstan, and a 16.8 percent working interest in the Kashagan field in Kazakhstan. Oil production from those operations is exported through the Caspian Pipeline Consortium (CPC), in which the Corporation holds a 7.5 percent interest. CPC traverses parts of Kazakhstan and Russia to tanker-loading facilities on the Russian coast of the Black Sea. In the event geopolitical issues escalate in the region, including ongoing military conflict, it is possible that the transportation of Kazakhstan oil through the CPC pipeline could be disrupted, curtailed, temporarily suspended, or otherwise restricted. In such a case, the Corporation could experience a loss of cash flows of uncertain duration from its operations in Kazakhstan. For reference, after-tax earnings related to the Corporation’s interests in Kazakhstan in 2023 were approximately $2.0 billion, and its share of combined oil and gas production was approximately 275 thousand oil-equivalent barrels per day.</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Additional European Taxes on the Energy Sector</w:t>
      </w:r>
    </w:p>
    <w:p>
      <w:pPr>
        <w:spacing w:after="0" w:line="110"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0"/>
          <w:szCs w:val="20"/>
          <w:color w:val="auto"/>
        </w:rPr>
        <w:t>On October 6, 2022, European Union (“EU”) Member States adopted an EU Council Regulation which, along with other measures, introduced a new tax described as an emergency intervention to address high energy prices. This regulation imposed a mandatory tax on certain companies active in the crude petroleum, coal, natural gas, and refinery sectors. The regulation required Member States to levy a minimum 33 percent tax on in-scope companies’ 2022 and/or 2023 “surplus profits", defined in the regulation as taxable profits exceeding 120 percent of the annual average profits during the 2018-2021 period. EU Member States were required to implement the tax, or an equivalent national measure, by December 31, 2022. The enactment of these regulations by Member States resulted in an after-tax charge of approximately $1.8 billion to the Corporation’s fourth-quarter 2022 results and approximately $0.2 billion in 2023, mainly reflected in the line “Income tax expense (benefit)” on the Consolidated Statement of Income. Remaining cash payments are anticipated in the first half of 2024.</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640"/>
          </w:cols>
          <w:pgMar w:left="600" w:top="491" w:right="640" w:bottom="0" w:gutter="0" w:footer="0" w:header="0"/>
          <w:type w:val="continuous"/>
        </w:sectPr>
      </w:pPr>
    </w:p>
    <w:bookmarkStart w:id="59" w:name="page60"/>
    <w:bookmarkEnd w:id="59"/>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b w:val="1"/>
          <w:bCs w:val="1"/>
          <w:color w:val="4C4C4C"/>
        </w:rPr>
        <w:t>BUSINESS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55245</wp:posOffset>
                </wp:positionV>
                <wp:extent cx="6720840" cy="31686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316865"/>
                        </a:xfrm>
                        <a:prstGeom prst="rect">
                          <a:avLst/>
                        </a:prstGeom>
                        <a:solidFill>
                          <a:srgbClr val="4C4C4C"/>
                        </a:solidFill>
                      </wps:spPr>
                      <wps:bodyPr/>
                    </wps:wsp>
                  </a:graphicData>
                </a:graphic>
              </wp:anchor>
            </w:drawing>
          </mc:Choice>
          <mc:Fallback>
            <w:pict>
              <v:rect id="Shape 115" o:spid="_x0000_s1140" style="position:absolute;margin-left:2.4pt;margin-top:4.35pt;width:529.2pt;height:2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4"/>
          <w:szCs w:val="24"/>
          <w:b w:val="1"/>
          <w:bCs w:val="1"/>
          <w:color w:val="FFFFFF"/>
        </w:rPr>
        <w:t>Upstream</w:t>
      </w:r>
    </w:p>
    <w:p>
      <w:pPr>
        <w:spacing w:after="0" w:line="205"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color w:val="auto"/>
        </w:rPr>
        <w:t>ExxonMobil has a diverse growth portfolio of exploration and development opportunities, which allows the Corporation to be selective in our investments, maximizing shareholder value and mitigating political and technical risks. ExxonMobil’s strategies guide our global Upstream business, including capturing material and accretive opportunities to continually high-grade the resource portfolio, selectively developing attractive oil and natural gas resources, developing and applying high-impact technologies, and pursuing productivity and efficiency gains as well as a reduction in greenhouse gas emissions. These strategies are underpinned by a relentless focus on operational excellence, development of our employees, and investment in the communities in which we operate.</w:t>
      </w:r>
    </w:p>
    <w:p>
      <w:pPr>
        <w:spacing w:after="0" w:line="66"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20"/>
          <w:szCs w:val="20"/>
          <w:color w:val="auto"/>
        </w:rPr>
        <w:t>The Upstream capital program continues to prioritize low cost-of-supply opportunities. ExxonMobil has a strong pipeline of development projects including continued growth in Guyana and the Permian Basin, as well as LNG expansion opportunities in Qatar, Mozambique, Papua New Guinea, and the United States. As future development projects and drilling activities bring new production online, the Corporation expects a shift in the geographic mix and in the type of opportunities from which volumes are produced. Based on the current investment plans and merger with Pioneer, the proportion of oil-equivalent production from the Americas is generally expected to increase over the next several years. Currently about half of the Corporation's global production comes from unconventional, deepwater, and LNG resources. This proportion is generally expected to grow.</w:t>
      </w:r>
    </w:p>
    <w:p>
      <w:pPr>
        <w:spacing w:after="0" w:line="67"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20"/>
          <w:szCs w:val="20"/>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regulatory changes, the impact of fiscal and commercial terms, asset sales, weather events, price effects on production sharing contracts, changes in the amount and timing of capital investments that may vary depending on the oil and gas price environment, international trade patterns and relations, and other factors described in "Item 1A. Risk Factors".</w:t>
      </w:r>
    </w:p>
    <w:p>
      <w:pPr>
        <w:spacing w:after="0" w:line="67"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20"/>
          <w:szCs w:val="20"/>
          <w:color w:val="auto"/>
        </w:rPr>
        <w:t>ExxonMobil believes prices over the long term will continue to be driven by market supply and demand, with the demand side largely being a function of general economic activities, levels of prosperity, technology advances, consumer preference and government policies. On the supply side, prices may be significantly impacted by political events, the actions of OPEC and other large government resource owners, alternative energy sources, and other factors.</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Key Recent Events</w:t>
      </w:r>
    </w:p>
    <w:p>
      <w:pPr>
        <w:spacing w:after="0" w:line="87"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Guyana: </w:t>
      </w:r>
      <w:r>
        <w:rPr>
          <w:rFonts w:ascii="Times New Roman" w:cs="Times New Roman" w:eastAsia="Times New Roman" w:hAnsi="Times New Roman"/>
          <w:sz w:val="20"/>
          <w:szCs w:val="20"/>
          <w:color w:val="auto"/>
        </w:rPr>
        <w:t>Exploration success continued with four additional discoveries on the Stabroek Block in 2023. Prosperity, the third floating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production, storage and offloading (FPSO) vessel, started production at the Payara development on the Stabroek Block in November 2023 and reached nameplate capacity in January 2024, well ahead of schedule. Liza Destiny and Liza Unity FPSO vessels continued to produce above nameplate capacity. The combined gross production from the three operating vessels exceeded 390 thousand barrels of oil per day (kbd) in 2023 and nearly 440 kbd in the fourth quarter of 2023. Yellowtail and Uaru, the fourth and fifth developments on the Block, are progressing on schedule and will each initially produce approximately 250 kbd. We anticipate six FPSO vessels will be in operation on the Stabroek Block by year-end 2027. We are working with the government of Guyana to secure regulatory approvals for a sixth project at Whiptail.</w:t>
      </w:r>
    </w:p>
    <w:p>
      <w:pPr>
        <w:spacing w:after="0" w:line="44"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Permian: </w:t>
      </w:r>
      <w:r>
        <w:rPr>
          <w:rFonts w:ascii="Times New Roman" w:cs="Times New Roman" w:eastAsia="Times New Roman" w:hAnsi="Times New Roman"/>
          <w:sz w:val="20"/>
          <w:szCs w:val="20"/>
          <w:color w:val="auto"/>
        </w:rPr>
        <w:t>Production volumes averaged about 610 thousand oil-equivalent barrels per day (koebd) in 2023, approximately 60 koebd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higher than the previous year. ExxonMobil operations continue to deliver industry-leading capital efficiency and cost performance by leveraging scale, integration, and technology. Examples include best-in-class laterals, up to four miles, which will result in fewer wells and a smaller surface footprint. ExxonMobil remains on track to achieve industry-leading plans of net-zero Scope 1 and 2 greenhouse gas emissions from our operated unconventional operations in the Permian Basin by 2030. In 2023, operation teams sustained zero routine flaring</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completed the program to eliminate over 6,000 pneumatic venting devices, increased electrification of operations, signed long-term agreements to use lower-carbon wind power, and expanded continuous emissions monitoring programs. In October 2023, ExxonMobil announced a definitive agreement to acquire Pioneer in an all-stock transaction valued at $59.5 billion</w:t>
      </w:r>
      <w:r>
        <w:rPr>
          <w:rFonts w:ascii="Times New Roman" w:cs="Times New Roman" w:eastAsia="Times New Roman" w:hAnsi="Times New Roman"/>
          <w:sz w:val="10"/>
          <w:szCs w:val="10"/>
          <w:i w:val="1"/>
          <w:iCs w:val="1"/>
          <w:color w:val="auto"/>
        </w:rPr>
        <w:t>(2)</w:t>
      </w:r>
      <w:r>
        <w:rPr>
          <w:rFonts w:ascii="Times New Roman" w:cs="Times New Roman" w:eastAsia="Times New Roman" w:hAnsi="Times New Roman"/>
          <w:sz w:val="20"/>
          <w:szCs w:val="20"/>
          <w:color w:val="auto"/>
        </w:rPr>
        <w:t>, more than doubling our Permian footprint. The transaction represents an opportunity to deliver leading capital efficiency and cost performance as well as increase production by combining Pioneer's large scale, contiguous, high-quality undeveloped Midland acreage with ExxonMobil's Permian resource development approach. In addition to increasing production, we plan to pull forward Pioneer's Net Zero ambition by 15 years, from 2050 to 2035.</w:t>
      </w:r>
    </w:p>
    <w:p>
      <w:pPr>
        <w:spacing w:after="0" w:line="49"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LNG: </w:t>
      </w:r>
      <w:r>
        <w:rPr>
          <w:rFonts w:ascii="Times New Roman" w:cs="Times New Roman" w:eastAsia="Times New Roman" w:hAnsi="Times New Roman"/>
          <w:sz w:val="20"/>
          <w:szCs w:val="20"/>
          <w:color w:val="auto"/>
        </w:rPr>
        <w:t>ExxonMobil continued work on LNG growth projects in 2023. The Papua New Guinea LNG project progressed front-end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engineering and design work in support of a final investment decision anticipated in 2024. Optimization of the Mozambique onshore LNG plans for Rovuma LNG to develop the gas resource continued, working to ensure the right conditions are met for full funding, including a sustainable and secure operating environment and a design that will achieve long-term project competitiveness. Construction continues on the Golden Pass LNG project with Train 1 mechanical completion expected at the end of 2024 with first LNG production in the first half of 2025.</w:t>
      </w:r>
    </w:p>
    <w:p>
      <w:pPr>
        <w:spacing w:after="0" w:line="41" w:lineRule="exact"/>
        <w:rPr>
          <w:sz w:val="20"/>
          <w:szCs w:val="20"/>
          <w:color w:val="auto"/>
        </w:rPr>
      </w:pPr>
    </w:p>
    <w:p>
      <w:pPr>
        <w:ind w:left="40" w:right="220" w:firstLine="8"/>
        <w:spacing w:after="0" w:line="275" w:lineRule="auto"/>
        <w:tabs>
          <w:tab w:leader="none" w:pos="184" w:val="left"/>
        </w:tabs>
        <w:numPr>
          <w:ilvl w:val="0"/>
          <w:numId w:val="21"/>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References to routine flaring herein are consistent with the World Bank's Zero Routine Flaring Reduction Partnership's (GGFRP) principle of routine flaring, and excludes safety and non-routine flaring.</w:t>
      </w:r>
    </w:p>
    <w:p>
      <w:pPr>
        <w:ind w:left="200" w:hanging="152"/>
        <w:spacing w:after="0" w:line="206" w:lineRule="auto"/>
        <w:tabs>
          <w:tab w:leader="none" w:pos="200" w:val="left"/>
        </w:tabs>
        <w:numPr>
          <w:ilvl w:val="0"/>
          <w:numId w:val="2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Based on the October 5, 2023, closing price for ExxonMobil shares and the fixed exchange rate of 2.3234 per Pioneer share.</w:t>
      </w:r>
    </w:p>
    <w:p>
      <w:pPr>
        <w:sectPr>
          <w:pgSz w:w="11880" w:h="15480" w:orient="portrait"/>
          <w:cols w:equalWidth="0" w:num="1">
            <w:col w:w="10640"/>
          </w:cols>
          <w:pgMar w:left="600" w:top="491" w:right="640" w:bottom="0" w:gutter="0" w:footer="0" w:header="0"/>
        </w:sectPr>
      </w:pP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640"/>
          </w:cols>
          <w:pgMar w:left="600" w:top="491" w:right="640" w:bottom="0" w:gutter="0" w:footer="0" w:header="0"/>
          <w:type w:val="continuous"/>
        </w:sectPr>
      </w:pPr>
    </w:p>
    <w:bookmarkStart w:id="60" w:name="page61"/>
    <w:bookmarkEnd w:id="60"/>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Upstream Financial Results</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742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60" w:type="dxa"/>
            <w:vAlign w:val="bottom"/>
            <w:tcBorders>
              <w:bottom w:val="single" w:sz="8" w:color="4C4C4C"/>
            </w:tcBorders>
            <w:shd w:val="clear" w:color="auto" w:fill="4C4C4C"/>
          </w:tcPr>
          <w:p>
            <w:pPr>
              <w:jc w:val="right"/>
              <w:ind w:right="16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61"/>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Earnings (loss) </w:t>
            </w:r>
            <w:r>
              <w:rPr>
                <w:rFonts w:ascii="Times New Roman" w:cs="Times New Roman" w:eastAsia="Times New Roman" w:hAnsi="Times New Roman"/>
                <w:sz w:val="20"/>
                <w:szCs w:val="20"/>
                <w:color w:val="4C4C4C"/>
              </w:rPr>
              <w:t>(U.S. GAAP)</w:t>
            </w:r>
          </w:p>
        </w:tc>
        <w:tc>
          <w:tcPr>
            <w:tcW w:w="980" w:type="dxa"/>
            <w:vAlign w:val="bottom"/>
            <w:shd w:val="clear" w:color="auto" w:fill="F0F0F0"/>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9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4,202</w:t>
            </w:r>
          </w:p>
        </w:tc>
        <w:tc>
          <w:tcPr>
            <w:tcW w:w="126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11,728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3,663</w:t>
            </w:r>
          </w:p>
        </w:tc>
      </w:tr>
      <w:tr>
        <w:trPr>
          <w:trHeight w:val="31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17,106</w:t>
            </w:r>
          </w:p>
        </w:tc>
        <w:tc>
          <w:tcPr>
            <w:tcW w:w="126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24,751</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12,112</w:t>
            </w:r>
          </w:p>
        </w:tc>
      </w:tr>
      <w:tr>
        <w:trPr>
          <w:trHeight w:val="274"/>
        </w:trPr>
        <w:tc>
          <w:tcPr>
            <w:tcW w:w="74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21,308</w:t>
            </w:r>
          </w:p>
        </w:tc>
        <w:tc>
          <w:tcPr>
            <w:tcW w:w="1260" w:type="dxa"/>
            <w:vAlign w:val="bottom"/>
            <w:tcBorders>
              <w:top w:val="single" w:sz="8" w:color="4C4C4C"/>
            </w:tcBorders>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36,479</w:t>
            </w:r>
          </w:p>
        </w:tc>
        <w:tc>
          <w:tcPr>
            <w:tcW w:w="86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15,775</w:t>
            </w:r>
          </w:p>
        </w:tc>
      </w:tr>
      <w:tr>
        <w:trPr>
          <w:trHeight w:val="523"/>
        </w:trPr>
        <w:tc>
          <w:tcPr>
            <w:tcW w:w="74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Identified Items </w:t>
            </w:r>
            <w:r>
              <w:rPr>
                <w:rFonts w:ascii="Times New Roman" w:cs="Times New Roman" w:eastAsia="Times New Roman" w:hAnsi="Times New Roman"/>
                <w:sz w:val="10"/>
                <w:szCs w:val="10"/>
                <w:i w:val="1"/>
                <w:iCs w:val="1"/>
                <w:color w:val="4C4C4C"/>
              </w:rPr>
              <w:t>(1)</w:t>
            </w:r>
          </w:p>
        </w:tc>
        <w:tc>
          <w:tcPr>
            <w:tcW w:w="980" w:type="dxa"/>
            <w:vAlign w:val="bottom"/>
            <w:tcBorders>
              <w:top w:val="single" w:sz="8" w:color="4C4C4C"/>
            </w:tcBorders>
            <w:shd w:val="clear" w:color="auto" w:fill="F0F0F0"/>
          </w:tcPr>
          <w:p>
            <w:pPr>
              <w:spacing w:after="0"/>
              <w:rPr>
                <w:sz w:val="24"/>
                <w:szCs w:val="24"/>
                <w:color w:val="auto"/>
              </w:rPr>
            </w:pPr>
          </w:p>
        </w:tc>
        <w:tc>
          <w:tcPr>
            <w:tcW w:w="1260" w:type="dxa"/>
            <w:vAlign w:val="bottom"/>
            <w:tcBorders>
              <w:top w:val="single" w:sz="8" w:color="4C4C4C"/>
            </w:tcBorders>
          </w:tcPr>
          <w:p>
            <w:pPr>
              <w:spacing w:after="0"/>
              <w:rPr>
                <w:sz w:val="24"/>
                <w:szCs w:val="24"/>
                <w:color w:val="auto"/>
              </w:rPr>
            </w:pPr>
          </w:p>
        </w:tc>
        <w:tc>
          <w:tcPr>
            <w:tcW w:w="860" w:type="dxa"/>
            <w:vAlign w:val="bottom"/>
            <w:tcBorders>
              <w:top w:val="single" w:sz="8" w:color="4C4C4C"/>
            </w:tcBorders>
          </w:tcPr>
          <w:p>
            <w:pPr>
              <w:spacing w:after="0"/>
              <w:rPr>
                <w:sz w:val="24"/>
                <w:szCs w:val="24"/>
                <w:color w:val="auto"/>
              </w:rPr>
            </w:pPr>
          </w:p>
        </w:tc>
      </w:tr>
      <w:tr>
        <w:trPr>
          <w:trHeight w:val="31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126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299</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r>
      <w:tr>
        <w:trPr>
          <w:trHeight w:val="31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(3,238)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r>
      <w:tr>
        <w:trPr>
          <w:trHeight w:val="274"/>
        </w:trPr>
        <w:tc>
          <w:tcPr>
            <w:tcW w:w="74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(2,301)</w:t>
            </w:r>
          </w:p>
        </w:tc>
        <w:tc>
          <w:tcPr>
            <w:tcW w:w="1260" w:type="dxa"/>
            <w:vAlign w:val="bottom"/>
            <w:tcBorders>
              <w:top w:val="single" w:sz="8" w:color="4C4C4C"/>
            </w:tcBorders>
          </w:tcPr>
          <w:p>
            <w:pPr>
              <w:jc w:val="right"/>
              <w:ind w:right="124"/>
              <w:spacing w:after="0"/>
              <w:rPr>
                <w:sz w:val="20"/>
                <w:szCs w:val="20"/>
                <w:color w:val="auto"/>
              </w:rPr>
            </w:pPr>
            <w:r>
              <w:rPr>
                <w:rFonts w:ascii="Times New Roman" w:cs="Times New Roman" w:eastAsia="Times New Roman" w:hAnsi="Times New Roman"/>
                <w:sz w:val="20"/>
                <w:szCs w:val="20"/>
                <w:b w:val="1"/>
                <w:bCs w:val="1"/>
                <w:color w:val="auto"/>
              </w:rPr>
              <w:t>(2,939)</w:t>
            </w:r>
          </w:p>
        </w:tc>
        <w:tc>
          <w:tcPr>
            <w:tcW w:w="86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(543)</w:t>
            </w:r>
          </w:p>
        </w:tc>
      </w:tr>
      <w:tr>
        <w:trPr>
          <w:trHeight w:val="526"/>
        </w:trPr>
        <w:tc>
          <w:tcPr>
            <w:tcW w:w="7420" w:type="dxa"/>
            <w:vAlign w:val="bottom"/>
            <w:tcBorders>
              <w:top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Earnings (loss) excluding Identified Items </w:t>
            </w:r>
            <w:r>
              <w:rPr>
                <w:rFonts w:ascii="Times New Roman" w:cs="Times New Roman" w:eastAsia="Times New Roman" w:hAnsi="Times New Roman"/>
                <w:sz w:val="10"/>
                <w:szCs w:val="10"/>
                <w:i w:val="1"/>
                <w:iCs w:val="1"/>
                <w:color w:val="4C4C4C"/>
              </w:rPr>
              <w:t>(1)</w:t>
            </w:r>
            <w:r>
              <w:rPr>
                <w:rFonts w:ascii="Times New Roman" w:cs="Times New Roman" w:eastAsia="Times New Roman" w:hAnsi="Times New Roman"/>
                <w:sz w:val="20"/>
                <w:szCs w:val="20"/>
                <w:b w:val="1"/>
                <w:bCs w:val="1"/>
                <w:color w:val="4C4C4C"/>
              </w:rPr>
              <w:t xml:space="preserve"> </w:t>
            </w:r>
            <w:r>
              <w:rPr>
                <w:rFonts w:ascii="Times New Roman" w:cs="Times New Roman" w:eastAsia="Times New Roman" w:hAnsi="Times New Roman"/>
                <w:sz w:val="20"/>
                <w:szCs w:val="20"/>
                <w:color w:val="4C4C4C"/>
              </w:rPr>
              <w:t>(Non-GAAP)</w:t>
            </w:r>
          </w:p>
        </w:tc>
        <w:tc>
          <w:tcPr>
            <w:tcW w:w="980" w:type="dxa"/>
            <w:vAlign w:val="bottom"/>
            <w:tcBorders>
              <w:top w:val="single" w:sz="8" w:color="4C4C4C"/>
            </w:tcBorders>
            <w:shd w:val="clear" w:color="auto" w:fill="F0F0F0"/>
          </w:tcPr>
          <w:p>
            <w:pPr>
              <w:spacing w:after="0"/>
              <w:rPr>
                <w:sz w:val="24"/>
                <w:szCs w:val="24"/>
                <w:color w:val="auto"/>
              </w:rPr>
            </w:pPr>
          </w:p>
        </w:tc>
        <w:tc>
          <w:tcPr>
            <w:tcW w:w="1260" w:type="dxa"/>
            <w:vAlign w:val="bottom"/>
            <w:tcBorders>
              <w:top w:val="single" w:sz="8" w:color="4C4C4C"/>
            </w:tcBorders>
          </w:tcPr>
          <w:p>
            <w:pPr>
              <w:spacing w:after="0"/>
              <w:rPr>
                <w:sz w:val="24"/>
                <w:szCs w:val="24"/>
                <w:color w:val="auto"/>
              </w:rPr>
            </w:pPr>
          </w:p>
        </w:tc>
        <w:tc>
          <w:tcPr>
            <w:tcW w:w="860" w:type="dxa"/>
            <w:vAlign w:val="bottom"/>
            <w:tcBorders>
              <w:top w:val="single" w:sz="8" w:color="4C4C4C"/>
            </w:tcBorders>
          </w:tcPr>
          <w:p>
            <w:pPr>
              <w:spacing w:after="0"/>
              <w:rPr>
                <w:sz w:val="24"/>
                <w:szCs w:val="24"/>
                <w:color w:val="auto"/>
              </w:rPr>
            </w:pPr>
          </w:p>
        </w:tc>
      </w:tr>
      <w:tr>
        <w:trPr>
          <w:trHeight w:val="311"/>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5,691</w:t>
            </w:r>
          </w:p>
        </w:tc>
        <w:tc>
          <w:tcPr>
            <w:tcW w:w="126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11,429</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3,926</w:t>
            </w:r>
          </w:p>
        </w:tc>
      </w:tr>
      <w:tr>
        <w:trPr>
          <w:trHeight w:val="31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17,918</w:t>
            </w:r>
          </w:p>
        </w:tc>
        <w:tc>
          <w:tcPr>
            <w:tcW w:w="126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27,989</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12,392</w:t>
            </w:r>
          </w:p>
        </w:tc>
      </w:tr>
      <w:tr>
        <w:trPr>
          <w:trHeight w:val="274"/>
        </w:trPr>
        <w:tc>
          <w:tcPr>
            <w:tcW w:w="742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23,609</w:t>
            </w:r>
          </w:p>
        </w:tc>
        <w:tc>
          <w:tcPr>
            <w:tcW w:w="1260" w:type="dxa"/>
            <w:vAlign w:val="bottom"/>
            <w:tcBorders>
              <w:top w:val="single" w:sz="8" w:color="4C4C4C"/>
              <w:bottom w:val="single" w:sz="8" w:color="4C4C4C"/>
            </w:tcBorders>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39,418</w:t>
            </w:r>
          </w:p>
        </w:tc>
        <w:tc>
          <w:tcPr>
            <w:tcW w:w="86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16,318</w:t>
            </w:r>
          </w:p>
        </w:tc>
      </w:tr>
    </w:tbl>
    <w:p>
      <w:pPr>
        <w:spacing w:after="0" w:line="72" w:lineRule="exact"/>
        <w:rPr>
          <w:sz w:val="20"/>
          <w:szCs w:val="20"/>
          <w:color w:val="auto"/>
        </w:rPr>
      </w:pPr>
    </w:p>
    <w:p>
      <w:pPr>
        <w:ind w:left="300" w:hanging="164"/>
        <w:spacing w:after="0"/>
        <w:tabs>
          <w:tab w:leader="none" w:pos="300" w:val="left"/>
        </w:tabs>
        <w:numPr>
          <w:ilvl w:val="0"/>
          <w:numId w:val="2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Refer to Frequently Used Terms for definition of Identified Items and earnings (loss) excluding Identified Items.</w:t>
      </w: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4C4C4C"/>
        </w:rPr>
        <w:t>2023 Upstream Earnings Factor Analysis</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0" w:lineRule="exact"/>
        <w:rPr>
          <w:sz w:val="20"/>
          <w:szCs w:val="20"/>
          <w:color w:val="auto"/>
        </w:rPr>
      </w:pPr>
    </w:p>
    <w:p>
      <w:pPr>
        <w:spacing w:after="0" w:line="3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36,479</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1000"/>
        </w:trPr>
        <w:tc>
          <w:tcPr>
            <w:tcW w:w="440" w:type="dxa"/>
            <w:vAlign w:val="bottom"/>
          </w:tcPr>
          <w:p>
            <w:pPr>
              <w:spacing w:after="0"/>
              <w:rPr>
                <w:sz w:val="24"/>
                <w:szCs w:val="24"/>
                <w:color w:val="auto"/>
              </w:rPr>
            </w:pPr>
          </w:p>
        </w:tc>
        <w:tc>
          <w:tcPr>
            <w:tcW w:w="880" w:type="dxa"/>
            <w:vAlign w:val="bottom"/>
            <w:shd w:val="clear" w:color="auto" w:fill="001A80"/>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shd w:val="clear" w:color="auto" w:fill="FB0815"/>
          </w:tcPr>
          <w:p>
            <w:pPr>
              <w:spacing w:after="0"/>
              <w:rPr>
                <w:sz w:val="24"/>
                <w:szCs w:val="24"/>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+970</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+640</w:t>
            </w:r>
          </w:p>
        </w:tc>
        <w:tc>
          <w:tcPr>
            <w:tcW w:w="5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21,308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880" w:type="dxa"/>
            <w:vAlign w:val="bottom"/>
            <w:tcBorders>
              <w:bottom w:val="single" w:sz="8" w:color="001A80"/>
            </w:tcBorders>
            <w:shd w:val="clear" w:color="auto" w:fill="001A80"/>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Borders>
              <w:bottom w:val="single" w:sz="8" w:color="FB0815"/>
            </w:tcBorders>
            <w:shd w:val="clear" w:color="auto" w:fill="FB0815"/>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Borders>
              <w:bottom w:val="single" w:sz="8" w:color="095922"/>
            </w:tcBorders>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Borders>
              <w:bottom w:val="single" w:sz="8" w:color="FB0815"/>
            </w:tcBorders>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Borders>
              <w:bottom w:val="single" w:sz="8" w:color="095922"/>
            </w:tcBorders>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001A80"/>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880" w:type="dxa"/>
            <w:vAlign w:val="bottom"/>
            <w:shd w:val="clear" w:color="auto" w:fill="001A80"/>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-16,670</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shd w:val="clear" w:color="auto" w:fill="001A80"/>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880" w:type="dxa"/>
            <w:vAlign w:val="bottom"/>
            <w:shd w:val="clear" w:color="auto" w:fill="001A80"/>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shd w:val="clear" w:color="auto" w:fill="001A80"/>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440" w:type="dxa"/>
            <w:vAlign w:val="bottom"/>
            <w:tcBorders>
              <w:bottom w:val="single" w:sz="8" w:color="8A8A8A"/>
            </w:tcBorders>
          </w:tcPr>
          <w:p>
            <w:pPr>
              <w:spacing w:after="0"/>
              <w:rPr>
                <w:sz w:val="24"/>
                <w:szCs w:val="24"/>
                <w:color w:val="auto"/>
              </w:rPr>
            </w:pPr>
          </w:p>
        </w:tc>
        <w:tc>
          <w:tcPr>
            <w:tcW w:w="880" w:type="dxa"/>
            <w:vAlign w:val="bottom"/>
            <w:tcBorders>
              <w:bottom w:val="single" w:sz="8" w:color="8A8A8A"/>
            </w:tcBorders>
            <w:shd w:val="clear" w:color="auto" w:fill="001A80"/>
          </w:tcPr>
          <w:p>
            <w:pPr>
              <w:spacing w:after="0"/>
              <w:rPr>
                <w:sz w:val="24"/>
                <w:szCs w:val="24"/>
                <w:color w:val="auto"/>
              </w:rPr>
            </w:pPr>
          </w:p>
        </w:tc>
        <w:tc>
          <w:tcPr>
            <w:tcW w:w="880" w:type="dxa"/>
            <w:vAlign w:val="bottom"/>
            <w:tcBorders>
              <w:bottom w:val="single" w:sz="8" w:color="8A8A8A"/>
            </w:tcBorders>
          </w:tcPr>
          <w:p>
            <w:pPr>
              <w:spacing w:after="0"/>
              <w:rPr>
                <w:sz w:val="24"/>
                <w:szCs w:val="24"/>
                <w:color w:val="auto"/>
              </w:rPr>
            </w:pPr>
          </w:p>
        </w:tc>
        <w:tc>
          <w:tcPr>
            <w:tcW w:w="880" w:type="dxa"/>
            <w:vAlign w:val="bottom"/>
            <w:tcBorders>
              <w:bottom w:val="single" w:sz="8" w:color="8A8A8A"/>
            </w:tcBorders>
          </w:tcPr>
          <w:p>
            <w:pPr>
              <w:spacing w:after="0"/>
              <w:rPr>
                <w:sz w:val="24"/>
                <w:szCs w:val="24"/>
                <w:color w:val="auto"/>
              </w:rPr>
            </w:pPr>
          </w:p>
        </w:tc>
        <w:tc>
          <w:tcPr>
            <w:tcW w:w="860" w:type="dxa"/>
            <w:vAlign w:val="bottom"/>
            <w:tcBorders>
              <w:bottom w:val="single" w:sz="8" w:color="8A8A8A"/>
            </w:tcBorders>
          </w:tcPr>
          <w:p>
            <w:pPr>
              <w:spacing w:after="0"/>
              <w:rPr>
                <w:sz w:val="24"/>
                <w:szCs w:val="24"/>
                <w:color w:val="auto"/>
              </w:rPr>
            </w:pPr>
          </w:p>
        </w:tc>
        <w:tc>
          <w:tcPr>
            <w:tcW w:w="900" w:type="dxa"/>
            <w:vAlign w:val="bottom"/>
            <w:tcBorders>
              <w:bottom w:val="single" w:sz="8" w:color="8A8A8A"/>
            </w:tcBorders>
          </w:tcPr>
          <w:p>
            <w:pPr>
              <w:spacing w:after="0"/>
              <w:rPr>
                <w:sz w:val="24"/>
                <w:szCs w:val="24"/>
                <w:color w:val="auto"/>
              </w:rPr>
            </w:pPr>
          </w:p>
        </w:tc>
        <w:tc>
          <w:tcPr>
            <w:tcW w:w="860" w:type="dxa"/>
            <w:vAlign w:val="bottom"/>
            <w:tcBorders>
              <w:bottom w:val="single" w:sz="8" w:color="8A8A8A"/>
            </w:tcBorders>
          </w:tcPr>
          <w:p>
            <w:pPr>
              <w:spacing w:after="0"/>
              <w:rPr>
                <w:sz w:val="24"/>
                <w:szCs w:val="24"/>
                <w:color w:val="auto"/>
              </w:rPr>
            </w:pPr>
          </w:p>
        </w:tc>
        <w:tc>
          <w:tcPr>
            <w:tcW w:w="880" w:type="dxa"/>
            <w:vAlign w:val="bottom"/>
            <w:tcBorders>
              <w:bottom w:val="single" w:sz="8" w:color="8A8A8A"/>
            </w:tcBorders>
          </w:tcPr>
          <w:p>
            <w:pPr>
              <w:spacing w:after="0"/>
              <w:rPr>
                <w:sz w:val="24"/>
                <w:szCs w:val="24"/>
                <w:color w:val="auto"/>
              </w:rPr>
            </w:pPr>
          </w:p>
        </w:tc>
        <w:tc>
          <w:tcPr>
            <w:tcW w:w="880" w:type="dxa"/>
            <w:vAlign w:val="bottom"/>
            <w:tcBorders>
              <w:bottom w:val="single" w:sz="8" w:color="8A8A8A"/>
            </w:tcBorders>
          </w:tcPr>
          <w:p>
            <w:pPr>
              <w:spacing w:after="0"/>
              <w:rPr>
                <w:sz w:val="24"/>
                <w:szCs w:val="24"/>
                <w:color w:val="auto"/>
              </w:rPr>
            </w:pPr>
          </w:p>
        </w:tc>
        <w:tc>
          <w:tcPr>
            <w:tcW w:w="880" w:type="dxa"/>
            <w:vAlign w:val="bottom"/>
            <w:tcBorders>
              <w:bottom w:val="single" w:sz="8" w:color="8A8A8A"/>
            </w:tcBorders>
          </w:tcPr>
          <w:p>
            <w:pPr>
              <w:spacing w:after="0"/>
              <w:rPr>
                <w:sz w:val="24"/>
                <w:szCs w:val="24"/>
                <w:color w:val="auto"/>
              </w:rPr>
            </w:pPr>
          </w:p>
        </w:tc>
        <w:tc>
          <w:tcPr>
            <w:tcW w:w="500" w:type="dxa"/>
            <w:vAlign w:val="bottom"/>
            <w:tcBorders>
              <w:bottom w:val="single" w:sz="8" w:color="8A8A8A"/>
            </w:tcBorders>
          </w:tcPr>
          <w:p>
            <w:pPr>
              <w:spacing w:after="0"/>
              <w:rPr>
                <w:sz w:val="24"/>
                <w:szCs w:val="24"/>
                <w:color w:val="auto"/>
              </w:rPr>
            </w:pPr>
          </w:p>
        </w:tc>
        <w:tc>
          <w:tcPr>
            <w:tcW w:w="360" w:type="dxa"/>
            <w:vAlign w:val="bottom"/>
            <w:tcBorders>
              <w:bottom w:val="single" w:sz="8" w:color="8A8A8A"/>
            </w:tcBorders>
          </w:tcPr>
          <w:p>
            <w:pPr>
              <w:spacing w:after="0"/>
              <w:rPr>
                <w:sz w:val="24"/>
                <w:szCs w:val="24"/>
                <w:color w:val="auto"/>
              </w:rPr>
            </w:pPr>
          </w:p>
        </w:tc>
        <w:tc>
          <w:tcPr>
            <w:tcW w:w="880" w:type="dxa"/>
            <w:vAlign w:val="bottom"/>
            <w:tcBorders>
              <w:bottom w:val="single" w:sz="8" w:color="8A8A8A"/>
            </w:tcBorders>
            <w:shd w:val="clear" w:color="auto" w:fill="001A80"/>
          </w:tcPr>
          <w:p>
            <w:pPr>
              <w:spacing w:after="0"/>
              <w:rPr>
                <w:sz w:val="24"/>
                <w:szCs w:val="24"/>
                <w:color w:val="auto"/>
              </w:rPr>
            </w:pPr>
          </w:p>
        </w:tc>
        <w:tc>
          <w:tcPr>
            <w:tcW w:w="440" w:type="dxa"/>
            <w:vAlign w:val="bottom"/>
            <w:tcBorders>
              <w:bottom w:val="single" w:sz="8" w:color="8A8A8A"/>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2022 Earnings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7"/>
              </w:rPr>
              <w:t>Volume/Mix</w:t>
            </w:r>
          </w:p>
        </w:tc>
        <w:tc>
          <w:tcPr>
            <w:tcW w:w="8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Identified Items (1)</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2023 Earnings</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Price – Lower realizations decreased earnings by $14,290 million reflecting lower gas prices and crude price moderation with growing liquids supply to address record demand, and unfavorable mark-to-market impacts of $2,380 million.</w:t>
      </w:r>
    </w:p>
    <w:p>
      <w:pPr>
        <w:spacing w:after="0" w:line="45" w:lineRule="exact"/>
        <w:rPr>
          <w:sz w:val="20"/>
          <w:szCs w:val="20"/>
          <w:color w:val="auto"/>
        </w:rPr>
      </w:pPr>
    </w:p>
    <w:p>
      <w:pPr>
        <w:jc w:val="both"/>
        <w:ind w:left="40"/>
        <w:spacing w:after="0" w:line="259" w:lineRule="auto"/>
        <w:rPr>
          <w:sz w:val="20"/>
          <w:szCs w:val="20"/>
          <w:color w:val="auto"/>
        </w:rPr>
      </w:pPr>
      <w:r>
        <w:rPr>
          <w:rFonts w:ascii="Times New Roman" w:cs="Times New Roman" w:eastAsia="Times New Roman" w:hAnsi="Times New Roman"/>
          <w:sz w:val="20"/>
          <w:szCs w:val="20"/>
          <w:color w:val="auto"/>
        </w:rPr>
        <w:t>Volume/Mix – Improved portfolio mix increased earnings by $970 million. The earnings benefit from the advantaged volume growth primarily in Guyana and the Permian more than offset the impacts from divestments, the Russia expropriation, and higher government-mandated curtailments.</w:t>
      </w:r>
    </w:p>
    <w:p>
      <w:pPr>
        <w:spacing w:after="0" w:line="59"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Other – All other items decreased earnings by $100 million on increased activity and inflation, partly offset by positive foreign exchange effects and structural efficiencies.</w:t>
      </w:r>
    </w:p>
    <w:p>
      <w:pPr>
        <w:spacing w:after="0" w:line="45" w:lineRule="exact"/>
        <w:rPr>
          <w:sz w:val="20"/>
          <w:szCs w:val="20"/>
          <w:color w:val="auto"/>
        </w:rPr>
      </w:pPr>
    </w:p>
    <w:p>
      <w:pPr>
        <w:ind w:left="40" w:right="40"/>
        <w:spacing w:after="0" w:line="254" w:lineRule="auto"/>
        <w:rPr>
          <w:sz w:val="20"/>
          <w:szCs w:val="20"/>
          <w:color w:val="auto"/>
        </w:rPr>
      </w:pPr>
      <w:r>
        <w:rPr>
          <w:rFonts w:ascii="Times New Roman" w:cs="Times New Roman" w:eastAsia="Times New Roman" w:hAnsi="Times New Roman"/>
          <w:sz w:val="20"/>
          <w:szCs w:val="20"/>
          <w:color w:val="auto"/>
        </w:rPr>
        <w:t>Identified Items</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 2022 $(2,939) million loss mainly driven by the Russia expropriation $(2,185) million and impacts from additional European taxes $(1,415) million, partly offset by gains of $886 million on the sale of the Romania, U.S. Barnett Shale, and XTO Energy Canada assets; 2023 $(2,301) million loss primarily due to the impairment of the idled Santa Ynez Unit assets and associated facilities in California.</w:t>
      </w:r>
    </w:p>
    <w:p>
      <w:pPr>
        <w:spacing w:after="0" w:line="45" w:lineRule="exact"/>
        <w:rPr>
          <w:sz w:val="20"/>
          <w:szCs w:val="20"/>
          <w:color w:val="auto"/>
        </w:rPr>
      </w:pPr>
    </w:p>
    <w:p>
      <w:pPr>
        <w:ind w:left="200" w:hanging="152"/>
        <w:spacing w:after="0"/>
        <w:tabs>
          <w:tab w:leader="none" w:pos="200" w:val="left"/>
        </w:tabs>
        <w:numPr>
          <w:ilvl w:val="0"/>
          <w:numId w:val="2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640"/>
          </w:cols>
          <w:pgMar w:left="600" w:top="491" w:right="640" w:bottom="0" w:gutter="0" w:footer="0" w:header="0"/>
          <w:type w:val="continuous"/>
        </w:sectPr>
      </w:pPr>
    </w:p>
    <w:bookmarkStart w:id="61" w:name="page62"/>
    <w:bookmarkEnd w:id="61"/>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4C4C4C"/>
        </w:rPr>
        <w:t>2022 Upstream Earnings Factor Analysis</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1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+24,090</w:t>
      </w:r>
    </w:p>
    <w:p>
      <w:pPr>
        <w:spacing w:after="0" w:line="28" w:lineRule="exact"/>
        <w:rPr>
          <w:sz w:val="20"/>
          <w:szCs w:val="20"/>
          <w:color w:val="auto"/>
        </w:rPr>
      </w:pPr>
    </w:p>
    <w:tbl>
      <w:tblPr>
        <w:tblLayout w:type="fixed"/>
        <w:tblInd w:w="4300" w:type="dxa"/>
        <w:tblCellMar>
          <w:top w:w="0" w:type="dxa"/>
          <w:left w:w="0" w:type="dxa"/>
          <w:bottom w:w="0" w:type="dxa"/>
          <w:right w:w="0" w:type="dxa"/>
        </w:tblCellMar>
      </w:tblPr>
      <w:tr>
        <w:trPr>
          <w:trHeight w:val="231"/>
        </w:trPr>
        <w:tc>
          <w:tcPr>
            <w:tcW w:w="1040" w:type="dxa"/>
            <w:vAlign w:val="bottom"/>
            <w:vMerge w:val="restart"/>
          </w:tcPr>
          <w:p>
            <w:pPr>
              <w:jc w:val="right"/>
              <w:ind w:right="632"/>
              <w:spacing w:after="0"/>
              <w:rPr>
                <w:sz w:val="20"/>
                <w:szCs w:val="20"/>
                <w:color w:val="auto"/>
              </w:rPr>
            </w:pPr>
            <w:r>
              <w:rPr>
                <w:rFonts w:ascii="Times New Roman" w:cs="Times New Roman" w:eastAsia="Times New Roman" w:hAnsi="Times New Roman"/>
                <w:sz w:val="18"/>
                <w:szCs w:val="18"/>
                <w:color w:val="auto"/>
                <w:w w:val="90"/>
              </w:rPr>
              <w:t>-110</w:t>
            </w:r>
          </w:p>
        </w:tc>
        <w:tc>
          <w:tcPr>
            <w:tcW w:w="1720" w:type="dxa"/>
            <w:vAlign w:val="bottom"/>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rPr>
              <w:t>-880</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36,479</w:t>
            </w:r>
          </w:p>
        </w:tc>
        <w:tc>
          <w:tcPr>
            <w:tcW w:w="0" w:type="dxa"/>
            <w:vAlign w:val="bottom"/>
          </w:tcPr>
          <w:p>
            <w:pPr>
              <w:spacing w:after="0"/>
              <w:rPr>
                <w:sz w:val="1"/>
                <w:szCs w:val="1"/>
                <w:color w:val="auto"/>
              </w:rPr>
            </w:pPr>
          </w:p>
        </w:tc>
      </w:tr>
      <w:tr>
        <w:trPr>
          <w:trHeight w:val="132"/>
        </w:trPr>
        <w:tc>
          <w:tcPr>
            <w:tcW w:w="104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2880" w:type="dxa"/>
            <w:vAlign w:val="bottom"/>
            <w:vMerge w:val="restart"/>
          </w:tcPr>
          <w:p>
            <w:pPr>
              <w:jc w:val="right"/>
              <w:ind w:right="1652"/>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-349250</wp:posOffset>
            </wp:positionV>
            <wp:extent cx="5009515" cy="131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1">
                      <a:extLst>
                        <a:ext uri="{28A0092B-C50C-407E-A947-70E740481C1C}"/>
                      </a:extLst>
                    </a:blip>
                    <a:srcRect/>
                    <a:stretch>
                      <a:fillRect/>
                    </a:stretch>
                  </pic:blipFill>
                  <pic:spPr bwMode="auto">
                    <a:xfrm>
                      <a:off x="0" y="0"/>
                      <a:ext cx="500951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15,775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52705</wp:posOffset>
            </wp:positionV>
            <wp:extent cx="6674485" cy="261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2">
                      <a:extLst>
                        <a:ext uri="{28A0092B-C50C-407E-A947-70E740481C1C}"/>
                      </a:extLst>
                    </a:blip>
                    <a:srcRect/>
                    <a:stretch>
                      <a:fillRect/>
                    </a:stretch>
                  </pic:blipFill>
                  <pic:spPr bwMode="auto">
                    <a:xfrm>
                      <a:off x="0" y="0"/>
                      <a:ext cx="6674485" cy="26162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52705</wp:posOffset>
            </wp:positionV>
            <wp:extent cx="6674485" cy="261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3">
                      <a:extLst>
                        <a:ext uri="{28A0092B-C50C-407E-A947-70E740481C1C}"/>
                      </a:extLst>
                    </a:blip>
                    <a:srcRect/>
                    <a:stretch>
                      <a:fillRect/>
                    </a:stretch>
                  </pic:blipFill>
                  <pic:spPr bwMode="auto">
                    <a:xfrm>
                      <a:off x="0" y="0"/>
                      <a:ext cx="6674485" cy="26162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00"/>
        <w:spacing w:after="0"/>
        <w:tabs>
          <w:tab w:leader="none" w:pos="2480" w:val="left"/>
          <w:tab w:leader="none" w:pos="3940" w:val="left"/>
          <w:tab w:leader="none" w:pos="5960" w:val="left"/>
          <w:tab w:leader="none" w:pos="7220" w:val="left"/>
          <w:tab w:leader="none" w:pos="9140" w:val="left"/>
        </w:tabs>
        <w:rPr>
          <w:sz w:val="20"/>
          <w:szCs w:val="20"/>
          <w:color w:val="auto"/>
        </w:rPr>
      </w:pPr>
      <w:r>
        <w:rPr>
          <w:rFonts w:ascii="Times New Roman" w:cs="Times New Roman" w:eastAsia="Times New Roman" w:hAnsi="Times New Roman"/>
          <w:sz w:val="18"/>
          <w:szCs w:val="18"/>
          <w:b w:val="1"/>
          <w:bCs w:val="1"/>
          <w:color w:val="auto"/>
        </w:rPr>
        <w:t>2021 Earnings</w:t>
      </w:r>
      <w:r>
        <w:rPr>
          <w:sz w:val="20"/>
          <w:szCs w:val="20"/>
          <w:color w:val="auto"/>
        </w:rPr>
        <w:tab/>
      </w:r>
      <w:r>
        <w:rPr>
          <w:rFonts w:ascii="Times New Roman" w:cs="Times New Roman" w:eastAsia="Times New Roman" w:hAnsi="Times New Roman"/>
          <w:sz w:val="18"/>
          <w:szCs w:val="18"/>
          <w:b w:val="1"/>
          <w:bCs w:val="1"/>
          <w:color w:val="auto"/>
        </w:rPr>
        <w:t>Price</w:t>
      </w:r>
      <w:r>
        <w:rPr>
          <w:sz w:val="20"/>
          <w:szCs w:val="20"/>
          <w:color w:val="auto"/>
        </w:rPr>
        <w:tab/>
      </w:r>
      <w:r>
        <w:rPr>
          <w:rFonts w:ascii="Times New Roman" w:cs="Times New Roman" w:eastAsia="Times New Roman" w:hAnsi="Times New Roman"/>
          <w:sz w:val="18"/>
          <w:szCs w:val="18"/>
          <w:b w:val="1"/>
          <w:bCs w:val="1"/>
          <w:color w:val="auto"/>
        </w:rPr>
        <w:t>Volume/Mix</w:t>
      </w:r>
      <w:r>
        <w:rPr>
          <w:sz w:val="20"/>
          <w:szCs w:val="20"/>
          <w:color w:val="auto"/>
        </w:rPr>
        <w:tab/>
      </w:r>
      <w:r>
        <w:rPr>
          <w:rFonts w:ascii="Times New Roman" w:cs="Times New Roman" w:eastAsia="Times New Roman" w:hAnsi="Times New Roman"/>
          <w:sz w:val="18"/>
          <w:szCs w:val="18"/>
          <w:b w:val="1"/>
          <w:bCs w:val="1"/>
          <w:color w:val="auto"/>
        </w:rPr>
        <w:t>Other</w:t>
      </w:r>
      <w:r>
        <w:rPr>
          <w:sz w:val="20"/>
          <w:szCs w:val="20"/>
          <w:color w:val="auto"/>
        </w:rPr>
        <w:tab/>
      </w:r>
      <w:r>
        <w:rPr>
          <w:rFonts w:ascii="Times New Roman" w:cs="Times New Roman" w:eastAsia="Times New Roman" w:hAnsi="Times New Roman"/>
          <w:sz w:val="18"/>
          <w:szCs w:val="18"/>
          <w:b w:val="1"/>
          <w:bCs w:val="1"/>
          <w:color w:val="auto"/>
        </w:rPr>
        <w:t>Identified Items (1)</w:t>
      </w:r>
      <w:r>
        <w:rPr>
          <w:sz w:val="20"/>
          <w:szCs w:val="20"/>
          <w:color w:val="auto"/>
        </w:rPr>
        <w:tab/>
      </w:r>
      <w:r>
        <w:rPr>
          <w:rFonts w:ascii="Times New Roman" w:cs="Times New Roman" w:eastAsia="Times New Roman" w:hAnsi="Times New Roman"/>
          <w:sz w:val="17"/>
          <w:szCs w:val="17"/>
          <w:b w:val="1"/>
          <w:bCs w:val="1"/>
          <w:color w:val="auto"/>
        </w:rPr>
        <w:t>2022 Earnings</w:t>
      </w:r>
    </w:p>
    <w:p>
      <w:pPr>
        <w:spacing w:after="0" w:line="273"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Price – Higher realizations increased earnings by $21,290 million reflecting tight supply and recovering demand, and favorable mark-to-market impacts of $2,800 million.</w:t>
      </w:r>
    </w:p>
    <w:p>
      <w:pPr>
        <w:spacing w:after="0" w:line="26" w:lineRule="exact"/>
        <w:rPr>
          <w:sz w:val="20"/>
          <w:szCs w:val="20"/>
          <w:color w:val="auto"/>
        </w:rPr>
      </w:pPr>
    </w:p>
    <w:p>
      <w:pPr>
        <w:jc w:val="both"/>
        <w:ind w:left="40"/>
        <w:spacing w:after="0" w:line="259" w:lineRule="auto"/>
        <w:rPr>
          <w:sz w:val="20"/>
          <w:szCs w:val="20"/>
          <w:color w:val="auto"/>
        </w:rPr>
      </w:pPr>
      <w:r>
        <w:rPr>
          <w:rFonts w:ascii="Times New Roman" w:cs="Times New Roman" w:eastAsia="Times New Roman" w:hAnsi="Times New Roman"/>
          <w:sz w:val="20"/>
          <w:szCs w:val="20"/>
          <w:color w:val="auto"/>
        </w:rPr>
        <w:t>Volume/Mix – Volume and mix effects decreased earnings by $110 million. The earnings benefit from volume growth in Guyana and the Permian was offset by the volume loss from divestments, the Russia expropriation, and other impacts including weather-related downtime.</w:t>
      </w:r>
    </w:p>
    <w:p>
      <w:pPr>
        <w:spacing w:after="0" w:line="39"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Other – All other items decreased earnings by $880 million as strong cost control partly offset impacts from inflation and increased activity.</w:t>
      </w:r>
    </w:p>
    <w:p>
      <w:pPr>
        <w:spacing w:after="0" w:line="26"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20"/>
          <w:szCs w:val="20"/>
          <w:color w:val="auto"/>
        </w:rPr>
        <w:t>Identified Items</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 2021 $(543) million loss as a result of impairments of $(752) million and contractual provisions of $(250) million, partly offset by a $459 million gain from the U.K Central and Northern North Sea divestment; 2022 $(2,939) million loss mainly driven by the Russia expropriation $(2,185) million and impacts from additional European taxes $(1,415) million, partly offset by gains of $886 million on the sale of the Romania, U.S. Barnett Shale, and XTO Energy Canada assets.</w:t>
      </w:r>
    </w:p>
    <w:p>
      <w:pPr>
        <w:spacing w:after="0" w:line="45" w:lineRule="exact"/>
        <w:rPr>
          <w:sz w:val="20"/>
          <w:szCs w:val="20"/>
          <w:color w:val="auto"/>
        </w:rPr>
      </w:pPr>
    </w:p>
    <w:p>
      <w:pPr>
        <w:ind w:left="200" w:hanging="152"/>
        <w:spacing w:after="0"/>
        <w:tabs>
          <w:tab w:leader="none" w:pos="200" w:val="left"/>
        </w:tabs>
        <w:numPr>
          <w:ilvl w:val="0"/>
          <w:numId w:val="2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4C4C4C"/>
        </w:rPr>
        <w:t>Upstream Operational Results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7500" w:type="dxa"/>
            <w:vAlign w:val="bottom"/>
            <w:tcBorders>
              <w:bottom w:val="single" w:sz="8" w:color="4C4C4C"/>
            </w:tcBorders>
            <w:shd w:val="clear" w:color="auto" w:fill="4C4C4C"/>
          </w:tcPr>
          <w:p>
            <w:pPr>
              <w:spacing w:after="0"/>
              <w:rPr>
                <w:sz w:val="23"/>
                <w:szCs w:val="23"/>
                <w:color w:val="auto"/>
              </w:rPr>
            </w:pP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00" w:type="dxa"/>
            <w:vAlign w:val="bottom"/>
            <w:tcBorders>
              <w:bottom w:val="single" w:sz="8" w:color="4C4C4C"/>
            </w:tcBorders>
            <w:shd w:val="clear" w:color="auto" w:fill="4C4C4C"/>
          </w:tcPr>
          <w:p>
            <w:pPr>
              <w:jc w:val="right"/>
              <w:ind w:right="223"/>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7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215"/>
        </w:trPr>
        <w:tc>
          <w:tcPr>
            <w:tcW w:w="7500" w:type="dxa"/>
            <w:vAlign w:val="bottom"/>
          </w:tcPr>
          <w:p>
            <w:pPr>
              <w:ind w:left="40"/>
              <w:spacing w:after="0" w:line="215" w:lineRule="exact"/>
              <w:rPr>
                <w:sz w:val="20"/>
                <w:szCs w:val="20"/>
                <w:color w:val="auto"/>
              </w:rPr>
            </w:pPr>
            <w:r>
              <w:rPr>
                <w:rFonts w:ascii="Times New Roman" w:cs="Times New Roman" w:eastAsia="Times New Roman" w:hAnsi="Times New Roman"/>
                <w:sz w:val="20"/>
                <w:szCs w:val="20"/>
                <w:b w:val="1"/>
                <w:bCs w:val="1"/>
                <w:color w:val="4C4C4C"/>
              </w:rPr>
              <w:t>Net production of crude oil, natural gas liquids, bitumen and synthetic oil</w:t>
            </w:r>
          </w:p>
        </w:tc>
        <w:tc>
          <w:tcPr>
            <w:tcW w:w="980" w:type="dxa"/>
            <w:vAlign w:val="bottom"/>
            <w:shd w:val="clear" w:color="auto" w:fill="F0F0F0"/>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barrels daily)</w:t>
            </w:r>
          </w:p>
        </w:tc>
        <w:tc>
          <w:tcPr>
            <w:tcW w:w="980" w:type="dxa"/>
            <w:vAlign w:val="bottom"/>
            <w:shd w:val="clear" w:color="auto" w:fill="F0F0F0"/>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776</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Canada/Other Americas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588</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Europe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Africa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238</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Asia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705</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0" w:type="dxa"/>
            <w:vAlign w:val="bottom"/>
          </w:tcPr>
          <w:p>
            <w:pPr>
              <w:spacing w:after="0"/>
              <w:rPr>
                <w:sz w:val="1"/>
                <w:szCs w:val="1"/>
                <w:color w:val="auto"/>
              </w:rPr>
            </w:pP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Australia/Oceania</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43</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2,449</w:t>
            </w:r>
          </w:p>
        </w:tc>
        <w:tc>
          <w:tcPr>
            <w:tcW w:w="1300" w:type="dxa"/>
            <w:vAlign w:val="bottom"/>
            <w:tcBorders>
              <w:top w:val="single" w:sz="8" w:color="4C4C4C"/>
              <w:bottom w:val="single" w:sz="8" w:color="4C4C4C"/>
            </w:tcBorders>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rPr>
              <w:t>2,354</w:t>
            </w:r>
          </w:p>
        </w:tc>
        <w:tc>
          <w:tcPr>
            <w:tcW w:w="7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2,289</w:t>
            </w:r>
          </w:p>
        </w:tc>
        <w:tc>
          <w:tcPr>
            <w:tcW w:w="0" w:type="dxa"/>
            <w:vAlign w:val="bottom"/>
          </w:tcPr>
          <w:p>
            <w:pPr>
              <w:spacing w:after="0"/>
              <w:rPr>
                <w:sz w:val="1"/>
                <w:szCs w:val="1"/>
                <w:color w:val="auto"/>
              </w:rPr>
            </w:pPr>
          </w:p>
        </w:tc>
      </w:tr>
      <w:tr>
        <w:trPr>
          <w:trHeight w:val="303"/>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Net natural gas production available for sale</w:t>
            </w:r>
          </w:p>
        </w:tc>
        <w:tc>
          <w:tcPr>
            <w:tcW w:w="980" w:type="dxa"/>
            <w:vAlign w:val="bottom"/>
            <w:shd w:val="clear" w:color="auto" w:fill="F0F0F0"/>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(millions of cubic feet daily)</w:t>
            </w:r>
          </w:p>
        </w:tc>
        <w:tc>
          <w:tcPr>
            <w:tcW w:w="980" w:type="dxa"/>
            <w:vAlign w:val="bottom"/>
            <w:shd w:val="clear" w:color="auto" w:fill="F0F0F0"/>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2,551</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Canada/Other Americas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148</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Europe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667</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Africa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71</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Asia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3,490</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3,418</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0" w:type="dxa"/>
            <w:vAlign w:val="bottom"/>
          </w:tcPr>
          <w:p>
            <w:pPr>
              <w:spacing w:after="0"/>
              <w:rPr>
                <w:sz w:val="1"/>
                <w:szCs w:val="1"/>
                <w:color w:val="auto"/>
              </w:rPr>
            </w:pP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Australia/Oceania</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1,298</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1,440</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0" w:type="dxa"/>
            <w:vAlign w:val="bottom"/>
          </w:tcPr>
          <w:p>
            <w:pPr>
              <w:spacing w:after="0"/>
              <w:rPr>
                <w:sz w:val="1"/>
                <w:szCs w:val="1"/>
                <w:color w:val="auto"/>
              </w:rPr>
            </w:pP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7,734</w:t>
            </w:r>
          </w:p>
        </w:tc>
        <w:tc>
          <w:tcPr>
            <w:tcW w:w="1300" w:type="dxa"/>
            <w:vAlign w:val="bottom"/>
            <w:tcBorders>
              <w:top w:val="single" w:sz="8" w:color="4C4C4C"/>
              <w:bottom w:val="single" w:sz="8" w:color="4C4C4C"/>
            </w:tcBorders>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rPr>
              <w:t>8,295</w:t>
            </w:r>
          </w:p>
        </w:tc>
        <w:tc>
          <w:tcPr>
            <w:tcW w:w="7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8,537</w:t>
            </w:r>
          </w:p>
        </w:tc>
        <w:tc>
          <w:tcPr>
            <w:tcW w:w="0" w:type="dxa"/>
            <w:vAlign w:val="bottom"/>
          </w:tcPr>
          <w:p>
            <w:pPr>
              <w:spacing w:after="0"/>
              <w:rPr>
                <w:sz w:val="1"/>
                <w:szCs w:val="1"/>
                <w:color w:val="auto"/>
              </w:rPr>
            </w:pPr>
          </w:p>
        </w:tc>
      </w:tr>
      <w:tr>
        <w:trPr>
          <w:trHeight w:val="292"/>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Oil-equivalent production </w:t>
            </w:r>
            <w:r>
              <w:rPr>
                <w:rFonts w:ascii="Times New Roman" w:cs="Times New Roman" w:eastAsia="Times New Roman" w:hAnsi="Times New Roman"/>
                <w:sz w:val="10"/>
                <w:szCs w:val="10"/>
                <w:i w:val="1"/>
                <w:iCs w:val="1"/>
                <w:color w:val="4C4C4C"/>
              </w:rPr>
              <w:t>(2)</w:t>
            </w:r>
          </w:p>
        </w:tc>
        <w:tc>
          <w:tcPr>
            <w:tcW w:w="9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3,738</w:t>
            </w:r>
          </w:p>
        </w:tc>
        <w:tc>
          <w:tcPr>
            <w:tcW w:w="1300" w:type="dxa"/>
            <w:vAlign w:val="bottom"/>
            <w:vMerge w:val="restart"/>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rPr>
              <w:t>3,737</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3,712</w:t>
            </w:r>
          </w:p>
        </w:tc>
        <w:tc>
          <w:tcPr>
            <w:tcW w:w="0" w:type="dxa"/>
            <w:vAlign w:val="bottom"/>
          </w:tcPr>
          <w:p>
            <w:pPr>
              <w:spacing w:after="0"/>
              <w:rPr>
                <w:sz w:val="1"/>
                <w:szCs w:val="1"/>
                <w:color w:val="auto"/>
              </w:rPr>
            </w:pPr>
          </w:p>
        </w:tc>
      </w:tr>
      <w:tr>
        <w:trPr>
          <w:trHeight w:val="126"/>
        </w:trPr>
        <w:tc>
          <w:tcPr>
            <w:tcW w:w="7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 of oil-equivalent barrels daily)</w:t>
            </w:r>
          </w:p>
        </w:tc>
        <w:tc>
          <w:tcPr>
            <w:tcW w:w="980" w:type="dxa"/>
            <w:vAlign w:val="bottom"/>
            <w:vMerge w:val="continue"/>
            <w:shd w:val="clear" w:color="auto" w:fill="F0F0F0"/>
          </w:tcPr>
          <w:p>
            <w:pPr>
              <w:spacing w:after="0"/>
              <w:rPr>
                <w:sz w:val="10"/>
                <w:szCs w:val="10"/>
                <w:color w:val="auto"/>
              </w:rPr>
            </w:pPr>
          </w:p>
        </w:tc>
        <w:tc>
          <w:tcPr>
            <w:tcW w:w="13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500" w:type="dxa"/>
            <w:vAlign w:val="bottom"/>
            <w:tcBorders>
              <w:bottom w:val="single" w:sz="8" w:color="4C4C4C"/>
            </w:tcBorders>
            <w:vMerge w:val="continue"/>
          </w:tcPr>
          <w:p>
            <w:pPr>
              <w:spacing w:after="0"/>
              <w:rPr>
                <w:sz w:val="7"/>
                <w:szCs w:val="7"/>
                <w:color w:val="auto"/>
              </w:rPr>
            </w:pPr>
          </w:p>
        </w:tc>
        <w:tc>
          <w:tcPr>
            <w:tcW w:w="980" w:type="dxa"/>
            <w:vAlign w:val="bottom"/>
            <w:tcBorders>
              <w:bottom w:val="single" w:sz="8" w:color="4C4C4C"/>
            </w:tcBorders>
            <w:shd w:val="clear" w:color="auto" w:fill="F0F0F0"/>
          </w:tcPr>
          <w:p>
            <w:pPr>
              <w:spacing w:after="0"/>
              <w:rPr>
                <w:sz w:val="7"/>
                <w:szCs w:val="7"/>
                <w:color w:val="auto"/>
              </w:rPr>
            </w:pPr>
          </w:p>
        </w:tc>
        <w:tc>
          <w:tcPr>
            <w:tcW w:w="1300" w:type="dxa"/>
            <w:vAlign w:val="bottom"/>
            <w:tcBorders>
              <w:bottom w:val="single" w:sz="8" w:color="4C4C4C"/>
            </w:tcBorders>
          </w:tcPr>
          <w:p>
            <w:pPr>
              <w:spacing w:after="0"/>
              <w:rPr>
                <w:sz w:val="7"/>
                <w:szCs w:val="7"/>
                <w:color w:val="auto"/>
              </w:rPr>
            </w:pPr>
          </w:p>
        </w:tc>
        <w:tc>
          <w:tcPr>
            <w:tcW w:w="78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-2006600</wp:posOffset>
                </wp:positionV>
                <wp:extent cx="671131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31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158pt" to="531.2pt,-158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34925</wp:posOffset>
                </wp:positionH>
                <wp:positionV relativeFrom="paragraph">
                  <wp:posOffset>-344805</wp:posOffset>
                </wp:positionV>
                <wp:extent cx="671131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31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27.1499pt" to="531.2pt,-27.1499pt" o:allowincell="f" strokecolor="#FFFFFF" strokeweight="0.01pt"/>
            </w:pict>
          </mc:Fallback>
        </mc:AlternateContent>
      </w:r>
    </w:p>
    <w:p>
      <w:pPr>
        <w:spacing w:after="0" w:line="64" w:lineRule="exact"/>
        <w:rPr>
          <w:sz w:val="20"/>
          <w:szCs w:val="20"/>
          <w:color w:val="auto"/>
        </w:rPr>
      </w:pPr>
    </w:p>
    <w:p>
      <w:pPr>
        <w:ind w:left="260" w:hanging="153"/>
        <w:spacing w:after="0"/>
        <w:tabs>
          <w:tab w:leader="none" w:pos="260" w:val="left"/>
        </w:tabs>
        <w:numPr>
          <w:ilvl w:val="0"/>
          <w:numId w:val="2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Natural gas is converted to an oil-equivalent basis at six million cubic feet per one thousand barrels.</w:t>
      </w:r>
    </w:p>
    <w:p>
      <w:pPr>
        <w:sectPr>
          <w:pgSz w:w="11880" w:h="15480" w:orient="portrait"/>
          <w:cols w:equalWidth="0" w:num="1">
            <w:col w:w="10640"/>
          </w:cols>
          <w:pgMar w:left="600" w:top="491" w:right="640" w:bottom="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640"/>
          </w:cols>
          <w:pgMar w:left="600" w:top="491" w:right="640" w:bottom="0" w:gutter="0" w:footer="0" w:header="0"/>
          <w:type w:val="continuous"/>
        </w:sectPr>
      </w:pPr>
    </w:p>
    <w:bookmarkStart w:id="62" w:name="page63"/>
    <w:bookmarkEnd w:id="62"/>
    <w:p>
      <w:pPr>
        <w:ind w:right="42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4C4C4C"/>
        </w:rPr>
        <w:t>Upstream Additional Information</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816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(thousands of barrels daily)</w:t>
            </w:r>
          </w:p>
        </w:tc>
        <w:tc>
          <w:tcPr>
            <w:tcW w:w="11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4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r>
      <w:tr>
        <w:trPr>
          <w:trHeight w:val="282"/>
        </w:trPr>
        <w:tc>
          <w:tcPr>
            <w:tcW w:w="81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Volumes Reconciliation (Oil-equivalent production) </w:t>
            </w:r>
            <w:r>
              <w:rPr>
                <w:rFonts w:ascii="Times New Roman" w:cs="Times New Roman" w:eastAsia="Times New Roman" w:hAnsi="Times New Roman"/>
                <w:sz w:val="10"/>
                <w:szCs w:val="10"/>
                <w:i w:val="1"/>
                <w:iCs w:val="1"/>
                <w:color w:val="4C4C4C"/>
              </w:rPr>
              <w:t>(1)</w:t>
            </w:r>
          </w:p>
        </w:tc>
        <w:tc>
          <w:tcPr>
            <w:tcW w:w="1160" w:type="dxa"/>
            <w:vAlign w:val="bottom"/>
            <w:shd w:val="clear" w:color="auto" w:fill="F0F0F0"/>
          </w:tcPr>
          <w:p>
            <w:pPr>
              <w:spacing w:after="0"/>
              <w:rPr>
                <w:sz w:val="24"/>
                <w:szCs w:val="24"/>
                <w:color w:val="auto"/>
              </w:rPr>
            </w:pPr>
          </w:p>
        </w:tc>
        <w:tc>
          <w:tcPr>
            <w:tcW w:w="1240" w:type="dxa"/>
            <w:vAlign w:val="bottom"/>
          </w:tcPr>
          <w:p>
            <w:pPr>
              <w:spacing w:after="0"/>
              <w:rPr>
                <w:sz w:val="24"/>
                <w:szCs w:val="24"/>
                <w:color w:val="auto"/>
              </w:rPr>
            </w:pPr>
          </w:p>
        </w:tc>
      </w:tr>
      <w:tr>
        <w:trPr>
          <w:trHeight w:val="294"/>
        </w:trPr>
        <w:tc>
          <w:tcPr>
            <w:tcW w:w="81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Prior Year</w:t>
            </w:r>
          </w:p>
        </w:tc>
        <w:tc>
          <w:tcPr>
            <w:tcW w:w="11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3,737</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w:t>
            </w:r>
          </w:p>
        </w:tc>
      </w:tr>
      <w:tr>
        <w:trPr>
          <w:trHeight w:val="294"/>
        </w:trPr>
        <w:tc>
          <w:tcPr>
            <w:tcW w:w="8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Entitlements - Net Interest</w:t>
            </w:r>
          </w:p>
        </w:tc>
        <w:tc>
          <w:tcPr>
            <w:tcW w:w="11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94"/>
        </w:trPr>
        <w:tc>
          <w:tcPr>
            <w:tcW w:w="8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Entitlements - Price / Spend / Other</w:t>
            </w:r>
          </w:p>
        </w:tc>
        <w:tc>
          <w:tcPr>
            <w:tcW w:w="11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4"/>
        </w:trPr>
        <w:tc>
          <w:tcPr>
            <w:tcW w:w="8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Government Mandates </w:t>
            </w:r>
            <w:r>
              <w:rPr>
                <w:rFonts w:ascii="Times New Roman" w:cs="Times New Roman" w:eastAsia="Times New Roman" w:hAnsi="Times New Roman"/>
                <w:sz w:val="10"/>
                <w:szCs w:val="10"/>
                <w:i w:val="1"/>
                <w:iCs w:val="1"/>
                <w:color w:val="auto"/>
              </w:rPr>
              <w:t>(2)</w:t>
            </w:r>
          </w:p>
        </w:tc>
        <w:tc>
          <w:tcPr>
            <w:tcW w:w="11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94"/>
        </w:trPr>
        <w:tc>
          <w:tcPr>
            <w:tcW w:w="8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Divestments</w:t>
            </w:r>
          </w:p>
        </w:tc>
        <w:tc>
          <w:tcPr>
            <w:tcW w:w="11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97"/>
        </w:trPr>
        <w:tc>
          <w:tcPr>
            <w:tcW w:w="81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 xml:space="preserve">Growth / Other </w:t>
            </w:r>
            <w:r>
              <w:rPr>
                <w:rFonts w:ascii="Times New Roman" w:cs="Times New Roman" w:eastAsia="Times New Roman" w:hAnsi="Times New Roman"/>
                <w:sz w:val="10"/>
                <w:szCs w:val="10"/>
                <w:i w:val="1"/>
                <w:iCs w:val="1"/>
                <w:color w:val="auto"/>
              </w:rPr>
              <w:t>(2)</w:t>
            </w:r>
          </w:p>
        </w:tc>
        <w:tc>
          <w:tcPr>
            <w:tcW w:w="11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2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77"/>
        </w:trPr>
        <w:tc>
          <w:tcPr>
            <w:tcW w:w="81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Current Year</w:t>
            </w:r>
          </w:p>
        </w:tc>
        <w:tc>
          <w:tcPr>
            <w:tcW w:w="11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3,738</w:t>
            </w:r>
          </w:p>
        </w:tc>
        <w:tc>
          <w:tcPr>
            <w:tcW w:w="12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3,737</w:t>
            </w:r>
          </w:p>
        </w:tc>
      </w:tr>
    </w:tbl>
    <w:p>
      <w:pPr>
        <w:spacing w:after="0" w:line="90" w:lineRule="exact"/>
        <w:rPr>
          <w:sz w:val="20"/>
          <w:szCs w:val="20"/>
          <w:color w:val="auto"/>
        </w:rPr>
      </w:pPr>
    </w:p>
    <w:p>
      <w:pPr>
        <w:ind w:left="260" w:hanging="153"/>
        <w:spacing w:after="0"/>
        <w:tabs>
          <w:tab w:leader="none" w:pos="260" w:val="left"/>
        </w:tabs>
        <w:numPr>
          <w:ilvl w:val="0"/>
          <w:numId w:val="2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Natural gas is converted to an oil-equivalent basis at six million cubic feet per one thousand barrels.</w:t>
      </w:r>
    </w:p>
    <w:p>
      <w:pPr>
        <w:spacing w:after="0" w:line="21" w:lineRule="exact"/>
        <w:rPr>
          <w:rFonts w:ascii="Times New Roman" w:cs="Times New Roman" w:eastAsia="Times New Roman" w:hAnsi="Times New Roman"/>
          <w:sz w:val="19"/>
          <w:szCs w:val="19"/>
          <w:i w:val="1"/>
          <w:iCs w:val="1"/>
          <w:color w:val="auto"/>
          <w:vertAlign w:val="superscript"/>
        </w:rPr>
      </w:pPr>
    </w:p>
    <w:p>
      <w:pPr>
        <w:ind w:left="100" w:right="60" w:firstLine="7"/>
        <w:spacing w:after="0" w:line="217" w:lineRule="auto"/>
        <w:tabs>
          <w:tab w:leader="none" w:pos="268" w:val="left"/>
        </w:tabs>
        <w:numPr>
          <w:ilvl w:val="0"/>
          <w:numId w:val="26"/>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 the Volumes Reconciliation for 2022, -9 KOEBD has been recategorized from Growth / Other to Government Mandates following additional analysis in 2023 related to Groningen production limits.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134620</wp:posOffset>
                </wp:positionV>
                <wp:extent cx="672084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pt,10.6pt" to="531.6pt,10.6pt" o:allowincell="f" strokecolor="#4C4C4C" strokeweight="0.49pt"/>
            </w:pict>
          </mc:Fallback>
        </mc:AlternateContent>
      </w:r>
    </w:p>
    <w:p>
      <w:pPr>
        <w:spacing w:after="0" w:line="2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2023 production of 3.7 million oil-equivalent barrels per day is in line with 2022. Permian and Guyana</w:t>
      </w:r>
    </w:p>
    <w:p>
      <w:pPr>
        <w:spacing w:after="0" w:line="27" w:lineRule="exact"/>
        <w:rPr>
          <w:sz w:val="20"/>
          <w:szCs w:val="20"/>
          <w:color w:val="auto"/>
        </w:rPr>
      </w:pPr>
    </w:p>
    <w:p>
      <w:pPr>
        <w:jc w:val="right"/>
        <w:ind w:left="140" w:right="60"/>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2023 versus 2022</w:t>
      </w:r>
      <w:r>
        <w:rPr>
          <w:rFonts w:ascii="Times New Roman" w:cs="Times New Roman" w:eastAsia="Times New Roman" w:hAnsi="Times New Roman"/>
          <w:sz w:val="18"/>
          <w:szCs w:val="18"/>
          <w:color w:val="auto"/>
        </w:rPr>
        <w:t xml:space="preserve">  production grew by more than 120 thousand oil-equivalent barrels per day, more than offsetting impacts from divestments.  Excluding  the  impacts  from  entitlements,  divestments,  and  higher  government-mandated</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curtailments, net production grew by 111 thousand oil-equivalent barrels per day.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40005</wp:posOffset>
                </wp:positionV>
                <wp:extent cx="672084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pt,3.15pt" to="531.6pt,3.15pt" o:allowincell="f" strokecolor="#4C4C4C" strokeweight="0.49pt"/>
            </w:pict>
          </mc:Fallback>
        </mc:AlternateContent>
      </w:r>
    </w:p>
    <w:p>
      <w:pPr>
        <w:spacing w:after="0" w:line="133" w:lineRule="exact"/>
        <w:rPr>
          <w:sz w:val="20"/>
          <w:szCs w:val="20"/>
          <w:color w:val="auto"/>
        </w:rPr>
      </w:pPr>
    </w:p>
    <w:p>
      <w:pPr>
        <w:jc w:val="right"/>
        <w:ind w:left="140" w:right="60"/>
        <w:spacing w:after="0" w:line="259" w:lineRule="auto"/>
        <w:rPr>
          <w:sz w:val="20"/>
          <w:szCs w:val="20"/>
          <w:color w:val="auto"/>
        </w:rPr>
      </w:pPr>
      <w:r>
        <w:rPr>
          <w:rFonts w:ascii="Times New Roman" w:cs="Times New Roman" w:eastAsia="Times New Roman" w:hAnsi="Times New Roman"/>
          <w:sz w:val="20"/>
          <w:szCs w:val="20"/>
          <w:color w:val="auto"/>
        </w:rPr>
        <w:t xml:space="preserve">2022 production of 3.7 million oil-equivalent barrels per day increased 25 thousand barrels per day from 2021. </w:t>
      </w:r>
      <w:r>
        <w:rPr>
          <w:rFonts w:ascii="Times New Roman" w:cs="Times New Roman" w:eastAsia="Times New Roman" w:hAnsi="Times New Roman"/>
          <w:sz w:val="20"/>
          <w:szCs w:val="20"/>
          <w:b w:val="1"/>
          <w:bCs w:val="1"/>
          <w:color w:val="auto"/>
        </w:rPr>
        <w:t xml:space="preserve">2022 versus 2021  </w:t>
      </w:r>
      <w:r>
        <w:rPr>
          <w:rFonts w:ascii="Times New Roman" w:cs="Times New Roman" w:eastAsia="Times New Roman" w:hAnsi="Times New Roman"/>
          <w:sz w:val="20"/>
          <w:szCs w:val="20"/>
          <w:color w:val="auto"/>
        </w:rPr>
        <w:t>Excluding the impacts from entitlements, Russia expropriation, divestments, and eased government-mandated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curtailments, net production grew by 103 thousand oil-equivalent barrels per day driven by Permian and Guyana.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58420</wp:posOffset>
                </wp:positionV>
                <wp:extent cx="672084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18669">
                          <a:solidFill>
                            <a:srgbClr val="4C4C4C"/>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pt,4.6pt" to="531.6pt,4.6pt" o:allowincell="f" strokecolor="#4C4C4C" strokeweight="1.47pt"/>
            </w:pict>
          </mc:Fallback>
        </mc:AlternateContent>
      </w:r>
    </w:p>
    <w:p>
      <w:pPr>
        <w:spacing w:after="0" w:line="208"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20"/>
          <w:szCs w:val="20"/>
          <w:color w:val="auto"/>
        </w:rPr>
        <w:t>Listed below are descriptions of ExxonMobil’s volumes reconciliation factors, which are provided to facilitate understanding of the terms.</w:t>
      </w:r>
    </w:p>
    <w:p>
      <w:pPr>
        <w:spacing w:after="0" w:line="43"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Entitlements - Net Interest </w:t>
      </w:r>
      <w:r>
        <w:rPr>
          <w:rFonts w:ascii="Times New Roman" w:cs="Times New Roman" w:eastAsia="Times New Roman" w:hAnsi="Times New Roman"/>
          <w:sz w:val="20"/>
          <w:szCs w:val="20"/>
          <w:color w:val="auto"/>
        </w:rPr>
        <w:t>are changes to ExxonMobil’s share of production volumes caused by non-operational changes to volume-determining factors. These factors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66"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Entitlements - Price, Spend and Other </w:t>
      </w:r>
      <w:r>
        <w:rPr>
          <w:rFonts w:ascii="Times New Roman" w:cs="Times New Roman" w:eastAsia="Times New Roman" w:hAnsi="Times New Roman"/>
          <w:sz w:val="20"/>
          <w:szCs w:val="20"/>
          <w:color w:val="auto"/>
        </w:rPr>
        <w:t>are changes to ExxonMobil’s share of production volumes resulting from temporary changes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non-operational volume-determining factors. These factors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 higher prices, fewer barrels are required for ExxonMobil to recover its costs. These effects generally vary from period to period with field spending patterns or market prices for oil and natural gas. Such factors can also include other temporary changes in net interest as dictated by specific provisions in production agreements.</w:t>
      </w:r>
    </w:p>
    <w:p>
      <w:pPr>
        <w:spacing w:after="0" w:line="67" w:lineRule="exact"/>
        <w:rPr>
          <w:sz w:val="20"/>
          <w:szCs w:val="20"/>
          <w:color w:val="auto"/>
        </w:rPr>
      </w:pPr>
    </w:p>
    <w:p>
      <w:pPr>
        <w:jc w:val="both"/>
        <w:ind w:left="40"/>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Government Mandates </w:t>
      </w:r>
      <w:r>
        <w:rPr>
          <w:rFonts w:ascii="Times New Roman" w:cs="Times New Roman" w:eastAsia="Times New Roman" w:hAnsi="Times New Roman"/>
          <w:sz w:val="20"/>
          <w:szCs w:val="20"/>
          <w:color w:val="auto"/>
        </w:rPr>
        <w:t>are changes to ExxonMobil's sustainable production levels as a result of production limits or sanctions imposed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governments.</w:t>
      </w:r>
    </w:p>
    <w:p>
      <w:pPr>
        <w:spacing w:after="0" w:line="41" w:lineRule="exact"/>
        <w:rPr>
          <w:sz w:val="20"/>
          <w:szCs w:val="20"/>
          <w:color w:val="auto"/>
        </w:rPr>
      </w:pPr>
    </w:p>
    <w:p>
      <w:pPr>
        <w:jc w:val="both"/>
        <w:ind w:left="40"/>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Divestments </w:t>
      </w:r>
      <w:r>
        <w:rPr>
          <w:rFonts w:ascii="Times New Roman" w:cs="Times New Roman" w:eastAsia="Times New Roman" w:hAnsi="Times New Roman"/>
          <w:sz w:val="20"/>
          <w:szCs w:val="20"/>
          <w:color w:val="auto"/>
        </w:rPr>
        <w:t>are reductions in ExxonMobil’s production arising from commercial arrangements to fully or partially reduce equity in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field or asset in exchange for financial or other economic consideration.</w:t>
      </w:r>
    </w:p>
    <w:p>
      <w:pPr>
        <w:spacing w:after="0" w:line="41"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Growth and Other </w:t>
      </w:r>
      <w:r>
        <w:rPr>
          <w:rFonts w:ascii="Times New Roman" w:cs="Times New Roman" w:eastAsia="Times New Roman" w:hAnsi="Times New Roman"/>
          <w:sz w:val="20"/>
          <w:szCs w:val="20"/>
          <w:color w:val="auto"/>
        </w:rPr>
        <w:t>factors comprise all other operational and non-operational factors not covered by the above definitions that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affect volumes attributable to ExxonMobil. Such factors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ectPr>
          <w:pgSz w:w="11880" w:h="15480" w:orient="portrait"/>
          <w:cols w:equalWidth="0" w:num="1">
            <w:col w:w="10640"/>
          </w:cols>
          <w:pgMar w:left="60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640"/>
          </w:cols>
          <w:pgMar w:left="600" w:top="491" w:right="640" w:bottom="0" w:gutter="0" w:footer="0" w:header="0"/>
          <w:type w:val="continuous"/>
        </w:sectPr>
      </w:pPr>
    </w:p>
    <w:bookmarkStart w:id="63" w:name="page64"/>
    <w:bookmarkEnd w:id="63"/>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95885</wp:posOffset>
                </wp:positionV>
                <wp:extent cx="6720840" cy="3175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317500"/>
                        </a:xfrm>
                        <a:prstGeom prst="rect">
                          <a:avLst/>
                        </a:prstGeom>
                        <a:solidFill>
                          <a:srgbClr val="4C4C4C"/>
                        </a:solidFill>
                      </wps:spPr>
                      <wps:bodyPr/>
                    </wps:wsp>
                  </a:graphicData>
                </a:graphic>
              </wp:anchor>
            </w:drawing>
          </mc:Choice>
          <mc:Fallback>
            <w:pict>
              <v:rect id="Shape 124" o:spid="_x0000_s1149" style="position:absolute;margin-left:0.4pt;margin-top:7.55pt;width:529.2pt;height: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FFFFFF"/>
        </w:rPr>
        <w:t>Energy Products</w:t>
      </w:r>
    </w:p>
    <w:p>
      <w:pPr>
        <w:spacing w:after="0" w:line="2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ExxonMobil's Energy Products is one of the largest, most integrated businesses of its kind among international oil companies, with significant representation across the entire fuels value chain including refining, logistics, trading, and marketing. This segment includes the fuels and aromatics value chains and catalysts and licensing.</w:t>
      </w:r>
    </w:p>
    <w:p>
      <w:pPr>
        <w:spacing w:after="0" w:line="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With the largest refining footprint among international oil companies, ExxonMobil’s Energy Products earnings are closely tied to industry refining margins. Refining margins are largely driven by differences in commodity prices and are a function of the difference between what a refinery pays for its raw materials and the market prices for the products produced. Crude oil and many products are widely traded with published prices, including those quoted on multiple exchanges around the world (e.g. New York Mercantile Exchange and Intercontinental Exchange). Prices for these commodities are determined by the global marketplace and are influenced by many factors, including global and regional supply/demand balances, inventory levels, industry refinery operations, import/export balances, currency fluctuations, seasonal demand, weather, and political considerations. While industry refining margins significantly impact Energy Products earnings, strong operations performance, product mix optimization, and disciplined cost control are also critical to strong financial performance.</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2023, refining margins remained above the pre-COVID 10-year historical range (2010–2019) but started to normalize from their 2022 highs. Continued strong margins were supported by gasoline and distillate demand growth and relatively low inventory levels. Refining margins will remain volatile with changes in global factors including geopolitical developments; demand growth; recession fears; inventory levels; and refining capacity utilizations, additions and rationalizations.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Key Recent Events</w:t>
      </w:r>
    </w:p>
    <w:p>
      <w:pPr>
        <w:spacing w:after="0" w:line="1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Capacity additions: </w:t>
      </w:r>
      <w:r>
        <w:rPr>
          <w:rFonts w:ascii="Times New Roman" w:cs="Times New Roman" w:eastAsia="Times New Roman" w:hAnsi="Times New Roman"/>
          <w:sz w:val="20"/>
          <w:szCs w:val="20"/>
          <w:color w:val="auto"/>
        </w:rPr>
        <w:t>The company started-up its Beaumont Refinery expansion in February 2023, two months early, and reached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nameplate crude distillation capacity of 250 thousand barrels per day in March.</w:t>
      </w:r>
    </w:p>
    <w:p>
      <w:pPr>
        <w:spacing w:after="0" w:line="3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Strathcona Renewable Diesel project: </w:t>
      </w:r>
      <w:r>
        <w:rPr>
          <w:rFonts w:ascii="Times New Roman" w:cs="Times New Roman" w:eastAsia="Times New Roman" w:hAnsi="Times New Roman"/>
          <w:sz w:val="20"/>
          <w:szCs w:val="20"/>
          <w:color w:val="auto"/>
        </w:rPr>
        <w:t>In January 2023, ExxonMobil and its affiliates fully funded a project at Strathcona refinery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 low-carbon hydrogen, locally-sourced and grown feedstocks, and our proprietary catalyst to produce 20 thousand barrels of renewable diesel per day that will help reduce greenhouse gas emissions.</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Singapore Resid Upgrade project: </w:t>
      </w:r>
      <w:r>
        <w:rPr>
          <w:rFonts w:ascii="Times New Roman" w:cs="Times New Roman" w:eastAsia="Times New Roman" w:hAnsi="Times New Roman"/>
          <w:sz w:val="20"/>
          <w:szCs w:val="20"/>
          <w:color w:val="auto"/>
        </w:rPr>
        <w:t>Progressed project with expected start-up in 2025, which will leverage two proprietary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technologies to upgrade fuel oil to Group II lubes and diesel, further strengthening ExxonMobil’s competitiveness.</w:t>
      </w:r>
    </w:p>
    <w:p>
      <w:pPr>
        <w:spacing w:after="0" w:line="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Billings divestment: </w:t>
      </w:r>
      <w:r>
        <w:rPr>
          <w:rFonts w:ascii="Times New Roman" w:cs="Times New Roman" w:eastAsia="Times New Roman" w:hAnsi="Times New Roman"/>
          <w:sz w:val="20"/>
          <w:szCs w:val="20"/>
          <w:color w:val="auto"/>
        </w:rPr>
        <w:t>In June 2023, ExxonMobil divested the Billings Refinery and select midstream assets in Montana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Washington.</w:t>
      </w:r>
    </w:p>
    <w:p>
      <w:pPr>
        <w:spacing w:after="0" w:line="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Esso Thailand divestment: </w:t>
      </w:r>
      <w:r>
        <w:rPr>
          <w:rFonts w:ascii="Times New Roman" w:cs="Times New Roman" w:eastAsia="Times New Roman" w:hAnsi="Times New Roman"/>
          <w:sz w:val="20"/>
          <w:szCs w:val="20"/>
          <w:color w:val="auto"/>
        </w:rPr>
        <w:t>In August 2023, ExxonMobil sold its interest in Esso Thailand, which included the Sriracha Refinery,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select distribution terminals, and a network of Esso-branded retail stations.</w:t>
      </w:r>
    </w:p>
    <w:p>
      <w:pPr>
        <w:spacing w:after="0" w:line="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Italy Fuels divestment: </w:t>
      </w:r>
      <w:r>
        <w:rPr>
          <w:rFonts w:ascii="Times New Roman" w:cs="Times New Roman" w:eastAsia="Times New Roman" w:hAnsi="Times New Roman"/>
          <w:sz w:val="20"/>
          <w:szCs w:val="20"/>
          <w:color w:val="auto"/>
        </w:rPr>
        <w:t>In October 2023, ExxonMobil sold its interest in the Trecate Refinery joint venture, select midstream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fuels marketing business.</w:t>
      </w:r>
    </w:p>
    <w:p>
      <w:pPr>
        <w:spacing w:after="0" w:line="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Miro Refinery sale: </w:t>
      </w:r>
      <w:r>
        <w:rPr>
          <w:rFonts w:ascii="Times New Roman" w:cs="Times New Roman" w:eastAsia="Times New Roman" w:hAnsi="Times New Roman"/>
          <w:sz w:val="20"/>
          <w:szCs w:val="20"/>
          <w:color w:val="auto"/>
        </w:rPr>
        <w:t>In October 2023, ExxonMobil reached an agreement to sell its interest in the Miro refinery located in Karlsruhe,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Germany, and we expect the transaction to close in 2024.</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600"/>
          </w:cols>
          <w:pgMar w:left="640" w:top="491" w:right="640" w:bottom="0" w:gutter="0" w:footer="0" w:header="0"/>
          <w:type w:val="continuous"/>
        </w:sectPr>
      </w:pPr>
    </w:p>
    <w:bookmarkStart w:id="64" w:name="page65"/>
    <w:bookmarkEnd w:id="64"/>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Energy Products Financial Results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50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60" w:type="dxa"/>
            <w:vAlign w:val="bottom"/>
            <w:tcBorders>
              <w:bottom w:val="single" w:sz="8" w:color="4C4C4C"/>
            </w:tcBorders>
            <w:shd w:val="clear" w:color="auto" w:fill="4C4C4C"/>
          </w:tcPr>
          <w:p>
            <w:pPr>
              <w:jc w:val="right"/>
              <w:ind w:right="18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2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61"/>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Earnings (loss) </w:t>
            </w:r>
            <w:r>
              <w:rPr>
                <w:rFonts w:ascii="Times New Roman" w:cs="Times New Roman" w:eastAsia="Times New Roman" w:hAnsi="Times New Roman"/>
                <w:sz w:val="20"/>
                <w:szCs w:val="20"/>
                <w:color w:val="4C4C4C"/>
              </w:rPr>
              <w:t>(U.S. GAAP)</w:t>
            </w:r>
          </w:p>
        </w:tc>
        <w:tc>
          <w:tcPr>
            <w:tcW w:w="980" w:type="dxa"/>
            <w:vAlign w:val="bottom"/>
            <w:shd w:val="clear" w:color="auto" w:fill="F0F0F0"/>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9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6,123</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rPr>
              <w:t>8,340</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w:t>
            </w: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6,019</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rPr>
              <w:t>6,626</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w:t>
            </w:r>
          </w:p>
        </w:tc>
      </w:tr>
      <w:tr>
        <w:trPr>
          <w:trHeight w:val="274"/>
        </w:trPr>
        <w:tc>
          <w:tcPr>
            <w:tcW w:w="750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12,142</w:t>
            </w:r>
          </w:p>
        </w:tc>
        <w:tc>
          <w:tcPr>
            <w:tcW w:w="1260" w:type="dxa"/>
            <w:vAlign w:val="bottom"/>
            <w:tcBorders>
              <w:top w:val="single" w:sz="8" w:color="4C4C4C"/>
            </w:tcBorders>
          </w:tcPr>
          <w:p>
            <w:pPr>
              <w:jc w:val="right"/>
              <w:ind w:right="204"/>
              <w:spacing w:after="0"/>
              <w:rPr>
                <w:sz w:val="20"/>
                <w:szCs w:val="20"/>
                <w:color w:val="auto"/>
              </w:rPr>
            </w:pPr>
            <w:r>
              <w:rPr>
                <w:rFonts w:ascii="Times New Roman" w:cs="Times New Roman" w:eastAsia="Times New Roman" w:hAnsi="Times New Roman"/>
                <w:sz w:val="20"/>
                <w:szCs w:val="20"/>
                <w:b w:val="1"/>
                <w:bCs w:val="1"/>
                <w:color w:val="auto"/>
              </w:rPr>
              <w:t>14,966</w:t>
            </w:r>
          </w:p>
        </w:tc>
        <w:tc>
          <w:tcPr>
            <w:tcW w:w="82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(347)</w:t>
            </w:r>
          </w:p>
        </w:tc>
      </w:tr>
      <w:tr>
        <w:trPr>
          <w:trHeight w:val="526"/>
        </w:trPr>
        <w:tc>
          <w:tcPr>
            <w:tcW w:w="750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Identified Items </w:t>
            </w:r>
            <w:r>
              <w:rPr>
                <w:rFonts w:ascii="Times New Roman" w:cs="Times New Roman" w:eastAsia="Times New Roman" w:hAnsi="Times New Roman"/>
                <w:sz w:val="10"/>
                <w:szCs w:val="10"/>
                <w:i w:val="1"/>
                <w:iCs w:val="1"/>
                <w:color w:val="4C4C4C"/>
              </w:rPr>
              <w:t>(1)</w:t>
            </w:r>
          </w:p>
        </w:tc>
        <w:tc>
          <w:tcPr>
            <w:tcW w:w="980" w:type="dxa"/>
            <w:vAlign w:val="bottom"/>
            <w:tcBorders>
              <w:top w:val="single" w:sz="8" w:color="4C4C4C"/>
            </w:tcBorders>
            <w:shd w:val="clear" w:color="auto" w:fill="F0F0F0"/>
          </w:tcPr>
          <w:p>
            <w:pPr>
              <w:spacing w:after="0"/>
              <w:rPr>
                <w:sz w:val="24"/>
                <w:szCs w:val="24"/>
                <w:color w:val="auto"/>
              </w:rPr>
            </w:pPr>
          </w:p>
        </w:tc>
        <w:tc>
          <w:tcPr>
            <w:tcW w:w="1260" w:type="dxa"/>
            <w:vAlign w:val="bottom"/>
            <w:tcBorders>
              <w:top w:val="single" w:sz="8" w:color="4C4C4C"/>
            </w:tcBorders>
          </w:tcPr>
          <w:p>
            <w:pPr>
              <w:spacing w:after="0"/>
              <w:rPr>
                <w:sz w:val="24"/>
                <w:szCs w:val="24"/>
                <w:color w:val="auto"/>
              </w:rPr>
            </w:pPr>
          </w:p>
        </w:tc>
        <w:tc>
          <w:tcPr>
            <w:tcW w:w="820" w:type="dxa"/>
            <w:vAlign w:val="bottom"/>
            <w:tcBorders>
              <w:top w:val="single" w:sz="8" w:color="4C4C4C"/>
            </w:tcBorders>
          </w:tcPr>
          <w:p>
            <w:pPr>
              <w:spacing w:after="0"/>
              <w:rPr>
                <w:sz w:val="24"/>
                <w:szCs w:val="24"/>
                <w:color w:val="auto"/>
              </w:rPr>
            </w:pPr>
          </w:p>
        </w:tc>
      </w:tr>
      <w:tr>
        <w:trPr>
          <w:trHeight w:val="311"/>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(58)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(626)</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750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144</w:t>
            </w:r>
          </w:p>
        </w:tc>
        <w:tc>
          <w:tcPr>
            <w:tcW w:w="1260" w:type="dxa"/>
            <w:vAlign w:val="bottom"/>
            <w:tcBorders>
              <w:top w:val="single" w:sz="8" w:color="4C4C4C"/>
            </w:tcBorders>
          </w:tcPr>
          <w:p>
            <w:pPr>
              <w:jc w:val="right"/>
              <w:ind w:right="144"/>
              <w:spacing w:after="0"/>
              <w:rPr>
                <w:sz w:val="20"/>
                <w:szCs w:val="20"/>
                <w:color w:val="auto"/>
              </w:rPr>
            </w:pPr>
            <w:r>
              <w:rPr>
                <w:rFonts w:ascii="Times New Roman" w:cs="Times New Roman" w:eastAsia="Times New Roman" w:hAnsi="Times New Roman"/>
                <w:sz w:val="20"/>
                <w:szCs w:val="20"/>
                <w:b w:val="1"/>
                <w:bCs w:val="1"/>
                <w:color w:val="auto"/>
              </w:rPr>
              <w:t>(684)</w:t>
            </w:r>
          </w:p>
        </w:tc>
        <w:tc>
          <w:tcPr>
            <w:tcW w:w="820" w:type="dxa"/>
            <w:vAlign w:val="bottom"/>
            <w:tcBorders>
              <w:top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526"/>
        </w:trPr>
        <w:tc>
          <w:tcPr>
            <w:tcW w:w="750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Earnings (loss) excluding Identified Items </w:t>
            </w:r>
            <w:r>
              <w:rPr>
                <w:rFonts w:ascii="Times New Roman" w:cs="Times New Roman" w:eastAsia="Times New Roman" w:hAnsi="Times New Roman"/>
                <w:sz w:val="10"/>
                <w:szCs w:val="10"/>
                <w:i w:val="1"/>
                <w:iCs w:val="1"/>
                <w:color w:val="4C4C4C"/>
              </w:rPr>
              <w:t>(1)</w:t>
            </w:r>
            <w:r>
              <w:rPr>
                <w:rFonts w:ascii="Times New Roman" w:cs="Times New Roman" w:eastAsia="Times New Roman" w:hAnsi="Times New Roman"/>
                <w:sz w:val="20"/>
                <w:szCs w:val="20"/>
                <w:b w:val="1"/>
                <w:bCs w:val="1"/>
                <w:color w:val="4C4C4C"/>
              </w:rPr>
              <w:t xml:space="preserve"> </w:t>
            </w:r>
            <w:r>
              <w:rPr>
                <w:rFonts w:ascii="Times New Roman" w:cs="Times New Roman" w:eastAsia="Times New Roman" w:hAnsi="Times New Roman"/>
                <w:sz w:val="20"/>
                <w:szCs w:val="20"/>
                <w:color w:val="4C4C4C"/>
              </w:rPr>
              <w:t>(Non-GAAP)</w:t>
            </w:r>
          </w:p>
        </w:tc>
        <w:tc>
          <w:tcPr>
            <w:tcW w:w="980" w:type="dxa"/>
            <w:vAlign w:val="bottom"/>
            <w:tcBorders>
              <w:top w:val="single" w:sz="8" w:color="4C4C4C"/>
            </w:tcBorders>
            <w:shd w:val="clear" w:color="auto" w:fill="F0F0F0"/>
          </w:tcPr>
          <w:p>
            <w:pPr>
              <w:spacing w:after="0"/>
              <w:rPr>
                <w:sz w:val="24"/>
                <w:szCs w:val="24"/>
                <w:color w:val="auto"/>
              </w:rPr>
            </w:pPr>
          </w:p>
        </w:tc>
        <w:tc>
          <w:tcPr>
            <w:tcW w:w="1260" w:type="dxa"/>
            <w:vAlign w:val="bottom"/>
            <w:tcBorders>
              <w:top w:val="single" w:sz="8" w:color="4C4C4C"/>
            </w:tcBorders>
          </w:tcPr>
          <w:p>
            <w:pPr>
              <w:spacing w:after="0"/>
              <w:rPr>
                <w:sz w:val="24"/>
                <w:szCs w:val="24"/>
                <w:color w:val="auto"/>
              </w:rPr>
            </w:pPr>
          </w:p>
        </w:tc>
        <w:tc>
          <w:tcPr>
            <w:tcW w:w="820" w:type="dxa"/>
            <w:vAlign w:val="bottom"/>
            <w:tcBorders>
              <w:top w:val="single" w:sz="8" w:color="4C4C4C"/>
            </w:tcBorders>
          </w:tcPr>
          <w:p>
            <w:pPr>
              <w:spacing w:after="0"/>
              <w:rPr>
                <w:sz w:val="24"/>
                <w:szCs w:val="24"/>
                <w:color w:val="auto"/>
              </w:rPr>
            </w:pPr>
          </w:p>
        </w:tc>
      </w:tr>
      <w:tr>
        <w:trPr>
          <w:trHeight w:val="311"/>
        </w:trPr>
        <w:tc>
          <w:tcPr>
            <w:tcW w:w="7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5,931</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rPr>
              <w:t>8,398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w:t>
            </w:r>
          </w:p>
        </w:tc>
      </w:tr>
      <w:tr>
        <w:trPr>
          <w:trHeight w:val="318"/>
        </w:trPr>
        <w:tc>
          <w:tcPr>
            <w:tcW w:w="7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6,067</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rPr>
              <w:t>7,252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w:t>
            </w: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11,998</w:t>
            </w:r>
          </w:p>
        </w:tc>
        <w:tc>
          <w:tcPr>
            <w:tcW w:w="1260" w:type="dxa"/>
            <w:vAlign w:val="bottom"/>
            <w:tcBorders>
              <w:top w:val="single" w:sz="8" w:color="4C4C4C"/>
              <w:bottom w:val="single" w:sz="8" w:color="4C4C4C"/>
            </w:tcBorders>
          </w:tcPr>
          <w:p>
            <w:pPr>
              <w:jc w:val="right"/>
              <w:ind w:right="204"/>
              <w:spacing w:after="0"/>
              <w:rPr>
                <w:sz w:val="20"/>
                <w:szCs w:val="20"/>
                <w:color w:val="auto"/>
              </w:rPr>
            </w:pPr>
            <w:r>
              <w:rPr>
                <w:rFonts w:ascii="Times New Roman" w:cs="Times New Roman" w:eastAsia="Times New Roman" w:hAnsi="Times New Roman"/>
                <w:sz w:val="20"/>
                <w:szCs w:val="20"/>
                <w:b w:val="1"/>
                <w:bCs w:val="1"/>
                <w:color w:val="auto"/>
              </w:rPr>
              <w:t>15,650</w:t>
            </w:r>
          </w:p>
        </w:tc>
        <w:tc>
          <w:tcPr>
            <w:tcW w:w="82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(347)</w:t>
            </w:r>
          </w:p>
        </w:tc>
      </w:tr>
    </w:tbl>
    <w:p>
      <w:pPr>
        <w:spacing w:after="0" w:line="95" w:lineRule="exact"/>
        <w:rPr>
          <w:sz w:val="20"/>
          <w:szCs w:val="20"/>
          <w:color w:val="auto"/>
        </w:rPr>
      </w:pPr>
    </w:p>
    <w:p>
      <w:pPr>
        <w:ind w:left="60" w:right="3360" w:firstLine="7"/>
        <w:spacing w:after="0" w:line="312" w:lineRule="auto"/>
        <w:tabs>
          <w:tab w:leader="none" w:pos="218"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 Due to rounding, numbers presented may not add up precisely to the totals indicated.</w:t>
      </w: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C4C4C"/>
        </w:rPr>
        <w:t>2023 Energy Products Earnings Factor Analysis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14,966</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79"/>
        </w:trPr>
        <w:tc>
          <w:tcPr>
            <w:tcW w:w="46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shd w:val="clear" w:color="auto" w:fill="FB0815"/>
          </w:tcPr>
          <w:p>
            <w:pPr>
              <w:spacing w:after="0"/>
              <w:rPr>
                <w:sz w:val="24"/>
                <w:szCs w:val="24"/>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3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+830</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12,142</w:t>
            </w:r>
          </w:p>
        </w:tc>
        <w:tc>
          <w:tcPr>
            <w:tcW w:w="440" w:type="dxa"/>
            <w:vAlign w:val="bottom"/>
          </w:tcPr>
          <w:p>
            <w:pPr>
              <w:spacing w:after="0"/>
              <w:rPr>
                <w:sz w:val="24"/>
                <w:szCs w:val="24"/>
                <w:color w:val="auto"/>
              </w:rPr>
            </w:pPr>
          </w:p>
        </w:tc>
      </w:tr>
      <w:tr>
        <w:trPr>
          <w:trHeight w:val="98"/>
        </w:trPr>
        <w:tc>
          <w:tcPr>
            <w:tcW w:w="460" w:type="dxa"/>
            <w:vAlign w:val="bottom"/>
          </w:tcPr>
          <w:p>
            <w:pPr>
              <w:spacing w:after="0"/>
              <w:rPr>
                <w:sz w:val="8"/>
                <w:szCs w:val="8"/>
                <w:color w:val="auto"/>
              </w:rPr>
            </w:pPr>
          </w:p>
        </w:tc>
        <w:tc>
          <w:tcPr>
            <w:tcW w:w="860" w:type="dxa"/>
            <w:vAlign w:val="bottom"/>
            <w:tcBorders>
              <w:bottom w:val="single" w:sz="8" w:color="001A80"/>
            </w:tcBorders>
            <w:shd w:val="clear" w:color="auto" w:fill="001A80"/>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Borders>
              <w:bottom w:val="single" w:sz="8" w:color="FB0815"/>
            </w:tcBorders>
            <w:shd w:val="clear" w:color="auto" w:fill="FB0815"/>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Borders>
              <w:bottom w:val="single" w:sz="8" w:color="368625"/>
            </w:tcBorders>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Borders>
              <w:bottom w:val="single" w:sz="8" w:color="FB0815"/>
            </w:tcBorders>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Borders>
              <w:bottom w:val="single" w:sz="8" w:color="095922"/>
            </w:tcBorders>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Borders>
              <w:bottom w:val="single" w:sz="8" w:color="001A80"/>
            </w:tcBorders>
          </w:tcPr>
          <w:p>
            <w:pPr>
              <w:spacing w:after="0"/>
              <w:rPr>
                <w:sz w:val="8"/>
                <w:szCs w:val="8"/>
                <w:color w:val="auto"/>
              </w:rPr>
            </w:pPr>
          </w:p>
        </w:tc>
        <w:tc>
          <w:tcPr>
            <w:tcW w:w="440" w:type="dxa"/>
            <w:vAlign w:val="bottom"/>
          </w:tcPr>
          <w:p>
            <w:pPr>
              <w:spacing w:after="0"/>
              <w:rPr>
                <w:sz w:val="8"/>
                <w:szCs w:val="8"/>
                <w:color w:val="auto"/>
              </w:rPr>
            </w:pPr>
          </w:p>
        </w:tc>
      </w:tr>
      <w:tr>
        <w:trPr>
          <w:trHeight w:val="294"/>
        </w:trPr>
        <w:tc>
          <w:tcPr>
            <w:tcW w:w="46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-3,190</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-540</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440" w:type="dxa"/>
            <w:vAlign w:val="bottom"/>
          </w:tcPr>
          <w:p>
            <w:pPr>
              <w:spacing w:after="0"/>
              <w:rPr>
                <w:sz w:val="24"/>
                <w:szCs w:val="24"/>
                <w:color w:val="auto"/>
              </w:rPr>
            </w:pPr>
          </w:p>
        </w:tc>
      </w:tr>
      <w:tr>
        <w:trPr>
          <w:trHeight w:val="941"/>
        </w:trPr>
        <w:tc>
          <w:tcPr>
            <w:tcW w:w="46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4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4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440" w:type="dxa"/>
            <w:vAlign w:val="bottom"/>
            <w:tcBorders>
              <w:bottom w:val="single" w:sz="8" w:color="595959"/>
            </w:tcBorders>
          </w:tcPr>
          <w:p>
            <w:pPr>
              <w:spacing w:after="0"/>
              <w:rPr>
                <w:sz w:val="24"/>
                <w:szCs w:val="24"/>
                <w:color w:val="auto"/>
              </w:rPr>
            </w:pPr>
          </w:p>
        </w:tc>
      </w:tr>
    </w:tbl>
    <w:p>
      <w:pPr>
        <w:spacing w:after="0" w:line="87" w:lineRule="exact"/>
        <w:rPr>
          <w:sz w:val="20"/>
          <w:szCs w:val="20"/>
          <w:color w:val="auto"/>
        </w:rPr>
      </w:pPr>
    </w:p>
    <w:p>
      <w:pPr>
        <w:ind w:left="360"/>
        <w:spacing w:after="0"/>
        <w:tabs>
          <w:tab w:leader="none" w:pos="2300" w:val="left"/>
          <w:tab w:leader="none" w:pos="3900" w:val="left"/>
          <w:tab w:leader="none" w:pos="5920" w:val="left"/>
          <w:tab w:leader="none" w:pos="7180" w:val="left"/>
          <w:tab w:leader="none" w:pos="9100" w:val="left"/>
        </w:tabs>
        <w:rPr>
          <w:sz w:val="20"/>
          <w:szCs w:val="20"/>
          <w:color w:val="auto"/>
        </w:rPr>
      </w:pPr>
      <w:r>
        <w:rPr>
          <w:rFonts w:ascii="Times New Roman" w:cs="Times New Roman" w:eastAsia="Times New Roman" w:hAnsi="Times New Roman"/>
          <w:sz w:val="18"/>
          <w:szCs w:val="18"/>
          <w:b w:val="1"/>
          <w:bCs w:val="1"/>
          <w:color w:val="auto"/>
        </w:rPr>
        <w:t>2022 Earnings</w:t>
      </w:r>
      <w:r>
        <w:rPr>
          <w:sz w:val="20"/>
          <w:szCs w:val="20"/>
          <w:color w:val="auto"/>
        </w:rPr>
        <w:tab/>
      </w:r>
      <w:r>
        <w:rPr>
          <w:rFonts w:ascii="Times New Roman" w:cs="Times New Roman" w:eastAsia="Times New Roman" w:hAnsi="Times New Roman"/>
          <w:sz w:val="18"/>
          <w:szCs w:val="18"/>
          <w:b w:val="1"/>
          <w:bCs w:val="1"/>
          <w:color w:val="auto"/>
        </w:rPr>
        <w:t>Margins</w:t>
      </w:r>
      <w:r>
        <w:rPr>
          <w:sz w:val="20"/>
          <w:szCs w:val="20"/>
          <w:color w:val="auto"/>
        </w:rPr>
        <w:tab/>
      </w:r>
      <w:r>
        <w:rPr>
          <w:rFonts w:ascii="Times New Roman" w:cs="Times New Roman" w:eastAsia="Times New Roman" w:hAnsi="Times New Roman"/>
          <w:sz w:val="18"/>
          <w:szCs w:val="18"/>
          <w:b w:val="1"/>
          <w:bCs w:val="1"/>
          <w:color w:val="auto"/>
        </w:rPr>
        <w:t>Volume/Mix</w:t>
      </w:r>
      <w:r>
        <w:rPr>
          <w:sz w:val="20"/>
          <w:szCs w:val="20"/>
          <w:color w:val="auto"/>
        </w:rPr>
        <w:tab/>
      </w:r>
      <w:r>
        <w:rPr>
          <w:rFonts w:ascii="Times New Roman" w:cs="Times New Roman" w:eastAsia="Times New Roman" w:hAnsi="Times New Roman"/>
          <w:sz w:val="18"/>
          <w:szCs w:val="18"/>
          <w:b w:val="1"/>
          <w:bCs w:val="1"/>
          <w:color w:val="auto"/>
        </w:rPr>
        <w:t>Other</w:t>
      </w:r>
      <w:r>
        <w:rPr>
          <w:sz w:val="20"/>
          <w:szCs w:val="20"/>
          <w:color w:val="auto"/>
        </w:rPr>
        <w:tab/>
      </w:r>
      <w:r>
        <w:rPr>
          <w:rFonts w:ascii="Times New Roman" w:cs="Times New Roman" w:eastAsia="Times New Roman" w:hAnsi="Times New Roman"/>
          <w:sz w:val="18"/>
          <w:szCs w:val="18"/>
          <w:b w:val="1"/>
          <w:bCs w:val="1"/>
          <w:color w:val="auto"/>
        </w:rPr>
        <w:t>Identified Items (1)</w:t>
      </w:r>
      <w:r>
        <w:rPr>
          <w:sz w:val="20"/>
          <w:szCs w:val="20"/>
          <w:color w:val="auto"/>
        </w:rPr>
        <w:tab/>
      </w:r>
      <w:r>
        <w:rPr>
          <w:rFonts w:ascii="Times New Roman" w:cs="Times New Roman" w:eastAsia="Times New Roman" w:hAnsi="Times New Roman"/>
          <w:sz w:val="17"/>
          <w:szCs w:val="17"/>
          <w:b w:val="1"/>
          <w:bCs w:val="1"/>
          <w:color w:val="auto"/>
        </w:rPr>
        <w:t>2023 Earnings</w:t>
      </w:r>
    </w:p>
    <w:p>
      <w:pPr>
        <w:spacing w:after="0" w:line="2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Margins – Decreased earnings by $3,190 million as industry refining margins declined from 2022 highs, partially offset by stronger trading and marketing margins.</w:t>
      </w:r>
    </w:p>
    <w:p>
      <w:pPr>
        <w:spacing w:after="0" w:line="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Volume/Mix – Increased earnings by $80 million reflecting improved reliability and higher throughput mainly driven by the Beaumont expansion, partially offset by higher planned maintenance and divestments.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 Decreased earnings by $540 million due to higher planned maintenance expenses and Beaumont project activities.</w:t>
      </w:r>
    </w:p>
    <w:p>
      <w:pPr>
        <w:spacing w:after="0" w:line="1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Identified Items </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 2022 $(684) million loss was primarily as a result of impairments and unfavorable tax items. 2023 $144 million gain was driven by favorable tax effects partially offset by additional European taxes on the energy sector.</w:t>
      </w:r>
    </w:p>
    <w:p>
      <w:pPr>
        <w:spacing w:after="0" w:line="44"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600"/>
          </w:cols>
          <w:pgMar w:left="640" w:top="491" w:right="640" w:bottom="0" w:gutter="0" w:footer="0" w:header="0"/>
          <w:type w:val="continuous"/>
        </w:sectPr>
      </w:pPr>
    </w:p>
    <w:bookmarkStart w:id="65" w:name="page66"/>
    <w:bookmarkEnd w:id="65"/>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C4C4C"/>
        </w:rPr>
        <w:t>2022 Energy Products Earnings Factor Analysis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231"/>
        </w:trPr>
        <w:tc>
          <w:tcPr>
            <w:tcW w:w="222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color w:val="auto"/>
              </w:rPr>
              <w:t>+14,360</w:t>
            </w:r>
          </w:p>
        </w:tc>
        <w:tc>
          <w:tcPr>
            <w:tcW w:w="174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color w:val="auto"/>
              </w:rPr>
              <w:t>+1,060</w:t>
            </w:r>
          </w:p>
        </w:tc>
        <w:tc>
          <w:tcPr>
            <w:tcW w:w="218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+570</w:t>
            </w:r>
          </w:p>
        </w:tc>
        <w:tc>
          <w:tcPr>
            <w:tcW w:w="26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14,966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222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262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220" w:type="dxa"/>
            <w:vAlign w:val="bottom"/>
            <w:vMerge w:val="continue"/>
          </w:tcPr>
          <w:p>
            <w:pPr>
              <w:spacing w:after="0"/>
              <w:rPr>
                <w:sz w:val="6"/>
                <w:szCs w:val="6"/>
                <w:color w:val="auto"/>
              </w:rPr>
            </w:pPr>
          </w:p>
        </w:tc>
        <w:tc>
          <w:tcPr>
            <w:tcW w:w="17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860" w:type="dxa"/>
            <w:vAlign w:val="bottom"/>
            <w:shd w:val="clear" w:color="auto" w:fill="FB0A13"/>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-680</w:t>
            </w:r>
          </w:p>
        </w:tc>
        <w:tc>
          <w:tcPr>
            <w:tcW w:w="90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4"/>
        </w:trPr>
        <w:tc>
          <w:tcPr>
            <w:tcW w:w="2220" w:type="dxa"/>
            <w:vAlign w:val="bottom"/>
            <w:tcBorders>
              <w:bottom w:val="single" w:sz="8" w:color="595959"/>
            </w:tcBorders>
          </w:tcPr>
          <w:p>
            <w:pPr>
              <w:spacing w:after="0"/>
              <w:rPr>
                <w:sz w:val="24"/>
                <w:szCs w:val="24"/>
                <w:color w:val="auto"/>
              </w:rPr>
            </w:pPr>
          </w:p>
        </w:tc>
        <w:tc>
          <w:tcPr>
            <w:tcW w:w="1740" w:type="dxa"/>
            <w:vAlign w:val="bottom"/>
            <w:tcBorders>
              <w:bottom w:val="single" w:sz="8" w:color="595959"/>
            </w:tcBorders>
          </w:tcPr>
          <w:p>
            <w:pPr>
              <w:spacing w:after="0"/>
              <w:rPr>
                <w:sz w:val="24"/>
                <w:szCs w:val="24"/>
                <w:color w:val="auto"/>
              </w:rPr>
            </w:pPr>
          </w:p>
        </w:tc>
        <w:tc>
          <w:tcPr>
            <w:tcW w:w="218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440" w:type="dxa"/>
            <w:vAlign w:val="bottom"/>
            <w:tcBorders>
              <w:bottom w:val="single" w:sz="8" w:color="59595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-4445</wp:posOffset>
                </wp:positionV>
                <wp:extent cx="28956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 cy="4763"/>
                        </a:xfrm>
                        <a:prstGeom prst="line">
                          <a:avLst/>
                        </a:prstGeom>
                        <a:solidFill>
                          <a:srgbClr val="FFFFFF"/>
                        </a:solidFill>
                        <a:ln w="9334">
                          <a:solidFill>
                            <a:srgbClr val="595959"/>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0.3499pt" to="25pt,-0.3499pt" o:allowincell="f" strokecolor="#595959" strokeweight="0.735pt"/>
            </w:pict>
          </mc:Fallback>
        </mc:AlternateContent>
        <w:drawing>
          <wp:anchor simplePos="0" relativeHeight="251657728" behindDoc="1" locked="0" layoutInCell="0" allowOverlap="1">
            <wp:simplePos x="0" y="0"/>
            <wp:positionH relativeFrom="column">
              <wp:posOffset>317500</wp:posOffset>
            </wp:positionH>
            <wp:positionV relativeFrom="paragraph">
              <wp:posOffset>-1063625</wp:posOffset>
            </wp:positionV>
            <wp:extent cx="3896995" cy="1101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4">
                      <a:extLst>
                        <a:ext uri="{28A0092B-C50C-407E-A947-70E740481C1C}"/>
                      </a:extLst>
                    </a:blip>
                    <a:srcRect/>
                    <a:stretch>
                      <a:fillRect/>
                    </a:stretch>
                  </pic:blipFill>
                  <pic:spPr bwMode="auto">
                    <a:xfrm>
                      <a:off x="0" y="0"/>
                      <a:ext cx="3896995" cy="1101725"/>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(347)</w:t>
      </w:r>
    </w:p>
    <w:p>
      <w:pPr>
        <w:spacing w:after="0" w:line="332" w:lineRule="exact"/>
        <w:rPr>
          <w:sz w:val="20"/>
          <w:szCs w:val="20"/>
          <w:color w:val="auto"/>
        </w:rPr>
      </w:pPr>
    </w:p>
    <w:p>
      <w:pPr>
        <w:ind w:left="360"/>
        <w:spacing w:after="0"/>
        <w:tabs>
          <w:tab w:leader="none" w:pos="2300" w:val="left"/>
          <w:tab w:leader="none" w:pos="3900" w:val="left"/>
          <w:tab w:leader="none" w:pos="5920" w:val="left"/>
          <w:tab w:leader="none" w:pos="7180" w:val="left"/>
          <w:tab w:leader="none" w:pos="9100" w:val="left"/>
        </w:tabs>
        <w:rPr>
          <w:sz w:val="20"/>
          <w:szCs w:val="20"/>
          <w:color w:val="auto"/>
        </w:rPr>
      </w:pPr>
      <w:r>
        <w:rPr>
          <w:rFonts w:ascii="Times New Roman" w:cs="Times New Roman" w:eastAsia="Times New Roman" w:hAnsi="Times New Roman"/>
          <w:sz w:val="18"/>
          <w:szCs w:val="18"/>
          <w:b w:val="1"/>
          <w:bCs w:val="1"/>
          <w:color w:val="auto"/>
        </w:rPr>
        <w:t>2021 Earnings</w:t>
      </w:r>
      <w:r>
        <w:rPr>
          <w:sz w:val="20"/>
          <w:szCs w:val="20"/>
          <w:color w:val="auto"/>
        </w:rPr>
        <w:tab/>
      </w:r>
      <w:r>
        <w:rPr>
          <w:rFonts w:ascii="Times New Roman" w:cs="Times New Roman" w:eastAsia="Times New Roman" w:hAnsi="Times New Roman"/>
          <w:sz w:val="18"/>
          <w:szCs w:val="18"/>
          <w:b w:val="1"/>
          <w:bCs w:val="1"/>
          <w:color w:val="auto"/>
        </w:rPr>
        <w:t>Margins</w:t>
      </w:r>
      <w:r>
        <w:rPr>
          <w:sz w:val="20"/>
          <w:szCs w:val="20"/>
          <w:color w:val="auto"/>
        </w:rPr>
        <w:tab/>
      </w:r>
      <w:r>
        <w:rPr>
          <w:rFonts w:ascii="Times New Roman" w:cs="Times New Roman" w:eastAsia="Times New Roman" w:hAnsi="Times New Roman"/>
          <w:sz w:val="18"/>
          <w:szCs w:val="18"/>
          <w:b w:val="1"/>
          <w:bCs w:val="1"/>
          <w:color w:val="auto"/>
        </w:rPr>
        <w:t>Volume/Mix</w:t>
      </w:r>
      <w:r>
        <w:rPr>
          <w:sz w:val="20"/>
          <w:szCs w:val="20"/>
          <w:color w:val="auto"/>
        </w:rPr>
        <w:tab/>
      </w:r>
      <w:r>
        <w:rPr>
          <w:rFonts w:ascii="Times New Roman" w:cs="Times New Roman" w:eastAsia="Times New Roman" w:hAnsi="Times New Roman"/>
          <w:sz w:val="18"/>
          <w:szCs w:val="18"/>
          <w:b w:val="1"/>
          <w:bCs w:val="1"/>
          <w:color w:val="auto"/>
        </w:rPr>
        <w:t>Other</w:t>
      </w:r>
      <w:r>
        <w:rPr>
          <w:sz w:val="20"/>
          <w:szCs w:val="20"/>
          <w:color w:val="auto"/>
        </w:rPr>
        <w:tab/>
      </w:r>
      <w:r>
        <w:rPr>
          <w:rFonts w:ascii="Times New Roman" w:cs="Times New Roman" w:eastAsia="Times New Roman" w:hAnsi="Times New Roman"/>
          <w:sz w:val="18"/>
          <w:szCs w:val="18"/>
          <w:b w:val="1"/>
          <w:bCs w:val="1"/>
          <w:color w:val="auto"/>
        </w:rPr>
        <w:t>Identified Items (1)</w:t>
      </w:r>
      <w:r>
        <w:rPr>
          <w:sz w:val="20"/>
          <w:szCs w:val="20"/>
          <w:color w:val="auto"/>
        </w:rPr>
        <w:tab/>
      </w:r>
      <w:r>
        <w:rPr>
          <w:rFonts w:ascii="Times New Roman" w:cs="Times New Roman" w:eastAsia="Times New Roman" w:hAnsi="Times New Roman"/>
          <w:sz w:val="17"/>
          <w:szCs w:val="17"/>
          <w:b w:val="1"/>
          <w:bCs w:val="1"/>
          <w:color w:val="auto"/>
        </w:rPr>
        <w:t>2022 Earnings</w:t>
      </w:r>
    </w:p>
    <w:p>
      <w:pPr>
        <w:spacing w:after="0" w:line="2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Margins – Increased earnings by $14,360 million as industry refining conditions significantly improved from increased demand and low inventories, as well as stronger trading and marketing margins.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Volume/Mix – Increased earnings by $1,060 million reflecting improved product yields and higher throughput.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 Increased earnings by $570 million due to favorable foreign exchange and year-end inventory effects.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Identified Items </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 2022 $(684) million loss was driven by additional European taxes on the energy sector and impairments.</w:t>
      </w:r>
    </w:p>
    <w:p>
      <w:pPr>
        <w:spacing w:after="0" w:line="102"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Energy Products Operational Results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50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(thousands of barrels daily)</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00" w:type="dxa"/>
            <w:vAlign w:val="bottom"/>
            <w:tcBorders>
              <w:bottom w:val="single" w:sz="8" w:color="4C4C4C"/>
            </w:tcBorders>
            <w:shd w:val="clear" w:color="auto" w:fill="4C4C4C"/>
          </w:tcPr>
          <w:p>
            <w:pPr>
              <w:jc w:val="right"/>
              <w:ind w:right="223"/>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7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63"/>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Refinery throughput</w:t>
            </w:r>
          </w:p>
        </w:tc>
        <w:tc>
          <w:tcPr>
            <w:tcW w:w="980" w:type="dxa"/>
            <w:vAlign w:val="bottom"/>
            <w:shd w:val="clear" w:color="auto" w:fill="F0F0F0"/>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96"/>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1,848</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1,702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1,623</w:t>
            </w: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418</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w:t>
            </w: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Europe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1,166</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1,192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w:t>
            </w: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Asia Pacific</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539</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w:t>
            </w: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179</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4,068</w:t>
            </w:r>
          </w:p>
        </w:tc>
        <w:tc>
          <w:tcPr>
            <w:tcW w:w="1300" w:type="dxa"/>
            <w:vAlign w:val="bottom"/>
            <w:tcBorders>
              <w:top w:val="single" w:sz="8" w:color="4C4C4C"/>
              <w:bottom w:val="single" w:sz="8" w:color="4C4C4C"/>
            </w:tcBorders>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rPr>
              <w:t>4,030</w:t>
            </w:r>
          </w:p>
        </w:tc>
        <w:tc>
          <w:tcPr>
            <w:tcW w:w="7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3,945</w:t>
            </w:r>
          </w:p>
        </w:tc>
      </w:tr>
      <w:tr>
        <w:trPr>
          <w:trHeight w:val="371"/>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Energy Products sales </w:t>
            </w:r>
            <w:r>
              <w:rPr>
                <w:rFonts w:ascii="Times New Roman" w:cs="Times New Roman" w:eastAsia="Times New Roman" w:hAnsi="Times New Roman"/>
                <w:sz w:val="10"/>
                <w:szCs w:val="10"/>
                <w:i w:val="1"/>
                <w:iCs w:val="1"/>
                <w:color w:val="4C4C4C"/>
              </w:rPr>
              <w:t>(2)</w:t>
            </w:r>
          </w:p>
        </w:tc>
        <w:tc>
          <w:tcPr>
            <w:tcW w:w="980" w:type="dxa"/>
            <w:vAlign w:val="bottom"/>
            <w:shd w:val="clear" w:color="auto" w:fill="F0F0F0"/>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2,426</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2,267</w:t>
            </w: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2,828</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2,921</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2,863</w:t>
            </w: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5,461</w:t>
            </w:r>
          </w:p>
        </w:tc>
        <w:tc>
          <w:tcPr>
            <w:tcW w:w="1300" w:type="dxa"/>
            <w:vAlign w:val="bottom"/>
            <w:tcBorders>
              <w:top w:val="single" w:sz="8" w:color="4C4C4C"/>
              <w:bottom w:val="single" w:sz="8" w:color="4C4C4C"/>
            </w:tcBorders>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rPr>
              <w:t>5,347</w:t>
            </w:r>
          </w:p>
        </w:tc>
        <w:tc>
          <w:tcPr>
            <w:tcW w:w="7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5,130</w:t>
            </w:r>
          </w:p>
        </w:tc>
      </w:tr>
      <w:tr>
        <w:trPr>
          <w:trHeight w:val="353"/>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Gasoline, naphthas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2,288</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2,232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w:t>
            </w: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Heating oils, kerosene, diesel</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1,795</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1,774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w:t>
            </w: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Aviation fuels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338</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Heavy fuels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235</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energy products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768</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w:t>
            </w: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5,461</w:t>
            </w:r>
          </w:p>
        </w:tc>
        <w:tc>
          <w:tcPr>
            <w:tcW w:w="1300" w:type="dxa"/>
            <w:vAlign w:val="bottom"/>
            <w:tcBorders>
              <w:top w:val="single" w:sz="8" w:color="4C4C4C"/>
              <w:bottom w:val="single" w:sz="8" w:color="4C4C4C"/>
            </w:tcBorders>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rPr>
              <w:t>5,347</w:t>
            </w:r>
          </w:p>
        </w:tc>
        <w:tc>
          <w:tcPr>
            <w:tcW w:w="7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5,130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-2006600</wp:posOffset>
                </wp:positionV>
                <wp:extent cx="671131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31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58pt" to="529.2pt,-158pt" o:allowincell="f" strokecolor="#FFFFFF" strokeweight="0.01pt"/>
            </w:pict>
          </mc:Fallback>
        </mc:AlternateConten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vertAlign w:val="superscript"/>
        </w:rPr>
        <w:t>(2)</w:t>
      </w:r>
      <w:r>
        <w:rPr>
          <w:rFonts w:ascii="Times New Roman" w:cs="Times New Roman" w:eastAsia="Times New Roman" w:hAnsi="Times New Roman"/>
          <w:sz w:val="16"/>
          <w:szCs w:val="16"/>
          <w:i w:val="1"/>
          <w:iCs w:val="1"/>
          <w:color w:val="auto"/>
        </w:rPr>
        <w:t xml:space="preserve"> Data reported net of purchases/sales contracts with the same counterparty.</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600"/>
          </w:cols>
          <w:pgMar w:left="640" w:top="491" w:right="640" w:bottom="0" w:gutter="0" w:footer="0" w:header="0"/>
          <w:type w:val="continuous"/>
        </w:sectPr>
      </w:pPr>
    </w:p>
    <w:bookmarkStart w:id="66" w:name="page67"/>
    <w:bookmarkEnd w:id="66"/>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95885</wp:posOffset>
                </wp:positionV>
                <wp:extent cx="6720840" cy="31750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317500"/>
                        </a:xfrm>
                        <a:prstGeom prst="rect">
                          <a:avLst/>
                        </a:prstGeom>
                        <a:solidFill>
                          <a:srgbClr val="4C4C4C"/>
                        </a:solidFill>
                      </wps:spPr>
                      <wps:bodyPr/>
                    </wps:wsp>
                  </a:graphicData>
                </a:graphic>
              </wp:anchor>
            </w:drawing>
          </mc:Choice>
          <mc:Fallback>
            <w:pict>
              <v:rect id="Shape 128" o:spid="_x0000_s1153" style="position:absolute;margin-left:0.4pt;margin-top:7.55pt;width:529.2pt;height: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FFFFFF"/>
        </w:rPr>
        <w:t>Chemical Products</w:t>
      </w:r>
    </w:p>
    <w:p>
      <w:pPr>
        <w:spacing w:after="0" w:line="2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ExxonMobil is a leading global manufacturer and marketer of petrochemicals that support modern living. Chemical Products help meet society’s essential needs by providing a wide range of innovative products efficiently and responsibly. The company is uniquely positioned with a combination of industry-leading scale, integration, and proprietary technology, which are fundamental to producing affordable products that are more sustainable, use less material, save energy, and reduce waste. These competitive advantages are underpinned by operational excellence, advantaged investments, and cost discipline. This segment includes olefins, polyolefins, and intermediates.</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Over the long term, worldwide demand for chemicals is expected to grow faster than the economy, driven by global population growth, an expanding middle class, and improving living standards. Chemical Products integration with refineries, performance product mix, and project execution capability improves returns on investments across a range of market environments.</w:t>
      </w:r>
    </w:p>
    <w:p>
      <w:pPr>
        <w:spacing w:after="0" w:line="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2023, chemical industry margins remained bottom-of-cycle, below the pre-COVID 10-year historical range (2010-2019), as capacity exceeded demand growth. The company optimized production across our global footprint to profitably meet customer demand. Our earnings benefited from the North American feed and energy advantage, strong reliability, and higher performance products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Key Recent Events</w:t>
      </w:r>
    </w:p>
    <w:p>
      <w:pPr>
        <w:spacing w:after="0" w:line="1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b w:val="1"/>
          <w:bCs w:val="1"/>
          <w:color w:val="auto"/>
        </w:rPr>
        <w:t xml:space="preserve">Performance Polymers expansion: </w:t>
      </w:r>
      <w:r>
        <w:rPr>
          <w:rFonts w:ascii="Times New Roman" w:cs="Times New Roman" w:eastAsia="Times New Roman" w:hAnsi="Times New Roman"/>
          <w:sz w:val="19"/>
          <w:szCs w:val="19"/>
          <w:color w:val="auto"/>
        </w:rPr>
        <w:t>ExxonMobil successfully started up a new performance polymers line in Baytown, Texas.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400 thousand metric tons per year unit will make high-performance propylene and ethylene plastomers branded Vistamaxx™ and Exact™. These materials can be used to make better automotive parts, construction materials, personal care products, and solar panels.</w:t>
      </w:r>
    </w:p>
    <w:p>
      <w:pPr>
        <w:spacing w:after="0" w:line="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Linear Alpha Olefins production: </w:t>
      </w:r>
      <w:r>
        <w:rPr>
          <w:rFonts w:ascii="Times New Roman" w:cs="Times New Roman" w:eastAsia="Times New Roman" w:hAnsi="Times New Roman"/>
          <w:sz w:val="20"/>
          <w:szCs w:val="20"/>
          <w:color w:val="auto"/>
        </w:rPr>
        <w:t>ExxonMobil successfully started up a new 350 thousand metric tons per year linear alpha olefins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 in Baytown, Texas. The unit will produce a full range of alpha olefin products that are essential to our Specialty and Chemical Products businesses. This marks ExxonMobil's entry into the linear alpha olefins market via Elevexx™ branded products. These materials can be used in plastic packaging, high-performing engine and industrial oils, and other applications.</w:t>
      </w:r>
    </w:p>
    <w:p>
      <w:pPr>
        <w:spacing w:after="0" w:line="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Future capacity additions: </w:t>
      </w:r>
      <w:r>
        <w:rPr>
          <w:rFonts w:ascii="Times New Roman" w:cs="Times New Roman" w:eastAsia="Times New Roman" w:hAnsi="Times New Roman"/>
          <w:sz w:val="20"/>
          <w:szCs w:val="20"/>
          <w:color w:val="auto"/>
        </w:rPr>
        <w:t>ExxonMobil is investing in a petrochemical complex in the Dayawan Petrochemical Industrial Park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Huizhou, Guangdong Province, which is a significant step in growing our global manufacturing footprint and will be the first 100 percent foreign-owned petrochemical complex built in China. The facility will be focused on producing our unique high-performance polyethylene and polypropylene products. When completed, the complex will have three polyethylene and two polypropylene production lines for a combined capacity of over 2.5 million metric tons per year. This capacity will more efficiently serve China’s domestic demand, which is currently being met with imports.</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600"/>
          </w:cols>
          <w:pgMar w:left="640" w:top="491" w:right="640" w:bottom="0" w:gutter="0" w:footer="0" w:header="0"/>
          <w:type w:val="continuous"/>
        </w:sectPr>
      </w:pPr>
    </w:p>
    <w:bookmarkStart w:id="67" w:name="page68"/>
    <w:bookmarkEnd w:id="67"/>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Chemical Products Financial Results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6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80" w:type="dxa"/>
            <w:vAlign w:val="bottom"/>
            <w:tcBorders>
              <w:bottom w:val="single" w:sz="8" w:color="4C4C4C"/>
            </w:tcBorders>
            <w:shd w:val="clear" w:color="auto" w:fill="4C4C4C"/>
          </w:tcPr>
          <w:p>
            <w:pPr>
              <w:jc w:val="right"/>
              <w:ind w:right="20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0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61"/>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Earnings (loss) </w:t>
            </w:r>
            <w:r>
              <w:rPr>
                <w:rFonts w:ascii="Times New Roman" w:cs="Times New Roman" w:eastAsia="Times New Roman" w:hAnsi="Times New Roman"/>
                <w:sz w:val="20"/>
                <w:szCs w:val="20"/>
                <w:color w:val="4C4C4C"/>
              </w:rPr>
              <w:t>(U.S. GAAP)</w:t>
            </w:r>
          </w:p>
        </w:tc>
        <w:tc>
          <w:tcPr>
            <w:tcW w:w="980" w:type="dxa"/>
            <w:vAlign w:val="bottom"/>
            <w:shd w:val="clear" w:color="auto" w:fill="F0F0F0"/>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98"/>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1,626</w:t>
            </w:r>
          </w:p>
        </w:tc>
        <w:tc>
          <w:tcPr>
            <w:tcW w:w="128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2,328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w:t>
            </w:r>
          </w:p>
        </w:tc>
      </w:tr>
      <w:tr>
        <w:trPr>
          <w:trHeight w:val="318"/>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8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1,215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r>
      <w:tr>
        <w:trPr>
          <w:trHeight w:val="274"/>
        </w:trPr>
        <w:tc>
          <w:tcPr>
            <w:tcW w:w="746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1,637</w:t>
            </w:r>
          </w:p>
        </w:tc>
        <w:tc>
          <w:tcPr>
            <w:tcW w:w="1280" w:type="dxa"/>
            <w:vAlign w:val="bottom"/>
            <w:tcBorders>
              <w:top w:val="single" w:sz="8" w:color="4C4C4C"/>
              <w:bottom w:val="single" w:sz="8" w:color="4C4C4C"/>
            </w:tcBorders>
          </w:tcPr>
          <w:p>
            <w:pPr>
              <w:jc w:val="right"/>
              <w:ind w:right="224"/>
              <w:spacing w:after="0"/>
              <w:rPr>
                <w:sz w:val="20"/>
                <w:szCs w:val="20"/>
                <w:color w:val="auto"/>
              </w:rPr>
            </w:pPr>
            <w:r>
              <w:rPr>
                <w:rFonts w:ascii="Times New Roman" w:cs="Times New Roman" w:eastAsia="Times New Roman" w:hAnsi="Times New Roman"/>
                <w:sz w:val="20"/>
                <w:szCs w:val="20"/>
                <w:b w:val="1"/>
                <w:bCs w:val="1"/>
                <w:color w:val="auto"/>
              </w:rPr>
              <w:t>3,543</w:t>
            </w:r>
          </w:p>
        </w:tc>
        <w:tc>
          <w:tcPr>
            <w:tcW w:w="8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6,989</w:t>
            </w:r>
          </w:p>
        </w:tc>
      </w:tr>
      <w:tr>
        <w:trPr>
          <w:trHeight w:val="52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Identified Items </w:t>
            </w:r>
            <w:r>
              <w:rPr>
                <w:rFonts w:ascii="Times New Roman" w:cs="Times New Roman" w:eastAsia="Times New Roman" w:hAnsi="Times New Roman"/>
                <w:sz w:val="10"/>
                <w:szCs w:val="10"/>
                <w:i w:val="1"/>
                <w:iCs w:val="1"/>
                <w:color w:val="4C4C4C"/>
              </w:rPr>
              <w:t>(1)</w:t>
            </w:r>
          </w:p>
        </w:tc>
        <w:tc>
          <w:tcPr>
            <w:tcW w:w="98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28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128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746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(388)</w:t>
            </w:r>
          </w:p>
        </w:tc>
        <w:tc>
          <w:tcPr>
            <w:tcW w:w="1280" w:type="dxa"/>
            <w:vAlign w:val="bottom"/>
            <w:tcBorders>
              <w:top w:val="single" w:sz="8" w:color="4C4C4C"/>
              <w:bottom w:val="single" w:sz="8" w:color="4C4C4C"/>
            </w:tcBorders>
          </w:tcPr>
          <w:p>
            <w:pPr>
              <w:jc w:val="right"/>
              <w:ind w:right="224"/>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527"/>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Earnings (loss) excluding Identified Items </w:t>
            </w:r>
            <w:r>
              <w:rPr>
                <w:rFonts w:ascii="Times New Roman" w:cs="Times New Roman" w:eastAsia="Times New Roman" w:hAnsi="Times New Roman"/>
                <w:sz w:val="10"/>
                <w:szCs w:val="10"/>
                <w:i w:val="1"/>
                <w:iCs w:val="1"/>
                <w:color w:val="4C4C4C"/>
              </w:rPr>
              <w:t>(1)</w:t>
            </w:r>
            <w:r>
              <w:rPr>
                <w:rFonts w:ascii="Times New Roman" w:cs="Times New Roman" w:eastAsia="Times New Roman" w:hAnsi="Times New Roman"/>
                <w:sz w:val="20"/>
                <w:szCs w:val="20"/>
                <w:b w:val="1"/>
                <w:bCs w:val="1"/>
                <w:color w:val="4C4C4C"/>
              </w:rPr>
              <w:t xml:space="preserve"> </w:t>
            </w:r>
            <w:r>
              <w:rPr>
                <w:rFonts w:ascii="Times New Roman" w:cs="Times New Roman" w:eastAsia="Times New Roman" w:hAnsi="Times New Roman"/>
                <w:sz w:val="20"/>
                <w:szCs w:val="20"/>
                <w:color w:val="4C4C4C"/>
              </w:rPr>
              <w:t>(Non-GAAP)</w:t>
            </w:r>
          </w:p>
        </w:tc>
        <w:tc>
          <w:tcPr>
            <w:tcW w:w="98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1"/>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1,594</w:t>
            </w:r>
          </w:p>
        </w:tc>
        <w:tc>
          <w:tcPr>
            <w:tcW w:w="128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2,328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w:t>
            </w:r>
          </w:p>
        </w:tc>
      </w:tr>
      <w:tr>
        <w:trPr>
          <w:trHeight w:val="318"/>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128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1,215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r>
      <w:tr>
        <w:trPr>
          <w:trHeight w:val="274"/>
        </w:trPr>
        <w:tc>
          <w:tcPr>
            <w:tcW w:w="746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80" w:type="dxa"/>
            <w:vAlign w:val="bottom"/>
            <w:tcBorders>
              <w:top w:val="single" w:sz="8" w:color="4C4C4C"/>
              <w:bottom w:val="single" w:sz="8" w:color="4C4C4C"/>
            </w:tcBorders>
          </w:tcPr>
          <w:p>
            <w:pPr>
              <w:jc w:val="right"/>
              <w:ind w:right="224"/>
              <w:spacing w:after="0"/>
              <w:rPr>
                <w:sz w:val="20"/>
                <w:szCs w:val="20"/>
                <w:color w:val="auto"/>
              </w:rPr>
            </w:pPr>
            <w:r>
              <w:rPr>
                <w:rFonts w:ascii="Times New Roman" w:cs="Times New Roman" w:eastAsia="Times New Roman" w:hAnsi="Times New Roman"/>
                <w:sz w:val="20"/>
                <w:szCs w:val="20"/>
                <w:b w:val="1"/>
                <w:bCs w:val="1"/>
                <w:color w:val="auto"/>
              </w:rPr>
              <w:t>3,543</w:t>
            </w:r>
          </w:p>
        </w:tc>
        <w:tc>
          <w:tcPr>
            <w:tcW w:w="8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6,989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-1875790</wp:posOffset>
                </wp:positionV>
                <wp:extent cx="668337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337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147.6999pt" to="528.1pt,-147.6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23495</wp:posOffset>
                </wp:positionH>
                <wp:positionV relativeFrom="paragraph">
                  <wp:posOffset>-942340</wp:posOffset>
                </wp:positionV>
                <wp:extent cx="668337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337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74.1999pt" to="528.1pt,-74.1999pt" o:allowincell="f" strokecolor="#FFFFFF" strokeweight="0.01pt"/>
            </w:pict>
          </mc:Fallback>
        </mc:AlternateContent>
      </w:r>
    </w:p>
    <w:p>
      <w:pPr>
        <w:spacing w:after="0" w:line="64" w:lineRule="exact"/>
        <w:rPr>
          <w:sz w:val="20"/>
          <w:szCs w:val="20"/>
          <w:color w:val="auto"/>
        </w:rPr>
      </w:pPr>
    </w:p>
    <w:p>
      <w:pPr>
        <w:ind w:left="240" w:hanging="151"/>
        <w:spacing w:after="0"/>
        <w:tabs>
          <w:tab w:leader="none" w:pos="240" w:val="left"/>
        </w:tabs>
        <w:numPr>
          <w:ilvl w:val="0"/>
          <w:numId w:val="3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C4C4C"/>
        </w:rPr>
        <w:t>2023 Chemical Products Earnings Factor Analysis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0" w:lineRule="exact"/>
        <w:rPr>
          <w:sz w:val="20"/>
          <w:szCs w:val="20"/>
          <w:color w:val="auto"/>
        </w:rPr>
      </w:pP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3,543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34290</wp:posOffset>
            </wp:positionV>
            <wp:extent cx="3916045" cy="690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5">
                      <a:extLst>
                        <a:ext uri="{28A0092B-C50C-407E-A947-70E740481C1C}"/>
                      </a:extLst>
                    </a:blip>
                    <a:srcRect/>
                    <a:stretch>
                      <a:fillRect/>
                    </a:stretch>
                  </pic:blipFill>
                  <pic:spPr bwMode="auto">
                    <a:xfrm>
                      <a:off x="0" y="0"/>
                      <a:ext cx="3916045" cy="690880"/>
                    </a:xfrm>
                    <a:prstGeom prst="rect">
                      <a:avLst/>
                    </a:prstGeom>
                    <a:noFill/>
                  </pic:spPr>
                </pic:pic>
              </a:graphicData>
            </a:graphic>
          </wp:anchor>
        </w:drawing>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764"/>
        </w:trPr>
        <w:tc>
          <w:tcPr>
            <w:tcW w:w="46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-870</w:t>
            </w:r>
          </w:p>
        </w:tc>
        <w:tc>
          <w:tcPr>
            <w:tcW w:w="1960" w:type="dxa"/>
            <w:vAlign w:val="bottom"/>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-160</w:t>
            </w:r>
          </w:p>
        </w:tc>
        <w:tc>
          <w:tcPr>
            <w:tcW w:w="1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1,637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860" w:type="dxa"/>
            <w:vAlign w:val="bottom"/>
            <w:shd w:val="clear" w:color="auto" w:fill="001A80"/>
          </w:tcPr>
          <w:p>
            <w:pPr>
              <w:spacing w:after="0"/>
              <w:rPr>
                <w:sz w:val="7"/>
                <w:szCs w:val="7"/>
                <w:color w:val="auto"/>
              </w:rPr>
            </w:pPr>
          </w:p>
        </w:tc>
        <w:tc>
          <w:tcPr>
            <w:tcW w:w="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60" w:type="dxa"/>
            <w:vAlign w:val="bottom"/>
          </w:tcPr>
          <w:p>
            <w:pPr>
              <w:spacing w:after="0"/>
              <w:rPr>
                <w:sz w:val="10"/>
                <w:szCs w:val="10"/>
                <w:color w:val="auto"/>
              </w:rPr>
            </w:pPr>
          </w:p>
        </w:tc>
        <w:tc>
          <w:tcPr>
            <w:tcW w:w="860" w:type="dxa"/>
            <w:vAlign w:val="bottom"/>
            <w:shd w:val="clear" w:color="auto" w:fill="001A80"/>
          </w:tcPr>
          <w:p>
            <w:pPr>
              <w:spacing w:after="0"/>
              <w:rPr>
                <w:sz w:val="10"/>
                <w:szCs w:val="10"/>
                <w:color w:val="auto"/>
              </w:rPr>
            </w:pPr>
          </w:p>
        </w:tc>
        <w:tc>
          <w:tcPr>
            <w:tcW w:w="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-490</w:t>
            </w:r>
          </w:p>
        </w:tc>
        <w:tc>
          <w:tcPr>
            <w:tcW w:w="20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860" w:type="dxa"/>
            <w:vAlign w:val="bottom"/>
            <w:shd w:val="clear" w:color="auto" w:fill="001A80"/>
          </w:tcPr>
          <w:p>
            <w:pPr>
              <w:spacing w:after="0"/>
              <w:rPr>
                <w:sz w:val="5"/>
                <w:szCs w:val="5"/>
                <w:color w:val="auto"/>
              </w:rPr>
            </w:pPr>
          </w:p>
        </w:tc>
        <w:tc>
          <w:tcPr>
            <w:tcW w:w="5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80" w:type="dxa"/>
            <w:vAlign w:val="bottom"/>
            <w:vMerge w:val="restart"/>
          </w:tcPr>
          <w:p>
            <w:pPr>
              <w:jc w:val="right"/>
              <w:ind w:right="712"/>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860" w:type="dxa"/>
            <w:vAlign w:val="bottom"/>
            <w:shd w:val="clear" w:color="auto" w:fill="001A80"/>
          </w:tcPr>
          <w:p>
            <w:pPr>
              <w:spacing w:after="0"/>
              <w:rPr>
                <w:sz w:val="7"/>
                <w:szCs w:val="7"/>
                <w:color w:val="auto"/>
              </w:rPr>
            </w:pPr>
          </w:p>
        </w:tc>
        <w:tc>
          <w:tcPr>
            <w:tcW w:w="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shd w:val="clear" w:color="auto" w:fill="001A80"/>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860" w:type="dxa"/>
            <w:vAlign w:val="bottom"/>
            <w:shd w:val="clear" w:color="auto" w:fill="001A80"/>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shd w:val="clear" w:color="auto" w:fill="001A80"/>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3"/>
        </w:trPr>
        <w:tc>
          <w:tcPr>
            <w:tcW w:w="46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520" w:type="dxa"/>
            <w:vAlign w:val="bottom"/>
            <w:tcBorders>
              <w:bottom w:val="single" w:sz="8" w:color="595959"/>
            </w:tcBorders>
          </w:tcPr>
          <w:p>
            <w:pPr>
              <w:spacing w:after="0"/>
              <w:rPr>
                <w:sz w:val="24"/>
                <w:szCs w:val="24"/>
                <w:color w:val="auto"/>
              </w:rPr>
            </w:pPr>
          </w:p>
        </w:tc>
        <w:tc>
          <w:tcPr>
            <w:tcW w:w="1560" w:type="dxa"/>
            <w:vAlign w:val="bottom"/>
            <w:tcBorders>
              <w:bottom w:val="single" w:sz="8" w:color="595959"/>
            </w:tcBorders>
          </w:tcPr>
          <w:p>
            <w:pPr>
              <w:spacing w:after="0"/>
              <w:rPr>
                <w:sz w:val="24"/>
                <w:szCs w:val="24"/>
                <w:color w:val="auto"/>
              </w:rPr>
            </w:pPr>
          </w:p>
        </w:tc>
        <w:tc>
          <w:tcPr>
            <w:tcW w:w="1960" w:type="dxa"/>
            <w:vAlign w:val="bottom"/>
            <w:tcBorders>
              <w:bottom w:val="single" w:sz="8" w:color="595959"/>
            </w:tcBorders>
          </w:tcPr>
          <w:p>
            <w:pPr>
              <w:spacing w:after="0"/>
              <w:rPr>
                <w:sz w:val="24"/>
                <w:szCs w:val="24"/>
                <w:color w:val="auto"/>
              </w:rPr>
            </w:pPr>
          </w:p>
        </w:tc>
        <w:tc>
          <w:tcPr>
            <w:tcW w:w="1400" w:type="dxa"/>
            <w:vAlign w:val="bottom"/>
            <w:tcBorders>
              <w:bottom w:val="single" w:sz="8" w:color="595959"/>
            </w:tcBorders>
          </w:tcPr>
          <w:p>
            <w:pPr>
              <w:spacing w:after="0"/>
              <w:rPr>
                <w:sz w:val="24"/>
                <w:szCs w:val="24"/>
                <w:color w:val="auto"/>
              </w:rPr>
            </w:pPr>
          </w:p>
        </w:tc>
        <w:tc>
          <w:tcPr>
            <w:tcW w:w="2080" w:type="dxa"/>
            <w:vAlign w:val="bottom"/>
            <w:tcBorders>
              <w:bottom w:val="single" w:sz="8" w:color="595959"/>
            </w:tcBorders>
          </w:tcPr>
          <w:p>
            <w:pPr>
              <w:spacing w:after="0"/>
              <w:rPr>
                <w:sz w:val="24"/>
                <w:szCs w:val="24"/>
                <w:color w:val="auto"/>
              </w:rPr>
            </w:pPr>
          </w:p>
        </w:tc>
        <w:tc>
          <w:tcPr>
            <w:tcW w:w="38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440" w:type="dxa"/>
            <w:vAlign w:val="bottom"/>
            <w:tcBorders>
              <w:bottom w:val="single" w:sz="8" w:color="595959"/>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2022 Earnings</w:t>
            </w: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Margins</w:t>
            </w:r>
          </w:p>
        </w:tc>
        <w:tc>
          <w:tcPr>
            <w:tcW w:w="19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Volume/Mix</w:t>
            </w:r>
          </w:p>
        </w:tc>
        <w:tc>
          <w:tcPr>
            <w:tcW w:w="140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8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Identified Items (1)</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2023 Earnings</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Margins – Lower margins decreased earnings by $870 million due to bottom-of-cycle price conditions as industry supply additions continued to outpace demand growth.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Volume/Mix – Unfavorable sales mix decreased earnings by $160 million, partially offset by new volumes from strategic projects.</w:t>
      </w:r>
    </w:p>
    <w:p>
      <w:pPr>
        <w:spacing w:after="0" w:line="1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Other – All other items decreased earnings by $490 million, primarily as a result of higher expenses from scheduled maintenance and production capacity additions.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Identified Items </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 2023 $(388) million loss was primarily driven by impairments.</w:t>
      </w:r>
    </w:p>
    <w:p>
      <w:pPr>
        <w:spacing w:after="0" w:line="102"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600"/>
          </w:cols>
          <w:pgMar w:left="640" w:top="491" w:right="640" w:bottom="0" w:gutter="0" w:footer="0" w:header="0"/>
          <w:type w:val="continuous"/>
        </w:sectPr>
      </w:pPr>
    </w:p>
    <w:bookmarkStart w:id="68" w:name="page69"/>
    <w:bookmarkEnd w:id="68"/>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C4C4C"/>
        </w:rPr>
        <w:t>2022 Chemical Products Earnings Factor Analysis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6,989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41910</wp:posOffset>
            </wp:positionV>
            <wp:extent cx="4667250" cy="128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6">
                      <a:extLst>
                        <a:ext uri="{28A0092B-C50C-407E-A947-70E740481C1C}"/>
                      </a:extLst>
                    </a:blip>
                    <a:srcRect/>
                    <a:stretch>
                      <a:fillRect/>
                    </a:stretch>
                  </pic:blipFill>
                  <pic:spPr bwMode="auto">
                    <a:xfrm>
                      <a:off x="0" y="0"/>
                      <a:ext cx="4667250" cy="128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20"/>
          <w:szCs w:val="20"/>
          <w:color w:val="auto"/>
        </w:rPr>
        <w:t>3,543</w:t>
      </w:r>
    </w:p>
    <w:p>
      <w:pPr>
        <w:spacing w:after="0" w:line="35" w:lineRule="exact"/>
        <w:rPr>
          <w:sz w:val="20"/>
          <w:szCs w:val="20"/>
          <w:color w:val="auto"/>
        </w:rPr>
      </w:pPr>
    </w:p>
    <w:tbl>
      <w:tblPr>
        <w:tblLayout w:type="fixed"/>
        <w:tblInd w:w="2940" w:type="dxa"/>
        <w:tblCellMar>
          <w:top w:w="0" w:type="dxa"/>
          <w:left w:w="0" w:type="dxa"/>
          <w:bottom w:w="0" w:type="dxa"/>
          <w:right w:w="0" w:type="dxa"/>
        </w:tblCellMar>
      </w:tblPr>
      <w:tr>
        <w:trPr>
          <w:trHeight w:val="301"/>
        </w:trPr>
        <w:tc>
          <w:tcPr>
            <w:tcW w:w="1340" w:type="dxa"/>
            <w:vAlign w:val="bottom"/>
          </w:tcPr>
          <w:p>
            <w:pPr>
              <w:jc w:val="right"/>
              <w:ind w:right="742"/>
              <w:spacing w:after="0"/>
              <w:rPr>
                <w:sz w:val="20"/>
                <w:szCs w:val="20"/>
                <w:color w:val="auto"/>
              </w:rPr>
            </w:pPr>
            <w:r>
              <w:rPr>
                <w:rFonts w:ascii="Times New Roman" w:cs="Times New Roman" w:eastAsia="Times New Roman" w:hAnsi="Times New Roman"/>
                <w:sz w:val="20"/>
                <w:szCs w:val="20"/>
                <w:color w:val="auto"/>
                <w:w w:val="92"/>
              </w:rPr>
              <w:t>-3,030</w:t>
            </w:r>
          </w:p>
        </w:tc>
        <w:tc>
          <w:tcPr>
            <w:tcW w:w="2060" w:type="dxa"/>
            <w:vAlign w:val="bottom"/>
          </w:tcPr>
          <w:p>
            <w:pPr>
              <w:jc w:val="right"/>
              <w:ind w:right="762"/>
              <w:spacing w:after="0"/>
              <w:rPr>
                <w:sz w:val="20"/>
                <w:szCs w:val="20"/>
                <w:color w:val="auto"/>
              </w:rPr>
            </w:pPr>
            <w:r>
              <w:rPr>
                <w:rFonts w:ascii="Times New Roman" w:cs="Times New Roman" w:eastAsia="Times New Roman" w:hAnsi="Times New Roman"/>
                <w:sz w:val="20"/>
                <w:szCs w:val="20"/>
                <w:color w:val="auto"/>
              </w:rPr>
              <w:t>-170</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73"/>
        </w:trPr>
        <w:tc>
          <w:tcPr>
            <w:tcW w:w="13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449580</wp:posOffset>
                </wp:positionV>
                <wp:extent cx="667448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4485" cy="4763"/>
                        </a:xfrm>
                        <a:prstGeom prst="line">
                          <a:avLst/>
                        </a:prstGeom>
                        <a:solidFill>
                          <a:srgbClr val="FFFFFF"/>
                        </a:solidFill>
                        <a:ln w="9334">
                          <a:solidFill>
                            <a:srgbClr val="595959"/>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35.4pt" to="527.75pt,35.4pt" o:allowincell="f" strokecolor="#595959" strokeweight="0.735pt"/>
            </w:pict>
          </mc:Fallback>
        </mc:AlternateContent>
        <mc:AlternateContent>
          <mc:Choice Requires="wps">
            <w:drawing>
              <wp:anchor simplePos="0" relativeHeight="251657728" behindDoc="1" locked="0" layoutInCell="0" allowOverlap="1">
                <wp:simplePos x="0" y="0"/>
                <wp:positionH relativeFrom="column">
                  <wp:posOffset>5715000</wp:posOffset>
                </wp:positionH>
                <wp:positionV relativeFrom="paragraph">
                  <wp:posOffset>-198120</wp:posOffset>
                </wp:positionV>
                <wp:extent cx="643890" cy="64325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 cy="643255"/>
                        </a:xfrm>
                        <a:prstGeom prst="rect">
                          <a:avLst/>
                        </a:prstGeom>
                        <a:solidFill>
                          <a:srgbClr val="001A80"/>
                        </a:solidFill>
                      </wps:spPr>
                      <wps:bodyPr/>
                    </wps:wsp>
                  </a:graphicData>
                </a:graphic>
              </wp:anchor>
            </w:drawing>
          </mc:Choice>
          <mc:Fallback>
            <w:pict>
              <v:rect id="Shape 134" o:spid="_x0000_s1159" style="position:absolute;margin-left:450pt;margin-top:-15.5999pt;width:50.7pt;height:50.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A8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0"/>
        <w:spacing w:after="0"/>
        <w:tabs>
          <w:tab w:leader="none" w:pos="2800" w:val="left"/>
          <w:tab w:leader="none" w:pos="4740" w:val="left"/>
          <w:tab w:leader="none" w:pos="7120" w:val="left"/>
          <w:tab w:leader="none" w:pos="8860" w:val="left"/>
        </w:tabs>
        <w:rPr>
          <w:sz w:val="20"/>
          <w:szCs w:val="20"/>
          <w:color w:val="auto"/>
        </w:rPr>
      </w:pPr>
      <w:r>
        <w:rPr>
          <w:rFonts w:ascii="Times New Roman" w:cs="Times New Roman" w:eastAsia="Times New Roman" w:hAnsi="Times New Roman"/>
          <w:sz w:val="20"/>
          <w:szCs w:val="20"/>
          <w:b w:val="1"/>
          <w:bCs w:val="1"/>
          <w:color w:val="auto"/>
        </w:rPr>
        <w:t>2021 Earnings</w:t>
      </w:r>
      <w:r>
        <w:rPr>
          <w:sz w:val="20"/>
          <w:szCs w:val="20"/>
          <w:color w:val="auto"/>
        </w:rPr>
        <w:tab/>
      </w:r>
      <w:r>
        <w:rPr>
          <w:rFonts w:ascii="Times New Roman" w:cs="Times New Roman" w:eastAsia="Times New Roman" w:hAnsi="Times New Roman"/>
          <w:sz w:val="20"/>
          <w:szCs w:val="20"/>
          <w:b w:val="1"/>
          <w:bCs w:val="1"/>
          <w:color w:val="auto"/>
        </w:rPr>
        <w:t>Margins</w:t>
      </w:r>
      <w:r>
        <w:rPr>
          <w:sz w:val="20"/>
          <w:szCs w:val="20"/>
          <w:color w:val="auto"/>
        </w:rPr>
        <w:tab/>
      </w:r>
      <w:r>
        <w:rPr>
          <w:rFonts w:ascii="Times New Roman" w:cs="Times New Roman" w:eastAsia="Times New Roman" w:hAnsi="Times New Roman"/>
          <w:sz w:val="20"/>
          <w:szCs w:val="20"/>
          <w:b w:val="1"/>
          <w:bCs w:val="1"/>
          <w:color w:val="auto"/>
        </w:rPr>
        <w:t>Volume/Mix</w:t>
      </w:r>
      <w:r>
        <w:rPr>
          <w:sz w:val="20"/>
          <w:szCs w:val="20"/>
          <w:color w:val="auto"/>
        </w:rPr>
        <w:tab/>
      </w:r>
      <w:r>
        <w:rPr>
          <w:rFonts w:ascii="Times New Roman" w:cs="Times New Roman" w:eastAsia="Times New Roman" w:hAnsi="Times New Roman"/>
          <w:sz w:val="20"/>
          <w:szCs w:val="20"/>
          <w:b w:val="1"/>
          <w:bCs w:val="1"/>
          <w:color w:val="auto"/>
        </w:rPr>
        <w:t>Other</w:t>
      </w:r>
      <w:r>
        <w:rPr>
          <w:sz w:val="20"/>
          <w:szCs w:val="20"/>
          <w:color w:val="auto"/>
        </w:rPr>
        <w:tab/>
      </w:r>
      <w:r>
        <w:rPr>
          <w:rFonts w:ascii="Times New Roman" w:cs="Times New Roman" w:eastAsia="Times New Roman" w:hAnsi="Times New Roman"/>
          <w:sz w:val="19"/>
          <w:szCs w:val="19"/>
          <w:b w:val="1"/>
          <w:bCs w:val="1"/>
          <w:color w:val="auto"/>
        </w:rPr>
        <w:t>2022 Earnings</w:t>
      </w:r>
    </w:p>
    <w:p>
      <w:pPr>
        <w:spacing w:after="0" w:line="28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Margins – Lower margins decreased earnings by $3,030 million with normalization of regional prices during the year, increased supply, and bottom-of-cycle conditions in Asia Pacific.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Volume/Mix – Product mix decreased earnings by $170 million.</w:t>
      </w:r>
    </w:p>
    <w:p>
      <w:pPr>
        <w:spacing w:after="0" w:line="1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Other – All other items decreased earnings by $250 million primarily as a result of higher expenses from production capacity additions, and foreign exchange effects from a stronger U.S. dollar.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Chemical Products Operational Results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900" w:type="dxa"/>
            <w:vAlign w:val="bottom"/>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(thousands of metric tons)</w:t>
            </w:r>
          </w:p>
        </w:tc>
        <w:tc>
          <w:tcPr>
            <w:tcW w:w="3880" w:type="dxa"/>
            <w:vAlign w:val="bottom"/>
            <w:shd w:val="clear" w:color="auto" w:fill="4C4C4C"/>
          </w:tcPr>
          <w:p>
            <w:pPr>
              <w:jc w:val="right"/>
              <w:ind w:right="28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040" w:type="dxa"/>
            <w:vAlign w:val="bottom"/>
            <w:shd w:val="clear" w:color="auto" w:fill="4C4C4C"/>
          </w:tcPr>
          <w:p>
            <w:pPr>
              <w:jc w:val="right"/>
              <w:ind w:right="28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74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50"/>
        </w:trPr>
        <w:tc>
          <w:tcPr>
            <w:tcW w:w="4900" w:type="dxa"/>
            <w:vAlign w:val="bottom"/>
            <w:shd w:val="clear" w:color="auto" w:fill="4C4C4C"/>
          </w:tcPr>
          <w:p>
            <w:pPr>
              <w:spacing w:after="0"/>
              <w:rPr>
                <w:sz w:val="4"/>
                <w:szCs w:val="4"/>
                <w:color w:val="auto"/>
              </w:rPr>
            </w:pPr>
          </w:p>
        </w:tc>
        <w:tc>
          <w:tcPr>
            <w:tcW w:w="3880" w:type="dxa"/>
            <w:vAlign w:val="bottom"/>
            <w:shd w:val="clear" w:color="auto" w:fill="4C4C4C"/>
          </w:tcPr>
          <w:p>
            <w:pPr>
              <w:spacing w:after="0"/>
              <w:rPr>
                <w:sz w:val="4"/>
                <w:szCs w:val="4"/>
                <w:color w:val="auto"/>
              </w:rPr>
            </w:pPr>
          </w:p>
        </w:tc>
        <w:tc>
          <w:tcPr>
            <w:tcW w:w="1040" w:type="dxa"/>
            <w:vAlign w:val="bottom"/>
            <w:shd w:val="clear" w:color="auto" w:fill="4C4C4C"/>
          </w:tcPr>
          <w:p>
            <w:pPr>
              <w:spacing w:after="0"/>
              <w:rPr>
                <w:sz w:val="4"/>
                <w:szCs w:val="4"/>
                <w:color w:val="auto"/>
              </w:rPr>
            </w:pPr>
          </w:p>
        </w:tc>
        <w:tc>
          <w:tcPr>
            <w:tcW w:w="740" w:type="dxa"/>
            <w:vAlign w:val="bottom"/>
            <w:shd w:val="clear" w:color="auto" w:fill="4C4C4C"/>
          </w:tcPr>
          <w:p>
            <w:pPr>
              <w:spacing w:after="0"/>
              <w:rPr>
                <w:sz w:val="4"/>
                <w:szCs w:val="4"/>
                <w:color w:val="auto"/>
              </w:rPr>
            </w:pPr>
          </w:p>
        </w:tc>
      </w:tr>
    </w:tbl>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Chemical product sales </w:t>
            </w:r>
            <w:r>
              <w:rPr>
                <w:rFonts w:ascii="Times New Roman" w:cs="Times New Roman" w:eastAsia="Times New Roman" w:hAnsi="Times New Roman"/>
                <w:sz w:val="10"/>
                <w:szCs w:val="10"/>
                <w:i w:val="1"/>
                <w:iCs w:val="1"/>
                <w:color w:val="4C4C4C"/>
              </w:rPr>
              <w:t>(1)</w:t>
            </w:r>
          </w:p>
        </w:tc>
        <w:tc>
          <w:tcPr>
            <w:tcW w:w="980" w:type="dxa"/>
            <w:vAlign w:val="bottom"/>
            <w:shd w:val="clear" w:color="auto" w:fill="F0F0F0"/>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8"/>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6,779</w:t>
            </w: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7,270</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7,017</w:t>
            </w:r>
          </w:p>
        </w:tc>
      </w:tr>
      <w:tr>
        <w:trPr>
          <w:trHeight w:val="318"/>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12,603</w:t>
            </w: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11,897</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12,126</w:t>
            </w:r>
          </w:p>
        </w:tc>
      </w:tr>
      <w:tr>
        <w:trPr>
          <w:trHeight w:val="274"/>
        </w:trPr>
        <w:tc>
          <w:tcPr>
            <w:tcW w:w="748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19,382</w:t>
            </w:r>
          </w:p>
        </w:tc>
        <w:tc>
          <w:tcPr>
            <w:tcW w:w="1220" w:type="dxa"/>
            <w:vAlign w:val="bottom"/>
            <w:tcBorders>
              <w:top w:val="single" w:sz="8" w:color="4C4C4C"/>
              <w:bottom w:val="single" w:sz="8" w:color="4C4C4C"/>
            </w:tcBorders>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19,167</w:t>
            </w:r>
          </w:p>
        </w:tc>
        <w:tc>
          <w:tcPr>
            <w:tcW w:w="88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19,142</w:t>
            </w:r>
          </w:p>
        </w:tc>
      </w:tr>
    </w:tbl>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vertAlign w:val="superscript"/>
        </w:rPr>
        <w:t>(1)</w:t>
      </w:r>
      <w:r>
        <w:rPr>
          <w:rFonts w:ascii="Times New Roman" w:cs="Times New Roman" w:eastAsia="Times New Roman" w:hAnsi="Times New Roman"/>
          <w:sz w:val="16"/>
          <w:szCs w:val="16"/>
          <w:i w:val="1"/>
          <w:iCs w:val="1"/>
          <w:color w:val="auto"/>
        </w:rPr>
        <w:t xml:space="preserve"> Data reported net of purchases/sales contracts with the same counterparty.</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600"/>
          </w:cols>
          <w:pgMar w:left="640" w:top="491" w:right="640" w:bottom="0" w:gutter="0" w:footer="0" w:header="0"/>
          <w:type w:val="continuous"/>
        </w:sectPr>
      </w:pPr>
    </w:p>
    <w:bookmarkStart w:id="69" w:name="page70"/>
    <w:bookmarkEnd w:id="69"/>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95885</wp:posOffset>
                </wp:positionV>
                <wp:extent cx="6720840" cy="3175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317500"/>
                        </a:xfrm>
                        <a:prstGeom prst="rect">
                          <a:avLst/>
                        </a:prstGeom>
                        <a:solidFill>
                          <a:srgbClr val="4C4C4C"/>
                        </a:solidFill>
                      </wps:spPr>
                      <wps:bodyPr/>
                    </wps:wsp>
                  </a:graphicData>
                </a:graphic>
              </wp:anchor>
            </w:drawing>
          </mc:Choice>
          <mc:Fallback>
            <w:pict>
              <v:rect id="Shape 135" o:spid="_x0000_s1160" style="position:absolute;margin-left:0.4pt;margin-top:7.55pt;width:529.2pt;height: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FFFFFF"/>
        </w:rPr>
        <w:t>Specialty Products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ExxonMobil Specialty Products is a combination of business units that manufacture and market a range of performance products including high-quality lubricants, basestocks, waxes, synthetics, elastomers, and resins. Leveraging ExxonMobil’s proprietary technologies, Specialty Products focuses on providing performance products that help customers improve efficiency in the transportation and industrial sectors.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Specialty Products is well-positioned to help meet growth in lubricants demand through advantaged projects that leverage ExxonMobil's integration, technology, and world-class brands, such as Mobil 1</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2023, Specialty Products continued to deliver strong earnings from our portfolio of high-value products and brand market position.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Key Recent Events</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Singapore Resid Upgrade project: </w:t>
      </w:r>
      <w:r>
        <w:rPr>
          <w:rFonts w:ascii="Times New Roman" w:cs="Times New Roman" w:eastAsia="Times New Roman" w:hAnsi="Times New Roman"/>
          <w:sz w:val="20"/>
          <w:szCs w:val="20"/>
          <w:color w:val="auto"/>
        </w:rPr>
        <w:t>Progressed project with expected start-up in 2025, which will leverage two proprietary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technologies to upgrade fuel oil to Group II lubes and diesel, further strengthening ExxonMobil’s position as the largest basestock producer in the world.</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600"/>
          </w:cols>
          <w:pgMar w:left="640" w:top="491" w:right="640" w:bottom="0" w:gutter="0" w:footer="0" w:header="0"/>
          <w:type w:val="continuous"/>
        </w:sectPr>
      </w:pPr>
    </w:p>
    <w:bookmarkStart w:id="70" w:name="page71"/>
    <w:bookmarkEnd w:id="70"/>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Specialty Products Financial Results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48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00" w:type="dxa"/>
            <w:vAlign w:val="bottom"/>
            <w:tcBorders>
              <w:bottom w:val="single" w:sz="8" w:color="4C4C4C"/>
            </w:tcBorders>
            <w:shd w:val="clear" w:color="auto" w:fill="4C4C4C"/>
          </w:tcPr>
          <w:p>
            <w:pPr>
              <w:jc w:val="right"/>
              <w:ind w:right="20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0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61"/>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Earnings (loss) </w:t>
            </w:r>
            <w:r>
              <w:rPr>
                <w:rFonts w:ascii="Times New Roman" w:cs="Times New Roman" w:eastAsia="Times New Roman" w:hAnsi="Times New Roman"/>
                <w:sz w:val="20"/>
                <w:szCs w:val="20"/>
                <w:color w:val="4C4C4C"/>
              </w:rPr>
              <w:t>(U.S. GAAP)</w:t>
            </w:r>
          </w:p>
        </w:tc>
        <w:tc>
          <w:tcPr>
            <w:tcW w:w="980" w:type="dxa"/>
            <w:vAlign w:val="bottom"/>
            <w:shd w:val="clear" w:color="auto" w:fill="F0F0F0"/>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98"/>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1,536</w:t>
            </w:r>
          </w:p>
        </w:tc>
        <w:tc>
          <w:tcPr>
            <w:tcW w:w="130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1,190</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w:t>
            </w:r>
          </w:p>
        </w:tc>
      </w:tr>
      <w:tr>
        <w:trPr>
          <w:trHeight w:val="318"/>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130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1,225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w:t>
            </w:r>
          </w:p>
        </w:tc>
      </w:tr>
      <w:tr>
        <w:trPr>
          <w:trHeight w:val="274"/>
        </w:trPr>
        <w:tc>
          <w:tcPr>
            <w:tcW w:w="748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2,714</w:t>
            </w:r>
          </w:p>
        </w:tc>
        <w:tc>
          <w:tcPr>
            <w:tcW w:w="1300" w:type="dxa"/>
            <w:vAlign w:val="bottom"/>
            <w:tcBorders>
              <w:top w:val="single" w:sz="8" w:color="4C4C4C"/>
              <w:bottom w:val="single" w:sz="8" w:color="4C4C4C"/>
            </w:tcBorders>
          </w:tcPr>
          <w:p>
            <w:pPr>
              <w:jc w:val="right"/>
              <w:ind w:right="224"/>
              <w:spacing w:after="0"/>
              <w:rPr>
                <w:sz w:val="20"/>
                <w:szCs w:val="20"/>
                <w:color w:val="auto"/>
              </w:rPr>
            </w:pPr>
            <w:r>
              <w:rPr>
                <w:rFonts w:ascii="Times New Roman" w:cs="Times New Roman" w:eastAsia="Times New Roman" w:hAnsi="Times New Roman"/>
                <w:sz w:val="20"/>
                <w:szCs w:val="20"/>
                <w:b w:val="1"/>
                <w:bCs w:val="1"/>
                <w:color w:val="auto"/>
              </w:rPr>
              <w:t>2,415</w:t>
            </w:r>
          </w:p>
        </w:tc>
        <w:tc>
          <w:tcPr>
            <w:tcW w:w="8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3,259</w:t>
            </w:r>
          </w:p>
        </w:tc>
      </w:tr>
      <w:tr>
        <w:trPr>
          <w:trHeight w:val="524"/>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Identified Items </w:t>
            </w:r>
            <w:r>
              <w:rPr>
                <w:rFonts w:ascii="Times New Roman" w:cs="Times New Roman" w:eastAsia="Times New Roman" w:hAnsi="Times New Roman"/>
                <w:sz w:val="10"/>
                <w:szCs w:val="10"/>
                <w:i w:val="1"/>
                <w:iCs w:val="1"/>
                <w:color w:val="4C4C4C"/>
              </w:rPr>
              <w:t>(1)</w:t>
            </w:r>
          </w:p>
        </w:tc>
        <w:tc>
          <w:tcPr>
            <w:tcW w:w="980" w:type="dxa"/>
            <w:vAlign w:val="bottom"/>
            <w:shd w:val="clear" w:color="auto" w:fill="F0F0F0"/>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30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r>
      <w:tr>
        <w:trPr>
          <w:trHeight w:val="318"/>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3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(40)</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74"/>
        </w:trPr>
        <w:tc>
          <w:tcPr>
            <w:tcW w:w="748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(93)</w:t>
            </w:r>
          </w:p>
        </w:tc>
        <w:tc>
          <w:tcPr>
            <w:tcW w:w="1300" w:type="dxa"/>
            <w:vAlign w:val="bottom"/>
            <w:tcBorders>
              <w:top w:val="single" w:sz="8" w:color="4C4C4C"/>
              <w:bottom w:val="single" w:sz="8" w:color="4C4C4C"/>
            </w:tcBorders>
          </w:tcPr>
          <w:p>
            <w:pPr>
              <w:jc w:val="right"/>
              <w:ind w:right="164"/>
              <w:spacing w:after="0"/>
              <w:rPr>
                <w:sz w:val="20"/>
                <w:szCs w:val="20"/>
                <w:color w:val="auto"/>
              </w:rPr>
            </w:pPr>
            <w:r>
              <w:rPr>
                <w:rFonts w:ascii="Times New Roman" w:cs="Times New Roman" w:eastAsia="Times New Roman" w:hAnsi="Times New Roman"/>
                <w:sz w:val="20"/>
                <w:szCs w:val="20"/>
                <w:b w:val="1"/>
                <w:bCs w:val="1"/>
                <w:color w:val="auto"/>
              </w:rPr>
              <w:t>(40)</w:t>
            </w:r>
          </w:p>
        </w:tc>
        <w:tc>
          <w:tcPr>
            <w:tcW w:w="8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634</w:t>
            </w:r>
          </w:p>
        </w:tc>
      </w:tr>
      <w:tr>
        <w:trPr>
          <w:trHeight w:val="527"/>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 xml:space="preserve">Earnings (loss) excluding Identified Items </w:t>
            </w:r>
            <w:r>
              <w:rPr>
                <w:rFonts w:ascii="Times New Roman" w:cs="Times New Roman" w:eastAsia="Times New Roman" w:hAnsi="Times New Roman"/>
                <w:sz w:val="10"/>
                <w:szCs w:val="10"/>
                <w:i w:val="1"/>
                <w:iCs w:val="1"/>
                <w:color w:val="4C4C4C"/>
              </w:rPr>
              <w:t>(1)</w:t>
            </w:r>
            <w:r>
              <w:rPr>
                <w:rFonts w:ascii="Times New Roman" w:cs="Times New Roman" w:eastAsia="Times New Roman" w:hAnsi="Times New Roman"/>
                <w:sz w:val="20"/>
                <w:szCs w:val="20"/>
                <w:b w:val="1"/>
                <w:bCs w:val="1"/>
                <w:color w:val="4C4C4C"/>
              </w:rPr>
              <w:t xml:space="preserve"> </w:t>
            </w:r>
            <w:r>
              <w:rPr>
                <w:rFonts w:ascii="Times New Roman" w:cs="Times New Roman" w:eastAsia="Times New Roman" w:hAnsi="Times New Roman"/>
                <w:sz w:val="20"/>
                <w:szCs w:val="20"/>
                <w:color w:val="4C4C4C"/>
              </w:rPr>
              <w:t>(Non-GAAP)</w:t>
            </w:r>
          </w:p>
        </w:tc>
        <w:tc>
          <w:tcPr>
            <w:tcW w:w="980" w:type="dxa"/>
            <w:vAlign w:val="bottom"/>
            <w:shd w:val="clear" w:color="auto" w:fill="F0F0F0"/>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1"/>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130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1,190</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r>
      <w:tr>
        <w:trPr>
          <w:trHeight w:val="318"/>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1,283</w:t>
            </w:r>
          </w:p>
        </w:tc>
        <w:tc>
          <w:tcPr>
            <w:tcW w:w="130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1,265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w:t>
            </w:r>
          </w:p>
        </w:tc>
      </w:tr>
      <w:tr>
        <w:trPr>
          <w:trHeight w:val="274"/>
        </w:trPr>
        <w:tc>
          <w:tcPr>
            <w:tcW w:w="748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2,807</w:t>
            </w:r>
          </w:p>
        </w:tc>
        <w:tc>
          <w:tcPr>
            <w:tcW w:w="1300" w:type="dxa"/>
            <w:vAlign w:val="bottom"/>
            <w:tcBorders>
              <w:top w:val="single" w:sz="8" w:color="4C4C4C"/>
              <w:bottom w:val="single" w:sz="8" w:color="4C4C4C"/>
            </w:tcBorders>
          </w:tcPr>
          <w:p>
            <w:pPr>
              <w:jc w:val="right"/>
              <w:ind w:right="224"/>
              <w:spacing w:after="0"/>
              <w:rPr>
                <w:sz w:val="20"/>
                <w:szCs w:val="20"/>
                <w:color w:val="auto"/>
              </w:rPr>
            </w:pPr>
            <w:r>
              <w:rPr>
                <w:rFonts w:ascii="Times New Roman" w:cs="Times New Roman" w:eastAsia="Times New Roman" w:hAnsi="Times New Roman"/>
                <w:sz w:val="20"/>
                <w:szCs w:val="20"/>
                <w:b w:val="1"/>
                <w:bCs w:val="1"/>
                <w:color w:val="auto"/>
              </w:rPr>
              <w:t>2,455</w:t>
            </w:r>
          </w:p>
        </w:tc>
        <w:tc>
          <w:tcPr>
            <w:tcW w:w="8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-1875790</wp:posOffset>
                </wp:positionV>
                <wp:extent cx="67024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242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147.6999pt" to="528.85pt,-147.6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-942340</wp:posOffset>
                </wp:positionV>
                <wp:extent cx="67024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242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74.1999pt" to="528.85pt,-74.1999pt" o:allowincell="f" strokecolor="#FFFFFF" strokeweight="0.01pt"/>
            </w:pict>
          </mc:Fallback>
        </mc:AlternateContent>
      </w:r>
    </w:p>
    <w:p>
      <w:pPr>
        <w:spacing w:after="0" w:line="75" w:lineRule="exact"/>
        <w:rPr>
          <w:sz w:val="20"/>
          <w:szCs w:val="20"/>
          <w:color w:val="auto"/>
        </w:rPr>
      </w:pPr>
    </w:p>
    <w:p>
      <w:pPr>
        <w:ind w:left="80" w:right="3340" w:hanging="6"/>
        <w:spacing w:after="0" w:line="277" w:lineRule="auto"/>
        <w:tabs>
          <w:tab w:leader="none" w:pos="238" w:val="left"/>
        </w:tabs>
        <w:numPr>
          <w:ilvl w:val="0"/>
          <w:numId w:val="3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Refer to Frequently Used Terms for definition of Identified Items and earnings (loss) excluding Identified Items. Due to rounding, numbers presented may not add up precisely to the totals indicated.</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C4C4C"/>
        </w:rPr>
        <w:t>2023 Specialty Products Earnings Factor Analysis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w:t>
            </w:r>
          </w:p>
        </w:tc>
        <w:tc>
          <w:tcPr>
            <w:tcW w:w="35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5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2,714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8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2,415</w:t>
            </w: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500" w:type="dxa"/>
            <w:vAlign w:val="bottom"/>
            <w:gridSpan w:val="4"/>
            <w:vMerge w:val="continue"/>
          </w:tcPr>
          <w:p>
            <w:pPr>
              <w:spacing w:after="0"/>
              <w:rPr>
                <w:sz w:val="5"/>
                <w:szCs w:val="5"/>
                <w:color w:val="auto"/>
              </w:rPr>
            </w:pPr>
          </w:p>
        </w:tc>
        <w:tc>
          <w:tcPr>
            <w:tcW w:w="352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Borders>
              <w:bottom w:val="single" w:sz="8" w:color="368625"/>
            </w:tcBorders>
            <w:shd w:val="clear" w:color="auto" w:fill="368625"/>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Borders>
              <w:bottom w:val="single" w:sz="8" w:color="FB0A13"/>
            </w:tcBorders>
            <w:shd w:val="clear" w:color="auto" w:fill="FB0A13"/>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Borders>
              <w:bottom w:val="single" w:sz="8" w:color="368625"/>
            </w:tcBorders>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Borders>
              <w:bottom w:val="single" w:sz="8" w:color="FB0A13"/>
            </w:tcBorders>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Borders>
              <w:bottom w:val="single" w:sz="8" w:color="368625"/>
            </w:tcBorders>
            <w:shd w:val="clear" w:color="auto" w:fill="368625"/>
          </w:tcPr>
          <w:p>
            <w:pPr>
              <w:spacing w:after="0"/>
              <w:rPr>
                <w:sz w:val="16"/>
                <w:szCs w:val="16"/>
                <w:color w:val="auto"/>
              </w:rPr>
            </w:pPr>
          </w:p>
        </w:tc>
        <w:tc>
          <w:tcPr>
            <w:tcW w:w="1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tcPr>
          <w:p>
            <w:pPr>
              <w:spacing w:after="0"/>
              <w:rPr>
                <w:sz w:val="16"/>
                <w:szCs w:val="16"/>
                <w:color w:val="auto"/>
              </w:rPr>
            </w:pPr>
          </w:p>
        </w:tc>
        <w:tc>
          <w:tcPr>
            <w:tcW w:w="860" w:type="dxa"/>
            <w:vAlign w:val="bottom"/>
            <w:tcBorders>
              <w:bottom w:val="single" w:sz="8" w:color="001A80"/>
            </w:tcBorders>
            <w:shd w:val="clear" w:color="auto" w:fill="001A80"/>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60" w:type="dxa"/>
            <w:vAlign w:val="bottom"/>
          </w:tcPr>
          <w:p>
            <w:pPr>
              <w:spacing w:after="0"/>
              <w:rPr>
                <w:sz w:val="6"/>
                <w:szCs w:val="6"/>
                <w:color w:val="auto"/>
              </w:rPr>
            </w:pPr>
          </w:p>
        </w:tc>
        <w:tc>
          <w:tcPr>
            <w:tcW w:w="860" w:type="dxa"/>
            <w:vAlign w:val="bottom"/>
            <w:shd w:val="clear" w:color="auto" w:fill="001A80"/>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shd w:val="clear" w:color="auto" w:fill="001A80"/>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6"/>
        </w:trPr>
        <w:tc>
          <w:tcPr>
            <w:tcW w:w="46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4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4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440" w:type="dxa"/>
            <w:vAlign w:val="bottom"/>
            <w:tcBorders>
              <w:bottom w:val="single" w:sz="8" w:color="59595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60"/>
        <w:spacing w:after="0"/>
        <w:tabs>
          <w:tab w:leader="none" w:pos="2300" w:val="left"/>
          <w:tab w:leader="none" w:pos="3900" w:val="left"/>
          <w:tab w:leader="none" w:pos="5920" w:val="left"/>
          <w:tab w:leader="none" w:pos="7180" w:val="left"/>
          <w:tab w:leader="none" w:pos="9100" w:val="left"/>
        </w:tabs>
        <w:rPr>
          <w:sz w:val="20"/>
          <w:szCs w:val="20"/>
          <w:color w:val="auto"/>
        </w:rPr>
      </w:pPr>
      <w:r>
        <w:rPr>
          <w:rFonts w:ascii="Times New Roman" w:cs="Times New Roman" w:eastAsia="Times New Roman" w:hAnsi="Times New Roman"/>
          <w:sz w:val="18"/>
          <w:szCs w:val="18"/>
          <w:b w:val="1"/>
          <w:bCs w:val="1"/>
          <w:color w:val="auto"/>
        </w:rPr>
        <w:t>2022 Earnings</w:t>
      </w:r>
      <w:r>
        <w:rPr>
          <w:sz w:val="20"/>
          <w:szCs w:val="20"/>
          <w:color w:val="auto"/>
        </w:rPr>
        <w:tab/>
      </w:r>
      <w:r>
        <w:rPr>
          <w:rFonts w:ascii="Times New Roman" w:cs="Times New Roman" w:eastAsia="Times New Roman" w:hAnsi="Times New Roman"/>
          <w:sz w:val="18"/>
          <w:szCs w:val="18"/>
          <w:b w:val="1"/>
          <w:bCs w:val="1"/>
          <w:color w:val="auto"/>
        </w:rPr>
        <w:t>Margins</w:t>
      </w:r>
      <w:r>
        <w:rPr>
          <w:sz w:val="20"/>
          <w:szCs w:val="20"/>
          <w:color w:val="auto"/>
        </w:rPr>
        <w:tab/>
      </w:r>
      <w:r>
        <w:rPr>
          <w:rFonts w:ascii="Times New Roman" w:cs="Times New Roman" w:eastAsia="Times New Roman" w:hAnsi="Times New Roman"/>
          <w:sz w:val="18"/>
          <w:szCs w:val="18"/>
          <w:b w:val="1"/>
          <w:bCs w:val="1"/>
          <w:color w:val="auto"/>
        </w:rPr>
        <w:t>Volume/Mix</w:t>
      </w:r>
      <w:r>
        <w:rPr>
          <w:sz w:val="20"/>
          <w:szCs w:val="20"/>
          <w:color w:val="auto"/>
        </w:rPr>
        <w:tab/>
      </w:r>
      <w:r>
        <w:rPr>
          <w:rFonts w:ascii="Times New Roman" w:cs="Times New Roman" w:eastAsia="Times New Roman" w:hAnsi="Times New Roman"/>
          <w:sz w:val="18"/>
          <w:szCs w:val="18"/>
          <w:b w:val="1"/>
          <w:bCs w:val="1"/>
          <w:color w:val="auto"/>
        </w:rPr>
        <w:t>Other</w:t>
      </w:r>
      <w:r>
        <w:rPr>
          <w:sz w:val="20"/>
          <w:szCs w:val="20"/>
          <w:color w:val="auto"/>
        </w:rPr>
        <w:tab/>
      </w:r>
      <w:r>
        <w:rPr>
          <w:rFonts w:ascii="Times New Roman" w:cs="Times New Roman" w:eastAsia="Times New Roman" w:hAnsi="Times New Roman"/>
          <w:sz w:val="18"/>
          <w:szCs w:val="18"/>
          <w:b w:val="1"/>
          <w:bCs w:val="1"/>
          <w:color w:val="auto"/>
        </w:rPr>
        <w:t>Identified Items (1)</w:t>
      </w:r>
      <w:r>
        <w:rPr>
          <w:sz w:val="20"/>
          <w:szCs w:val="20"/>
          <w:color w:val="auto"/>
        </w:rPr>
        <w:tab/>
      </w:r>
      <w:r>
        <w:rPr>
          <w:rFonts w:ascii="Times New Roman" w:cs="Times New Roman" w:eastAsia="Times New Roman" w:hAnsi="Times New Roman"/>
          <w:sz w:val="17"/>
          <w:szCs w:val="17"/>
          <w:b w:val="1"/>
          <w:bCs w:val="1"/>
          <w:color w:val="auto"/>
        </w:rPr>
        <w:t>2023 Earnings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Margins – Stronger margins increased earnings by $440 million driven by high-value products and lower feed costs.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Volume/Mix – Lower volumes decreased earnings by $120 million on weaker global demand.</w:t>
      </w:r>
    </w:p>
    <w:p>
      <w:pPr>
        <w:spacing w:after="0" w:line="1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Other – All other items increased earnings by $30 million as a result of positive year-end inventory effects and favorable tax impacts, partially offset by unfavorable foreign exchange effects.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Identified Items </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 2022 $(40) million loss from impairments; 2023 $(93) million loss mainly from impairments.</w:t>
      </w:r>
    </w:p>
    <w:p>
      <w:pPr>
        <w:spacing w:after="0" w:line="102"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600"/>
          </w:cols>
          <w:pgMar w:left="640" w:top="491" w:right="640" w:bottom="0" w:gutter="0" w:footer="0" w:header="0"/>
          <w:type w:val="continuous"/>
        </w:sectPr>
      </w:pPr>
    </w:p>
    <w:bookmarkStart w:id="71" w:name="page72"/>
    <w:bookmarkEnd w:id="71"/>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C4C4C"/>
        </w:rPr>
        <w:t>2022 Specialty Products Earnings Factor Analysis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460" w:type="dxa"/>
            <w:vAlign w:val="bottom"/>
          </w:tcPr>
          <w:p>
            <w:pPr>
              <w:spacing w:after="0"/>
              <w:rPr>
                <w:sz w:val="22"/>
                <w:szCs w:val="22"/>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3,259</w:t>
            </w:r>
          </w:p>
        </w:tc>
        <w:tc>
          <w:tcPr>
            <w:tcW w:w="394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20"/>
                <w:szCs w:val="20"/>
                <w:color w:val="auto"/>
              </w:rPr>
              <w:t>+20</w:t>
            </w:r>
          </w:p>
        </w:tc>
        <w:tc>
          <w:tcPr>
            <w:tcW w:w="2200" w:type="dxa"/>
            <w:vAlign w:val="bottom"/>
            <w:vMerge w:val="restart"/>
          </w:tcPr>
          <w:p>
            <w:pPr>
              <w:jc w:val="right"/>
              <w:ind w:right="1082"/>
              <w:spacing w:after="0"/>
              <w:rPr>
                <w:sz w:val="20"/>
                <w:szCs w:val="20"/>
                <w:color w:val="auto"/>
              </w:rPr>
            </w:pPr>
            <w:r>
              <w:rPr>
                <w:rFonts w:ascii="Times New Roman" w:cs="Times New Roman" w:eastAsia="Times New Roman" w:hAnsi="Times New Roman"/>
                <w:sz w:val="20"/>
                <w:szCs w:val="20"/>
                <w:color w:val="auto"/>
              </w:rPr>
              <w:t>+30</w:t>
            </w: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40" w:type="dxa"/>
            <w:vAlign w:val="bottom"/>
            <w:gridSpan w:val="3"/>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60" w:type="dxa"/>
            <w:vAlign w:val="bottom"/>
          </w:tcPr>
          <w:p>
            <w:pPr>
              <w:spacing w:after="0"/>
              <w:rPr>
                <w:sz w:val="8"/>
                <w:szCs w:val="8"/>
                <w:color w:val="auto"/>
              </w:rPr>
            </w:pPr>
          </w:p>
        </w:tc>
        <w:tc>
          <w:tcPr>
            <w:tcW w:w="860" w:type="dxa"/>
            <w:vAlign w:val="bottom"/>
            <w:tcBorders>
              <w:bottom w:val="single" w:sz="8" w:color="001A80"/>
            </w:tcBorders>
            <w:shd w:val="clear" w:color="auto" w:fill="001A80"/>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Borders>
              <w:bottom w:val="single" w:sz="8" w:color="FB0A13"/>
            </w:tcBorders>
            <w:shd w:val="clear" w:color="auto" w:fill="FB0A13"/>
          </w:tcPr>
          <w:p>
            <w:pPr>
              <w:spacing w:after="0"/>
              <w:rPr>
                <w:sz w:val="8"/>
                <w:szCs w:val="8"/>
                <w:color w:val="auto"/>
              </w:rPr>
            </w:pPr>
          </w:p>
        </w:tc>
        <w:tc>
          <w:tcPr>
            <w:tcW w:w="22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60" w:type="dxa"/>
            <w:vAlign w:val="bottom"/>
            <w:tcBorders>
              <w:bottom w:val="single" w:sz="8" w:color="FB0A13"/>
            </w:tcBorders>
          </w:tcPr>
          <w:p>
            <w:pPr>
              <w:spacing w:after="0"/>
              <w:rPr>
                <w:sz w:val="8"/>
                <w:szCs w:val="8"/>
                <w:color w:val="auto"/>
              </w:rPr>
            </w:pPr>
          </w:p>
        </w:tc>
        <w:tc>
          <w:tcPr>
            <w:tcW w:w="1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2,415</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-220</w:t>
            </w:r>
          </w:p>
        </w:tc>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60" w:type="dxa"/>
            <w:vAlign w:val="bottom"/>
            <w:shd w:val="clear" w:color="auto" w:fill="FB0A13"/>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-670</w:t>
            </w:r>
          </w:p>
        </w:tc>
        <w:tc>
          <w:tcPr>
            <w:tcW w:w="900" w:type="dxa"/>
            <w:vAlign w:val="bottom"/>
          </w:tcPr>
          <w:p>
            <w:pPr>
              <w:spacing w:after="0"/>
              <w:rPr>
                <w:sz w:val="24"/>
                <w:szCs w:val="24"/>
                <w:color w:val="auto"/>
              </w:rPr>
            </w:pPr>
          </w:p>
        </w:tc>
        <w:tc>
          <w:tcPr>
            <w:tcW w:w="860" w:type="dxa"/>
            <w:vAlign w:val="bottom"/>
            <w:shd w:val="clear" w:color="auto" w:fill="001A80"/>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5"/>
        </w:trPr>
        <w:tc>
          <w:tcPr>
            <w:tcW w:w="46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40" w:type="dxa"/>
            <w:vAlign w:val="bottom"/>
            <w:tcBorders>
              <w:bottom w:val="single" w:sz="8" w:color="595959"/>
            </w:tcBorders>
          </w:tcPr>
          <w:p>
            <w:pPr>
              <w:spacing w:after="0"/>
              <w:rPr>
                <w:sz w:val="24"/>
                <w:szCs w:val="24"/>
                <w:color w:val="auto"/>
              </w:rPr>
            </w:pPr>
          </w:p>
        </w:tc>
        <w:tc>
          <w:tcPr>
            <w:tcW w:w="2200" w:type="dxa"/>
            <w:vAlign w:val="bottom"/>
            <w:tcBorders>
              <w:bottom w:val="single" w:sz="8" w:color="595959"/>
            </w:tcBorders>
          </w:tcPr>
          <w:p>
            <w:pPr>
              <w:spacing w:after="0"/>
              <w:rPr>
                <w:sz w:val="24"/>
                <w:szCs w:val="24"/>
                <w:color w:val="auto"/>
              </w:rPr>
            </w:pPr>
          </w:p>
        </w:tc>
        <w:tc>
          <w:tcPr>
            <w:tcW w:w="22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tcPr>
          <w:p>
            <w:pPr>
              <w:spacing w:after="0"/>
              <w:rPr>
                <w:sz w:val="24"/>
                <w:szCs w:val="24"/>
                <w:color w:val="auto"/>
              </w:rPr>
            </w:pPr>
          </w:p>
        </w:tc>
        <w:tc>
          <w:tcPr>
            <w:tcW w:w="900" w:type="dxa"/>
            <w:vAlign w:val="bottom"/>
            <w:tcBorders>
              <w:bottom w:val="single" w:sz="8" w:color="595959"/>
            </w:tcBorders>
          </w:tcPr>
          <w:p>
            <w:pPr>
              <w:spacing w:after="0"/>
              <w:rPr>
                <w:sz w:val="24"/>
                <w:szCs w:val="24"/>
                <w:color w:val="auto"/>
              </w:rPr>
            </w:pPr>
          </w:p>
        </w:tc>
        <w:tc>
          <w:tcPr>
            <w:tcW w:w="860" w:type="dxa"/>
            <w:vAlign w:val="bottom"/>
            <w:tcBorders>
              <w:bottom w:val="single" w:sz="8" w:color="595959"/>
            </w:tcBorders>
            <w:shd w:val="clear" w:color="auto" w:fill="001A80"/>
          </w:tcPr>
          <w:p>
            <w:pPr>
              <w:spacing w:after="0"/>
              <w:rPr>
                <w:sz w:val="24"/>
                <w:szCs w:val="24"/>
                <w:color w:val="auto"/>
              </w:rPr>
            </w:pPr>
          </w:p>
        </w:tc>
        <w:tc>
          <w:tcPr>
            <w:tcW w:w="440" w:type="dxa"/>
            <w:vAlign w:val="bottom"/>
            <w:tcBorders>
              <w:bottom w:val="single" w:sz="8" w:color="59595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-1087120</wp:posOffset>
            </wp:positionV>
            <wp:extent cx="169100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7">
                      <a:extLst>
                        <a:ext uri="{28A0092B-C50C-407E-A947-70E740481C1C}"/>
                      </a:extLst>
                    </a:blip>
                    <a:srcRect/>
                    <a:stretch>
                      <a:fillRect/>
                    </a:stretch>
                  </pic:blipFill>
                  <pic:spPr bwMode="auto">
                    <a:xfrm>
                      <a:off x="0" y="0"/>
                      <a:ext cx="1691005" cy="55880"/>
                    </a:xfrm>
                    <a:prstGeom prst="rect">
                      <a:avLst/>
                    </a:prstGeom>
                    <a:noFill/>
                  </pic:spPr>
                </pic:pic>
              </a:graphicData>
            </a:graphic>
          </wp:anchor>
        </w:drawing>
      </w:r>
    </w:p>
    <w:p>
      <w:pPr>
        <w:spacing w:after="0" w:line="59" w:lineRule="exact"/>
        <w:rPr>
          <w:sz w:val="20"/>
          <w:szCs w:val="20"/>
          <w:color w:val="auto"/>
        </w:rPr>
      </w:pPr>
    </w:p>
    <w:p>
      <w:pPr>
        <w:ind w:left="300"/>
        <w:spacing w:after="0"/>
        <w:tabs>
          <w:tab w:leader="none" w:pos="2280" w:val="left"/>
          <w:tab w:leader="none" w:pos="3860" w:val="left"/>
          <w:tab w:leader="none" w:pos="5900" w:val="left"/>
          <w:tab w:leader="none" w:pos="7080" w:val="left"/>
          <w:tab w:leader="none" w:pos="9040" w:val="left"/>
        </w:tabs>
        <w:rPr>
          <w:sz w:val="20"/>
          <w:szCs w:val="20"/>
          <w:color w:val="auto"/>
        </w:rPr>
      </w:pPr>
      <w:r>
        <w:rPr>
          <w:rFonts w:ascii="Times New Roman" w:cs="Times New Roman" w:eastAsia="Times New Roman" w:hAnsi="Times New Roman"/>
          <w:sz w:val="20"/>
          <w:szCs w:val="20"/>
          <w:b w:val="1"/>
          <w:bCs w:val="1"/>
          <w:color w:val="auto"/>
        </w:rPr>
        <w:t>2021 Earnings</w:t>
      </w:r>
      <w:r>
        <w:rPr>
          <w:sz w:val="20"/>
          <w:szCs w:val="20"/>
          <w:color w:val="auto"/>
        </w:rPr>
        <w:tab/>
      </w:r>
      <w:r>
        <w:rPr>
          <w:rFonts w:ascii="Times New Roman" w:cs="Times New Roman" w:eastAsia="Times New Roman" w:hAnsi="Times New Roman"/>
          <w:sz w:val="20"/>
          <w:szCs w:val="20"/>
          <w:b w:val="1"/>
          <w:bCs w:val="1"/>
          <w:color w:val="auto"/>
        </w:rPr>
        <w:t>Margins</w:t>
      </w:r>
      <w:r>
        <w:rPr>
          <w:sz w:val="20"/>
          <w:szCs w:val="20"/>
          <w:color w:val="auto"/>
        </w:rPr>
        <w:tab/>
      </w:r>
      <w:r>
        <w:rPr>
          <w:rFonts w:ascii="Times New Roman" w:cs="Times New Roman" w:eastAsia="Times New Roman" w:hAnsi="Times New Roman"/>
          <w:sz w:val="20"/>
          <w:szCs w:val="20"/>
          <w:b w:val="1"/>
          <w:bCs w:val="1"/>
          <w:color w:val="auto"/>
        </w:rPr>
        <w:t>Volume/Mix</w:t>
      </w:r>
      <w:r>
        <w:rPr>
          <w:sz w:val="20"/>
          <w:szCs w:val="20"/>
          <w:color w:val="auto"/>
        </w:rPr>
        <w:tab/>
      </w:r>
      <w:r>
        <w:rPr>
          <w:rFonts w:ascii="Times New Roman" w:cs="Times New Roman" w:eastAsia="Times New Roman" w:hAnsi="Times New Roman"/>
          <w:sz w:val="20"/>
          <w:szCs w:val="20"/>
          <w:b w:val="1"/>
          <w:bCs w:val="1"/>
          <w:color w:val="auto"/>
        </w:rPr>
        <w:t>Other</w:t>
      </w:r>
      <w:r>
        <w:rPr>
          <w:sz w:val="20"/>
          <w:szCs w:val="20"/>
          <w:color w:val="auto"/>
        </w:rPr>
        <w:tab/>
      </w:r>
      <w:r>
        <w:rPr>
          <w:rFonts w:ascii="Times New Roman" w:cs="Times New Roman" w:eastAsia="Times New Roman" w:hAnsi="Times New Roman"/>
          <w:sz w:val="20"/>
          <w:szCs w:val="20"/>
          <w:b w:val="1"/>
          <w:bCs w:val="1"/>
          <w:color w:val="auto"/>
        </w:rPr>
        <w:t>Identified Items (1)</w:t>
      </w:r>
      <w:r>
        <w:rPr>
          <w:sz w:val="20"/>
          <w:szCs w:val="20"/>
          <w:color w:val="auto"/>
        </w:rPr>
        <w:tab/>
      </w:r>
      <w:r>
        <w:rPr>
          <w:rFonts w:ascii="Times New Roman" w:cs="Times New Roman" w:eastAsia="Times New Roman" w:hAnsi="Times New Roman"/>
          <w:sz w:val="19"/>
          <w:szCs w:val="19"/>
          <w:b w:val="1"/>
          <w:bCs w:val="1"/>
          <w:color w:val="auto"/>
        </w:rPr>
        <w:t>2022 Earnings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Margins – Margins decreased earnings by $220 million driven by higher feed costs and energy prices.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Volume/Mix – Higher volumes increased earnings by $20 million on robust demand.</w:t>
      </w:r>
    </w:p>
    <w:p>
      <w:pPr>
        <w:spacing w:after="0" w:line="1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Other – All other items increased earnings by $30 million primarily as a result of positive year-end inventory effects, offset by increased expenses from higher maintenance and inflation, and unfavorable foreign exchange impacts.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Identified Items </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 2021 $634 million gain resulted from the </w:t>
      </w:r>
      <w:r>
        <w:rPr>
          <w:rFonts w:ascii="Times New Roman" w:cs="Times New Roman" w:eastAsia="Times New Roman" w:hAnsi="Times New Roman"/>
          <w:sz w:val="20"/>
          <w:szCs w:val="20"/>
          <w:i w:val="1"/>
          <w:iCs w:val="1"/>
          <w:color w:val="auto"/>
        </w:rPr>
        <w:t>Santoprene</w:t>
      </w:r>
      <w:r>
        <w:rPr>
          <w:rFonts w:ascii="Times New Roman" w:cs="Times New Roman" w:eastAsia="Times New Roman" w:hAnsi="Times New Roman"/>
          <w:sz w:val="20"/>
          <w:szCs w:val="20"/>
          <w:color w:val="auto"/>
        </w:rPr>
        <w:t xml:space="preserve"> divestment; 2022 $(40) million loss from impairments.</w:t>
      </w:r>
    </w:p>
    <w:p>
      <w:pPr>
        <w:spacing w:after="0" w:line="104"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Refer to Frequently Used Terms for definition of Identified Items and earnings (loss) excluding Identified Items.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Specialty Products Operational Results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9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(thousands of metric tons)</w:t>
            </w:r>
          </w:p>
        </w:tc>
        <w:tc>
          <w:tcPr>
            <w:tcW w:w="3900" w:type="dxa"/>
            <w:vAlign w:val="bottom"/>
            <w:shd w:val="clear" w:color="auto" w:fill="4C4C4C"/>
          </w:tcPr>
          <w:p>
            <w:pPr>
              <w:jc w:val="right"/>
              <w:ind w:right="30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040" w:type="dxa"/>
            <w:vAlign w:val="bottom"/>
            <w:shd w:val="clear" w:color="auto" w:fill="4C4C4C"/>
          </w:tcPr>
          <w:p>
            <w:pPr>
              <w:jc w:val="right"/>
              <w:ind w:right="30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72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50"/>
        </w:trPr>
        <w:tc>
          <w:tcPr>
            <w:tcW w:w="4900" w:type="dxa"/>
            <w:vAlign w:val="bottom"/>
            <w:shd w:val="clear" w:color="auto" w:fill="4C4C4C"/>
          </w:tcPr>
          <w:p>
            <w:pPr>
              <w:spacing w:after="0"/>
              <w:rPr>
                <w:sz w:val="4"/>
                <w:szCs w:val="4"/>
                <w:color w:val="auto"/>
              </w:rPr>
            </w:pPr>
          </w:p>
        </w:tc>
        <w:tc>
          <w:tcPr>
            <w:tcW w:w="3900" w:type="dxa"/>
            <w:vAlign w:val="bottom"/>
            <w:shd w:val="clear" w:color="auto" w:fill="4C4C4C"/>
          </w:tcPr>
          <w:p>
            <w:pPr>
              <w:spacing w:after="0"/>
              <w:rPr>
                <w:sz w:val="4"/>
                <w:szCs w:val="4"/>
                <w:color w:val="auto"/>
              </w:rPr>
            </w:pPr>
          </w:p>
        </w:tc>
        <w:tc>
          <w:tcPr>
            <w:tcW w:w="1040" w:type="dxa"/>
            <w:vAlign w:val="bottom"/>
            <w:shd w:val="clear" w:color="auto" w:fill="4C4C4C"/>
          </w:tcPr>
          <w:p>
            <w:pPr>
              <w:spacing w:after="0"/>
              <w:rPr>
                <w:sz w:val="4"/>
                <w:szCs w:val="4"/>
                <w:color w:val="auto"/>
              </w:rPr>
            </w:pPr>
          </w:p>
        </w:tc>
        <w:tc>
          <w:tcPr>
            <w:tcW w:w="720" w:type="dxa"/>
            <w:vAlign w:val="bottom"/>
            <w:shd w:val="clear" w:color="auto" w:fill="4C4C4C"/>
          </w:tcPr>
          <w:p>
            <w:pPr>
              <w:spacing w:after="0"/>
              <w:rPr>
                <w:sz w:val="4"/>
                <w:szCs w:val="4"/>
                <w:color w:val="auto"/>
              </w:rPr>
            </w:pPr>
          </w:p>
        </w:tc>
      </w:tr>
    </w:tbl>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Specialty Products sales </w:t>
            </w:r>
            <w:r>
              <w:rPr>
                <w:rFonts w:ascii="Times New Roman" w:cs="Times New Roman" w:eastAsia="Times New Roman" w:hAnsi="Times New Roman"/>
                <w:sz w:val="10"/>
                <w:szCs w:val="10"/>
                <w:i w:val="1"/>
                <w:iCs w:val="1"/>
                <w:color w:val="4C4C4C"/>
              </w:rPr>
              <w:t>(2)</w:t>
            </w:r>
          </w:p>
        </w:tc>
        <w:tc>
          <w:tcPr>
            <w:tcW w:w="980" w:type="dxa"/>
            <w:vAlign w:val="bottom"/>
            <w:shd w:val="clear" w:color="auto" w:fill="F0F0F0"/>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1,962</w:t>
            </w:r>
          </w:p>
        </w:tc>
        <w:tc>
          <w:tcPr>
            <w:tcW w:w="12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2,049</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5,635</w:t>
            </w:r>
          </w:p>
        </w:tc>
        <w:tc>
          <w:tcPr>
            <w:tcW w:w="12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5,762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5,723</w:t>
            </w: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Worldwide</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7,597</w:t>
            </w:r>
          </w:p>
        </w:tc>
        <w:tc>
          <w:tcPr>
            <w:tcW w:w="1260" w:type="dxa"/>
            <w:vAlign w:val="bottom"/>
            <w:tcBorders>
              <w:top w:val="single" w:sz="8" w:color="4C4C4C"/>
              <w:bottom w:val="single" w:sz="8" w:color="4C4C4C"/>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7,810</w:t>
            </w:r>
          </w:p>
        </w:tc>
        <w:tc>
          <w:tcPr>
            <w:tcW w:w="82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7,666</w:t>
            </w:r>
          </w:p>
        </w:tc>
      </w:tr>
    </w:tbl>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vertAlign w:val="superscript"/>
        </w:rPr>
        <w:t>(2)</w:t>
      </w:r>
      <w:r>
        <w:rPr>
          <w:rFonts w:ascii="Times New Roman" w:cs="Times New Roman" w:eastAsia="Times New Roman" w:hAnsi="Times New Roman"/>
          <w:sz w:val="16"/>
          <w:szCs w:val="16"/>
          <w:i w:val="1"/>
          <w:iCs w:val="1"/>
          <w:color w:val="auto"/>
        </w:rPr>
        <w:t xml:space="preserve"> Data reported net of purchases/sales contracts with the same counterparty.</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600"/>
          </w:cols>
          <w:pgMar w:left="640" w:top="491" w:right="640" w:bottom="0" w:gutter="0" w:footer="0" w:header="0"/>
          <w:type w:val="continuous"/>
        </w:sectPr>
      </w:pPr>
    </w:p>
    <w:bookmarkStart w:id="72" w:name="page73"/>
    <w:bookmarkEnd w:id="72"/>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720840" cy="3175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8">
                      <a:extLst>
                        <a:ext uri="{28A0092B-C50C-407E-A947-70E740481C1C}"/>
                      </a:extLst>
                    </a:blip>
                    <a:srcRect/>
                    <a:stretch>
                      <a:fillRect/>
                    </a:stretch>
                  </pic:blipFill>
                  <pic:spPr bwMode="auto">
                    <a:xfrm>
                      <a:off x="0" y="0"/>
                      <a:ext cx="6720840" cy="317500"/>
                    </a:xfrm>
                    <a:prstGeom prst="rect">
                      <a:avLst/>
                    </a:prstGeom>
                    <a:noFill/>
                  </pic:spPr>
                </pic:pic>
              </a:graphicData>
            </a:graphic>
          </wp:anchor>
        </w:drawing>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FFFFFF"/>
        </w:rPr>
        <w:t>Corporate and Financing</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Corporate and Financing is comprised of corporate activities that support ExxonMobil's operating segments and Low Carbon Solutions business. Corporate activities include general administrative support functions, financing, and insurance activities. Low Carbon Solutions activities will be included in Corporate and Financing until the business is established with a material level of assets and customer contracts.</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November 2, 2023, the Corporation acquired Denbury, a developer of carbon capture, utilization and storage solutions and enhanced oil recovery producing assets. This acquisition expands the Corporation’s Low Carbon Solutions capabilities. See Note 21 of the Condensed Consolidated Financial Statements for additional information.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Corporate and Financing Financial Results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99"/>
        </w:trPr>
        <w:tc>
          <w:tcPr>
            <w:tcW w:w="7480" w:type="dxa"/>
            <w:vAlign w:val="bottom"/>
            <w:tcBorders>
              <w:bottom w:val="single" w:sz="8" w:color="4C4C4C"/>
            </w:tcBorders>
            <w:shd w:val="clear" w:color="auto" w:fill="4C4C4C"/>
          </w:tcPr>
          <w:p>
            <w:pPr>
              <w:ind w:left="10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80" w:type="dxa"/>
            <w:vAlign w:val="bottom"/>
            <w:tcBorders>
              <w:bottom w:val="single" w:sz="8" w:color="4C4C4C"/>
            </w:tcBorders>
            <w:shd w:val="clear" w:color="auto" w:fill="4C4C4C"/>
          </w:tcPr>
          <w:p>
            <w:pPr>
              <w:jc w:val="right"/>
              <w:ind w:right="187"/>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2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54"/>
        </w:trPr>
        <w:tc>
          <w:tcPr>
            <w:tcW w:w="7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Earnings (loss) (U.S. GAAP)</w:t>
            </w:r>
          </w:p>
        </w:tc>
        <w:tc>
          <w:tcPr>
            <w:tcW w:w="980" w:type="dxa"/>
            <w:vAlign w:val="bottom"/>
            <w:tcBorders>
              <w:top w:val="single" w:sz="8" w:color="auto"/>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(1,791)</w:t>
            </w:r>
          </w:p>
        </w:tc>
        <w:tc>
          <w:tcPr>
            <w:tcW w:w="1280" w:type="dxa"/>
            <w:vAlign w:val="bottom"/>
            <w:tcBorders>
              <w:top w:val="single" w:sz="8" w:color="auto"/>
            </w:tcBorders>
          </w:tcPr>
          <w:p>
            <w:pPr>
              <w:jc w:val="right"/>
              <w:ind w:right="147"/>
              <w:spacing w:after="0"/>
              <w:rPr>
                <w:sz w:val="20"/>
                <w:szCs w:val="20"/>
                <w:color w:val="auto"/>
              </w:rPr>
            </w:pPr>
            <w:r>
              <w:rPr>
                <w:rFonts w:ascii="Times New Roman" w:cs="Times New Roman" w:eastAsia="Times New Roman" w:hAnsi="Times New Roman"/>
                <w:sz w:val="20"/>
                <w:szCs w:val="20"/>
                <w:color w:val="auto"/>
              </w:rPr>
              <w:t>(1,663)</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(2,636)</w:t>
            </w:r>
          </w:p>
        </w:tc>
      </w:tr>
      <w:tr>
        <w:trPr>
          <w:trHeight w:val="265"/>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Identified Items </w:t>
            </w:r>
            <w:r>
              <w:rPr>
                <w:rFonts w:ascii="Times New Roman" w:cs="Times New Roman" w:eastAsia="Times New Roman" w:hAnsi="Times New Roman"/>
                <w:sz w:val="10"/>
                <w:szCs w:val="10"/>
                <w:i w:val="1"/>
                <w:iCs w:val="1"/>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28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302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4"/>
        </w:trPr>
        <w:tc>
          <w:tcPr>
            <w:tcW w:w="7480" w:type="dxa"/>
            <w:vAlign w:val="bottom"/>
            <w:tcBorders>
              <w:bottom w:val="single" w:sz="8" w:color="4C4C4C"/>
            </w:tcBorders>
          </w:tcPr>
          <w:p>
            <w:pPr>
              <w:spacing w:after="0"/>
              <w:rPr>
                <w:sz w:val="2"/>
                <w:szCs w:val="2"/>
                <w:color w:val="auto"/>
              </w:rPr>
            </w:pPr>
          </w:p>
        </w:tc>
        <w:tc>
          <w:tcPr>
            <w:tcW w:w="980" w:type="dxa"/>
            <w:vAlign w:val="bottom"/>
            <w:tcBorders>
              <w:bottom w:val="single" w:sz="8" w:color="4C4C4C"/>
            </w:tcBorders>
          </w:tcPr>
          <w:p>
            <w:pPr>
              <w:spacing w:after="0"/>
              <w:rPr>
                <w:sz w:val="2"/>
                <w:szCs w:val="2"/>
                <w:color w:val="auto"/>
              </w:rPr>
            </w:pPr>
          </w:p>
        </w:tc>
        <w:tc>
          <w:tcPr>
            <w:tcW w:w="1280" w:type="dxa"/>
            <w:vAlign w:val="bottom"/>
            <w:tcBorders>
              <w:bottom w:val="single" w:sz="8" w:color="4C4C4C"/>
            </w:tcBorders>
          </w:tcPr>
          <w:p>
            <w:pPr>
              <w:spacing w:after="0"/>
              <w:rPr>
                <w:sz w:val="2"/>
                <w:szCs w:val="2"/>
                <w:color w:val="auto"/>
              </w:rPr>
            </w:pPr>
          </w:p>
        </w:tc>
        <w:tc>
          <w:tcPr>
            <w:tcW w:w="820" w:type="dxa"/>
            <w:vAlign w:val="bottom"/>
            <w:tcBorders>
              <w:bottom w:val="single" w:sz="8" w:color="4C4C4C"/>
            </w:tcBorders>
          </w:tcPr>
          <w:p>
            <w:pPr>
              <w:spacing w:after="0"/>
              <w:rPr>
                <w:sz w:val="2"/>
                <w:szCs w:val="2"/>
                <w:color w:val="auto"/>
              </w:rPr>
            </w:pPr>
          </w:p>
        </w:tc>
      </w:tr>
      <w:tr>
        <w:trPr>
          <w:trHeight w:val="274"/>
        </w:trPr>
        <w:tc>
          <w:tcPr>
            <w:tcW w:w="74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 xml:space="preserve">Earnings (loss) excluding Identified Items </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color w:val="auto"/>
              </w:rPr>
              <w:t xml:space="preserve"> (Non-GAAP)</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(1,867)</w:t>
            </w:r>
          </w:p>
        </w:tc>
        <w:tc>
          <w:tcPr>
            <w:tcW w:w="128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color w:val="auto"/>
              </w:rPr>
              <w:t>(1,965)</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-394970</wp:posOffset>
            </wp:positionV>
            <wp:extent cx="6702425" cy="389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9">
                      <a:extLst>
                        <a:ext uri="{28A0092B-C50C-407E-A947-70E740481C1C}"/>
                      </a:extLst>
                    </a:blip>
                    <a:srcRect/>
                    <a:stretch>
                      <a:fillRect/>
                    </a:stretch>
                  </pic:blipFill>
                  <pic:spPr bwMode="auto">
                    <a:xfrm>
                      <a:off x="0" y="0"/>
                      <a:ext cx="6702425" cy="389255"/>
                    </a:xfrm>
                    <a:prstGeom prst="rect">
                      <a:avLst/>
                    </a:prstGeom>
                    <a:noFill/>
                  </pic:spPr>
                </pic:pic>
              </a:graphicData>
            </a:graphic>
          </wp:anchor>
        </w:drawing>
      </w:r>
    </w:p>
    <w:p>
      <w:pPr>
        <w:spacing w:after="0" w:line="75" w:lineRule="exact"/>
        <w:rPr>
          <w:sz w:val="20"/>
          <w:szCs w:val="20"/>
          <w:color w:val="auto"/>
        </w:rPr>
      </w:pPr>
    </w:p>
    <w:p>
      <w:pPr>
        <w:ind w:left="220" w:hanging="146"/>
        <w:spacing w:after="0"/>
        <w:tabs>
          <w:tab w:leader="none" w:pos="220" w:val="left"/>
        </w:tabs>
        <w:numPr>
          <w:ilvl w:val="0"/>
          <w:numId w:val="35"/>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Refer to Frequently Used Terms for definition of Identified Items and earnings (loss) excluding Identified Items.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349250</wp:posOffset>
                </wp:positionV>
                <wp:extent cx="672084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7.5pt" to="529.6pt,27.5pt" o:allowincell="f" strokecolor="#4C4C4C" strokeweight="0.49pt"/>
            </w:pict>
          </mc:Fallback>
        </mc:AlternateContent>
      </w:r>
    </w:p>
    <w:p>
      <w:pPr>
        <w:spacing w:after="0" w:line="200" w:lineRule="exact"/>
        <w:rPr>
          <w:sz w:val="20"/>
          <w:szCs w:val="20"/>
          <w:color w:val="auto"/>
        </w:rPr>
      </w:pPr>
    </w:p>
    <w:p>
      <w:pPr>
        <w:spacing w:after="0" w:line="33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Corporate and Financing expenses were $1,791 million in 2023 compared to $1,663 million in 2022, with the</w:t>
      </w:r>
    </w:p>
    <w:p>
      <w:pPr>
        <w:spacing w:after="0" w:line="26" w:lineRule="exact"/>
        <w:rPr>
          <w:sz w:val="20"/>
          <w:szCs w:val="20"/>
          <w:color w:val="auto"/>
        </w:rPr>
      </w:pPr>
    </w:p>
    <w:p>
      <w:pPr>
        <w:ind w:left="1660" w:right="60" w:hanging="1039"/>
        <w:spacing w:after="0" w:line="251" w:lineRule="auto"/>
        <w:tabs>
          <w:tab w:leader="none" w:pos="1640" w:val="left"/>
        </w:tabs>
        <w:rPr>
          <w:sz w:val="20"/>
          <w:szCs w:val="20"/>
          <w:color w:val="auto"/>
        </w:rPr>
      </w:pPr>
      <w:r>
        <w:rPr>
          <w:rFonts w:ascii="Times New Roman" w:cs="Times New Roman" w:eastAsia="Times New Roman" w:hAnsi="Times New Roman"/>
          <w:sz w:val="20"/>
          <w:szCs w:val="20"/>
          <w:b w:val="1"/>
          <w:bCs w:val="1"/>
          <w:color w:val="auto"/>
        </w:rPr>
        <w:t>2023</w:t>
      </w:r>
      <w:r>
        <w:rPr>
          <w:sz w:val="20"/>
          <w:szCs w:val="20"/>
          <w:color w:val="auto"/>
        </w:rPr>
        <w:tab/>
      </w:r>
      <w:r>
        <w:rPr>
          <w:rFonts w:ascii="Times New Roman" w:cs="Times New Roman" w:eastAsia="Times New Roman" w:hAnsi="Times New Roman"/>
          <w:sz w:val="20"/>
          <w:szCs w:val="20"/>
          <w:color w:val="auto"/>
        </w:rPr>
        <w:t>increase mainly due to the absence of prior year favorable tax-related items, partly offset by lower financing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7620</wp:posOffset>
                </wp:positionV>
                <wp:extent cx="672084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6pt" to="529.6pt,0.6pt" o:allowincell="f" strokecolor="#4C4C4C" strokeweight="0.49pt"/>
            </w:pict>
          </mc:Fallback>
        </mc:AlternateContent>
      </w:r>
    </w:p>
    <w:p>
      <w:pPr>
        <w:ind w:left="1660"/>
        <w:spacing w:after="0"/>
        <w:rPr>
          <w:sz w:val="20"/>
          <w:szCs w:val="20"/>
          <w:color w:val="auto"/>
        </w:rPr>
      </w:pPr>
      <w:r>
        <w:rPr>
          <w:rFonts w:ascii="Times New Roman" w:cs="Times New Roman" w:eastAsia="Times New Roman" w:hAnsi="Times New Roman"/>
          <w:sz w:val="20"/>
          <w:szCs w:val="20"/>
          <w:color w:val="auto"/>
        </w:rPr>
        <w:t>Corporate and Financing expenses were $1,663 million in 2022 compared to $2,636 million in 2021, with the</w:t>
      </w:r>
    </w:p>
    <w:p>
      <w:pPr>
        <w:spacing w:after="0" w:line="26" w:lineRule="exact"/>
        <w:rPr>
          <w:sz w:val="20"/>
          <w:szCs w:val="20"/>
          <w:color w:val="auto"/>
        </w:rPr>
      </w:pPr>
    </w:p>
    <w:p>
      <w:pPr>
        <w:ind w:left="1660" w:right="60" w:hanging="1039"/>
        <w:spacing w:after="0" w:line="251" w:lineRule="auto"/>
        <w:tabs>
          <w:tab w:leader="none" w:pos="1640" w:val="left"/>
        </w:tabs>
        <w:rPr>
          <w:sz w:val="20"/>
          <w:szCs w:val="20"/>
          <w:color w:val="auto"/>
        </w:rPr>
      </w:pPr>
      <w:r>
        <w:rPr>
          <w:rFonts w:ascii="Times New Roman" w:cs="Times New Roman" w:eastAsia="Times New Roman" w:hAnsi="Times New Roman"/>
          <w:sz w:val="20"/>
          <w:szCs w:val="20"/>
          <w:b w:val="1"/>
          <w:bCs w:val="1"/>
          <w:color w:val="auto"/>
        </w:rPr>
        <w:t>2022</w:t>
      </w:r>
      <w:r>
        <w:rPr>
          <w:sz w:val="20"/>
          <w:szCs w:val="20"/>
          <w:color w:val="auto"/>
        </w:rPr>
        <w:tab/>
      </w:r>
      <w:r>
        <w:rPr>
          <w:rFonts w:ascii="Times New Roman" w:cs="Times New Roman" w:eastAsia="Times New Roman" w:hAnsi="Times New Roman"/>
          <w:sz w:val="20"/>
          <w:szCs w:val="20"/>
          <w:color w:val="auto"/>
        </w:rPr>
        <w:t>decrease mainly due to lower pension-related expenses, favorable one-time tax impacts, and lower financing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7620</wp:posOffset>
                </wp:positionV>
                <wp:extent cx="672084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4763"/>
                        </a:xfrm>
                        <a:prstGeom prst="line">
                          <a:avLst/>
                        </a:prstGeom>
                        <a:solidFill>
                          <a:srgbClr val="FFFFFF"/>
                        </a:solidFill>
                        <a:ln w="18669">
                          <a:solidFill>
                            <a:srgbClr val="4C4C4C"/>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6pt" to="529.6pt,0.6pt" o:allowincell="f" strokecolor="#4C4C4C" strokeweight="1.47pt"/>
            </w:pict>
          </mc:Fallback>
        </mc:AlternateConten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600"/>
          </w:cols>
          <w:pgMar w:left="640" w:top="491" w:right="640" w:bottom="0" w:gutter="0" w:footer="0" w:header="0"/>
          <w:type w:val="continuous"/>
        </w:sectPr>
      </w:pPr>
    </w:p>
    <w:bookmarkStart w:id="73" w:name="page74"/>
    <w:bookmarkEnd w:id="73"/>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LIQUIDITY AND CAPITAL RESOURCES</w:t>
      </w: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4C4C4C"/>
        </w:rPr>
        <w:t>Sources and Uses of Cash</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440" w:type="dxa"/>
            <w:vAlign w:val="bottom"/>
            <w:shd w:val="clear" w:color="auto" w:fill="4C4C4C"/>
          </w:tcPr>
          <w:p>
            <w:pPr>
              <w:ind w:left="10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20" w:type="dxa"/>
            <w:vAlign w:val="bottom"/>
            <w:shd w:val="clear" w:color="auto" w:fill="4C4C4C"/>
          </w:tcPr>
          <w:p>
            <w:pPr>
              <w:jc w:val="right"/>
              <w:ind w:right="12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82"/>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Net cash provided by/(used in)</w:t>
            </w:r>
          </w:p>
        </w:tc>
        <w:tc>
          <w:tcPr>
            <w:tcW w:w="980" w:type="dxa"/>
            <w:vAlign w:val="bottom"/>
            <w:shd w:val="clear" w:color="auto" w:fill="F0F0F0"/>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4"/>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activities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55,369</w:t>
            </w:r>
          </w:p>
        </w:tc>
        <w:tc>
          <w:tcPr>
            <w:tcW w:w="122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76,797</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48,129</w:t>
            </w:r>
          </w:p>
        </w:tc>
      </w:tr>
      <w:tr>
        <w:trPr>
          <w:trHeight w:val="294"/>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Investing activities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(19,274)</w:t>
            </w:r>
          </w:p>
        </w:tc>
        <w:tc>
          <w:tcPr>
            <w:tcW w:w="122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(14,742)</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(10,235)</w:t>
            </w:r>
          </w:p>
        </w:tc>
      </w:tr>
      <w:tr>
        <w:trPr>
          <w:trHeight w:val="294"/>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Financing activities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(34,297)</w:t>
            </w:r>
          </w:p>
        </w:tc>
        <w:tc>
          <w:tcPr>
            <w:tcW w:w="122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(39,114)</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(35,423)</w:t>
            </w:r>
          </w:p>
        </w:tc>
      </w:tr>
      <w:tr>
        <w:trPr>
          <w:trHeight w:val="297"/>
        </w:trPr>
        <w:tc>
          <w:tcPr>
            <w:tcW w:w="7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Effect of exchange rate changes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220" w:type="dxa"/>
            <w:vAlign w:val="bottom"/>
            <w:tcBorders>
              <w:bottom w:val="single" w:sz="8" w:color="4C4C4C"/>
            </w:tcBorders>
          </w:tcPr>
          <w:p>
            <w:pPr>
              <w:jc w:val="right"/>
              <w:ind w:right="85"/>
              <w:spacing w:after="0"/>
              <w:rPr>
                <w:sz w:val="20"/>
                <w:szCs w:val="20"/>
                <w:color w:val="auto"/>
              </w:rPr>
            </w:pPr>
            <w:r>
              <w:rPr>
                <w:rFonts w:ascii="Times New Roman" w:cs="Times New Roman" w:eastAsia="Times New Roman" w:hAnsi="Times New Roman"/>
                <w:sz w:val="20"/>
                <w:szCs w:val="20"/>
                <w:color w:val="auto"/>
              </w:rPr>
              <w:t>(78)</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77"/>
        </w:trPr>
        <w:tc>
          <w:tcPr>
            <w:tcW w:w="7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Increase/(decrease) in cash and cash equivalents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1,903</w:t>
            </w:r>
          </w:p>
        </w:tc>
        <w:tc>
          <w:tcPr>
            <w:tcW w:w="1220" w:type="dxa"/>
            <w:vAlign w:val="bottom"/>
            <w:tcBorders>
              <w:bottom w:val="single" w:sz="8" w:color="4C4C4C"/>
            </w:tcBorders>
          </w:tcPr>
          <w:p>
            <w:pPr>
              <w:jc w:val="right"/>
              <w:ind w:right="145"/>
              <w:spacing w:after="0"/>
              <w:rPr>
                <w:sz w:val="20"/>
                <w:szCs w:val="20"/>
                <w:color w:val="auto"/>
              </w:rPr>
            </w:pPr>
            <w:r>
              <w:rPr>
                <w:rFonts w:ascii="Times New Roman" w:cs="Times New Roman" w:eastAsia="Times New Roman" w:hAnsi="Times New Roman"/>
                <w:sz w:val="20"/>
                <w:szCs w:val="20"/>
                <w:b w:val="1"/>
                <w:bCs w:val="1"/>
                <w:color w:val="auto"/>
              </w:rPr>
              <w:t>22,863</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2,438</w:t>
            </w:r>
          </w:p>
        </w:tc>
      </w:tr>
      <w:tr>
        <w:trPr>
          <w:trHeight w:val="274"/>
        </w:trPr>
        <w:tc>
          <w:tcPr>
            <w:tcW w:w="744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spacing w:after="0"/>
              <w:rPr>
                <w:sz w:val="23"/>
                <w:szCs w:val="23"/>
                <w:color w:val="auto"/>
              </w:rPr>
            </w:pPr>
          </w:p>
        </w:tc>
        <w:tc>
          <w:tcPr>
            <w:tcW w:w="1220" w:type="dxa"/>
            <w:vAlign w:val="bottom"/>
            <w:tcBorders>
              <w:bottom w:val="single" w:sz="8" w:color="4C4C4C"/>
            </w:tcBorders>
          </w:tcPr>
          <w:p>
            <w:pPr>
              <w:spacing w:after="0"/>
              <w:rPr>
                <w:sz w:val="23"/>
                <w:szCs w:val="23"/>
                <w:color w:val="auto"/>
              </w:rPr>
            </w:pPr>
          </w:p>
        </w:tc>
        <w:tc>
          <w:tcPr>
            <w:tcW w:w="880" w:type="dxa"/>
            <w:vAlign w:val="bottom"/>
            <w:tcBorders>
              <w:bottom w:val="single" w:sz="8" w:color="4C4C4C"/>
            </w:tcBorders>
          </w:tcPr>
          <w:p>
            <w:pPr>
              <w:spacing w:after="0"/>
              <w:rPr>
                <w:sz w:val="23"/>
                <w:szCs w:val="23"/>
                <w:color w:val="auto"/>
              </w:rPr>
            </w:pPr>
          </w:p>
        </w:tc>
      </w:tr>
      <w:tr>
        <w:trPr>
          <w:trHeight w:val="271"/>
        </w:trPr>
        <w:tc>
          <w:tcPr>
            <w:tcW w:w="7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4C4C4C"/>
              </w:rPr>
              <w:t>Total cash and cash equivalents (December 31)</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31,568</w:t>
            </w:r>
          </w:p>
        </w:tc>
        <w:tc>
          <w:tcPr>
            <w:tcW w:w="1220" w:type="dxa"/>
            <w:vAlign w:val="bottom"/>
            <w:tcBorders>
              <w:bottom w:val="single" w:sz="8" w:color="4C4C4C"/>
            </w:tcBorders>
          </w:tcPr>
          <w:p>
            <w:pPr>
              <w:jc w:val="right"/>
              <w:ind w:right="145"/>
              <w:spacing w:after="0"/>
              <w:rPr>
                <w:sz w:val="20"/>
                <w:szCs w:val="20"/>
                <w:color w:val="auto"/>
              </w:rPr>
            </w:pPr>
            <w:r>
              <w:rPr>
                <w:rFonts w:ascii="Times New Roman" w:cs="Times New Roman" w:eastAsia="Times New Roman" w:hAnsi="Times New Roman"/>
                <w:sz w:val="20"/>
                <w:szCs w:val="20"/>
                <w:b w:val="1"/>
                <w:bCs w:val="1"/>
                <w:color w:val="auto"/>
              </w:rPr>
              <w:t>29,665</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6,802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-375920</wp:posOffset>
                </wp:positionV>
                <wp:extent cx="667448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4485" cy="4763"/>
                        </a:xfrm>
                        <a:prstGeom prst="line">
                          <a:avLst/>
                        </a:prstGeom>
                        <a:solidFill>
                          <a:srgbClr val="FFFFFF"/>
                        </a:solidFill>
                        <a:ln w="126">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29.5999pt" to="527.75pt,-29.5999pt" o:allowincell="f" strokecolor="#FFFFFF" strokeweight="0.0099pt"/>
            </w:pict>
          </mc:Fallback>
        </mc:AlternateConten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Total cash and cash equivalents were $31.6 billion at the end of 2023, up $1.9 billion from the prior year. The major sources of funds in 2023 were net income including noncontrolling interests of $37.4 billion, the adjustment for the noncash provision of $20.6 billion for depreciation and depletion, proceeds from asset sales of $4.1 billion, and other investing activities of $1.6 billion. The major uses of funds included spending for additions to property, plant and equipment of $21.9 billion; dividends to shareholders of $14.9 billion; the purchase of ExxonMobil stock of $17.7 billion; additional investments and advances of $3.0 billion; and a change in working capital of $4.3 billion.</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Total cash and cash equivalents were $29.7 billion at the end of 2022, up $22.9 billion from the prior year. The major sources of funds in 2022 were net income including noncontrolling interests of $57.6 billion, the adjustment for the noncash provision of $24.0 billion for depreciation and depletion, proceeds from asset sales of $5.2 billion, and other investing activities of $1.5 billion. The major uses of funds included spending for additions to property, plant and equipment of $18.4 billion; dividends to shareholders of $14.9 billion; the purchase of ExxonMobil stock of $15.2 billion; a debt reduction of $7.2 billion; and additional investments and advances of $3.1 billion.</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Corporation has access to significant capacity of long-term and short-term liquidity. Internally generated funds are expected to cover the majority of financial requirements, supplemented by long-term and short-term debt. On December 31, 2023, the Corporation had undrawn short-term committed lines of credit of $0.3 billion and undrawn long-term lines of credit of $1.3 billion.</w:t>
      </w:r>
    </w:p>
    <w:p>
      <w:pPr>
        <w:spacing w:after="0" w:line="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To support cash flows in future periods, the Corporation will need to continually find or acquire and develop new fields, and continue to develop and apply new technologies and recovery processes to existing fields, in order to maintain or increase production. After a period of production at plateau rates, it is the nature of oil and gas fields to eventually produce at declining rates for the remainder of their economic life. Decline rates can vary widely by individual field due to a number of factors, including, but not limited to, the type of reservoir, fluid properties, recovery mechanisms, work activity, and age of the field. In particular, the Corporation’s key tight-oil plays have higher initial decline rates which tend to moderate over time. Furthermore, the Corporation’s net interest in production for individual fields can vary with price and the impact of fiscal and commercial terms.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Corporation has long been successful at mitigating the effects of natural field decline through disciplined investments in quality opportunities and project execution. The Corporation anticipates several projects will come online over the next few years providing additional production capacity. However, actual volumes will vary from year to year due to the timing of individual project start-ups; operational outages; reservoir performance; regulatory changes; the impact of fiscal and commercial terms; asset sales; weather events; price effects on production sharing contracts; changes in the amount and timing of investments that may vary depending on the oil and gas price environment; and international trade patterns and relations. The Corporation’s cash flows are also highly dependent on crude oil and natural gas prices. Please refer to "Item 1A. Risk Factors" for a more complete discussion of risks.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Corporation’s financial strength enables it to make large, long-term capital expenditures. Capital and exploration expenditures in 2023 were $26.3 billion, reflecting the Corporation’s continued active investment program. The Corporation plans to invest in the range of $23 billion to $25 billion in 2024.</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Actual spending could vary depending on the progress of individual projects and property acquisitions. The Corporation has a large and diverse portfolio of development projects and exploration opportunities, which helps mitigate the overall political and technical risks of the Corporation’s Upstream segment and associated cash flow. Further, due to its financial strength and diverse portfolio of opportunities, the risk associated with failure or delay of any single project would not have a significant impact on the Corporation’s liquidity or ability to generate sufficient cash flows for operations and its fixed commitments.</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600"/>
          </w:cols>
          <w:pgMar w:left="640" w:top="491" w:right="640" w:bottom="0" w:gutter="0" w:footer="0" w:header="0"/>
          <w:type w:val="continuous"/>
        </w:sectPr>
      </w:pPr>
    </w:p>
    <w:bookmarkStart w:id="74" w:name="page75"/>
    <w:bookmarkEnd w:id="74"/>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Corporation, as part of its ongoing asset management program, continues to evaluate its mix of assets for potential upgrade. Because of the ongoing nature of this program, dispositions will continue to be made from time to time which will result in either gains or losses. Additionally, the Corporation continues to evaluate opportunities to enhance its business portfolio through acquisitions of assets or companies, and enters into such transactions from time to time. Key criteria for evaluating acquisitions include strategic fit, cost synergies, potential for future growth, low cost of supply, and attractive valuations. Acquisitions may be made with cash, shares of the Corporation’s common stock, or both.</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Cash Flow from Operating Activities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Cash provided by operating activities totaled $55.4 billion in 2023, $21.4 billion lower than 2022. The major source of funds was net income including noncontrolling interests of $37.4 billion, a decrease of $20.2 billion. The noncash provision for depreciation and depletion was $20.6 billion, down $3.4 billion from the prior year. The adjustment for the net gain on asset sales was $0.5 billion, a decrease of $0.5 billion. The adjustment for dividends received less than equity in current earnings of equity companies was an increase of $0.5 billion, compared to a reduction of $2.4 billion in 2022. Changes in operational working capital, excluding cash and debt, decreased cash in 2023 by $4.3 billion.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Cash provided by operating activities totaled $76.8 billion in 2022, $28.7 billion higher than 2021. The major source of funds was net income including noncontrolling interests of $57.6 billion, an increase of $34.0 billion. The noncash provision for depreciation and depletion was $24.0 billion, up $3.4 billion from the prior year. The adjustment for the net gain on asset sales was $1.0 billion, a decrease of $0.2 billion. The adjustment for dividends received less than equity in current earnings of equity companies was a reduction of $2.4 billion, compared to a reduction of $0.7 billion in 2021. Changes in operational working capital, excluding cash and debt, decreased cash in 2022 by $0.2 billion.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Cash Flow from Investing Activities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used in investing activities netted to $19.3 billion in 2023, $4.5 billion higher than 2022. Spending for property, plant and equipment of $21.9 billion increased $3.5 billion from 2022. Proceeds from asset sales and returns of investments of $4.1 billion compared to $5.2 billion in 2022. Additional investments and advances were $0.1 billion lower in 2023, while proceeds from other investing activities including collection of advances increased by $0.1 billion.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used in investing activities netted to $14.7 billion in 2022, $4.5 billion higher than 2021. Spending for property, plant and equipment of $18.4 billion increased $6.3 billion from 2021. Proceeds from asset sales and returns of investments of $5.2 billion compared to $3.2 billion in 2021. Additional investments and advances were $0.3 billion higher in 2022, while proceeds from other investing activities including collection of advances were $1.5 billion during the year.</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600"/>
          </w:cols>
          <w:pgMar w:left="640" w:top="491" w:right="640" w:bottom="0" w:gutter="0" w:footer="0" w:header="0"/>
          <w:type w:val="continuous"/>
        </w:sectPr>
      </w:pPr>
    </w:p>
    <w:bookmarkStart w:id="75" w:name="page76"/>
    <w:bookmarkEnd w:id="75"/>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Cash Flow from Financing Activities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1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Cash used in financing activities was $34.3 billion in 2023, $4.8 billion lower than 2022. Dividend payments on common shares increased to $3.68 per share from $3.55 per share and totaled $14.9 billion.</w:t>
      </w:r>
    </w:p>
    <w:p>
      <w:pPr>
        <w:spacing w:after="0" w:line="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Exxon Mobil Corporation continued its share repurchase program for up to $50 billion in shares through 2024, including the purchase of 162 million shares at a book value of $17.5 billion in 2023. In its 2023 Corporate Plan Update released December 6, 2023, the Corporation stated that after the Pioneer transaction closes, the go-forward share repurchase program pace is expected to increase to $20 billion annually through 2025, assuming reasonable market conditions. The stock repurchase program does not obligate the company to acquire any particular amount of common stock, and it may be discontinued or resumed at any time. The timing and amount of shares actually repurchased in the future will depend on market, business, and other factors.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Cash used in financing activities was $39.1 billion in 2022, $3.7 billion higher than 2021. Dividend payments on common shares increased to $3.55 per share from $3.49 per share and totaled $14.9 billion. During 2022, the Corporation utilized cash to reduce debt by $7.2 billion.</w:t>
      </w:r>
    </w:p>
    <w:p>
      <w:pPr>
        <w:spacing w:after="0" w:line="5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During 2022, Exxon Mobil Corporation restarted its share repurchase program for up to $50 billion in shares through 2024, including the purchase of 162 million shares at a cost of $15 billion in 2022.</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Contractual Obligations</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has contractual obligations involving commitments to third parties that impact its liquidity and capital resource needs. These contractual obligations are primarily for leases, debt, asset retirement obligations, pension and other postretirement benefits, take-or-pay and unconditional purchase obligations, and firm capital commitments. See Notes 9, 11, 14 and 17 for information related to asset retirement obligations, leases, long-term debt and pensions, respectively.</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the Corporation also enters into commodity purchase obligations (volumetric commitments but no fixed or minimum price) which are resold shortly after purchase, either in an active, highly liquid market or under long-term, unconditional sales contracts with similar pricing terms. Examples include long-term, noncancelable LNG and natural gas purchase commitments and commitments to purchase refinery products at market prices. These commitments are not meaningful in assessing liquidity and cash flow, because the purchases will be offset in the same periods by cash received from the related sales transactions.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Take-or-pay obligations are noncancelable, long-term commitments for goods and services. Unconditional purchase obligations are those long-term commitments that are noncancelable or cancelable only under certain conditions, and that third parties have used to secure financing for the facilities that will provide the contracted goods or services. These obligations mainly pertain to pipeline, manufacturing supply and terminal agreements. The total obligation at year-end 2023 for take-or-pay and unconditional purchase obligations was $44.3 billion. Cash payments expected in 2024 and 2025 are $4.1 billion and $4.3 billion, respectively.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Guarantees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Corporation and certain of its consolidated subsidiaries were contingently liable at December 31, 2023 for guarantees relating to notes, loans and performance under contracts (Note 16). Where guarantees for environmental remediation and other similar matters do not include a stated cap, the amounts reflect management’s estimate of the maximum potential exposure. Where it is not possible to make a reasonable estimation of the maximum potential amount of future payments, future performance is expected to be either immaterial or have only a remote chance of occurrence. Guarantees are not reasonably likely to have a material effect on the Corporation’s financial condition, changes in financial condition, revenues or expenses, results of operations, liquidity, capital expenditures or capital resources.</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600"/>
          </w:cols>
          <w:pgMar w:left="640" w:top="491" w:right="640" w:bottom="0" w:gutter="0" w:footer="0" w:header="0"/>
          <w:type w:val="continuous"/>
        </w:sectPr>
      </w:pPr>
    </w:p>
    <w:bookmarkStart w:id="76" w:name="page77"/>
    <w:bookmarkEnd w:id="76"/>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Financial Strength</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December 31, 2023, the Corporation had total unused short-term committed lines of credit of $0.3 billion (Note 6) and total unused long-term committed lines of credit of $1.3 billion (Note 14). The table below shows the Corporation’s consolidated debt to capital ratios.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500" w:type="dxa"/>
            <w:vAlign w:val="bottom"/>
            <w:tcBorders>
              <w:bottom w:val="single" w:sz="8" w:color="4C4C4C"/>
            </w:tcBorders>
            <w:shd w:val="clear" w:color="auto" w:fill="4C4C4C"/>
          </w:tcPr>
          <w:p>
            <w:pPr>
              <w:ind w:left="80"/>
              <w:spacing w:after="0"/>
              <w:rPr>
                <w:sz w:val="20"/>
                <w:szCs w:val="20"/>
                <w:color w:val="auto"/>
              </w:rPr>
            </w:pPr>
            <w:r>
              <w:rPr>
                <w:rFonts w:ascii="Times New Roman" w:cs="Times New Roman" w:eastAsia="Times New Roman" w:hAnsi="Times New Roman"/>
                <w:sz w:val="16"/>
                <w:szCs w:val="16"/>
                <w:i w:val="1"/>
                <w:iCs w:val="1"/>
                <w:color w:val="FFFFFF"/>
              </w:rPr>
              <w:t>(percent)</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40" w:type="dxa"/>
            <w:vAlign w:val="bottom"/>
            <w:tcBorders>
              <w:bottom w:val="single" w:sz="8" w:color="4C4C4C"/>
            </w:tcBorders>
            <w:shd w:val="clear" w:color="auto" w:fill="4C4C4C"/>
          </w:tcPr>
          <w:p>
            <w:pPr>
              <w:jc w:val="right"/>
              <w:ind w:right="269"/>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74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82"/>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Debt to capital</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1340" w:type="dxa"/>
            <w:vAlign w:val="bottom"/>
          </w:tcPr>
          <w:p>
            <w:pPr>
              <w:jc w:val="right"/>
              <w:ind w:right="269"/>
              <w:spacing w:after="0"/>
              <w:rPr>
                <w:sz w:val="20"/>
                <w:szCs w:val="20"/>
                <w:color w:val="auto"/>
              </w:rPr>
            </w:pPr>
            <w:r>
              <w:rPr>
                <w:rFonts w:ascii="Times New Roman" w:cs="Times New Roman" w:eastAsia="Times New Roman" w:hAnsi="Times New Roman"/>
                <w:sz w:val="20"/>
                <w:szCs w:val="20"/>
                <w:color w:val="auto"/>
              </w:rPr>
              <w:t>16.9</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300"/>
        </w:trPr>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Net debt to capital</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340" w:type="dxa"/>
            <w:vAlign w:val="bottom"/>
            <w:tcBorders>
              <w:bottom w:val="single" w:sz="8" w:color="4C4C4C"/>
            </w:tcBorders>
          </w:tcPr>
          <w:p>
            <w:pPr>
              <w:jc w:val="right"/>
              <w:ind w:right="269"/>
              <w:spacing w:after="0"/>
              <w:rPr>
                <w:sz w:val="20"/>
                <w:szCs w:val="20"/>
                <w:color w:val="auto"/>
              </w:rPr>
            </w:pPr>
            <w:r>
              <w:rPr>
                <w:rFonts w:ascii="Times New Roman" w:cs="Times New Roman" w:eastAsia="Times New Roman" w:hAnsi="Times New Roman"/>
                <w:sz w:val="20"/>
                <w:szCs w:val="20"/>
                <w:color w:val="auto"/>
              </w:rPr>
              <w:t>5.4</w:t>
            </w: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r>
    </w:tbl>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Management views the Corporation’s financial strength to be a competitive advantage of strategic importance. The Corporation’s financial position gives it the opportunity to access the world’s capital markets across a range of market conditions, and enables the Corporation to take on large, long-term capital commitments in the pursuit of maximizing shareholder value.</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Stronger industry conditions in 2021 and 2022 enabled the Corporation to strengthen the balance sheet and return debt to pre-pandemic levels by the end of 2022. The Corporation reduced debt by $6.5 billion in 2022. The total debt level remained relatively flat in 2023, ending the year at $41.6 billion.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Litigation and Other Contingencies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discussed in Note 16, a variety of claims have been made against ExxonMobil and certain of its consolidated subsidiaries in a number of pending lawsuits.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 There are no events or uncertainties beyond those already included in reported financial information that would indicate a material change in future operating results or financial condition. Refer to Note 16 for additional information on legal proceedings and other contingencies.</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600"/>
          </w:cols>
          <w:pgMar w:left="640" w:top="491" w:right="640" w:bottom="0" w:gutter="0" w:footer="0" w:header="0"/>
          <w:type w:val="continuous"/>
        </w:sectPr>
      </w:pPr>
    </w:p>
    <w:bookmarkStart w:id="77" w:name="page78"/>
    <w:bookmarkEnd w:id="77"/>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CAPITAL AND EXPLORATION EXPENDITURES</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Capital and exploration expenditures (Capex) represent the combined total of additions at cost to property, plant and equipment, and exploration expenses on a before-tax basis from the Consolidated Statement of Income. ExxonMobil’s Capex includes its share of similar costs for equity companies. Capex excludes assets acquired in nonmonetary exchanges, the value of ExxonMobil shares used to acquire assets, and depreciation on the cost of exploration support equipment and facilities recorded to property, plant and equipment when acquired. While ExxonMobil’s management is responsible for all investments and elements of net income, particular focus is placed on managing the controllable aspects of this group of expenditures.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36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60" w:type="dxa"/>
            <w:vAlign w:val="bottom"/>
            <w:shd w:val="clear" w:color="auto" w:fill="4C4C4C"/>
          </w:tcPr>
          <w:p>
            <w:pPr>
              <w:spacing w:after="0"/>
              <w:rPr>
                <w:sz w:val="21"/>
                <w:szCs w:val="21"/>
                <w:color w:val="auto"/>
              </w:rPr>
            </w:pPr>
          </w:p>
        </w:tc>
        <w:tc>
          <w:tcPr>
            <w:tcW w:w="1100" w:type="dxa"/>
            <w:vAlign w:val="bottom"/>
            <w:shd w:val="clear" w:color="auto" w:fill="4C4C4C"/>
          </w:tcPr>
          <w:p>
            <w:pPr>
              <w:jc w:val="right"/>
              <w:ind w:right="387"/>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900" w:type="dxa"/>
            <w:vAlign w:val="bottom"/>
            <w:shd w:val="clear" w:color="auto" w:fill="4C4C4C"/>
          </w:tcPr>
          <w:p>
            <w:pPr>
              <w:spacing w:after="0"/>
              <w:rPr>
                <w:sz w:val="21"/>
                <w:szCs w:val="21"/>
                <w:color w:val="auto"/>
              </w:rPr>
            </w:pPr>
          </w:p>
        </w:tc>
        <w:tc>
          <w:tcPr>
            <w:tcW w:w="1140" w:type="dxa"/>
            <w:vAlign w:val="bottom"/>
            <w:shd w:val="clear" w:color="auto" w:fill="4C4C4C"/>
          </w:tcPr>
          <w:p>
            <w:pPr>
              <w:spacing w:after="0"/>
              <w:rPr>
                <w:sz w:val="21"/>
                <w:szCs w:val="21"/>
                <w:color w:val="auto"/>
              </w:rPr>
            </w:pPr>
          </w:p>
        </w:tc>
        <w:tc>
          <w:tcPr>
            <w:tcW w:w="1100" w:type="dxa"/>
            <w:vAlign w:val="bottom"/>
            <w:shd w:val="clear" w:color="auto" w:fill="4C4C4C"/>
          </w:tcPr>
          <w:p>
            <w:pPr>
              <w:jc w:val="right"/>
              <w:ind w:right="387"/>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00" w:type="dxa"/>
            <w:vAlign w:val="bottom"/>
            <w:shd w:val="clear" w:color="auto" w:fill="4C4C4C"/>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360" w:type="dxa"/>
            <w:vAlign w:val="bottom"/>
            <w:vMerge w:val="continue"/>
            <w:shd w:val="clear" w:color="auto" w:fill="4C4C4C"/>
          </w:tcPr>
          <w:p>
            <w:pPr>
              <w:spacing w:after="0"/>
              <w:rPr>
                <w:sz w:val="12"/>
                <w:szCs w:val="12"/>
                <w:color w:val="auto"/>
              </w:rPr>
            </w:pPr>
          </w:p>
        </w:tc>
        <w:tc>
          <w:tcPr>
            <w:tcW w:w="1060" w:type="dxa"/>
            <w:vAlign w:val="bottom"/>
            <w:vMerge w:val="restart"/>
            <w:shd w:val="clear" w:color="auto" w:fill="4C4C4C"/>
          </w:tcPr>
          <w:p>
            <w:pPr>
              <w:jc w:val="right"/>
              <w:ind w:right="345"/>
              <w:spacing w:after="0"/>
              <w:rPr>
                <w:sz w:val="20"/>
                <w:szCs w:val="20"/>
                <w:color w:val="auto"/>
              </w:rPr>
            </w:pPr>
            <w:r>
              <w:rPr>
                <w:rFonts w:ascii="Times New Roman" w:cs="Times New Roman" w:eastAsia="Times New Roman" w:hAnsi="Times New Roman"/>
                <w:sz w:val="16"/>
                <w:szCs w:val="16"/>
                <w:b w:val="1"/>
                <w:bCs w:val="1"/>
                <w:color w:val="FFFFFF"/>
              </w:rPr>
              <w:t>U.S.</w:t>
            </w:r>
          </w:p>
        </w:tc>
        <w:tc>
          <w:tcPr>
            <w:tcW w:w="1100" w:type="dxa"/>
            <w:vAlign w:val="bottom"/>
            <w:vMerge w:val="restart"/>
            <w:shd w:val="clear" w:color="auto" w:fill="4C4C4C"/>
          </w:tcPr>
          <w:p>
            <w:pPr>
              <w:jc w:val="right"/>
              <w:ind w:right="227"/>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900" w:type="dxa"/>
            <w:vAlign w:val="bottom"/>
            <w:vMerge w:val="restart"/>
            <w:shd w:val="clear" w:color="auto" w:fill="4C4C4C"/>
          </w:tcPr>
          <w:p>
            <w:pPr>
              <w:jc w:val="right"/>
              <w:ind w:right="2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1140" w:type="dxa"/>
            <w:vAlign w:val="bottom"/>
            <w:vMerge w:val="restart"/>
            <w:shd w:val="clear" w:color="auto" w:fill="4C4C4C"/>
          </w:tcPr>
          <w:p>
            <w:pPr>
              <w:jc w:val="right"/>
              <w:ind w:right="345"/>
              <w:spacing w:after="0"/>
              <w:rPr>
                <w:sz w:val="20"/>
                <w:szCs w:val="20"/>
                <w:color w:val="auto"/>
              </w:rPr>
            </w:pPr>
            <w:r>
              <w:rPr>
                <w:rFonts w:ascii="Times New Roman" w:cs="Times New Roman" w:eastAsia="Times New Roman" w:hAnsi="Times New Roman"/>
                <w:sz w:val="16"/>
                <w:szCs w:val="16"/>
                <w:b w:val="1"/>
                <w:bCs w:val="1"/>
                <w:color w:val="FFFFFF"/>
              </w:rPr>
              <w:t>U.S.</w:t>
            </w:r>
          </w:p>
        </w:tc>
        <w:tc>
          <w:tcPr>
            <w:tcW w:w="1100" w:type="dxa"/>
            <w:vAlign w:val="bottom"/>
            <w:vMerge w:val="restart"/>
            <w:shd w:val="clear" w:color="auto" w:fill="4C4C4C"/>
          </w:tcPr>
          <w:p>
            <w:pPr>
              <w:jc w:val="right"/>
              <w:ind w:right="247"/>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900" w:type="dxa"/>
            <w:vAlign w:val="bottom"/>
            <w:vMerge w:val="restart"/>
            <w:shd w:val="clear" w:color="auto" w:fill="4C4C4C"/>
          </w:tcPr>
          <w:p>
            <w:pPr>
              <w:jc w:val="right"/>
              <w:ind w:right="22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77"/>
        </w:trPr>
        <w:tc>
          <w:tcPr>
            <w:tcW w:w="4360" w:type="dxa"/>
            <w:vAlign w:val="bottom"/>
            <w:tcBorders>
              <w:bottom w:val="single" w:sz="8" w:color="4C4C4C"/>
            </w:tcBorders>
            <w:shd w:val="clear" w:color="auto" w:fill="4C4C4C"/>
          </w:tcPr>
          <w:p>
            <w:pPr>
              <w:spacing w:after="0"/>
              <w:rPr>
                <w:sz w:val="15"/>
                <w:szCs w:val="15"/>
                <w:color w:val="auto"/>
              </w:rPr>
            </w:pPr>
          </w:p>
        </w:tc>
        <w:tc>
          <w:tcPr>
            <w:tcW w:w="1060" w:type="dxa"/>
            <w:vAlign w:val="bottom"/>
            <w:tcBorders>
              <w:bottom w:val="single" w:sz="8" w:color="4C4C4C"/>
            </w:tcBorders>
            <w:vMerge w:val="continue"/>
            <w:shd w:val="clear" w:color="auto" w:fill="4C4C4C"/>
          </w:tcPr>
          <w:p>
            <w:pPr>
              <w:spacing w:after="0"/>
              <w:rPr>
                <w:sz w:val="15"/>
                <w:szCs w:val="15"/>
                <w:color w:val="auto"/>
              </w:rPr>
            </w:pPr>
          </w:p>
        </w:tc>
        <w:tc>
          <w:tcPr>
            <w:tcW w:w="1100" w:type="dxa"/>
            <w:vAlign w:val="bottom"/>
            <w:tcBorders>
              <w:bottom w:val="single" w:sz="8" w:color="4C4C4C"/>
            </w:tcBorders>
            <w:vMerge w:val="continue"/>
            <w:shd w:val="clear" w:color="auto" w:fill="4C4C4C"/>
          </w:tcPr>
          <w:p>
            <w:pPr>
              <w:spacing w:after="0"/>
              <w:rPr>
                <w:sz w:val="15"/>
                <w:szCs w:val="15"/>
                <w:color w:val="auto"/>
              </w:rPr>
            </w:pPr>
          </w:p>
        </w:tc>
        <w:tc>
          <w:tcPr>
            <w:tcW w:w="900" w:type="dxa"/>
            <w:vAlign w:val="bottom"/>
            <w:tcBorders>
              <w:bottom w:val="single" w:sz="8" w:color="4C4C4C"/>
            </w:tcBorders>
            <w:vMerge w:val="continue"/>
            <w:shd w:val="clear" w:color="auto" w:fill="4C4C4C"/>
          </w:tcPr>
          <w:p>
            <w:pPr>
              <w:spacing w:after="0"/>
              <w:rPr>
                <w:sz w:val="15"/>
                <w:szCs w:val="15"/>
                <w:color w:val="auto"/>
              </w:rPr>
            </w:pPr>
          </w:p>
        </w:tc>
        <w:tc>
          <w:tcPr>
            <w:tcW w:w="1140" w:type="dxa"/>
            <w:vAlign w:val="bottom"/>
            <w:tcBorders>
              <w:bottom w:val="single" w:sz="8" w:color="4C4C4C"/>
            </w:tcBorders>
            <w:vMerge w:val="continue"/>
            <w:shd w:val="clear" w:color="auto" w:fill="4C4C4C"/>
          </w:tcPr>
          <w:p>
            <w:pPr>
              <w:spacing w:after="0"/>
              <w:rPr>
                <w:sz w:val="15"/>
                <w:szCs w:val="15"/>
                <w:color w:val="auto"/>
              </w:rPr>
            </w:pPr>
          </w:p>
        </w:tc>
        <w:tc>
          <w:tcPr>
            <w:tcW w:w="1100" w:type="dxa"/>
            <w:vAlign w:val="bottom"/>
            <w:tcBorders>
              <w:bottom w:val="single" w:sz="8" w:color="4C4C4C"/>
            </w:tcBorders>
            <w:vMerge w:val="continue"/>
            <w:shd w:val="clear" w:color="auto" w:fill="4C4C4C"/>
          </w:tcPr>
          <w:p>
            <w:pPr>
              <w:spacing w:after="0"/>
              <w:rPr>
                <w:sz w:val="15"/>
                <w:szCs w:val="15"/>
                <w:color w:val="auto"/>
              </w:rPr>
            </w:pPr>
          </w:p>
        </w:tc>
        <w:tc>
          <w:tcPr>
            <w:tcW w:w="900" w:type="dxa"/>
            <w:vAlign w:val="bottom"/>
            <w:tcBorders>
              <w:bottom w:val="single" w:sz="8" w:color="4C4C4C"/>
            </w:tcBorders>
            <w:vMerge w:val="continue"/>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Upstream (including exploration expenses)</w:t>
            </w:r>
          </w:p>
        </w:tc>
        <w:tc>
          <w:tcPr>
            <w:tcW w:w="1060" w:type="dxa"/>
            <w:vAlign w:val="bottom"/>
            <w:shd w:val="clear" w:color="auto" w:fill="F0F0F0"/>
          </w:tcPr>
          <w:p>
            <w:pPr>
              <w:jc w:val="right"/>
              <w:ind w:right="65"/>
              <w:spacing w:after="0"/>
              <w:rPr>
                <w:sz w:val="20"/>
                <w:szCs w:val="20"/>
                <w:color w:val="auto"/>
              </w:rPr>
            </w:pPr>
            <w:r>
              <w:rPr>
                <w:rFonts w:ascii="Times New Roman" w:cs="Times New Roman" w:eastAsia="Times New Roman" w:hAnsi="Times New Roman"/>
                <w:sz w:val="20"/>
                <w:szCs w:val="20"/>
                <w:color w:val="auto"/>
              </w:rPr>
              <w:t>8,813</w:t>
            </w:r>
          </w:p>
        </w:tc>
        <w:tc>
          <w:tcPr>
            <w:tcW w:w="1100" w:type="dxa"/>
            <w:vAlign w:val="bottom"/>
            <w:shd w:val="clear" w:color="auto" w:fill="F0F0F0"/>
          </w:tcPr>
          <w:p>
            <w:pPr>
              <w:jc w:val="right"/>
              <w:ind w:right="127"/>
              <w:spacing w:after="0"/>
              <w:rPr>
                <w:sz w:val="20"/>
                <w:szCs w:val="20"/>
                <w:color w:val="auto"/>
              </w:rPr>
            </w:pPr>
            <w:r>
              <w:rPr>
                <w:rFonts w:ascii="Times New Roman" w:cs="Times New Roman" w:eastAsia="Times New Roman" w:hAnsi="Times New Roman"/>
                <w:sz w:val="20"/>
                <w:szCs w:val="20"/>
                <w:color w:val="auto"/>
              </w:rPr>
              <w:t>10,948</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19,761</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6,968</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10,034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17,002</w:t>
            </w:r>
          </w:p>
        </w:tc>
        <w:tc>
          <w:tcPr>
            <w:tcW w:w="0" w:type="dxa"/>
            <w:vAlign w:val="bottom"/>
          </w:tcPr>
          <w:p>
            <w:pPr>
              <w:spacing w:after="0"/>
              <w:rPr>
                <w:sz w:val="1"/>
                <w:szCs w:val="1"/>
                <w:color w:val="auto"/>
              </w:rPr>
            </w:pPr>
          </w:p>
        </w:tc>
      </w:tr>
      <w:tr>
        <w:trPr>
          <w:trHeight w:val="276"/>
        </w:trPr>
        <w:tc>
          <w:tcPr>
            <w:tcW w:w="4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Energy Products</w:t>
            </w:r>
          </w:p>
        </w:tc>
        <w:tc>
          <w:tcPr>
            <w:tcW w:w="1060" w:type="dxa"/>
            <w:vAlign w:val="bottom"/>
            <w:shd w:val="clear" w:color="auto" w:fill="F0F0F0"/>
          </w:tcPr>
          <w:p>
            <w:pPr>
              <w:jc w:val="right"/>
              <w:ind w:right="65"/>
              <w:spacing w:after="0"/>
              <w:rPr>
                <w:sz w:val="20"/>
                <w:szCs w:val="20"/>
                <w:color w:val="auto"/>
              </w:rPr>
            </w:pPr>
            <w:r>
              <w:rPr>
                <w:rFonts w:ascii="Times New Roman" w:cs="Times New Roman" w:eastAsia="Times New Roman" w:hAnsi="Times New Roman"/>
                <w:sz w:val="20"/>
                <w:szCs w:val="20"/>
                <w:color w:val="auto"/>
              </w:rPr>
              <w:t>1,195</w:t>
            </w:r>
          </w:p>
        </w:tc>
        <w:tc>
          <w:tcPr>
            <w:tcW w:w="1100" w:type="dxa"/>
            <w:vAlign w:val="bottom"/>
            <w:shd w:val="clear" w:color="auto" w:fill="F0F0F0"/>
          </w:tcPr>
          <w:p>
            <w:pPr>
              <w:jc w:val="right"/>
              <w:ind w:right="127"/>
              <w:spacing w:after="0"/>
              <w:rPr>
                <w:sz w:val="20"/>
                <w:szCs w:val="20"/>
                <w:color w:val="auto"/>
              </w:rPr>
            </w:pPr>
            <w:r>
              <w:rPr>
                <w:rFonts w:ascii="Times New Roman" w:cs="Times New Roman" w:eastAsia="Times New Roman" w:hAnsi="Times New Roman"/>
                <w:sz w:val="20"/>
                <w:szCs w:val="20"/>
                <w:color w:val="auto"/>
              </w:rPr>
              <w:t>1,580</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2,775</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1,351</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1,059</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2,410</w:t>
            </w:r>
          </w:p>
        </w:tc>
        <w:tc>
          <w:tcPr>
            <w:tcW w:w="0" w:type="dxa"/>
            <w:vAlign w:val="bottom"/>
          </w:tcPr>
          <w:p>
            <w:pPr>
              <w:spacing w:after="0"/>
              <w:rPr>
                <w:sz w:val="1"/>
                <w:szCs w:val="1"/>
                <w:color w:val="auto"/>
              </w:rPr>
            </w:pPr>
          </w:p>
        </w:tc>
      </w:tr>
      <w:tr>
        <w:trPr>
          <w:trHeight w:val="294"/>
        </w:trPr>
        <w:tc>
          <w:tcPr>
            <w:tcW w:w="4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Chemical Products</w:t>
            </w:r>
          </w:p>
        </w:tc>
        <w:tc>
          <w:tcPr>
            <w:tcW w:w="1060" w:type="dxa"/>
            <w:vAlign w:val="bottom"/>
            <w:shd w:val="clear" w:color="auto" w:fill="F0F0F0"/>
          </w:tcPr>
          <w:p>
            <w:pPr>
              <w:jc w:val="right"/>
              <w:ind w:right="65"/>
              <w:spacing w:after="0"/>
              <w:rPr>
                <w:sz w:val="20"/>
                <w:szCs w:val="20"/>
                <w:color w:val="auto"/>
              </w:rPr>
            </w:pPr>
            <w:r>
              <w:rPr>
                <w:rFonts w:ascii="Times New Roman" w:cs="Times New Roman" w:eastAsia="Times New Roman" w:hAnsi="Times New Roman"/>
                <w:sz w:val="20"/>
                <w:szCs w:val="20"/>
                <w:color w:val="auto"/>
              </w:rPr>
              <w:t>751</w:t>
            </w:r>
          </w:p>
        </w:tc>
        <w:tc>
          <w:tcPr>
            <w:tcW w:w="1100" w:type="dxa"/>
            <w:vAlign w:val="bottom"/>
            <w:shd w:val="clear" w:color="auto" w:fill="F0F0F0"/>
          </w:tcPr>
          <w:p>
            <w:pPr>
              <w:jc w:val="right"/>
              <w:ind w:right="127"/>
              <w:spacing w:after="0"/>
              <w:rPr>
                <w:sz w:val="20"/>
                <w:szCs w:val="20"/>
                <w:color w:val="auto"/>
              </w:rPr>
            </w:pPr>
            <w:r>
              <w:rPr>
                <w:rFonts w:ascii="Times New Roman" w:cs="Times New Roman" w:eastAsia="Times New Roman" w:hAnsi="Times New Roman"/>
                <w:sz w:val="20"/>
                <w:szCs w:val="20"/>
                <w:color w:val="auto"/>
              </w:rPr>
              <w:t>1,962</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2,713</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1,123</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1,842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2,965</w:t>
            </w:r>
          </w:p>
        </w:tc>
        <w:tc>
          <w:tcPr>
            <w:tcW w:w="0" w:type="dxa"/>
            <w:vAlign w:val="bottom"/>
          </w:tcPr>
          <w:p>
            <w:pPr>
              <w:spacing w:after="0"/>
              <w:rPr>
                <w:sz w:val="1"/>
                <w:szCs w:val="1"/>
                <w:color w:val="auto"/>
              </w:rPr>
            </w:pPr>
          </w:p>
        </w:tc>
      </w:tr>
      <w:tr>
        <w:trPr>
          <w:trHeight w:val="294"/>
        </w:trPr>
        <w:tc>
          <w:tcPr>
            <w:tcW w:w="4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Specialty Products</w:t>
            </w:r>
          </w:p>
        </w:tc>
        <w:tc>
          <w:tcPr>
            <w:tcW w:w="1060" w:type="dxa"/>
            <w:vAlign w:val="bottom"/>
            <w:shd w:val="clear" w:color="auto" w:fill="F0F0F0"/>
          </w:tcPr>
          <w:p>
            <w:pPr>
              <w:jc w:val="right"/>
              <w:ind w:right="65"/>
              <w:spacing w:after="0"/>
              <w:rPr>
                <w:sz w:val="20"/>
                <w:szCs w:val="20"/>
                <w:color w:val="auto"/>
              </w:rPr>
            </w:pPr>
            <w:r>
              <w:rPr>
                <w:rFonts w:ascii="Times New Roman" w:cs="Times New Roman" w:eastAsia="Times New Roman" w:hAnsi="Times New Roman"/>
                <w:sz w:val="20"/>
                <w:szCs w:val="20"/>
                <w:color w:val="auto"/>
              </w:rPr>
              <w:t>63</w:t>
            </w:r>
          </w:p>
        </w:tc>
        <w:tc>
          <w:tcPr>
            <w:tcW w:w="1100" w:type="dxa"/>
            <w:vAlign w:val="bottom"/>
            <w:shd w:val="clear" w:color="auto" w:fill="F0F0F0"/>
          </w:tcPr>
          <w:p>
            <w:pPr>
              <w:jc w:val="right"/>
              <w:ind w:right="127"/>
              <w:spacing w:after="0"/>
              <w:rPr>
                <w:sz w:val="20"/>
                <w:szCs w:val="20"/>
                <w:color w:val="auto"/>
              </w:rPr>
            </w:pPr>
            <w:r>
              <w:rPr>
                <w:rFonts w:ascii="Times New Roman" w:cs="Times New Roman" w:eastAsia="Times New Roman" w:hAnsi="Times New Roman"/>
                <w:sz w:val="20"/>
                <w:szCs w:val="20"/>
                <w:color w:val="auto"/>
              </w:rPr>
              <w:t>391</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46</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222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0" w:type="dxa"/>
            <w:vAlign w:val="bottom"/>
          </w:tcPr>
          <w:p>
            <w:pPr>
              <w:spacing w:after="0"/>
              <w:rPr>
                <w:sz w:val="1"/>
                <w:szCs w:val="1"/>
                <w:color w:val="auto"/>
              </w:rPr>
            </w:pPr>
          </w:p>
        </w:tc>
      </w:tr>
      <w:tr>
        <w:trPr>
          <w:trHeight w:val="318"/>
        </w:trPr>
        <w:tc>
          <w:tcPr>
            <w:tcW w:w="4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1060" w:type="dxa"/>
            <w:vAlign w:val="bottom"/>
            <w:tcBorders>
              <w:bottom w:val="single" w:sz="8" w:color="F0F0F0"/>
            </w:tcBorders>
            <w:shd w:val="clear" w:color="auto" w:fill="F0F0F0"/>
          </w:tcPr>
          <w:p>
            <w:pPr>
              <w:jc w:val="right"/>
              <w:ind w:right="65"/>
              <w:spacing w:after="0"/>
              <w:rPr>
                <w:sz w:val="20"/>
                <w:szCs w:val="20"/>
                <w:color w:val="auto"/>
              </w:rPr>
            </w:pPr>
            <w:r>
              <w:rPr>
                <w:rFonts w:ascii="Times New Roman" w:cs="Times New Roman" w:eastAsia="Times New Roman" w:hAnsi="Times New Roman"/>
                <w:sz w:val="20"/>
                <w:szCs w:val="20"/>
                <w:color w:val="auto"/>
              </w:rPr>
              <w:t>622</w:t>
            </w:r>
          </w:p>
        </w:tc>
        <w:tc>
          <w:tcPr>
            <w:tcW w:w="1100" w:type="dxa"/>
            <w:vAlign w:val="bottom"/>
            <w:tcBorders>
              <w:bottom w:val="single" w:sz="8" w:color="F0F0F0"/>
            </w:tcBorders>
            <w:shd w:val="clear" w:color="auto" w:fill="F0F0F0"/>
          </w:tcPr>
          <w:p>
            <w:pPr>
              <w:jc w:val="right"/>
              <w:ind w:right="12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59</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74"/>
        </w:trPr>
        <w:tc>
          <w:tcPr>
            <w:tcW w:w="436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60" w:type="dxa"/>
            <w:vAlign w:val="bottom"/>
            <w:tcBorders>
              <w:top w:val="single" w:sz="8" w:color="4C4C4C"/>
              <w:bottom w:val="single" w:sz="8" w:color="4C4C4C"/>
            </w:tcBorders>
            <w:shd w:val="clear" w:color="auto" w:fill="F0F0F0"/>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11,444</w:t>
            </w:r>
          </w:p>
        </w:tc>
        <w:tc>
          <w:tcPr>
            <w:tcW w:w="1100" w:type="dxa"/>
            <w:vAlign w:val="bottom"/>
            <w:tcBorders>
              <w:top w:val="single" w:sz="8" w:color="4C4C4C"/>
              <w:bottom w:val="single" w:sz="8" w:color="4C4C4C"/>
            </w:tcBorders>
            <w:shd w:val="clear" w:color="auto" w:fill="F0F0F0"/>
          </w:tcPr>
          <w:p>
            <w:pPr>
              <w:jc w:val="right"/>
              <w:ind w:right="127"/>
              <w:spacing w:after="0"/>
              <w:rPr>
                <w:sz w:val="20"/>
                <w:szCs w:val="20"/>
                <w:color w:val="auto"/>
              </w:rPr>
            </w:pPr>
            <w:r>
              <w:rPr>
                <w:rFonts w:ascii="Times New Roman" w:cs="Times New Roman" w:eastAsia="Times New Roman" w:hAnsi="Times New Roman"/>
                <w:sz w:val="20"/>
                <w:szCs w:val="20"/>
                <w:b w:val="1"/>
                <w:bCs w:val="1"/>
                <w:color w:val="auto"/>
              </w:rPr>
              <w:t>14,881</w:t>
            </w:r>
          </w:p>
        </w:tc>
        <w:tc>
          <w:tcPr>
            <w:tcW w:w="90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26,325</w:t>
            </w:r>
          </w:p>
        </w:tc>
        <w:tc>
          <w:tcPr>
            <w:tcW w:w="1140" w:type="dxa"/>
            <w:vAlign w:val="bottom"/>
            <w:tcBorders>
              <w:top w:val="single" w:sz="8" w:color="4C4C4C"/>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9,547</w:t>
            </w:r>
          </w:p>
        </w:tc>
        <w:tc>
          <w:tcPr>
            <w:tcW w:w="1100" w:type="dxa"/>
            <w:vAlign w:val="bottom"/>
            <w:tcBorders>
              <w:top w:val="single" w:sz="8" w:color="4C4C4C"/>
              <w:bottom w:val="single" w:sz="8" w:color="4C4C4C"/>
            </w:tcBorders>
          </w:tcPr>
          <w:p>
            <w:pPr>
              <w:jc w:val="right"/>
              <w:ind w:right="127"/>
              <w:spacing w:after="0"/>
              <w:rPr>
                <w:sz w:val="20"/>
                <w:szCs w:val="20"/>
                <w:color w:val="auto"/>
              </w:rPr>
            </w:pPr>
            <w:r>
              <w:rPr>
                <w:rFonts w:ascii="Times New Roman" w:cs="Times New Roman" w:eastAsia="Times New Roman" w:hAnsi="Times New Roman"/>
                <w:sz w:val="20"/>
                <w:szCs w:val="20"/>
                <w:b w:val="1"/>
                <w:bCs w:val="1"/>
                <w:color w:val="auto"/>
              </w:rPr>
              <w:t>13,157</w:t>
            </w:r>
          </w:p>
        </w:tc>
        <w:tc>
          <w:tcPr>
            <w:tcW w:w="90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22,704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Capex in 2023 was $26.3 billion, as the Corporation continued to pursue opportunities to find and produce new supplies of oil and natural gas to meet global demand for energy. The Corporation plans to invest in the range of $23 billion to $25 billion in 2024. Included in the 2024 capital spend range is $10.5 billion of firm capital commitments. An additional $9.2 billion of firm capital commitments have been made for years 2025 and beyond. Actual spending could vary depending on the progress of individual projects and property acquisitions.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Upstream spending of $19.8 billion in 2023 was up 16 percent from 2022, reflecting higher spend in the U.S. Permian Basin and on advantaged projects in Guyana. Development projects typically take several years from the time of recording proved undeveloped reserves to the start of production and can exceed five years for large and complex projects. The percentage of proved developed reserves was 63 percent of total proved reserves at year-end 2023, and has been over 60 percent for the last ten years.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investments in the three Product Solutions businesses totaled $5.9 billion in 2023, an increase of $0.3 billion from 2022, reflecting higher global project spending. Key investments in 2023 included the China petrochemical complex and Singapore resid upgrade project. Other spend of $0.6 billion primarily reflects investments in the Low Carbon Solutions business which focused on carbon capture and storage, lithium, and hydrogen.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TAXES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50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20" w:type="dxa"/>
            <w:vAlign w:val="bottom"/>
            <w:tcBorders>
              <w:bottom w:val="single" w:sz="8" w:color="4C4C4C"/>
            </w:tcBorders>
            <w:shd w:val="clear" w:color="auto" w:fill="4C4C4C"/>
          </w:tcPr>
          <w:p>
            <w:pPr>
              <w:jc w:val="right"/>
              <w:ind w:right="14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65"/>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15,429</w:t>
            </w:r>
          </w:p>
        </w:tc>
        <w:tc>
          <w:tcPr>
            <w:tcW w:w="1220" w:type="dxa"/>
            <w:vAlign w:val="bottom"/>
          </w:tcPr>
          <w:p>
            <w:pPr>
              <w:jc w:val="right"/>
              <w:ind w:right="166"/>
              <w:spacing w:after="0"/>
              <w:rPr>
                <w:sz w:val="20"/>
                <w:szCs w:val="20"/>
                <w:color w:val="auto"/>
              </w:rPr>
            </w:pPr>
            <w:r>
              <w:rPr>
                <w:rFonts w:ascii="Times New Roman" w:cs="Times New Roman" w:eastAsia="Times New Roman" w:hAnsi="Times New Roman"/>
                <w:sz w:val="20"/>
                <w:szCs w:val="20"/>
                <w:color w:val="auto"/>
              </w:rPr>
              <w:t>20,176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7,636</w:t>
            </w:r>
          </w:p>
        </w:tc>
      </w:tr>
      <w:tr>
        <w:trPr>
          <w:trHeight w:val="294"/>
        </w:trPr>
        <w:tc>
          <w:tcPr>
            <w:tcW w:w="7500" w:type="dxa"/>
            <w:vAlign w:val="bottom"/>
          </w:tcPr>
          <w:p>
            <w:pPr>
              <w:ind w:left="260"/>
              <w:spacing w:after="0"/>
              <w:rPr>
                <w:sz w:val="20"/>
                <w:szCs w:val="20"/>
                <w:color w:val="auto"/>
              </w:rPr>
            </w:pPr>
            <w:r>
              <w:rPr>
                <w:rFonts w:ascii="Times New Roman" w:cs="Times New Roman" w:eastAsia="Times New Roman" w:hAnsi="Times New Roman"/>
                <w:sz w:val="20"/>
                <w:szCs w:val="20"/>
                <w:i w:val="1"/>
                <w:iCs w:val="1"/>
                <w:color w:val="auto"/>
              </w:rPr>
              <w:t>Effective income tax rate</w:t>
            </w:r>
          </w:p>
        </w:tc>
        <w:tc>
          <w:tcPr>
            <w:tcW w:w="980" w:type="dxa"/>
            <w:vAlign w:val="bottom"/>
            <w:shd w:val="clear" w:color="auto" w:fill="F0F0F0"/>
          </w:tcPr>
          <w:p>
            <w:pPr>
              <w:jc w:val="right"/>
              <w:ind w:right="206"/>
              <w:spacing w:after="0"/>
              <w:rPr>
                <w:sz w:val="20"/>
                <w:szCs w:val="20"/>
                <w:color w:val="auto"/>
              </w:rPr>
            </w:pPr>
            <w:r>
              <w:rPr>
                <w:rFonts w:ascii="Times New Roman" w:cs="Times New Roman" w:eastAsia="Times New Roman" w:hAnsi="Times New Roman"/>
                <w:sz w:val="20"/>
                <w:szCs w:val="20"/>
                <w:i w:val="1"/>
                <w:iCs w:val="1"/>
                <w:color w:val="auto"/>
              </w:rPr>
              <w:t>33%</w:t>
            </w: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20"/>
                <w:szCs w:val="20"/>
                <w:i w:val="1"/>
                <w:iCs w:val="1"/>
                <w:color w:val="auto"/>
              </w:rPr>
              <w:t>33%</w:t>
            </w:r>
          </w:p>
        </w:tc>
        <w:tc>
          <w:tcPr>
            <w:tcW w:w="860" w:type="dxa"/>
            <w:vAlign w:val="bottom"/>
          </w:tcPr>
          <w:p>
            <w:pPr>
              <w:jc w:val="right"/>
              <w:ind w:right="186"/>
              <w:spacing w:after="0"/>
              <w:rPr>
                <w:sz w:val="20"/>
                <w:szCs w:val="20"/>
                <w:color w:val="auto"/>
              </w:rPr>
            </w:pPr>
            <w:r>
              <w:rPr>
                <w:rFonts w:ascii="Times New Roman" w:cs="Times New Roman" w:eastAsia="Times New Roman" w:hAnsi="Times New Roman"/>
                <w:sz w:val="20"/>
                <w:szCs w:val="20"/>
                <w:i w:val="1"/>
                <w:iCs w:val="1"/>
                <w:color w:val="auto"/>
              </w:rPr>
              <w:t>31%</w:t>
            </w:r>
          </w:p>
        </w:tc>
      </w:tr>
      <w:tr>
        <w:trPr>
          <w:trHeight w:val="31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other taxes and duties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32,191</w:t>
            </w:r>
          </w:p>
        </w:tc>
        <w:tc>
          <w:tcPr>
            <w:tcW w:w="1220" w:type="dxa"/>
            <w:vAlign w:val="bottom"/>
          </w:tcPr>
          <w:p>
            <w:pPr>
              <w:jc w:val="right"/>
              <w:ind w:right="166"/>
              <w:spacing w:after="0"/>
              <w:rPr>
                <w:sz w:val="20"/>
                <w:szCs w:val="20"/>
                <w:color w:val="auto"/>
              </w:rPr>
            </w:pPr>
            <w:r>
              <w:rPr>
                <w:rFonts w:ascii="Times New Roman" w:cs="Times New Roman" w:eastAsia="Times New Roman" w:hAnsi="Times New Roman"/>
                <w:sz w:val="20"/>
                <w:szCs w:val="20"/>
                <w:color w:val="auto"/>
              </w:rPr>
              <w:t>31,455</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32,955</w:t>
            </w:r>
          </w:p>
        </w:tc>
      </w:tr>
      <w:tr>
        <w:trPr>
          <w:trHeight w:val="274"/>
        </w:trPr>
        <w:tc>
          <w:tcPr>
            <w:tcW w:w="7500" w:type="dxa"/>
            <w:vAlign w:val="bottom"/>
            <w:tcBorders>
              <w:top w:val="single" w:sz="8" w:color="4C4C4C"/>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47,620</w:t>
            </w:r>
          </w:p>
        </w:tc>
        <w:tc>
          <w:tcPr>
            <w:tcW w:w="1220" w:type="dxa"/>
            <w:vAlign w:val="bottom"/>
            <w:tcBorders>
              <w:top w:val="single" w:sz="8" w:color="4C4C4C"/>
              <w:bottom w:val="single" w:sz="8" w:color="4C4C4C"/>
            </w:tcBorders>
          </w:tcPr>
          <w:p>
            <w:pPr>
              <w:jc w:val="right"/>
              <w:ind w:right="166"/>
              <w:spacing w:after="0"/>
              <w:rPr>
                <w:sz w:val="20"/>
                <w:szCs w:val="20"/>
                <w:color w:val="auto"/>
              </w:rPr>
            </w:pPr>
            <w:r>
              <w:rPr>
                <w:rFonts w:ascii="Times New Roman" w:cs="Times New Roman" w:eastAsia="Times New Roman" w:hAnsi="Times New Roman"/>
                <w:sz w:val="20"/>
                <w:szCs w:val="20"/>
                <w:b w:val="1"/>
                <w:bCs w:val="1"/>
                <w:color w:val="auto"/>
              </w:rPr>
              <w:t>51,631</w:t>
            </w:r>
          </w:p>
        </w:tc>
        <w:tc>
          <w:tcPr>
            <w:tcW w:w="86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40,591</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Total taxes on the Corporation’s income statement were $47.6 billion in 2023, a decrease of $4.0 billion from 2022. Income tax expense, both current and deferred, was $15.4 billion compared to $20.2 billion in 2022. The effective tax rate, which is calculated based on consolidated company income taxes and ExxonMobil’s share of equity company income taxes, was 33 percent. This is flat compared to 2022, with higher effective rates from various jurisdictions offset by a lower impact from additional European taxes on the energy sector. Total other taxes and duties of $32.2 billion in 2023 increased $0.7 billion.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Total taxes on the Corporation’s income statement were $51.6 billion in 2022, an increase of $11.0 billion from 2021. Income tax expense, both current and deferred, was $20.2 billion compared to $7.6 billion in 2021. The effective tax rate, which is calculated based on consolidated company income taxes and ExxonMobil’s share of equity company income taxes, was 33 percent compared to 31 percent in the prior year driven by impacts from additional European taxes on the energy sector. Total other taxes and duties of $31.5 billion in 2022 decreased $1.5 billion.</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600"/>
          </w:cols>
          <w:pgMar w:left="640" w:top="491" w:right="640" w:bottom="0" w:gutter="0" w:footer="0" w:header="0"/>
          <w:type w:val="continuous"/>
        </w:sectPr>
      </w:pPr>
    </w:p>
    <w:bookmarkStart w:id="78" w:name="page79"/>
    <w:bookmarkEnd w:id="78"/>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ENVIRONMENTAL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Environmental Expenditures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852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04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r>
      <w:tr>
        <w:trPr>
          <w:trHeight w:val="265"/>
        </w:trPr>
        <w:tc>
          <w:tcPr>
            <w:tcW w:w="8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Capital expenditures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2,799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w:t>
            </w:r>
          </w:p>
        </w:tc>
      </w:tr>
      <w:tr>
        <w:trPr>
          <w:trHeight w:val="318"/>
        </w:trPr>
        <w:tc>
          <w:tcPr>
            <w:tcW w:w="8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expenditures</w:t>
            </w:r>
          </w:p>
        </w:tc>
        <w:tc>
          <w:tcPr>
            <w:tcW w:w="9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4,336</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3,835</w:t>
            </w:r>
          </w:p>
        </w:tc>
      </w:tr>
      <w:tr>
        <w:trPr>
          <w:trHeight w:val="274"/>
        </w:trPr>
        <w:tc>
          <w:tcPr>
            <w:tcW w:w="8520" w:type="dxa"/>
            <w:vAlign w:val="bottom"/>
            <w:tcBorders>
              <w:top w:val="single" w:sz="8" w:color="4C4C4C"/>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top w:val="single" w:sz="8" w:color="4C4C4C"/>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7,135</w:t>
            </w:r>
          </w:p>
        </w:tc>
        <w:tc>
          <w:tcPr>
            <w:tcW w:w="1040" w:type="dxa"/>
            <w:vAlign w:val="bottom"/>
            <w:tcBorders>
              <w:top w:val="single" w:sz="8" w:color="4C4C4C"/>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5,699</w:t>
            </w:r>
          </w:p>
        </w:tc>
      </w:tr>
    </w:tbl>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Throughout ExxonMobil’s businesses, new and ongoing measures are taken to prevent and minimize the impact of our operations on air, water, and ground. These include: significant investments in refining infrastructure and technology to manufacture clean fuels; projects to monitor and reduce air, water, and waste emissions, both from the company’s operations and from other companies; and expenditures for asset retirement obligations. Using definitions and guidelines established by the American Petroleum Institute, ExxonMobil’s 2023 worldwide environmental expenditures for all such preventative and remediation steps, including ExxonMobil’s share of equity company expenditures, were $7.1 billion, of which $4.3 billion were included in expenses with the remainder in capital expenditures. As the Corporation progresses its emission-reduction plans, worldwide environmental expenditures are expected to increase to approximately $9.7 billion in 2024, with capital expenditures expected to account for approximately 47 percent of the total. Costs for 2025 are anticipated to increase to approximately $10.2 billion, with capital expenditures expected to account for approximately 51 percent of the total.</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Environmental Liabilities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Corporation accrues environmental liabilities when it is probable that obligations have been incurred and the amounts can be reasonably estimated. This policy applies to assets or businesses currently owned or previously disposed. ExxonMobil has accrued liabilities for probable environmental remediation obligations at various sites, including multiparty sites where the U.S. Environmental Protection Agency has identified ExxonMobil as one of the potentially responsible parties. The involvement of other financially responsible companies at these multiparty sites could mitigate ExxonMobil’s actual joint and several liability exposure. At present, no individual site is expected to have losses material to ExxonMobil’s operations or financial condition. Consolidated company provisions made in 2023 for environmental liabilities were $208 million ($185 million in 2022), and the balance sheet reflects liabilities of $701 million as of December 31, 2023, and $730 million as of December 31,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MARKET RISKS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94"/>
        </w:trPr>
        <w:tc>
          <w:tcPr>
            <w:tcW w:w="75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 xml:space="preserve">Worldwide Average Realizations </w:t>
            </w:r>
            <w:r>
              <w:rPr>
                <w:rFonts w:ascii="Times New Roman" w:cs="Times New Roman" w:eastAsia="Times New Roman" w:hAnsi="Times New Roman"/>
                <w:sz w:val="10"/>
                <w:szCs w:val="10"/>
                <w:i w:val="1"/>
                <w:iCs w:val="1"/>
                <w:color w:val="FFFFFF"/>
              </w:rPr>
              <w:t>(1)</w:t>
            </w:r>
          </w:p>
        </w:tc>
        <w:tc>
          <w:tcPr>
            <w:tcW w:w="9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80" w:type="dxa"/>
            <w:vAlign w:val="bottom"/>
            <w:shd w:val="clear" w:color="auto" w:fill="4C4C4C"/>
          </w:tcPr>
          <w:p>
            <w:pPr>
              <w:jc w:val="right"/>
              <w:ind w:right="209"/>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0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65"/>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Crude oil and NGL ($ per barrel)</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69.85</w:t>
            </w:r>
          </w:p>
        </w:tc>
        <w:tc>
          <w:tcPr>
            <w:tcW w:w="1280" w:type="dxa"/>
            <w:vAlign w:val="bottom"/>
          </w:tcPr>
          <w:p>
            <w:pPr>
              <w:jc w:val="right"/>
              <w:ind w:right="229"/>
              <w:spacing w:after="0"/>
              <w:rPr>
                <w:sz w:val="20"/>
                <w:szCs w:val="20"/>
                <w:color w:val="auto"/>
              </w:rPr>
            </w:pPr>
            <w:r>
              <w:rPr>
                <w:rFonts w:ascii="Times New Roman" w:cs="Times New Roman" w:eastAsia="Times New Roman" w:hAnsi="Times New Roman"/>
                <w:sz w:val="20"/>
                <w:szCs w:val="20"/>
                <w:color w:val="auto"/>
              </w:rPr>
              <w:t>87.25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61.89</w:t>
            </w:r>
          </w:p>
        </w:tc>
      </w:tr>
      <w:tr>
        <w:trPr>
          <w:trHeight w:val="318"/>
        </w:trPr>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Natural gas ($ per thousand cubic feet)</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1280" w:type="dxa"/>
            <w:vAlign w:val="bottom"/>
            <w:tcBorders>
              <w:bottom w:val="single" w:sz="8" w:color="4C4C4C"/>
            </w:tcBorders>
          </w:tcPr>
          <w:p>
            <w:pPr>
              <w:jc w:val="right"/>
              <w:ind w:right="229"/>
              <w:spacing w:after="0"/>
              <w:rPr>
                <w:sz w:val="20"/>
                <w:szCs w:val="20"/>
                <w:color w:val="auto"/>
              </w:rPr>
            </w:pPr>
            <w:r>
              <w:rPr>
                <w:rFonts w:ascii="Times New Roman" w:cs="Times New Roman" w:eastAsia="Times New Roman" w:hAnsi="Times New Roman"/>
                <w:sz w:val="20"/>
                <w:szCs w:val="20"/>
                <w:color w:val="auto"/>
              </w:rPr>
              <w:t>7.48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4.33</w:t>
            </w:r>
          </w:p>
        </w:tc>
      </w:tr>
    </w:tbl>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vertAlign w:val="superscript"/>
        </w:rPr>
        <w:t>(1)</w:t>
      </w:r>
      <w:r>
        <w:rPr>
          <w:rFonts w:ascii="Times New Roman" w:cs="Times New Roman" w:eastAsia="Times New Roman" w:hAnsi="Times New Roman"/>
          <w:sz w:val="16"/>
          <w:szCs w:val="16"/>
          <w:i w:val="1"/>
          <w:iCs w:val="1"/>
          <w:color w:val="auto"/>
        </w:rPr>
        <w:t xml:space="preserve"> Consolidated subsidiaries.</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Crude oil, natural gas, petroleum product, and chemical prices have fluctuated in response to changing market forces. The impacts of these price fluctuations on earnings have varied across the Corporation's operating segments. For the year 2024, a $1 per barrel change in the weighted-average realized price of oil would have approximately a $525 million annual after-tax effect on Upstream consolidated plus equity company earnings, excluding the impact of derivatives. Similarly, a $0.10 per thousand cubic feet change in the worldwide average gas realization would have approximately a $130 million annual after-tax effect on Upstream consolidated plus equity company earnings, excluding the impact of derivatives. For any given period, the extent of actual benefit or detriment will be dependent on the price movements of individual types of crude oil, results of trading activities, taxes and other government take impacts, price adjustment lags in long-term gas contracts, and crude and gas production volumes. Accordingly, changes in benchmark prices for crude oil and natural gas only provide broad indicators of changes in the earnings experienced in any particular period.</w:t>
      </w:r>
    </w:p>
    <w:p>
      <w:pPr>
        <w:spacing w:after="0" w:line="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very competitive petroleum and petrochemical environment, earnings are primarily determined by margin capture rather than absolute price levels of products sold. Refining margins are a function of the difference between what a refiner pays for its raw materials (primarily crude oil) and the market prices for the range of products produced. These prices in turn depend on global and regional supply/demand balances, inventory levels, refinery operations, import/export balances and weather.</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global energy markets can give rise to extended periods in which market conditions are adverse to one or more of the Corporation’s businesses. Such conditions, along with the capital-intensive nature of the industry and very long lead times associated with many of our projects, underscore the importance of maintaining a strong financial position. Management views the Corporation’s financial strength as a competitive advantage.</w:t>
      </w:r>
    </w:p>
    <w:p>
      <w:pPr>
        <w:sectPr>
          <w:pgSz w:w="11880" w:h="15480" w:orient="portrait"/>
          <w:cols w:equalWidth="0" w:num="1">
            <w:col w:w="10600"/>
          </w:cols>
          <w:pgMar w:left="640" w:top="491" w:right="640" w:bottom="0" w:gutter="0" w:footer="0" w:header="0"/>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600"/>
          </w:cols>
          <w:pgMar w:left="640" w:top="491" w:right="640" w:bottom="0" w:gutter="0" w:footer="0" w:header="0"/>
          <w:type w:val="continuous"/>
        </w:sectPr>
      </w:pPr>
    </w:p>
    <w:bookmarkStart w:id="79" w:name="page80"/>
    <w:bookmarkEnd w:id="79"/>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general, segment results are not dependent on the ability to sell and/or purchase products to/from other segments. Instead, where such sales take place, they are the result of efficiencies and competitive advantages of integrated refinery and chemical complexes. Additionally, intersegment sales are at market-based prices. The products bought and sold between segments can also be acquired in worldwide markets that have substantial liquidity, capacity, and transportation capabilities. Refer to Note 18 for additional information on intersegment revenue.</w:t>
      </w:r>
    </w:p>
    <w:p>
      <w:pPr>
        <w:spacing w:after="0" w:line="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Although price levels of crude oil and natural gas may rise or fall significantly over the short to medium term due to global economic conditions, political events, decisions by OPEC and other major government resource owners and other factors, industry economics over the long term will continue to be driven by market supply and demand. The Corporation evaluates investments over a range of prices, including estimated greenhouse gas emission costs even in jurisdictions without a current greenhouse gas pricing policy.</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Corporation has an active asset management program in which nonstrategic assets are considered for divestment. The asset management program includes a disciplined, regular review to ensure that assets are contributing to the Corporation’s strategic objectives.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Risk Management</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Corporation’s size, strong capital structure, geographic diversity, and the complementary nature of its business segments reduce the Corporation’s enterprise-wide risk from changes in commodity prices, currency rates, and interest rates. In addition, the Corporation uses commodity-based contracts, including derivatives, to manage commodity price risk and to generate returns from trading. The Corporation’s commodity derivatives are not accounted for under hedge accounting. At times, the Corporation also enters into currency and interest rate derivatives, none of which are material to the Corporation’s financial position as of December 31, 2023 and 2022, or results of operations for the years ended 2023, 2022, and 2021. Credit risk associated with the Corporation’s derivative position is mitigated by several factors, including the use of derivative clearing exchanges and the quality of and financial limits placed on derivative counterparties. No material market or credit risks to the Corporation’s financial position, results of operations or liquidity exist as a result of the derivatives described in Note 13. The Corporation maintains a system of controls that includes the authorization, reporting and monitoring of derivative activity.</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Corporation is exposed to changes in interest rates, primarily on its short-term debt and the portion of long-term debt that carries floating interest rates. The impact of a 100-basis-point change in interest rates affecting the Corporation’s debt would not be material to earnings or cash flow. The Corporation has access to significant capacity of long-term and short-term liquidity. Internally generated funds are generally expected to cover financial requirements, supplemented by long-term and short-term debt as required. Commercial paper is used to balance short-term liquidity requirements. Some joint-venture partners are dependent on the credit markets, and their funding ability may impact the development pace of joint-venture projects.</w:t>
      </w:r>
    </w:p>
    <w:p>
      <w:pPr>
        <w:spacing w:after="0" w:line="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The Corporation conducts business in many foreign currencies and is subject to exchange rate risk on cash flows related to sales, expenses, financing, and investment transactions. Fluctuations in exchange rates are often offsetting and the impacts on ExxonMobil’s geographically and functionally diverse operations are varied. The Corporation makes limited use of currency exchange contracts to mitigate the impact of changes in currency values, and exposures related to the Corporation’s use of these contracts are not material.</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600"/>
          </w:cols>
          <w:pgMar w:left="640" w:top="491" w:right="640" w:bottom="0" w:gutter="0" w:footer="0" w:header="0"/>
          <w:type w:val="continuous"/>
        </w:sectPr>
      </w:pPr>
    </w:p>
    <w:bookmarkStart w:id="80" w:name="page81"/>
    <w:bookmarkEnd w:id="80"/>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CRITICAL ACCOUNTING ESTIMATES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Corporation’s accounting and financial reporting fairly reflect its integrated business model involving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lower-emission fuels and lithium. The preparation of financial statements in conformity with U.S. Generally Accepted Accounting Principles (GAAP) requires management to make estimates and judgments that affect the reported amounts of assets, liabilities, revenues, and expenses and the disclosure of contingent assets and liabilities. The Corporation’s accounting policies are summarized in Note 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Oil and Natural Gas Reserves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estimation of proved oil and natural gas reserve volumes is an ongoing process based on rigorous technical evaluations, commercial and market assessments, and detailed analysis of well information such as flow rates and reservoir pressure declines, development and production costs, and other factors. The estimation of proved reserves is controlled by the Corporation through long-standing approval guidelines. Reserve changes are made within a well-established, disciplined process driven by senior level geoscience and engineering professionals, assisted by the Global Reserves and Resources Group which has significant technical experience, culminating in reviews with and approval by senior management. Notably, the Corporation does not use specific quantitative reserve targets to determine compensation. Key features of the reserve estimation process are covered in Disclosure of Reserves in Item 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Oil and natural gas reserves include both proved and unproved reserves.</w:t>
      </w:r>
    </w:p>
    <w:p>
      <w:pPr>
        <w:spacing w:after="0" w:line="103" w:lineRule="exact"/>
        <w:rPr>
          <w:sz w:val="20"/>
          <w:szCs w:val="20"/>
          <w:color w:val="auto"/>
        </w:rPr>
      </w:pPr>
    </w:p>
    <w:p>
      <w:pPr>
        <w:jc w:val="both"/>
        <w:ind w:left="720" w:hanging="359"/>
        <w:spacing w:after="0" w:line="252"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Proved oil and natural gas reserves are determined in accordance with Securities and Exchange Commission (SEC) requirements. Proved reserves are those quantities of oil and natural gas which, by analysis of geoscience and engineering data, can be estimated with reasonable certainty to be economically producible under existing economic and operating conditions and government regulations. Proved reserves are determined using the average of first-of-month oil and natural gas prices during the reporting year.</w:t>
      </w:r>
    </w:p>
    <w:p>
      <w:pPr>
        <w:spacing w:after="0" w:line="66" w:lineRule="exact"/>
        <w:rPr>
          <w:rFonts w:ascii="Times New Roman" w:cs="Times New Roman" w:eastAsia="Times New Roman" w:hAnsi="Times New Roman"/>
          <w:sz w:val="20"/>
          <w:szCs w:val="20"/>
          <w:color w:val="auto"/>
        </w:rPr>
      </w:pPr>
    </w:p>
    <w:p>
      <w:pPr>
        <w:jc w:val="both"/>
        <w:ind w:left="72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Proved reserves can be further subdivided into developed and undeveloped reserves. Proved developed reserves include amounts which are expected to be recovered through existing wells with existing equipment and operating methods. Proved undeveloped reserves include amounts expected to be recovered from new wells on undrilled proved acreage or from existing wells where a relatively major expenditure is required for completion. Proved undeveloped reserves are recognized only if a development plan has been adopted indicating that the reserves are scheduled to be drilled within five years, unless specific circumstances support a longer period of time.</w:t>
      </w:r>
    </w:p>
    <w:p>
      <w:pPr>
        <w:spacing w:after="0" w:line="66" w:lineRule="exact"/>
        <w:rPr>
          <w:rFonts w:ascii="Times New Roman" w:cs="Times New Roman" w:eastAsia="Times New Roman" w:hAnsi="Times New Roman"/>
          <w:sz w:val="20"/>
          <w:szCs w:val="20"/>
          <w:color w:val="auto"/>
        </w:rPr>
      </w:pPr>
    </w:p>
    <w:p>
      <w:pPr>
        <w:jc w:val="both"/>
        <w:ind w:left="72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reasonably certain that proved reserves will be produced. However, the timing and amount recovered can be affected by a number of factors including completion of development projects, reservoir performance, regulatory approvals, government policy, consumer preferences, and significant changes in oil and natural gas price levels.</w:t>
      </w:r>
    </w:p>
    <w:p>
      <w:pPr>
        <w:spacing w:after="0" w:line="59" w:lineRule="exact"/>
        <w:rPr>
          <w:rFonts w:ascii="Times New Roman" w:cs="Times New Roman" w:eastAsia="Times New Roman" w:hAnsi="Times New Roman"/>
          <w:sz w:val="20"/>
          <w:szCs w:val="20"/>
          <w:color w:val="auto"/>
        </w:rPr>
      </w:pPr>
    </w:p>
    <w:p>
      <w:pPr>
        <w:ind w:left="720" w:hanging="359"/>
        <w:spacing w:after="0" w:line="273"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Unproved reserves are quantities of oil and natural gas with less than reasonable certainty of recoverability and include probable reserves. Probable reserves are reserves that, together with proved reserves, are as likely as not to be recovered.</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Revisions in previously estimated volumes of proved reserves for existing fields can occur due to the evaluation or re-evaluation of (1) already available geologic, reservoir, or production data, (2) new geologic, reservoir, or production data, or (3) changes in the average of first-of-month oil and natural gas prices and/or costs that are used in the estimation of reserves. Revisions can also result from significant changes in development strategy or production equipment and facility capacity.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Unit-of-Production Depreciation</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Oil and natural gas reserve volumes are used as the basis to calculate unit-of-production depreciation rates for most upstream assets. Depreciation is calculated by taking the ratio of asset cost to total proved reserves or proved developed reserves applied to actual production. The volumes produced and asset cost are known, while proved reserves are based on estimates that are subject to some variability.</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ectPr>
          <w:pgSz w:w="11880" w:h="15480" w:orient="portrait"/>
          <w:cols w:equalWidth="0" w:num="1">
            <w:col w:w="10600"/>
          </w:cols>
          <w:pgMar w:left="640" w:top="491" w:right="640" w:bottom="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600"/>
          </w:cols>
          <w:pgMar w:left="640" w:top="491" w:right="640" w:bottom="0" w:gutter="0" w:footer="0" w:header="0"/>
          <w:type w:val="continuous"/>
        </w:sectPr>
      </w:pPr>
    </w:p>
    <w:bookmarkStart w:id="81" w:name="page82"/>
    <w:bookmarkEnd w:id="81"/>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Impairment</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tests assets or groups of assets for recoverability on an ongoing basis whenever events or changes in circumstances indicate that the carrying amounts may not be recoverable. The Corporation has a robust process to monitor for indicators of potential impairment across its asset groups throughout the year. This process is aligned with the requirements of ASC 360 and ASC 932, and relies, in part, on the Corporation’s planning and budgeting cycle.</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Because the lifespans of the vast majority of the Corporation’s major assets are measured in decades, the future cash flows of these assets are predominantly based on long-term oil and natural gas commodity prices and industry margins, development costs, and production costs. Significant reductions in the Corporation’s view of oil or natural gas commodity prices or margin ranges, especially the longer-term prices and margins, and changes in the development plans, including decisions to defer, reduce, or eliminate planned capital spending, can be an indicator of potential impairment. Other events or changes in circumstances, including indicators outlined in ASC 360, can be indicators of potential impairment as well.</w:t>
      </w:r>
    </w:p>
    <w:p>
      <w:pPr>
        <w:spacing w:after="0" w:line="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alternative energy sources, and levels of prosperity. During the lifespan of its major assets, the Corporation expects that oil and gas prices and industry margins will experience significant volatility. Consequently, these assets will experience periods of higher earnings and periods of lower earnings, or even losses. In assessing whether events or changes in circumstances indicate the carrying value of an asset may not be recoverable, the Corporation considers recent periods of operating losses in the context of its longer-term view of prices and margins.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Global Outlook and Cash Flow Assessment. </w:t>
      </w:r>
      <w:r>
        <w:rPr>
          <w:rFonts w:ascii="Times New Roman" w:cs="Times New Roman" w:eastAsia="Times New Roman" w:hAnsi="Times New Roman"/>
          <w:sz w:val="20"/>
          <w:szCs w:val="20"/>
          <w:color w:val="auto"/>
        </w:rPr>
        <w:t>The annual planning and budgeting process, known as the Corporate Plan, is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mechanism by which resources (capital, operating expenses, and people) are allocated across the Corporation. The foundation for the assumptions supporting the Corporate Plan is the Global Outlook (Outlook), which contains the Corporation’s demand and supply projections based on its assessment of current trends in technology, government policies, consumer preferences, geopolitics, economic development, and other factors. Reflective of the existing global policy environment, the Outlook does not attempt to project the degree of necessary future policy and technology advancement and deployment for the world, or the Corporation, to meet net zero by 2050. As future policies and technology advancements emerge, they will be incorporated into the Outlook, and the Corporation’s business plans will be updated accordingly.</w:t>
      </w:r>
    </w:p>
    <w:p>
      <w:pPr>
        <w:spacing w:after="0" w:line="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assumptions developed in the Corporate Plan, which is reviewed and approved by the Board of Directors,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including greenhouse gas emission prices, and foreign currency exchange rates. Notably, when assessing future cash flows, the Corporation includes the estimated costs in support of reaching its 2030 greenhouse gas emission-reduction plans, including its goal of net-zero Scope 1 and 2 greenhouse gas emissions from unconventional operated assets in the Permian Basin. Volumes are based on projected field and facility production profiles, throughput, or sales. Management’s estimate of upstream production volumes used for projected cash flows makes use of proved reserve quantities and may include risk-adjusted unproved reserve quantities. ExxonMobil considers a range of scenarios - including remote scenarios - to help inform perspective of the future and enhance strategic thinking over time. While third-party scenarios may be used for these purposes, they are not used as a basis for developing future cash flows for impairment assessments. As part of the Corporate Plan, the Company considers estimated greenhouse gas emission costs, even for jurisdictions without a current greenhouse gas pricing policy.</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of Impaired Assets. </w:t>
      </w:r>
      <w:r>
        <w:rPr>
          <w:rFonts w:ascii="Times New Roman" w:cs="Times New Roman" w:eastAsia="Times New Roman" w:hAnsi="Times New Roman"/>
          <w:sz w:val="20"/>
          <w:szCs w:val="20"/>
          <w:color w:val="auto"/>
        </w:rPr>
        <w:t>An asset group is impaired if its estimated undiscounted cash flows are less than the asset group’s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carrying value. Impairments are measured by the excess of the carrying value over fair value. The assessment of fair value is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throughput and product sales volumes, commodity prices (which are consistent with the average of third-party industry experts and government agencies), refining and chemical margins, drilling and development costs, operating costs, and discount rates which are reflective of the characteristics of the asset group.</w:t>
      </w:r>
    </w:p>
    <w:p>
      <w:pPr>
        <w:sectPr>
          <w:pgSz w:w="11880" w:h="15480" w:orient="portrait"/>
          <w:cols w:equalWidth="0" w:num="1">
            <w:col w:w="10600"/>
          </w:cols>
          <w:pgMar w:left="640" w:top="491" w:right="64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600"/>
          </w:cols>
          <w:pgMar w:left="640" w:top="491" w:right="640" w:bottom="0" w:gutter="0" w:footer="0" w:header="0"/>
          <w:type w:val="continuous"/>
        </w:sectPr>
      </w:pPr>
    </w:p>
    <w:bookmarkStart w:id="82" w:name="page83"/>
    <w:bookmarkEnd w:id="82"/>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Impairment Estimates. </w:t>
      </w:r>
      <w:r>
        <w:rPr>
          <w:rFonts w:ascii="Times New Roman" w:cs="Times New Roman" w:eastAsia="Times New Roman" w:hAnsi="Times New Roman"/>
          <w:sz w:val="20"/>
          <w:szCs w:val="20"/>
          <w:color w:val="auto"/>
        </w:rPr>
        <w:t>Unproved properties are assessed periodically to determine whether they have been impaired.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Significant unproved 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6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Long-lived assets that are held for sale are evaluated for possible impairment by comparing the carrying value of the asset with its fair value less the cost to sell. If the net book value exceeds the fair value less cost to sell, the assets are considered impaired and adjusted to the lower value. Judgment is required to determine if assets are held for sale and to determine the fair value less cost to sell.</w:t>
      </w:r>
    </w:p>
    <w:p>
      <w:pPr>
        <w:spacing w:after="0" w:line="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Investments accounted for by the equity method are assessed for possible impairment when events or changes in circumstances indicate that the carrying value of an investment may not be recoverable. Examples of key indicators include a history of operating losses, negative earnings and cash flow outlook, significant downward revisions to oil and gas reserves, and the financial condition and prospects for the investee’s business segment or geographic region. If the decline in value of the investment is other than temporary, the carrying value of the investment is written down to fair value. In the absence of market prices for the investment, discounted cash flows are used to assess fair value, which requires significant judgment.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Recent Impairments. </w:t>
      </w:r>
      <w:r>
        <w:rPr>
          <w:rFonts w:ascii="Times New Roman" w:cs="Times New Roman" w:eastAsia="Times New Roman" w:hAnsi="Times New Roman"/>
          <w:sz w:val="20"/>
          <w:szCs w:val="20"/>
          <w:color w:val="auto"/>
        </w:rPr>
        <w:t>In 2023, the Corporation recognized after-tax charges of $3.4 billion, primarily related to the idled Upstream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Santa Ynez Unit assets and associated facilities in California, which reflected the continuing challenges in the state regulatory environment that impeded progress towards restoring operations. Other impairments in the year included a $0.6 billion charge related to an Upstream equity investment.</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early 2022, in response to Russia’s military action in Ukraine, the Corporation announced that it planned to discontinue operations on the Sakhalin-1 project (“Sakhalin”) and develop steps to exit the venture. The Corporation’s first quarter 2022 results included after-tax charges of $3.0 billion representing the impairment of its Upstream operations related to Sakhalin. (Refer to Note 2 for further information on Russia.) During 2022, other after-tax impairment charges of $1.6 billion and $0.3 billion were recognized in Upstream and Energy Products, respectively.</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 2021, largely as a result of changes to Upstream development plans, the Corporation recognized after-tax impairment charges of approximately $1 billion.</w:t>
      </w:r>
    </w:p>
    <w:p>
      <w:pPr>
        <w:spacing w:after="0" w:line="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Factors which could put further assets at risk of impairment in the future include reductions in the Corporation’s price or margin outlooks, changes in the allocation of capital or development plans, reduced long-term demand for the Corporation's products, and operating cost increases which exceed the pace of efficiencies or the pace of oil and natural gas price or margin increases. However, due to the inherent difficulty in predicting future commodity prices or margins, and the relationship between industry prices and costs, it is not practicable to reasonably estimate the existence or range of any potential future impairment charges related to the Corporation’s long-lived assets.</w:t>
      </w:r>
    </w:p>
    <w:p>
      <w:pPr>
        <w:spacing w:after="0" w:line="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For further information regarding impairments in equity method investments, property, plant, and equipment, and suspended wells, refer to Notes 7, 9, and 10,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Asset Retirement Obligations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 is subject to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See Note 9 for further information regarding asset retirement obligations.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Suspended Exploratory Well Costs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 continues capitalization of exploratory well costs when it has found a sufficient quantity of reserves to justify completion as a producing well and the Corporation is making sufficient progress assessing the reserves and the economic and operating viability of the project. Exploratory well costs not meeting these criteria are charged to expense. Assessing whether the Corporation is making sufficient progress on a project requires careful consideration of the facts and circumstances. The facts and circumstances that support continued capitalization of suspended wells at year-end are disclosed in Note 10.</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600"/>
          </w:cols>
          <w:pgMar w:left="640" w:top="491" w:right="640" w:bottom="0" w:gutter="0" w:footer="0" w:header="0"/>
          <w:type w:val="continuous"/>
        </w:sectPr>
      </w:pPr>
    </w:p>
    <w:bookmarkStart w:id="83" w:name="page84"/>
    <w:bookmarkEnd w:id="83"/>
    <w:p>
      <w:pPr>
        <w:ind w:right="380"/>
        <w:spacing w:after="0" w:line="276" w:lineRule="auto"/>
        <w:rPr>
          <w:sz w:val="20"/>
          <w:szCs w:val="20"/>
          <w:color w:val="auto"/>
        </w:rPr>
      </w:pPr>
      <w:r>
        <w:rPr>
          <w:rFonts w:ascii="Times New Roman" w:cs="Times New Roman" w:eastAsia="Times New Roman" w:hAnsi="Times New Roman"/>
          <w:sz w:val="24"/>
          <w:szCs w:val="24"/>
          <w:b w:val="1"/>
          <w:bCs w:val="1"/>
          <w:color w:val="4C4C4C"/>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Pension Benefits</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Corporation and its affiliates sponsor about 75 defined benefit (pension) plans in 40 countries. The Pension and Other Postretirement Benefits footnote (Note 17) provides details on pension obligations, fund assets, and pension expense.</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Some of these plans (primarily non-U.S.) provide pension benefits that are paid directly by their sponsoring affiliates out of corporate cash flow rather than a separate pension fund because applicable tax rules and regulatory practices do not encourage advance funding. Book reserves are established for these plans. The portion of the pension cost attributable to employee service is expensed as services are rendered. The portion attributable to the increase in pension obligations due to the passage of time is expensed over the term of the obligations, which ends when all benefits are paid. The primary difference in pension expense for unfunded versus funded plans is that pension expense for funded plans also includes a credit for the expected long-term return on fund assets.</w:t>
      </w:r>
    </w:p>
    <w:p>
      <w:pPr>
        <w:spacing w:after="0" w:line="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 funded plans, including those in the U.S., pension obligations are financed in advance through segregated assets or insurance arrangements. These plans are managed in compliance with the requirements of governmental authorities and meet or exceed required funding levels as measured by relevant actuarial and government standards at the mandated measurement dates. In determining liabilities and required contributions, these standards often require approaches and assumptions that differ from those used for accounting purposes.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Corporation will continue to make contributions to these funded plans as necessary. All defined-benefit pension obligations, regardless of the funding status of the underlying plans, are fully supported by the financial strength of the Corporation or the respective sponsoring affiliate.</w:t>
      </w:r>
    </w:p>
    <w:p>
      <w:pPr>
        <w:spacing w:after="0" w:line="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Pension accounting requires explicit assumptions regarding, among others, the long-term expected earnings rate on fund assets, the discount rate for the benefit obligations, and the long-term rate for future salary increases. Pension assumptions are reviewed annually by outside actuaries and senior management. These assumptions are adjusted as appropriate to reflect changes in market rates and outlook. The long-term expected earnings rate on U.S. pension plan assets in 2023 was 5.2 percent. The 10-year and 20-year actual returns on U.S. pension plan assets were 5 percent and 6 percent, respectively. The Corporation establishes the long-term expected rate of return by developing a forward-looking, long-term return assumption for each pension fund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 A worldwide reduction of 0.5 percent in the long-term rate of return on assets would increase annual pension expense by approximately $150 million before tax.</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Differences between actual returns on fund assets and the long-term expected return are not recognized in pension expense in the year that the difference occurs. Such differences are deferred, along with other actuarial gains and losses, and are amortized into pension expense over the expected remaining service life of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Litigation and Tax Contingencies</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 variety of claims have been made against the Corporation and certain of its consolidated subsidiaries in a number of pending lawsuits. The Corporation accrues an undiscounted liability for those contingencies where the incurrence of a loss is probable and the amount can be reasonably estimated. For contingencies where an unfavorable outcome is reasonably possible and significant, the Corporation discloses the nature of the contingency and, where feasible, an estimate of the possible loss. As described in Note 16, for purposes of our contingency disclosures, “significant” includes material matters, as well as other matters, which management believes should be disclosed. Management has regular litigation reviews, including updates from corporate and outside counsel, to assess the need for accounting recognition or disclosure of these contingencies. The status of significant claims is summarized in Note 16.</w:t>
      </w:r>
    </w:p>
    <w:p>
      <w:pPr>
        <w:spacing w:after="0" w:line="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judgment is required related to contingent liabilities and the outcome of litigation because both are difficult to predict. However, the Corporation has been successful in defending litigation in the past. Payments have not had a material adverse effect on our operations or financial condition. In the Corporation’s experience, large claims often do not result in large awards. Large awards are often reversed or substantially reduced as a result of appeal or settlement.</w:t>
      </w:r>
    </w:p>
    <w:p>
      <w:pPr>
        <w:spacing w:after="0" w:line="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Corporation is subject to income taxation in many jurisdictions around the world. The benefits of uncertain tax positions 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Significant management judgment is required in the accounting for income tax contingencies and tax disputes because the outcomes are often difficult to predict. The Corporation’s unrecognized tax benefits and a description of open tax years are summarized in Note 19.</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600"/>
          </w:cols>
          <w:pgMar w:left="640" w:top="491" w:right="64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4"/>
          <w:szCs w:val="24"/>
          <w:b w:val="1"/>
          <w:bCs w:val="1"/>
          <w:color w:val="4C4C4C"/>
        </w:rPr>
        <w:t>MANAGEMENT’S REPORT ON INTERNAL CONTROL OVER FINANCIAL REPORTING</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Management, including the Corporation’s Chief Executive Officer, Chief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this evaluation, management concluded that Exxon Mobil Corporation’s internal control over financial reporting was effective as of December 31, 2023.</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excluded Denbury Inc. from our assessment of internal control over financial reporting as of December 31, 2023 because it was acquired by the Corporation in a business combination during 2023. Total assets and total revenues of Denbury Inc., a wholly owned subsidiary, represent two percent and less than one percent, respectively, of the related consolidated financial statement amounts as of and for the year ended December 31, 2023.</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PricewaterhouseCoopers LLP, an independent registered public accounting firm, audited the effectiveness of the Corporation’s internal control over financial reporting as of December 31, 2023, as stated in their report included in the Financial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287655</wp:posOffset>
            </wp:positionV>
            <wp:extent cx="1120140" cy="544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0">
                      <a:extLst>
                        <a:ext uri="{28A0092B-C50C-407E-A947-70E740481C1C}"/>
                      </a:extLst>
                    </a:blip>
                    <a:srcRect/>
                    <a:stretch>
                      <a:fillRect/>
                    </a:stretch>
                  </pic:blipFill>
                  <pic:spPr bwMode="auto">
                    <a:xfrm>
                      <a:off x="0" y="0"/>
                      <a:ext cx="1120140" cy="54483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300355</wp:posOffset>
            </wp:positionV>
            <wp:extent cx="3668395" cy="532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1">
                      <a:extLst>
                        <a:ext uri="{28A0092B-C50C-407E-A947-70E740481C1C}"/>
                      </a:extLst>
                    </a:blip>
                    <a:srcRect/>
                    <a:stretch>
                      <a:fillRect/>
                    </a:stretch>
                  </pic:blipFill>
                  <pic:spPr bwMode="auto">
                    <a:xfrm>
                      <a:off x="0" y="0"/>
                      <a:ext cx="3668395" cy="53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42"/>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4C4C4C"/>
              </w:rPr>
              <w:t>Darren W. Woods</w:t>
            </w:r>
          </w:p>
        </w:tc>
        <w:tc>
          <w:tcPr>
            <w:tcW w:w="344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4C4C4C"/>
              </w:rPr>
              <w:t>Kathryn A. Mikells</w:t>
            </w:r>
          </w:p>
        </w:tc>
        <w:tc>
          <w:tcPr>
            <w:tcW w:w="3060" w:type="dxa"/>
            <w:vAlign w:val="bottom"/>
          </w:tcPr>
          <w:p>
            <w:pPr>
              <w:ind w:left="640"/>
              <w:spacing w:after="0"/>
              <w:rPr>
                <w:sz w:val="20"/>
                <w:szCs w:val="20"/>
                <w:color w:val="auto"/>
              </w:rPr>
            </w:pPr>
            <w:r>
              <w:rPr>
                <w:rFonts w:ascii="Times New Roman" w:cs="Times New Roman" w:eastAsia="Times New Roman" w:hAnsi="Times New Roman"/>
                <w:sz w:val="20"/>
                <w:szCs w:val="20"/>
                <w:b w:val="1"/>
                <w:bCs w:val="1"/>
                <w:color w:val="4C4C4C"/>
              </w:rPr>
              <w:t>Len M. Fox</w:t>
            </w:r>
          </w:p>
        </w:tc>
      </w:tr>
      <w:tr>
        <w:trPr>
          <w:trHeight w:val="23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34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Senior Vice President and</w:t>
            </w:r>
          </w:p>
        </w:tc>
        <w:tc>
          <w:tcPr>
            <w:tcW w:w="3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Vice President and Controller</w:t>
            </w:r>
          </w:p>
        </w:tc>
      </w:tr>
      <w:tr>
        <w:trPr>
          <w:trHeight w:val="257"/>
        </w:trPr>
        <w:tc>
          <w:tcPr>
            <w:tcW w:w="2620" w:type="dxa"/>
            <w:vAlign w:val="bottom"/>
          </w:tcPr>
          <w:p>
            <w:pPr>
              <w:spacing w:after="0"/>
              <w:rPr>
                <w:sz w:val="22"/>
                <w:szCs w:val="22"/>
                <w:color w:val="auto"/>
              </w:rPr>
            </w:pPr>
          </w:p>
        </w:tc>
        <w:tc>
          <w:tcPr>
            <w:tcW w:w="34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Chief Financial Officer</w:t>
            </w:r>
          </w:p>
        </w:tc>
        <w:tc>
          <w:tcPr>
            <w:tcW w:w="306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7"/>
              </w:rPr>
              <w:t>(Principal Accounting Officer)</w:t>
            </w:r>
          </w:p>
        </w:tc>
      </w:tr>
    </w:tbl>
    <w:p>
      <w:pPr>
        <w:spacing w:after="0" w:line="200" w:lineRule="exact"/>
        <w:rPr>
          <w:sz w:val="20"/>
          <w:szCs w:val="20"/>
          <w:color w:val="auto"/>
        </w:rPr>
      </w:pP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600"/>
          </w:cols>
          <w:pgMar w:left="640" w:top="491" w:right="64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4"/>
          <w:szCs w:val="24"/>
          <w:b w:val="1"/>
          <w:bCs w:val="1"/>
          <w:color w:val="4C4C4C"/>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Shareholders of Exxon Mobil Corporation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Exxon Mobil Corporation and its subsidiaries (the “Corporation”) as of December 31, 2023 and 2022, and the related consolidated statements of income, of comprehensive income, of changes in equity and of cash flows for each of the three years in the period ended December 31, 2023, including the related notes (collectively referred to as the “consolidated financial statements”). We also have audited the Corporation's internal control over financial reporting as of December 31, 2023, based on criteria established in Internal Control - Integrated Framework (2013) issued by the Committee of Sponsoring Organizations of the Treadway Commission (COSO).</w:t>
      </w:r>
    </w:p>
    <w:p>
      <w:pPr>
        <w:spacing w:after="0" w:line="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our opinion, the consolidated financial statements referred to above present fairly, in all material respects, the financial position of the Corporation as of December 31, 2023 and 2022, and the results of its operations and its cash flows for each of the three years in the period ended December 31, 2023 in conformity with accounting principles generally accepted in the United States of America. Also in our opinion, the Corporation maintained, in all material respects, effective internal control over financial reporting as of December 31, 2023, based on criteria established in Internal Control - Integrated Framework (2013) issued by the COSO.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Corporation's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Corporation’s consolidated financial statements and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described in Management’s Report on Internal Control Over Financial Reporting, management has excluded Denbury Inc. from its assessment of internal control over financial reporting as of December 31, 2023 because it was acquired by the Company in a business combination during 2023. We have also excluded Denbury Inc. from our audit of internal control over financial reporting. Denbury Inc. is a wholly-owned subsidiary whose total assets and total revenues excluded from management’s assessment and our audit of internal control over financial reporting represent two percent and less than one percent, respectively, of the related consolidated financial statement amounts as of and for the year ended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600"/>
          </w:cols>
          <w:pgMar w:left="640" w:top="491" w:right="640" w:bottom="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600"/>
          </w:cols>
          <w:pgMar w:left="640" w:top="491" w:right="64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4"/>
          <w:szCs w:val="24"/>
          <w:b w:val="1"/>
          <w:bCs w:val="1"/>
          <w:color w:val="4C4C4C"/>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Impact of Proved Developed Oil and Natural Gas Reserves on Upstream Property, Plant and Equipment, Net</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As described in Notes 1, 9 and 18 to the consolidated financial statements, the Corporation's consolidated upstream property, plant and equipment (PP&amp;E), net balance was $148.2 billion as of December 31, 2023, and the related depreciation and depletion expense for the year ended December 31, 2023 was $16.6 billion. Management uses the successful efforts method to account for its exploration and production activities. Costs incurred to purchase, lease, or otherwise acquire a property (whether unproved or proved) are capitalized when incurred. As disclosed by management, proved oil and natural gas reserve volumes are used as the basis to calculate unit-of-production depreciation rates for most upstream assets. The estimation of proved oil and natural gas reserve volumes is an ongoing process based on technical evaluations, commercial and market assessments, and detailed analysis of well information such as flow rates and reservoir pressure declines, development and production costs, among other factors. As further disclosed by management, reserve changes are made within a well-established, disciplined process driven by senior level geoscience and engineering professionals, assisted by the Global Reserves and Resources Group (together "management's specialists").</w:t>
      </w:r>
    </w:p>
    <w:p>
      <w:pPr>
        <w:spacing w:after="0" w:line="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impact of proved developed oil and natural gas reserves on upstream PP&amp;E, net is a critical audit matter are (i) the significant judgment by management, including the use of management's specialists, when developing the estimates of proved developed oil and natural gas reserve volumes, and (ii) a high degree of auditor judgment, subjectivity, and effort in performing procedures and evaluating audit evidence related to the data, methods, and assumptions used by management and its specialists in developing the estimates of proved developed oil and natural gas reserve volumes.</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developed oil and natural gas reserve volumes. The work of management's specialists was used in performing the procedures to evaluate the reasonableness of the proved developed oil and natural gas reserve volumes. As a basis for using this work, the specialists' qualifications were understood and the Corporation’s relationship with the specialists was assessed. The procedures performed, also included i) evaluating the methods and assumptions used by the specialists, ii) testing the completeness and accuracy of the data used by the specialists related to historical production volumes, iii) evaluating the specialists' findings related to estimated future production volumes by comparing the estimate to relevant historical and current period information, as applicable.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Corporation’s auditor since 1934.</w:t>
      </w:r>
    </w:p>
    <w:p>
      <w:pPr>
        <w:sectPr>
          <w:pgSz w:w="11880" w:h="15480" w:orient="portrait"/>
          <w:cols w:equalWidth="0" w:num="1">
            <w:col w:w="10600"/>
          </w:cols>
          <w:pgMar w:left="640" w:top="49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600"/>
          </w:cols>
          <w:pgMar w:left="640" w:top="491" w:right="64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4"/>
          <w:szCs w:val="24"/>
          <w:b w:val="1"/>
          <w:bCs w:val="1"/>
          <w:color w:val="4C4C4C"/>
        </w:rPr>
        <w:t>CONSOLIDATED STATEMENT OF INCOME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920" w:type="dxa"/>
            <w:vAlign w:val="bottom"/>
            <w:shd w:val="clear" w:color="auto" w:fill="4C4C4C"/>
          </w:tcPr>
          <w:p>
            <w:pPr>
              <w:spacing w:after="0"/>
              <w:rPr>
                <w:sz w:val="16"/>
                <w:szCs w:val="16"/>
                <w:color w:val="auto"/>
              </w:rPr>
            </w:pPr>
          </w:p>
        </w:tc>
        <w:tc>
          <w:tcPr>
            <w:tcW w:w="1520" w:type="dxa"/>
            <w:vAlign w:val="bottom"/>
            <w:shd w:val="clear" w:color="auto" w:fill="4C4C4C"/>
          </w:tcPr>
          <w:p>
            <w:pPr>
              <w:jc w:val="center"/>
              <w:ind w:left="342"/>
              <w:spacing w:after="0"/>
              <w:rPr>
                <w:sz w:val="20"/>
                <w:szCs w:val="20"/>
                <w:color w:val="auto"/>
              </w:rPr>
            </w:pPr>
            <w:r>
              <w:rPr>
                <w:rFonts w:ascii="Times New Roman" w:cs="Times New Roman" w:eastAsia="Times New Roman" w:hAnsi="Times New Roman"/>
                <w:sz w:val="16"/>
                <w:szCs w:val="16"/>
                <w:b w:val="1"/>
                <w:bCs w:val="1"/>
                <w:color w:val="FFFFFF"/>
                <w:w w:val="93"/>
              </w:rPr>
              <w:t>Note</w:t>
            </w:r>
          </w:p>
        </w:tc>
        <w:tc>
          <w:tcPr>
            <w:tcW w:w="980" w:type="dxa"/>
            <w:vAlign w:val="bottom"/>
            <w:shd w:val="clear" w:color="auto" w:fill="4C4C4C"/>
          </w:tcPr>
          <w:p>
            <w:pPr>
              <w:spacing w:after="0"/>
              <w:rPr>
                <w:sz w:val="16"/>
                <w:szCs w:val="16"/>
                <w:color w:val="auto"/>
              </w:rPr>
            </w:pPr>
          </w:p>
        </w:tc>
        <w:tc>
          <w:tcPr>
            <w:tcW w:w="1180" w:type="dxa"/>
            <w:vAlign w:val="bottom"/>
            <w:shd w:val="clear" w:color="auto" w:fill="4C4C4C"/>
          </w:tcPr>
          <w:p>
            <w:pPr>
              <w:spacing w:after="0"/>
              <w:rPr>
                <w:sz w:val="16"/>
                <w:szCs w:val="16"/>
                <w:color w:val="auto"/>
              </w:rPr>
            </w:pPr>
          </w:p>
        </w:tc>
        <w:tc>
          <w:tcPr>
            <w:tcW w:w="920" w:type="dxa"/>
            <w:vAlign w:val="bottom"/>
            <w:shd w:val="clear" w:color="auto" w:fill="4C4C4C"/>
          </w:tcPr>
          <w:p>
            <w:pPr>
              <w:spacing w:after="0"/>
              <w:rPr>
                <w:sz w:val="16"/>
                <w:szCs w:val="16"/>
                <w:color w:val="auto"/>
              </w:rPr>
            </w:pPr>
          </w:p>
        </w:tc>
      </w:tr>
      <w:tr>
        <w:trPr>
          <w:trHeight w:val="168"/>
        </w:trPr>
        <w:tc>
          <w:tcPr>
            <w:tcW w:w="5920" w:type="dxa"/>
            <w:vAlign w:val="bottom"/>
            <w:shd w:val="clear" w:color="auto" w:fill="4C4C4C"/>
          </w:tcPr>
          <w:p>
            <w:pPr>
              <w:ind w:left="100"/>
              <w:spacing w:after="0" w:line="168"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520" w:type="dxa"/>
            <w:vAlign w:val="bottom"/>
            <w:shd w:val="clear" w:color="auto" w:fill="4C4C4C"/>
          </w:tcPr>
          <w:p>
            <w:pPr>
              <w:jc w:val="center"/>
              <w:ind w:left="342"/>
              <w:spacing w:after="0" w:line="168" w:lineRule="exact"/>
              <w:rPr>
                <w:sz w:val="20"/>
                <w:szCs w:val="20"/>
                <w:color w:val="auto"/>
              </w:rPr>
            </w:pPr>
            <w:r>
              <w:rPr>
                <w:rFonts w:ascii="Times New Roman" w:cs="Times New Roman" w:eastAsia="Times New Roman" w:hAnsi="Times New Roman"/>
                <w:sz w:val="16"/>
                <w:szCs w:val="16"/>
                <w:b w:val="1"/>
                <w:bCs w:val="1"/>
                <w:color w:val="FFFFFF"/>
                <w:w w:val="96"/>
              </w:rPr>
              <w:t>Reference</w:t>
            </w:r>
          </w:p>
        </w:tc>
        <w:tc>
          <w:tcPr>
            <w:tcW w:w="980" w:type="dxa"/>
            <w:vAlign w:val="bottom"/>
            <w:shd w:val="clear" w:color="auto" w:fill="4C4C4C"/>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FFFFFF"/>
              </w:rPr>
              <w:t>2023</w:t>
            </w:r>
          </w:p>
        </w:tc>
        <w:tc>
          <w:tcPr>
            <w:tcW w:w="1180" w:type="dxa"/>
            <w:vAlign w:val="bottom"/>
            <w:shd w:val="clear" w:color="auto" w:fill="4C4C4C"/>
          </w:tcPr>
          <w:p>
            <w:pPr>
              <w:jc w:val="right"/>
              <w:ind w:right="83"/>
              <w:spacing w:after="0" w:line="168" w:lineRule="exact"/>
              <w:rPr>
                <w:sz w:val="20"/>
                <w:szCs w:val="20"/>
                <w:color w:val="auto"/>
              </w:rPr>
            </w:pPr>
            <w:r>
              <w:rPr>
                <w:rFonts w:ascii="Times New Roman" w:cs="Times New Roman" w:eastAsia="Times New Roman" w:hAnsi="Times New Roman"/>
                <w:sz w:val="16"/>
                <w:szCs w:val="16"/>
                <w:b w:val="1"/>
                <w:bCs w:val="1"/>
                <w:color w:val="FFFFFF"/>
              </w:rPr>
              <w:t>2022</w:t>
            </w:r>
          </w:p>
        </w:tc>
        <w:tc>
          <w:tcPr>
            <w:tcW w:w="920" w:type="dxa"/>
            <w:vAlign w:val="bottom"/>
            <w:shd w:val="clear" w:color="auto" w:fill="4C4C4C"/>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FFFFFF"/>
              </w:rPr>
              <w:t>2021</w:t>
            </w:r>
          </w:p>
        </w:tc>
      </w:tr>
      <w:tr>
        <w:trPr>
          <w:trHeight w:val="209"/>
        </w:trPr>
        <w:tc>
          <w:tcPr>
            <w:tcW w:w="5920" w:type="dxa"/>
            <w:vAlign w:val="bottom"/>
            <w:tcBorders>
              <w:bottom w:val="single" w:sz="8" w:color="4C4C4C"/>
            </w:tcBorders>
            <w:shd w:val="clear" w:color="auto" w:fill="4C4C4C"/>
          </w:tcPr>
          <w:p>
            <w:pPr>
              <w:spacing w:after="0"/>
              <w:rPr>
                <w:sz w:val="18"/>
                <w:szCs w:val="18"/>
                <w:color w:val="auto"/>
              </w:rPr>
            </w:pPr>
          </w:p>
        </w:tc>
        <w:tc>
          <w:tcPr>
            <w:tcW w:w="1520" w:type="dxa"/>
            <w:vAlign w:val="bottom"/>
            <w:tcBorders>
              <w:bottom w:val="single" w:sz="8" w:color="4C4C4C"/>
            </w:tcBorders>
            <w:shd w:val="clear" w:color="auto" w:fill="4C4C4C"/>
          </w:tcPr>
          <w:p>
            <w:pPr>
              <w:jc w:val="center"/>
              <w:ind w:left="362"/>
              <w:spacing w:after="0"/>
              <w:rPr>
                <w:sz w:val="20"/>
                <w:szCs w:val="20"/>
                <w:color w:val="auto"/>
              </w:rPr>
            </w:pPr>
            <w:r>
              <w:rPr>
                <w:rFonts w:ascii="Times New Roman" w:cs="Times New Roman" w:eastAsia="Times New Roman" w:hAnsi="Times New Roman"/>
                <w:sz w:val="16"/>
                <w:szCs w:val="16"/>
                <w:b w:val="1"/>
                <w:bCs w:val="1"/>
                <w:color w:val="FFFFFF"/>
                <w:w w:val="98"/>
              </w:rPr>
              <w:t>Number</w:t>
            </w:r>
          </w:p>
        </w:tc>
        <w:tc>
          <w:tcPr>
            <w:tcW w:w="980" w:type="dxa"/>
            <w:vAlign w:val="bottom"/>
            <w:tcBorders>
              <w:bottom w:val="single" w:sz="8" w:color="4C4C4C"/>
            </w:tcBorders>
            <w:shd w:val="clear" w:color="auto" w:fill="4C4C4C"/>
          </w:tcPr>
          <w:p>
            <w:pPr>
              <w:spacing w:after="0"/>
              <w:rPr>
                <w:sz w:val="18"/>
                <w:szCs w:val="18"/>
                <w:color w:val="auto"/>
              </w:rPr>
            </w:pPr>
          </w:p>
        </w:tc>
        <w:tc>
          <w:tcPr>
            <w:tcW w:w="1180" w:type="dxa"/>
            <w:vAlign w:val="bottom"/>
            <w:tcBorders>
              <w:bottom w:val="single" w:sz="8" w:color="4C4C4C"/>
            </w:tcBorders>
            <w:shd w:val="clear" w:color="auto" w:fill="4C4C4C"/>
          </w:tcPr>
          <w:p>
            <w:pPr>
              <w:spacing w:after="0"/>
              <w:rPr>
                <w:sz w:val="18"/>
                <w:szCs w:val="18"/>
                <w:color w:val="auto"/>
              </w:rPr>
            </w:pPr>
          </w:p>
        </w:tc>
        <w:tc>
          <w:tcPr>
            <w:tcW w:w="920" w:type="dxa"/>
            <w:vAlign w:val="bottom"/>
            <w:tcBorders>
              <w:bottom w:val="single" w:sz="8" w:color="4C4C4C"/>
            </w:tcBorders>
            <w:shd w:val="clear" w:color="auto" w:fill="4C4C4C"/>
          </w:tcPr>
          <w:p>
            <w:pPr>
              <w:spacing w:after="0"/>
              <w:rPr>
                <w:sz w:val="18"/>
                <w:szCs w:val="18"/>
                <w:color w:val="auto"/>
              </w:rPr>
            </w:pPr>
          </w:p>
        </w:tc>
      </w:tr>
      <w:tr>
        <w:trPr>
          <w:trHeight w:val="385"/>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Revenues and other income</w:t>
            </w:r>
          </w:p>
        </w:tc>
        <w:tc>
          <w:tcPr>
            <w:tcW w:w="152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Sales and other operating revenue</w:t>
            </w:r>
          </w:p>
        </w:tc>
        <w:tc>
          <w:tcPr>
            <w:tcW w:w="1520" w:type="dxa"/>
            <w:vAlign w:val="bottom"/>
          </w:tcPr>
          <w:p>
            <w:pPr>
              <w:jc w:val="center"/>
              <w:ind w:left="362"/>
              <w:spacing w:after="0"/>
              <w:rPr>
                <w:sz w:val="20"/>
                <w:szCs w:val="20"/>
                <w:color w:val="auto"/>
              </w:rPr>
            </w:pPr>
            <w:r>
              <w:rPr>
                <w:rFonts w:ascii="Times New Roman" w:cs="Times New Roman" w:eastAsia="Times New Roman" w:hAnsi="Times New Roman"/>
                <w:sz w:val="16"/>
                <w:szCs w:val="16"/>
                <w:color w:val="auto"/>
                <w:w w:val="99"/>
              </w:rPr>
              <w:t>18</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334,697</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398,675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276,692</w:t>
            </w: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Income from equity affiliates</w:t>
            </w:r>
          </w:p>
        </w:tc>
        <w:tc>
          <w:tcPr>
            <w:tcW w:w="1520" w:type="dxa"/>
            <w:vAlign w:val="bottom"/>
          </w:tcPr>
          <w:p>
            <w:pPr>
              <w:jc w:val="center"/>
              <w:ind w:left="382"/>
              <w:spacing w:after="0"/>
              <w:rPr>
                <w:sz w:val="20"/>
                <w:szCs w:val="20"/>
                <w:color w:val="auto"/>
              </w:rPr>
            </w:pPr>
            <w:r>
              <w:rPr>
                <w:rFonts w:ascii="Times New Roman" w:cs="Times New Roman" w:eastAsia="Times New Roman" w:hAnsi="Times New Roman"/>
                <w:sz w:val="16"/>
                <w:szCs w:val="16"/>
                <w:color w:val="auto"/>
                <w:w w:val="74"/>
              </w:rPr>
              <w:t>7</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6,385</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11,463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6,657</w:t>
            </w:r>
          </w:p>
        </w:tc>
      </w:tr>
      <w:tr>
        <w:trPr>
          <w:trHeight w:val="297"/>
        </w:trPr>
        <w:tc>
          <w:tcPr>
            <w:tcW w:w="5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 income</w:t>
            </w:r>
          </w:p>
        </w:tc>
        <w:tc>
          <w:tcPr>
            <w:tcW w:w="152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3,500</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color w:val="auto"/>
              </w:rPr>
              <w:t>3,542</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2,291</w:t>
            </w:r>
          </w:p>
        </w:tc>
      </w:tr>
      <w:tr>
        <w:trPr>
          <w:trHeight w:val="274"/>
        </w:trPr>
        <w:tc>
          <w:tcPr>
            <w:tcW w:w="592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 revenues and other income</w:t>
            </w:r>
          </w:p>
        </w:tc>
        <w:tc>
          <w:tcPr>
            <w:tcW w:w="152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344,582</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413,680</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285,640</w:t>
            </w:r>
          </w:p>
        </w:tc>
      </w:tr>
      <w:tr>
        <w:trPr>
          <w:trHeight w:val="37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Costs and other deductions</w:t>
            </w:r>
          </w:p>
        </w:tc>
        <w:tc>
          <w:tcPr>
            <w:tcW w:w="152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Crude oil and product purchases</w:t>
            </w:r>
          </w:p>
        </w:tc>
        <w:tc>
          <w:tcPr>
            <w:tcW w:w="152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193,029</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228,959</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155,164</w:t>
            </w: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Production and manufacturing expenses</w:t>
            </w:r>
          </w:p>
        </w:tc>
        <w:tc>
          <w:tcPr>
            <w:tcW w:w="152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36,885</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42,609</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36,035</w:t>
            </w: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152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9,919</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10,095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9,574</w:t>
            </w: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Depreciation and depletion (includes impairments)</w:t>
            </w:r>
          </w:p>
        </w:tc>
        <w:tc>
          <w:tcPr>
            <w:tcW w:w="1520" w:type="dxa"/>
            <w:vAlign w:val="bottom"/>
          </w:tcPr>
          <w:p>
            <w:pPr>
              <w:jc w:val="center"/>
              <w:ind w:left="382"/>
              <w:spacing w:after="0"/>
              <w:rPr>
                <w:sz w:val="20"/>
                <w:szCs w:val="20"/>
                <w:color w:val="auto"/>
              </w:rPr>
            </w:pPr>
            <w:r>
              <w:rPr>
                <w:rFonts w:ascii="Times New Roman" w:cs="Times New Roman" w:eastAsia="Times New Roman" w:hAnsi="Times New Roman"/>
                <w:sz w:val="16"/>
                <w:szCs w:val="16"/>
                <w:color w:val="auto"/>
                <w:w w:val="91"/>
              </w:rPr>
              <w:t>2, 9</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20,641</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24,040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20,607</w:t>
            </w: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Exploration expenses, including dry holes</w:t>
            </w:r>
          </w:p>
        </w:tc>
        <w:tc>
          <w:tcPr>
            <w:tcW w:w="152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1,025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w:t>
            </w: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Non-service pension and postretirement benefit expense</w:t>
            </w:r>
          </w:p>
        </w:tc>
        <w:tc>
          <w:tcPr>
            <w:tcW w:w="1520" w:type="dxa"/>
            <w:vAlign w:val="bottom"/>
          </w:tcPr>
          <w:p>
            <w:pPr>
              <w:jc w:val="center"/>
              <w:ind w:left="382"/>
              <w:spacing w:after="0"/>
              <w:rPr>
                <w:sz w:val="20"/>
                <w:szCs w:val="20"/>
                <w:color w:val="auto"/>
              </w:rPr>
            </w:pPr>
            <w:r>
              <w:rPr>
                <w:rFonts w:ascii="Times New Roman" w:cs="Times New Roman" w:eastAsia="Times New Roman" w:hAnsi="Times New Roman"/>
                <w:sz w:val="16"/>
                <w:szCs w:val="16"/>
                <w:color w:val="auto"/>
                <w:w w:val="87"/>
              </w:rPr>
              <w:t>17</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482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w:t>
            </w:r>
          </w:p>
        </w:tc>
      </w:tr>
      <w:tr>
        <w:trPr>
          <w:trHeight w:val="294"/>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expense</w:t>
            </w:r>
          </w:p>
        </w:tc>
        <w:tc>
          <w:tcPr>
            <w:tcW w:w="152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849</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798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w:t>
            </w:r>
          </w:p>
        </w:tc>
      </w:tr>
      <w:tr>
        <w:trPr>
          <w:trHeight w:val="297"/>
        </w:trPr>
        <w:tc>
          <w:tcPr>
            <w:tcW w:w="5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 taxes and duties</w:t>
            </w:r>
          </w:p>
        </w:tc>
        <w:tc>
          <w:tcPr>
            <w:tcW w:w="1520" w:type="dxa"/>
            <w:vAlign w:val="bottom"/>
            <w:tcBorders>
              <w:bottom w:val="single" w:sz="8" w:color="4C4C4C"/>
            </w:tcBorders>
          </w:tcPr>
          <w:p>
            <w:pPr>
              <w:jc w:val="center"/>
              <w:ind w:left="382"/>
              <w:spacing w:after="0"/>
              <w:rPr>
                <w:sz w:val="20"/>
                <w:szCs w:val="20"/>
                <w:color w:val="auto"/>
              </w:rPr>
            </w:pPr>
            <w:r>
              <w:rPr>
                <w:rFonts w:ascii="Times New Roman" w:cs="Times New Roman" w:eastAsia="Times New Roman" w:hAnsi="Times New Roman"/>
                <w:sz w:val="16"/>
                <w:szCs w:val="16"/>
                <w:color w:val="auto"/>
                <w:w w:val="87"/>
              </w:rPr>
              <w:t>19</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29,011</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color w:val="auto"/>
              </w:rPr>
              <w:t>27,919</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30,239</w:t>
            </w:r>
          </w:p>
        </w:tc>
      </w:tr>
      <w:tr>
        <w:trPr>
          <w:trHeight w:val="274"/>
        </w:trPr>
        <w:tc>
          <w:tcPr>
            <w:tcW w:w="592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 costs and other deductions</w:t>
            </w:r>
          </w:p>
        </w:tc>
        <w:tc>
          <w:tcPr>
            <w:tcW w:w="152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291,799</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335,927</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254,406</w:t>
            </w:r>
          </w:p>
        </w:tc>
      </w:tr>
      <w:tr>
        <w:trPr>
          <w:trHeight w:val="271"/>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1520" w:type="dxa"/>
            <w:vAlign w:val="bottom"/>
          </w:tcPr>
          <w:p>
            <w:pPr>
              <w:spacing w:after="0"/>
              <w:rPr>
                <w:sz w:val="23"/>
                <w:szCs w:val="23"/>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52,783</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77,753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31,234</w:t>
            </w:r>
          </w:p>
        </w:tc>
      </w:tr>
      <w:tr>
        <w:trPr>
          <w:trHeight w:val="297"/>
        </w:trPr>
        <w:tc>
          <w:tcPr>
            <w:tcW w:w="5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520" w:type="dxa"/>
            <w:vAlign w:val="bottom"/>
            <w:tcBorders>
              <w:bottom w:val="single" w:sz="8" w:color="4C4C4C"/>
            </w:tcBorders>
          </w:tcPr>
          <w:p>
            <w:pPr>
              <w:jc w:val="center"/>
              <w:ind w:left="382"/>
              <w:spacing w:after="0"/>
              <w:rPr>
                <w:sz w:val="20"/>
                <w:szCs w:val="20"/>
                <w:color w:val="auto"/>
              </w:rPr>
            </w:pPr>
            <w:r>
              <w:rPr>
                <w:rFonts w:ascii="Times New Roman" w:cs="Times New Roman" w:eastAsia="Times New Roman" w:hAnsi="Times New Roman"/>
                <w:sz w:val="16"/>
                <w:szCs w:val="16"/>
                <w:color w:val="auto"/>
                <w:w w:val="87"/>
              </w:rPr>
              <w:t>19</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15,429</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color w:val="auto"/>
              </w:rPr>
              <w:t>20,176</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7,636</w:t>
            </w:r>
          </w:p>
        </w:tc>
      </w:tr>
      <w:tr>
        <w:trPr>
          <w:trHeight w:val="271"/>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 including noncontrolling interests</w:t>
            </w:r>
          </w:p>
        </w:tc>
        <w:tc>
          <w:tcPr>
            <w:tcW w:w="1520" w:type="dxa"/>
            <w:vAlign w:val="bottom"/>
          </w:tcPr>
          <w:p>
            <w:pPr>
              <w:spacing w:after="0"/>
              <w:rPr>
                <w:sz w:val="23"/>
                <w:szCs w:val="23"/>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37,354</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57,577</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23,598</w:t>
            </w:r>
          </w:p>
        </w:tc>
      </w:tr>
      <w:tr>
        <w:trPr>
          <w:trHeight w:val="297"/>
        </w:trPr>
        <w:tc>
          <w:tcPr>
            <w:tcW w:w="5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 noncontrolling interests</w:t>
            </w:r>
          </w:p>
        </w:tc>
        <w:tc>
          <w:tcPr>
            <w:tcW w:w="152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1,344</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color w:val="auto"/>
              </w:rPr>
              <w:t>1,837</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558</w:t>
            </w:r>
          </w:p>
        </w:tc>
      </w:tr>
      <w:tr>
        <w:trPr>
          <w:trHeight w:val="274"/>
        </w:trPr>
        <w:tc>
          <w:tcPr>
            <w:tcW w:w="5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 attributable to ExxonMobil</w:t>
            </w:r>
          </w:p>
        </w:tc>
        <w:tc>
          <w:tcPr>
            <w:tcW w:w="152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36,010</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55,740</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23,040</w:t>
            </w:r>
          </w:p>
        </w:tc>
      </w:tr>
      <w:tr>
        <w:trPr>
          <w:trHeight w:val="565"/>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Earnings (loss) per common share </w:t>
            </w:r>
            <w:r>
              <w:rPr>
                <w:rFonts w:ascii="Times New Roman" w:cs="Times New Roman" w:eastAsia="Times New Roman" w:hAnsi="Times New Roman"/>
                <w:sz w:val="20"/>
                <w:szCs w:val="20"/>
                <w:b w:val="1"/>
                <w:bCs w:val="1"/>
                <w:i w:val="1"/>
                <w:iCs w:val="1"/>
                <w:color w:val="auto"/>
              </w:rPr>
              <w:t>(dollars)</w:t>
            </w:r>
          </w:p>
        </w:tc>
        <w:tc>
          <w:tcPr>
            <w:tcW w:w="1520" w:type="dxa"/>
            <w:vAlign w:val="bottom"/>
          </w:tcPr>
          <w:p>
            <w:pPr>
              <w:jc w:val="center"/>
              <w:ind w:left="382"/>
              <w:spacing w:after="0"/>
              <w:rPr>
                <w:sz w:val="20"/>
                <w:szCs w:val="20"/>
                <w:color w:val="auto"/>
              </w:rPr>
            </w:pPr>
            <w:r>
              <w:rPr>
                <w:rFonts w:ascii="Times New Roman" w:cs="Times New Roman" w:eastAsia="Times New Roman" w:hAnsi="Times New Roman"/>
                <w:sz w:val="16"/>
                <w:szCs w:val="16"/>
                <w:color w:val="auto"/>
                <w:w w:val="87"/>
              </w:rPr>
              <w:t>12</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8.89</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13.26</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5.39</w:t>
            </w:r>
          </w:p>
        </w:tc>
      </w:tr>
      <w:tr>
        <w:trPr>
          <w:trHeight w:val="403"/>
        </w:trPr>
        <w:tc>
          <w:tcPr>
            <w:tcW w:w="5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Earnings (loss) per common share - assuming dilution </w:t>
            </w:r>
            <w:r>
              <w:rPr>
                <w:rFonts w:ascii="Times New Roman" w:cs="Times New Roman" w:eastAsia="Times New Roman" w:hAnsi="Times New Roman"/>
                <w:sz w:val="20"/>
                <w:szCs w:val="20"/>
                <w:b w:val="1"/>
                <w:bCs w:val="1"/>
                <w:i w:val="1"/>
                <w:iCs w:val="1"/>
                <w:color w:val="auto"/>
              </w:rPr>
              <w:t>(dollars)</w:t>
            </w:r>
          </w:p>
        </w:tc>
        <w:tc>
          <w:tcPr>
            <w:tcW w:w="1520" w:type="dxa"/>
            <w:vAlign w:val="bottom"/>
            <w:tcBorders>
              <w:bottom w:val="single" w:sz="8" w:color="4C4C4C"/>
            </w:tcBorders>
          </w:tcPr>
          <w:p>
            <w:pPr>
              <w:jc w:val="center"/>
              <w:ind w:left="382"/>
              <w:spacing w:after="0"/>
              <w:rPr>
                <w:sz w:val="20"/>
                <w:szCs w:val="20"/>
                <w:color w:val="auto"/>
              </w:rPr>
            </w:pPr>
            <w:r>
              <w:rPr>
                <w:rFonts w:ascii="Times New Roman" w:cs="Times New Roman" w:eastAsia="Times New Roman" w:hAnsi="Times New Roman"/>
                <w:sz w:val="16"/>
                <w:szCs w:val="16"/>
                <w:color w:val="auto"/>
                <w:w w:val="87"/>
              </w:rPr>
              <w:t>12</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8.89</w:t>
            </w:r>
          </w:p>
        </w:tc>
        <w:tc>
          <w:tcPr>
            <w:tcW w:w="118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13.26</w:t>
            </w:r>
          </w:p>
        </w:tc>
        <w:tc>
          <w:tcPr>
            <w:tcW w:w="9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5.39</w:t>
            </w:r>
          </w:p>
        </w:tc>
      </w:tr>
    </w:tbl>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The information in the Notes to Consolidated Financial Statements is an integral part of these statements.</w:t>
      </w:r>
    </w:p>
    <w:p>
      <w:pPr>
        <w:sectPr>
          <w:pgSz w:w="11880" w:h="15480" w:orient="portrait"/>
          <w:cols w:equalWidth="0" w:num="1">
            <w:col w:w="10560"/>
          </w:cols>
          <w:pgMar w:left="640" w:top="711"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560"/>
          </w:cols>
          <w:pgMar w:left="640" w:top="711" w:right="68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4"/>
          <w:szCs w:val="24"/>
          <w:b w:val="1"/>
          <w:bCs w:val="1"/>
          <w:color w:val="4C4C4C"/>
        </w:rPr>
        <w:t>CONSOLIDATED STATEMENT OF COMPREHENSIVE INCOME</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6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40" w:type="dxa"/>
            <w:vAlign w:val="bottom"/>
            <w:tcBorders>
              <w:bottom w:val="single" w:sz="8" w:color="4C4C4C"/>
            </w:tcBorders>
            <w:shd w:val="clear" w:color="auto" w:fill="4C4C4C"/>
          </w:tcPr>
          <w:p>
            <w:pPr>
              <w:jc w:val="right"/>
              <w:ind w:right="16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4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385"/>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Net income (loss) including noncontrolling interests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37,354</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57,577</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23,598</w:t>
            </w:r>
          </w:p>
        </w:tc>
        <w:tc>
          <w:tcPr>
            <w:tcW w:w="0" w:type="dxa"/>
            <w:vAlign w:val="bottom"/>
          </w:tcPr>
          <w:p>
            <w:pPr>
              <w:spacing w:after="0"/>
              <w:rPr>
                <w:sz w:val="1"/>
                <w:szCs w:val="1"/>
                <w:color w:val="auto"/>
              </w:rPr>
            </w:pPr>
          </w:p>
        </w:tc>
      </w:tr>
      <w:tr>
        <w:trPr>
          <w:trHeight w:val="378"/>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Other comprehensive income (loss) (net of income taxes)</w:t>
            </w:r>
          </w:p>
        </w:tc>
        <w:tc>
          <w:tcPr>
            <w:tcW w:w="980" w:type="dxa"/>
            <w:vAlign w:val="bottom"/>
            <w:shd w:val="clear" w:color="auto" w:fill="F0F0F0"/>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exchange translation adjustment</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1,241</w:t>
            </w: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(3,482)</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w:t>
            </w:r>
          </w:p>
        </w:tc>
        <w:tc>
          <w:tcPr>
            <w:tcW w:w="0" w:type="dxa"/>
            <w:vAlign w:val="bottom"/>
          </w:tcPr>
          <w:p>
            <w:pPr>
              <w:spacing w:after="0"/>
              <w:rPr>
                <w:sz w:val="1"/>
                <w:szCs w:val="1"/>
                <w:color w:val="auto"/>
              </w:rPr>
            </w:pP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Adjustment for foreign exchange translation (gain)/loss included in net income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Postretirement benefits reserves adjustment (excluding amortization)</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3,395</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w:t>
            </w:r>
          </w:p>
        </w:tc>
        <w:tc>
          <w:tcPr>
            <w:tcW w:w="0" w:type="dxa"/>
            <w:vAlign w:val="bottom"/>
          </w:tcPr>
          <w:p>
            <w:pPr>
              <w:spacing w:after="0"/>
              <w:rPr>
                <w:sz w:val="1"/>
                <w:szCs w:val="1"/>
                <w:color w:val="auto"/>
              </w:rPr>
            </w:pPr>
          </w:p>
        </w:tc>
      </w:tr>
      <w:tr>
        <w:trPr>
          <w:trHeight w:val="199"/>
        </w:trPr>
        <w:tc>
          <w:tcPr>
            <w:tcW w:w="74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Amortization and settlement of postretirement benefits reserves adjustment included in net</w:t>
            </w:r>
          </w:p>
        </w:tc>
        <w:tc>
          <w:tcPr>
            <w:tcW w:w="9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240" w:type="dxa"/>
            <w:vAlign w:val="bottom"/>
            <w:vMerge w:val="restart"/>
          </w:tcPr>
          <w:p>
            <w:pPr>
              <w:jc w:val="right"/>
              <w:ind w:right="184"/>
              <w:spacing w:after="0"/>
              <w:rPr>
                <w:sz w:val="20"/>
                <w:szCs w:val="20"/>
                <w:color w:val="auto"/>
              </w:rPr>
            </w:pPr>
            <w:r>
              <w:rPr>
                <w:rFonts w:ascii="Times New Roman" w:cs="Times New Roman" w:eastAsia="Times New Roman" w:hAnsi="Times New Roman"/>
                <w:sz w:val="20"/>
                <w:szCs w:val="20"/>
                <w:color w:val="auto"/>
              </w:rPr>
              <w:t>403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0" w:type="dxa"/>
            <w:vAlign w:val="bottom"/>
          </w:tcPr>
          <w:p>
            <w:pPr>
              <w:spacing w:after="0"/>
              <w:rPr>
                <w:sz w:val="1"/>
                <w:szCs w:val="1"/>
                <w:color w:val="auto"/>
              </w:rPr>
            </w:pPr>
          </w:p>
        </w:tc>
      </w:tr>
      <w:tr>
        <w:trPr>
          <w:trHeight w:val="260"/>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periodic benefit costs</w:t>
            </w:r>
          </w:p>
        </w:tc>
        <w:tc>
          <w:tcPr>
            <w:tcW w:w="980" w:type="dxa"/>
            <w:vAlign w:val="bottom"/>
            <w:tcBorders>
              <w:bottom w:val="single" w:sz="8" w:color="4C4C4C"/>
            </w:tcBorders>
            <w:vMerge w:val="continue"/>
            <w:shd w:val="clear" w:color="auto" w:fill="F0F0F0"/>
          </w:tcPr>
          <w:p>
            <w:pPr>
              <w:spacing w:after="0"/>
              <w:rPr>
                <w:sz w:val="22"/>
                <w:szCs w:val="22"/>
                <w:color w:val="auto"/>
              </w:rPr>
            </w:pPr>
          </w:p>
        </w:tc>
        <w:tc>
          <w:tcPr>
            <w:tcW w:w="1240" w:type="dxa"/>
            <w:vAlign w:val="bottom"/>
            <w:tcBorders>
              <w:bottom w:val="single" w:sz="8" w:color="4C4C4C"/>
            </w:tcBorders>
            <w:vMerge w:val="continue"/>
          </w:tcPr>
          <w:p>
            <w:pPr>
              <w:spacing w:after="0"/>
              <w:rPr>
                <w:sz w:val="22"/>
                <w:szCs w:val="22"/>
                <w:color w:val="auto"/>
              </w:rPr>
            </w:pPr>
          </w:p>
        </w:tc>
        <w:tc>
          <w:tcPr>
            <w:tcW w:w="84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other comprehensive income (loss)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1,542</w:t>
            </w:r>
          </w:p>
        </w:tc>
        <w:tc>
          <w:tcPr>
            <w:tcW w:w="1240" w:type="dxa"/>
            <w:vAlign w:val="bottom"/>
            <w:tcBorders>
              <w:bottom w:val="single" w:sz="8" w:color="4C4C4C"/>
            </w:tcBorders>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316</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3,169</w:t>
            </w:r>
          </w:p>
        </w:tc>
        <w:tc>
          <w:tcPr>
            <w:tcW w:w="0" w:type="dxa"/>
            <w:vAlign w:val="bottom"/>
          </w:tcPr>
          <w:p>
            <w:pPr>
              <w:spacing w:after="0"/>
              <w:rPr>
                <w:sz w:val="1"/>
                <w:szCs w:val="1"/>
                <w:color w:val="auto"/>
              </w:rPr>
            </w:pPr>
          </w:p>
        </w:tc>
      </w:tr>
      <w:tr>
        <w:trPr>
          <w:trHeight w:val="271"/>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Comprehensive income (loss) including noncontrolling interests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38,896</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57,893</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26,767</w:t>
            </w:r>
          </w:p>
        </w:tc>
        <w:tc>
          <w:tcPr>
            <w:tcW w:w="0" w:type="dxa"/>
            <w:vAlign w:val="bottom"/>
          </w:tcPr>
          <w:p>
            <w:pPr>
              <w:spacing w:after="0"/>
              <w:rPr>
                <w:sz w:val="1"/>
                <w:szCs w:val="1"/>
                <w:color w:val="auto"/>
              </w:rPr>
            </w:pPr>
          </w:p>
        </w:tc>
      </w:tr>
      <w:tr>
        <w:trPr>
          <w:trHeight w:val="297"/>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Comprehensive income (loss) attributable to noncontrolling interests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1240" w:type="dxa"/>
            <w:vAlign w:val="bottom"/>
            <w:tcBorders>
              <w:bottom w:val="single" w:sz="8" w:color="4C4C4C"/>
            </w:tcBorders>
          </w:tcPr>
          <w:p>
            <w:pPr>
              <w:jc w:val="right"/>
              <w:ind w:right="184"/>
              <w:spacing w:after="0"/>
              <w:rPr>
                <w:sz w:val="20"/>
                <w:szCs w:val="20"/>
                <w:color w:val="auto"/>
              </w:rPr>
            </w:pPr>
            <w:r>
              <w:rPr>
                <w:rFonts w:ascii="Times New Roman" w:cs="Times New Roman" w:eastAsia="Times New Roman" w:hAnsi="Times New Roman"/>
                <w:sz w:val="20"/>
                <w:szCs w:val="20"/>
                <w:color w:val="auto"/>
              </w:rPr>
              <w:t>1,659</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0" w:type="dxa"/>
            <w:vAlign w:val="bottom"/>
          </w:tcPr>
          <w:p>
            <w:pPr>
              <w:spacing w:after="0"/>
              <w:rPr>
                <w:sz w:val="1"/>
                <w:szCs w:val="1"/>
                <w:color w:val="auto"/>
              </w:rPr>
            </w:pPr>
          </w:p>
        </w:tc>
      </w:tr>
      <w:tr>
        <w:trPr>
          <w:trHeight w:val="277"/>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Comprehensive income (loss) attributable to ExxonMobil</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37,291</w:t>
            </w:r>
          </w:p>
        </w:tc>
        <w:tc>
          <w:tcPr>
            <w:tcW w:w="1240" w:type="dxa"/>
            <w:vAlign w:val="bottom"/>
            <w:tcBorders>
              <w:bottom w:val="single" w:sz="8" w:color="4C4C4C"/>
            </w:tcBorders>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56,234</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25,981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The information in the Notes to Consolidated Financial Statements is an integral part of these statements.</w:t>
      </w:r>
    </w:p>
    <w:p>
      <w:pPr>
        <w:sectPr>
          <w:pgSz w:w="11880" w:h="15480" w:orient="portrait"/>
          <w:cols w:equalWidth="0" w:num="1">
            <w:col w:w="10560"/>
          </w:cols>
          <w:pgMar w:left="640" w:top="711"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560"/>
          </w:cols>
          <w:pgMar w:left="640" w:top="711" w:right="6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4"/>
          <w:szCs w:val="24"/>
          <w:b w:val="1"/>
          <w:bCs w:val="1"/>
          <w:color w:val="4C4C4C"/>
        </w:rPr>
        <w:t>CONSOLIDATED BALANCE SHEET</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080" w:type="dxa"/>
            <w:vAlign w:val="bottom"/>
            <w:shd w:val="clear" w:color="auto" w:fill="4C4C4C"/>
          </w:tcPr>
          <w:p>
            <w:pPr>
              <w:spacing w:after="0"/>
              <w:rPr>
                <w:sz w:val="16"/>
                <w:szCs w:val="16"/>
                <w:color w:val="auto"/>
              </w:rPr>
            </w:pPr>
          </w:p>
        </w:tc>
        <w:tc>
          <w:tcPr>
            <w:tcW w:w="1380" w:type="dxa"/>
            <w:vAlign w:val="bottom"/>
            <w:shd w:val="clear" w:color="auto" w:fill="4C4C4C"/>
          </w:tcPr>
          <w:p>
            <w:pPr>
              <w:jc w:val="center"/>
              <w:ind w:left="182"/>
              <w:spacing w:after="0"/>
              <w:rPr>
                <w:sz w:val="20"/>
                <w:szCs w:val="20"/>
                <w:color w:val="auto"/>
              </w:rPr>
            </w:pPr>
            <w:r>
              <w:rPr>
                <w:rFonts w:ascii="Times New Roman" w:cs="Times New Roman" w:eastAsia="Times New Roman" w:hAnsi="Times New Roman"/>
                <w:sz w:val="16"/>
                <w:szCs w:val="16"/>
                <w:b w:val="1"/>
                <w:bCs w:val="1"/>
                <w:color w:val="FFFFFF"/>
                <w:w w:val="99"/>
              </w:rPr>
              <w:t>Note</w:t>
            </w:r>
          </w:p>
        </w:tc>
        <w:tc>
          <w:tcPr>
            <w:tcW w:w="980" w:type="dxa"/>
            <w:vAlign w:val="bottom"/>
            <w:vMerge w:val="restart"/>
            <w:shd w:val="clear" w:color="auto" w:fill="4C4C4C"/>
          </w:tcPr>
          <w:p>
            <w:pPr>
              <w:jc w:val="right"/>
              <w:ind w:right="63"/>
              <w:spacing w:after="0"/>
              <w:rPr>
                <w:sz w:val="20"/>
                <w:szCs w:val="20"/>
                <w:color w:val="auto"/>
              </w:rPr>
            </w:pPr>
            <w:r>
              <w:rPr>
                <w:rFonts w:ascii="Times New Roman" w:cs="Times New Roman" w:eastAsia="Times New Roman" w:hAnsi="Times New Roman"/>
                <w:sz w:val="16"/>
                <w:szCs w:val="16"/>
                <w:b w:val="1"/>
                <w:bCs w:val="1"/>
                <w:color w:val="FFFFFF"/>
              </w:rPr>
              <w:t>December</w:t>
            </w:r>
          </w:p>
        </w:tc>
        <w:tc>
          <w:tcPr>
            <w:tcW w:w="1040" w:type="dxa"/>
            <w:vAlign w:val="bottom"/>
            <w:vMerge w:val="restart"/>
            <w:shd w:val="clear" w:color="auto" w:fill="4C4C4C"/>
          </w:tcPr>
          <w:p>
            <w:pPr>
              <w:jc w:val="right"/>
              <w:ind w:right="63"/>
              <w:spacing w:after="0"/>
              <w:rPr>
                <w:sz w:val="20"/>
                <w:szCs w:val="20"/>
                <w:color w:val="auto"/>
              </w:rPr>
            </w:pPr>
            <w:r>
              <w:rPr>
                <w:rFonts w:ascii="Times New Roman" w:cs="Times New Roman" w:eastAsia="Times New Roman" w:hAnsi="Times New Roman"/>
                <w:sz w:val="16"/>
                <w:szCs w:val="16"/>
                <w:b w:val="1"/>
                <w:bCs w:val="1"/>
                <w:color w:val="FFFFFF"/>
              </w:rPr>
              <w:t>December</w:t>
            </w:r>
          </w:p>
        </w:tc>
        <w:tc>
          <w:tcPr>
            <w:tcW w:w="0" w:type="dxa"/>
            <w:vAlign w:val="bottom"/>
          </w:tcPr>
          <w:p>
            <w:pPr>
              <w:spacing w:after="0"/>
              <w:rPr>
                <w:sz w:val="1"/>
                <w:szCs w:val="1"/>
                <w:color w:val="auto"/>
              </w:rPr>
            </w:pPr>
          </w:p>
        </w:tc>
      </w:tr>
      <w:tr>
        <w:trPr>
          <w:trHeight w:val="78"/>
        </w:trPr>
        <w:tc>
          <w:tcPr>
            <w:tcW w:w="7080" w:type="dxa"/>
            <w:vAlign w:val="bottom"/>
            <w:vMerge w:val="restart"/>
            <w:shd w:val="clear" w:color="auto" w:fill="4C4C4C"/>
          </w:tcPr>
          <w:p>
            <w:pPr>
              <w:ind w:left="60"/>
              <w:spacing w:after="0" w:line="158"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380" w:type="dxa"/>
            <w:vAlign w:val="bottom"/>
            <w:vMerge w:val="restart"/>
            <w:shd w:val="clear" w:color="auto" w:fill="4C4C4C"/>
          </w:tcPr>
          <w:p>
            <w:pPr>
              <w:jc w:val="center"/>
              <w:ind w:left="182"/>
              <w:spacing w:after="0" w:line="158" w:lineRule="exact"/>
              <w:rPr>
                <w:sz w:val="20"/>
                <w:szCs w:val="20"/>
                <w:color w:val="auto"/>
              </w:rPr>
            </w:pPr>
            <w:r>
              <w:rPr>
                <w:rFonts w:ascii="Times New Roman" w:cs="Times New Roman" w:eastAsia="Times New Roman" w:hAnsi="Times New Roman"/>
                <w:sz w:val="16"/>
                <w:szCs w:val="16"/>
                <w:b w:val="1"/>
                <w:bCs w:val="1"/>
                <w:color w:val="FFFFFF"/>
                <w:w w:val="99"/>
              </w:rPr>
              <w:t>Reference</w:t>
            </w:r>
          </w:p>
        </w:tc>
        <w:tc>
          <w:tcPr>
            <w:tcW w:w="980" w:type="dxa"/>
            <w:vAlign w:val="bottom"/>
            <w:vMerge w:val="continue"/>
            <w:shd w:val="clear" w:color="auto" w:fill="4C4C4C"/>
          </w:tcPr>
          <w:p>
            <w:pPr>
              <w:spacing w:after="0"/>
              <w:rPr>
                <w:sz w:val="6"/>
                <w:szCs w:val="6"/>
                <w:color w:val="auto"/>
              </w:rPr>
            </w:pPr>
          </w:p>
        </w:tc>
        <w:tc>
          <w:tcPr>
            <w:tcW w:w="1040" w:type="dxa"/>
            <w:vAlign w:val="bottom"/>
            <w:vMerge w:val="continue"/>
            <w:shd w:val="clear" w:color="auto" w:fill="4C4C4C"/>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080" w:type="dxa"/>
            <w:vAlign w:val="bottom"/>
            <w:vMerge w:val="continue"/>
            <w:shd w:val="clear" w:color="auto" w:fill="4C4C4C"/>
          </w:tcPr>
          <w:p>
            <w:pPr>
              <w:spacing w:after="0"/>
              <w:rPr>
                <w:sz w:val="6"/>
                <w:szCs w:val="6"/>
                <w:color w:val="auto"/>
              </w:rPr>
            </w:pPr>
          </w:p>
        </w:tc>
        <w:tc>
          <w:tcPr>
            <w:tcW w:w="1380" w:type="dxa"/>
            <w:vAlign w:val="bottom"/>
            <w:vMerge w:val="continue"/>
            <w:shd w:val="clear" w:color="auto" w:fill="4C4C4C"/>
          </w:tcPr>
          <w:p>
            <w:pPr>
              <w:spacing w:after="0"/>
              <w:rPr>
                <w:sz w:val="6"/>
                <w:szCs w:val="6"/>
                <w:color w:val="auto"/>
              </w:rPr>
            </w:pPr>
          </w:p>
        </w:tc>
        <w:tc>
          <w:tcPr>
            <w:tcW w:w="980" w:type="dxa"/>
            <w:vAlign w:val="bottom"/>
            <w:vMerge w:val="restart"/>
            <w:shd w:val="clear" w:color="auto" w:fill="4C4C4C"/>
          </w:tcPr>
          <w:p>
            <w:pPr>
              <w:jc w:val="right"/>
              <w:ind w:right="123"/>
              <w:spacing w:after="0"/>
              <w:rPr>
                <w:sz w:val="20"/>
                <w:szCs w:val="20"/>
                <w:color w:val="auto"/>
              </w:rPr>
            </w:pPr>
            <w:r>
              <w:rPr>
                <w:rFonts w:ascii="Times New Roman" w:cs="Times New Roman" w:eastAsia="Times New Roman" w:hAnsi="Times New Roman"/>
                <w:sz w:val="16"/>
                <w:szCs w:val="16"/>
                <w:b w:val="1"/>
                <w:bCs w:val="1"/>
                <w:color w:val="FFFFFF"/>
              </w:rPr>
              <w:t>31, 2023</w:t>
            </w:r>
          </w:p>
        </w:tc>
        <w:tc>
          <w:tcPr>
            <w:tcW w:w="1040" w:type="dxa"/>
            <w:vAlign w:val="bottom"/>
            <w:vMerge w:val="restart"/>
            <w:shd w:val="clear" w:color="auto" w:fill="4C4C4C"/>
          </w:tcPr>
          <w:p>
            <w:pPr>
              <w:jc w:val="right"/>
              <w:ind w:right="123"/>
              <w:spacing w:after="0"/>
              <w:rPr>
                <w:sz w:val="20"/>
                <w:szCs w:val="20"/>
                <w:color w:val="auto"/>
              </w:rPr>
            </w:pPr>
            <w:r>
              <w:rPr>
                <w:rFonts w:ascii="Times New Roman" w:cs="Times New Roman" w:eastAsia="Times New Roman" w:hAnsi="Times New Roman"/>
                <w:sz w:val="16"/>
                <w:szCs w:val="16"/>
                <w:b w:val="1"/>
                <w:bCs w:val="1"/>
                <w:color w:val="FFFFFF"/>
              </w:rPr>
              <w:t>31, 2022</w:t>
            </w:r>
          </w:p>
        </w:tc>
        <w:tc>
          <w:tcPr>
            <w:tcW w:w="0" w:type="dxa"/>
            <w:vAlign w:val="bottom"/>
          </w:tcPr>
          <w:p>
            <w:pPr>
              <w:spacing w:after="0"/>
              <w:rPr>
                <w:sz w:val="1"/>
                <w:szCs w:val="1"/>
                <w:color w:val="auto"/>
              </w:rPr>
            </w:pPr>
          </w:p>
        </w:tc>
      </w:tr>
      <w:tr>
        <w:trPr>
          <w:trHeight w:val="128"/>
        </w:trPr>
        <w:tc>
          <w:tcPr>
            <w:tcW w:w="7080" w:type="dxa"/>
            <w:vAlign w:val="bottom"/>
            <w:shd w:val="clear" w:color="auto" w:fill="4C4C4C"/>
          </w:tcPr>
          <w:p>
            <w:pPr>
              <w:spacing w:after="0"/>
              <w:rPr>
                <w:sz w:val="11"/>
                <w:szCs w:val="11"/>
                <w:color w:val="auto"/>
              </w:rPr>
            </w:pPr>
          </w:p>
        </w:tc>
        <w:tc>
          <w:tcPr>
            <w:tcW w:w="1380" w:type="dxa"/>
            <w:vAlign w:val="bottom"/>
            <w:vMerge w:val="restart"/>
            <w:shd w:val="clear" w:color="auto" w:fill="4C4C4C"/>
          </w:tcPr>
          <w:p>
            <w:pPr>
              <w:jc w:val="center"/>
              <w:ind w:left="182"/>
              <w:spacing w:after="0"/>
              <w:rPr>
                <w:sz w:val="20"/>
                <w:szCs w:val="20"/>
                <w:color w:val="auto"/>
              </w:rPr>
            </w:pPr>
            <w:r>
              <w:rPr>
                <w:rFonts w:ascii="Times New Roman" w:cs="Times New Roman" w:eastAsia="Times New Roman" w:hAnsi="Times New Roman"/>
                <w:sz w:val="16"/>
                <w:szCs w:val="16"/>
                <w:b w:val="1"/>
                <w:bCs w:val="1"/>
                <w:color w:val="FFFFFF"/>
                <w:w w:val="98"/>
              </w:rPr>
              <w:t>Number</w:t>
            </w:r>
          </w:p>
        </w:tc>
        <w:tc>
          <w:tcPr>
            <w:tcW w:w="980" w:type="dxa"/>
            <w:vAlign w:val="bottom"/>
            <w:vMerge w:val="continue"/>
            <w:shd w:val="clear" w:color="auto" w:fill="4C4C4C"/>
          </w:tcPr>
          <w:p>
            <w:pPr>
              <w:spacing w:after="0"/>
              <w:rPr>
                <w:sz w:val="11"/>
                <w:szCs w:val="11"/>
                <w:color w:val="auto"/>
              </w:rPr>
            </w:pPr>
          </w:p>
        </w:tc>
        <w:tc>
          <w:tcPr>
            <w:tcW w:w="1040" w:type="dxa"/>
            <w:vAlign w:val="bottom"/>
            <w:vMerge w:val="continue"/>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7080" w:type="dxa"/>
            <w:vAlign w:val="bottom"/>
            <w:tcBorders>
              <w:bottom w:val="single" w:sz="8" w:color="4C4C4C"/>
            </w:tcBorders>
            <w:shd w:val="clear" w:color="auto" w:fill="4C4C4C"/>
          </w:tcPr>
          <w:p>
            <w:pPr>
              <w:spacing w:after="0"/>
              <w:rPr>
                <w:sz w:val="7"/>
                <w:szCs w:val="7"/>
                <w:color w:val="auto"/>
              </w:rPr>
            </w:pPr>
          </w:p>
        </w:tc>
        <w:tc>
          <w:tcPr>
            <w:tcW w:w="1380" w:type="dxa"/>
            <w:vAlign w:val="bottom"/>
            <w:tcBorders>
              <w:bottom w:val="single" w:sz="8" w:color="4C4C4C"/>
            </w:tcBorders>
            <w:vMerge w:val="continue"/>
            <w:shd w:val="clear" w:color="auto" w:fill="4C4C4C"/>
          </w:tcPr>
          <w:p>
            <w:pPr>
              <w:spacing w:after="0"/>
              <w:rPr>
                <w:sz w:val="7"/>
                <w:szCs w:val="7"/>
                <w:color w:val="auto"/>
              </w:rPr>
            </w:pPr>
          </w:p>
        </w:tc>
        <w:tc>
          <w:tcPr>
            <w:tcW w:w="980" w:type="dxa"/>
            <w:vAlign w:val="bottom"/>
            <w:tcBorders>
              <w:bottom w:val="single" w:sz="8" w:color="4C4C4C"/>
            </w:tcBorders>
            <w:shd w:val="clear" w:color="auto" w:fill="4C4C4C"/>
          </w:tcPr>
          <w:p>
            <w:pPr>
              <w:spacing w:after="0"/>
              <w:rPr>
                <w:sz w:val="7"/>
                <w:szCs w:val="7"/>
                <w:color w:val="auto"/>
              </w:rPr>
            </w:pPr>
          </w:p>
        </w:tc>
        <w:tc>
          <w:tcPr>
            <w:tcW w:w="1040" w:type="dxa"/>
            <w:vAlign w:val="bottom"/>
            <w:tcBorders>
              <w:bottom w:val="single" w:sz="8" w:color="4C4C4C"/>
            </w:tcBorders>
            <w:shd w:val="clear" w:color="auto" w:fill="4C4C4C"/>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ASSETS</w:t>
            </w:r>
          </w:p>
        </w:tc>
        <w:tc>
          <w:tcPr>
            <w:tcW w:w="13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Current assets</w:t>
            </w:r>
          </w:p>
        </w:tc>
        <w:tc>
          <w:tcPr>
            <w:tcW w:w="13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38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31,539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29,640</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 – restricted</w:t>
            </w:r>
          </w:p>
        </w:tc>
        <w:tc>
          <w:tcPr>
            <w:tcW w:w="138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Notes and accounts receivable – net</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6</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38,015</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41,749</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Inventories</w:t>
            </w:r>
          </w:p>
        </w:tc>
        <w:tc>
          <w:tcPr>
            <w:tcW w:w="13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Crude oil, products and merchandise</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3</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20,528</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20,434</w:t>
            </w:r>
          </w:p>
        </w:tc>
        <w:tc>
          <w:tcPr>
            <w:tcW w:w="0" w:type="dxa"/>
            <w:vAlign w:val="bottom"/>
          </w:tcPr>
          <w:p>
            <w:pPr>
              <w:spacing w:after="0"/>
              <w:rPr>
                <w:sz w:val="1"/>
                <w:szCs w:val="1"/>
                <w:color w:val="auto"/>
              </w:rPr>
            </w:pPr>
          </w:p>
        </w:tc>
      </w:tr>
      <w:tr>
        <w:trPr>
          <w:trHeight w:val="294"/>
        </w:trPr>
        <w:tc>
          <w:tcPr>
            <w:tcW w:w="7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Materials and supplies</w:t>
            </w:r>
          </w:p>
        </w:tc>
        <w:tc>
          <w:tcPr>
            <w:tcW w:w="138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4,592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 current assets</w:t>
            </w:r>
          </w:p>
        </w:tc>
        <w:tc>
          <w:tcPr>
            <w:tcW w:w="138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1,906</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0" w:type="dxa"/>
            <w:vAlign w:val="bottom"/>
          </w:tcPr>
          <w:p>
            <w:pPr>
              <w:spacing w:after="0"/>
              <w:rPr>
                <w:sz w:val="1"/>
                <w:szCs w:val="1"/>
                <w:color w:val="auto"/>
              </w:rPr>
            </w:pPr>
          </w:p>
        </w:tc>
      </w:tr>
      <w:tr>
        <w:trPr>
          <w:trHeight w:val="274"/>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138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96,609</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97,631</w:t>
            </w:r>
          </w:p>
        </w:tc>
        <w:tc>
          <w:tcPr>
            <w:tcW w:w="0" w:type="dxa"/>
            <w:vAlign w:val="bottom"/>
          </w:tcPr>
          <w:p>
            <w:pPr>
              <w:spacing w:after="0"/>
              <w:rPr>
                <w:sz w:val="1"/>
                <w:szCs w:val="1"/>
                <w:color w:val="auto"/>
              </w:rPr>
            </w:pPr>
          </w:p>
        </w:tc>
      </w:tr>
      <w:tr>
        <w:trPr>
          <w:trHeight w:val="271"/>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 advances and long-term receivables</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8</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47,630</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49,793</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Property, plant and equipment, at cost, less accumulated depreciation and depletion</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9</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214,940</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204,692</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 assets, including intangibles – net</w:t>
            </w:r>
          </w:p>
        </w:tc>
        <w:tc>
          <w:tcPr>
            <w:tcW w:w="138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17,138</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16,951</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38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376,317</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369,067</w:t>
            </w:r>
          </w:p>
        </w:tc>
        <w:tc>
          <w:tcPr>
            <w:tcW w:w="0" w:type="dxa"/>
            <w:vAlign w:val="bottom"/>
          </w:tcPr>
          <w:p>
            <w:pPr>
              <w:spacing w:after="0"/>
              <w:rPr>
                <w:sz w:val="1"/>
                <w:szCs w:val="1"/>
                <w:color w:val="auto"/>
              </w:rPr>
            </w:pPr>
          </w:p>
        </w:tc>
      </w:tr>
      <w:tr>
        <w:trPr>
          <w:trHeight w:val="371"/>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LIABILITIES</w:t>
            </w:r>
          </w:p>
        </w:tc>
        <w:tc>
          <w:tcPr>
            <w:tcW w:w="13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Current liabilities</w:t>
            </w:r>
          </w:p>
        </w:tc>
        <w:tc>
          <w:tcPr>
            <w:tcW w:w="13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Notes and loans payable</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6</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4,090</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6</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58,037</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63,197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Income taxes payable</w:t>
            </w:r>
          </w:p>
        </w:tc>
        <w:tc>
          <w:tcPr>
            <w:tcW w:w="138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3,189</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5,214</w:t>
            </w:r>
          </w:p>
        </w:tc>
        <w:tc>
          <w:tcPr>
            <w:tcW w:w="0" w:type="dxa"/>
            <w:vAlign w:val="bottom"/>
          </w:tcPr>
          <w:p>
            <w:pPr>
              <w:spacing w:after="0"/>
              <w:rPr>
                <w:sz w:val="1"/>
                <w:szCs w:val="1"/>
                <w:color w:val="auto"/>
              </w:rPr>
            </w:pPr>
          </w:p>
        </w:tc>
      </w:tr>
      <w:tr>
        <w:trPr>
          <w:trHeight w:val="274"/>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38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65,316</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69,045</w:t>
            </w:r>
          </w:p>
        </w:tc>
        <w:tc>
          <w:tcPr>
            <w:tcW w:w="0" w:type="dxa"/>
            <w:vAlign w:val="bottom"/>
          </w:tcPr>
          <w:p>
            <w:pPr>
              <w:spacing w:after="0"/>
              <w:rPr>
                <w:sz w:val="1"/>
                <w:szCs w:val="1"/>
                <w:color w:val="auto"/>
              </w:rPr>
            </w:pPr>
          </w:p>
        </w:tc>
      </w:tr>
      <w:tr>
        <w:trPr>
          <w:trHeight w:val="271"/>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Long-term debt</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14</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37,483</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40,559</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Postretirement benefits reserves</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17</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10,496</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10,045</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19</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24,452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22,874</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Long-term obligations to equity companies</w:t>
            </w:r>
          </w:p>
        </w:tc>
        <w:tc>
          <w:tcPr>
            <w:tcW w:w="138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1,804</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w:t>
            </w:r>
          </w:p>
        </w:tc>
        <w:tc>
          <w:tcPr>
            <w:tcW w:w="0" w:type="dxa"/>
            <w:vAlign w:val="bottom"/>
          </w:tcPr>
          <w:p>
            <w:pPr>
              <w:spacing w:after="0"/>
              <w:rPr>
                <w:sz w:val="1"/>
                <w:szCs w:val="1"/>
                <w:color w:val="auto"/>
              </w:rPr>
            </w:pPr>
          </w:p>
        </w:tc>
      </w:tr>
      <w:tr>
        <w:trPr>
          <w:trHeight w:val="299"/>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 long-term obligations</w:t>
            </w:r>
          </w:p>
        </w:tc>
        <w:tc>
          <w:tcPr>
            <w:tcW w:w="138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24,228</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21,733</w:t>
            </w:r>
          </w:p>
        </w:tc>
        <w:tc>
          <w:tcPr>
            <w:tcW w:w="0" w:type="dxa"/>
            <w:vAlign w:val="bottom"/>
          </w:tcPr>
          <w:p>
            <w:pPr>
              <w:spacing w:after="0"/>
              <w:rPr>
                <w:sz w:val="1"/>
                <w:szCs w:val="1"/>
                <w:color w:val="auto"/>
              </w:rPr>
            </w:pPr>
          </w:p>
        </w:tc>
      </w:tr>
      <w:tr>
        <w:trPr>
          <w:trHeight w:val="275"/>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38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163,779</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166,594</w:t>
            </w:r>
          </w:p>
        </w:tc>
        <w:tc>
          <w:tcPr>
            <w:tcW w:w="0" w:type="dxa"/>
            <w:vAlign w:val="bottom"/>
          </w:tcPr>
          <w:p>
            <w:pPr>
              <w:spacing w:after="0"/>
              <w:rPr>
                <w:sz w:val="1"/>
                <w:szCs w:val="1"/>
                <w:color w:val="auto"/>
              </w:rPr>
            </w:pPr>
          </w:p>
        </w:tc>
      </w:tr>
      <w:tr>
        <w:trPr>
          <w:trHeight w:val="371"/>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16</w:t>
            </w:r>
          </w:p>
        </w:tc>
        <w:tc>
          <w:tcPr>
            <w:tcW w:w="980" w:type="dxa"/>
            <w:vAlign w:val="bottom"/>
            <w:shd w:val="clear" w:color="auto" w:fill="F0F0F0"/>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EQUITY</w:t>
            </w:r>
          </w:p>
        </w:tc>
        <w:tc>
          <w:tcPr>
            <w:tcW w:w="13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Common stock without par value</w:t>
            </w:r>
          </w:p>
        </w:tc>
        <w:tc>
          <w:tcPr>
            <w:tcW w:w="1380" w:type="dxa"/>
            <w:vAlign w:val="bottom"/>
          </w:tcPr>
          <w:p>
            <w:pPr>
              <w:spacing w:after="0"/>
              <w:rPr>
                <w:sz w:val="19"/>
                <w:szCs w:val="19"/>
                <w:color w:val="auto"/>
              </w:rPr>
            </w:pPr>
          </w:p>
        </w:tc>
        <w:tc>
          <w:tcPr>
            <w:tcW w:w="9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17,781</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15,752</w:t>
            </w:r>
          </w:p>
        </w:tc>
        <w:tc>
          <w:tcPr>
            <w:tcW w:w="0" w:type="dxa"/>
            <w:vAlign w:val="bottom"/>
          </w:tcPr>
          <w:p>
            <w:pPr>
              <w:spacing w:after="0"/>
              <w:rPr>
                <w:sz w:val="1"/>
                <w:szCs w:val="1"/>
                <w:color w:val="auto"/>
              </w:rPr>
            </w:pPr>
          </w:p>
        </w:tc>
      </w:tr>
      <w:tr>
        <w:trPr>
          <w:trHeight w:val="257"/>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(9,000 million shares authorized, 8,019 million shares issued)</w:t>
            </w:r>
          </w:p>
        </w:tc>
        <w:tc>
          <w:tcPr>
            <w:tcW w:w="1380" w:type="dxa"/>
            <w:vAlign w:val="bottom"/>
          </w:tcPr>
          <w:p>
            <w:pPr>
              <w:spacing w:after="0"/>
              <w:rPr>
                <w:sz w:val="22"/>
                <w:szCs w:val="22"/>
                <w:color w:val="auto"/>
              </w:rPr>
            </w:pPr>
          </w:p>
        </w:tc>
        <w:tc>
          <w:tcPr>
            <w:tcW w:w="980" w:type="dxa"/>
            <w:vAlign w:val="bottom"/>
            <w:vMerge w:val="continue"/>
            <w:shd w:val="clear" w:color="auto" w:fill="F0F0F0"/>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Earnings reinvested</w:t>
            </w:r>
          </w:p>
        </w:tc>
        <w:tc>
          <w:tcPr>
            <w:tcW w:w="138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453,927</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432,860</w:t>
            </w:r>
          </w:p>
        </w:tc>
        <w:tc>
          <w:tcPr>
            <w:tcW w:w="0" w:type="dxa"/>
            <w:vAlign w:val="bottom"/>
          </w:tcPr>
          <w:p>
            <w:pPr>
              <w:spacing w:after="0"/>
              <w:rPr>
                <w:sz w:val="1"/>
                <w:szCs w:val="1"/>
                <w:color w:val="auto"/>
              </w:rPr>
            </w:pPr>
          </w:p>
        </w:tc>
      </w:tr>
      <w:tr>
        <w:trPr>
          <w:trHeight w:val="294"/>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13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(11,989)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(13,270)</w:t>
            </w:r>
          </w:p>
        </w:tc>
        <w:tc>
          <w:tcPr>
            <w:tcW w:w="0" w:type="dxa"/>
            <w:vAlign w:val="bottom"/>
          </w:tcPr>
          <w:p>
            <w:pPr>
              <w:spacing w:after="0"/>
              <w:rPr>
                <w:sz w:val="1"/>
                <w:szCs w:val="1"/>
                <w:color w:val="auto"/>
              </w:rPr>
            </w:pPr>
          </w:p>
        </w:tc>
      </w:tr>
      <w:tr>
        <w:trPr>
          <w:trHeight w:val="229"/>
        </w:trPr>
        <w:tc>
          <w:tcPr>
            <w:tcW w:w="7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Common stock held in treasury</w:t>
            </w:r>
          </w:p>
        </w:tc>
        <w:tc>
          <w:tcPr>
            <w:tcW w:w="1380" w:type="dxa"/>
            <w:vAlign w:val="bottom"/>
          </w:tcPr>
          <w:p>
            <w:pPr>
              <w:spacing w:after="0"/>
              <w:rPr>
                <w:sz w:val="19"/>
                <w:szCs w:val="19"/>
                <w:color w:val="auto"/>
              </w:rPr>
            </w:pPr>
          </w:p>
        </w:tc>
        <w:tc>
          <w:tcPr>
            <w:tcW w:w="9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(254,917)</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(240,293)</w:t>
            </w:r>
          </w:p>
        </w:tc>
        <w:tc>
          <w:tcPr>
            <w:tcW w:w="0" w:type="dxa"/>
            <w:vAlign w:val="bottom"/>
          </w:tcPr>
          <w:p>
            <w:pPr>
              <w:spacing w:after="0"/>
              <w:rPr>
                <w:sz w:val="1"/>
                <w:szCs w:val="1"/>
                <w:color w:val="auto"/>
              </w:rPr>
            </w:pPr>
          </w:p>
        </w:tc>
      </w:tr>
      <w:tr>
        <w:trPr>
          <w:trHeight w:val="260"/>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(4,048 million shares in 2023 and 3,937 million shares in 2022)</w:t>
            </w:r>
          </w:p>
        </w:tc>
        <w:tc>
          <w:tcPr>
            <w:tcW w:w="1380" w:type="dxa"/>
            <w:vAlign w:val="bottom"/>
            <w:tcBorders>
              <w:bottom w:val="single" w:sz="8" w:color="4C4C4C"/>
            </w:tcBorders>
          </w:tcPr>
          <w:p>
            <w:pPr>
              <w:spacing w:after="0"/>
              <w:rPr>
                <w:sz w:val="22"/>
                <w:szCs w:val="22"/>
                <w:color w:val="auto"/>
              </w:rPr>
            </w:pPr>
          </w:p>
        </w:tc>
        <w:tc>
          <w:tcPr>
            <w:tcW w:w="980" w:type="dxa"/>
            <w:vAlign w:val="bottom"/>
            <w:tcBorders>
              <w:bottom w:val="single" w:sz="8" w:color="4C4C4C"/>
            </w:tcBorders>
            <w:vMerge w:val="continue"/>
            <w:shd w:val="clear" w:color="auto" w:fill="F0F0F0"/>
          </w:tcPr>
          <w:p>
            <w:pPr>
              <w:spacing w:after="0"/>
              <w:rPr>
                <w:sz w:val="22"/>
                <w:szCs w:val="22"/>
                <w:color w:val="auto"/>
              </w:rPr>
            </w:pPr>
          </w:p>
        </w:tc>
        <w:tc>
          <w:tcPr>
            <w:tcW w:w="104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ExxonMobil share of equity</w:t>
            </w:r>
          </w:p>
        </w:tc>
        <w:tc>
          <w:tcPr>
            <w:tcW w:w="138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204,802</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195,049</w:t>
            </w:r>
          </w:p>
        </w:tc>
        <w:tc>
          <w:tcPr>
            <w:tcW w:w="0" w:type="dxa"/>
            <w:vAlign w:val="bottom"/>
          </w:tcPr>
          <w:p>
            <w:pPr>
              <w:spacing w:after="0"/>
              <w:rPr>
                <w:sz w:val="1"/>
                <w:szCs w:val="1"/>
                <w:color w:val="auto"/>
              </w:rPr>
            </w:pPr>
          </w:p>
        </w:tc>
      </w:tr>
      <w:tr>
        <w:trPr>
          <w:trHeight w:val="274"/>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38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7,736</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7,424</w:t>
            </w:r>
          </w:p>
        </w:tc>
        <w:tc>
          <w:tcPr>
            <w:tcW w:w="0" w:type="dxa"/>
            <w:vAlign w:val="bottom"/>
          </w:tcPr>
          <w:p>
            <w:pPr>
              <w:spacing w:after="0"/>
              <w:rPr>
                <w:sz w:val="1"/>
                <w:szCs w:val="1"/>
                <w:color w:val="auto"/>
              </w:rPr>
            </w:pPr>
          </w:p>
        </w:tc>
      </w:tr>
      <w:tr>
        <w:trPr>
          <w:trHeight w:val="274"/>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Equity</w:t>
            </w:r>
          </w:p>
        </w:tc>
        <w:tc>
          <w:tcPr>
            <w:tcW w:w="1380" w:type="dxa"/>
            <w:vAlign w:val="bottom"/>
            <w:tcBorders>
              <w:bottom w:val="single" w:sz="8" w:color="4C4C4C"/>
            </w:tcBorders>
          </w:tcPr>
          <w:p>
            <w:pPr>
              <w:spacing w:after="0"/>
              <w:rPr>
                <w:sz w:val="23"/>
                <w:szCs w:val="23"/>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212,538</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202,473</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138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376,317</w:t>
            </w:r>
          </w:p>
        </w:tc>
        <w:tc>
          <w:tcPr>
            <w:tcW w:w="10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369,067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37465</wp:posOffset>
                </wp:positionH>
                <wp:positionV relativeFrom="paragraph">
                  <wp:posOffset>-4554855</wp:posOffset>
                </wp:positionV>
                <wp:extent cx="665543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543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pt,-358.6499pt" to="527pt,-358.6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37465</wp:posOffset>
                </wp:positionH>
                <wp:positionV relativeFrom="paragraph">
                  <wp:posOffset>-2249170</wp:posOffset>
                </wp:positionV>
                <wp:extent cx="665543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5435" cy="4763"/>
                        </a:xfrm>
                        <a:prstGeom prst="line">
                          <a:avLst/>
                        </a:prstGeom>
                        <a:solidFill>
                          <a:srgbClr val="FFFFFF"/>
                        </a:solidFill>
                        <a:ln w="127">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pt,-177.0999pt" to="527pt,-177.0999pt" o:allowincell="f" strokecolor="#FFFFFF" strokeweight="0.01pt"/>
            </w:pict>
          </mc:Fallback>
        </mc:AlternateContent>
      </w: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The information in the Notes to Consolidated Financial Statements is an integral part of these statements.</w:t>
      </w:r>
    </w:p>
    <w:p>
      <w:pPr>
        <w:sectPr>
          <w:pgSz w:w="11880" w:h="15480" w:orient="portrait"/>
          <w:cols w:equalWidth="0" w:num="1">
            <w:col w:w="10540"/>
          </w:cols>
          <w:pgMar w:left="640" w:top="71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540"/>
          </w:cols>
          <w:pgMar w:left="640" w:top="711" w:right="70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4"/>
          <w:szCs w:val="24"/>
          <w:b w:val="1"/>
          <w:bCs w:val="1"/>
          <w:color w:val="4C4C4C"/>
        </w:rPr>
        <w:t>CONSOLIDATED STATEMENT OF CASH FLOWS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6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3840" w:type="dxa"/>
            <w:vAlign w:val="bottom"/>
            <w:shd w:val="clear" w:color="auto" w:fill="4C4C4C"/>
          </w:tcPr>
          <w:p>
            <w:pPr>
              <w:jc w:val="center"/>
              <w:ind w:left="2442"/>
              <w:spacing w:after="0"/>
              <w:rPr>
                <w:sz w:val="20"/>
                <w:szCs w:val="20"/>
                <w:color w:val="auto"/>
              </w:rPr>
            </w:pPr>
            <w:r>
              <w:rPr>
                <w:rFonts w:ascii="Times New Roman" w:cs="Times New Roman" w:eastAsia="Times New Roman" w:hAnsi="Times New Roman"/>
                <w:sz w:val="16"/>
                <w:szCs w:val="16"/>
                <w:b w:val="1"/>
                <w:bCs w:val="1"/>
                <w:color w:val="FFFFFF"/>
                <w:w w:val="99"/>
              </w:rPr>
              <w:t>Note</w:t>
            </w:r>
          </w:p>
        </w:tc>
        <w:tc>
          <w:tcPr>
            <w:tcW w:w="940" w:type="dxa"/>
            <w:vAlign w:val="bottom"/>
            <w:vMerge w:val="restart"/>
            <w:shd w:val="clear" w:color="auto" w:fill="4C4C4C"/>
          </w:tcPr>
          <w:p>
            <w:pPr>
              <w:jc w:val="right"/>
              <w:ind w:right="24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940" w:type="dxa"/>
            <w:vAlign w:val="bottom"/>
            <w:vMerge w:val="restart"/>
            <w:shd w:val="clear" w:color="auto" w:fill="4C4C4C"/>
          </w:tcPr>
          <w:p>
            <w:pPr>
              <w:jc w:val="right"/>
              <w:ind w:right="24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8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58"/>
        </w:trPr>
        <w:tc>
          <w:tcPr>
            <w:tcW w:w="4160" w:type="dxa"/>
            <w:vAlign w:val="bottom"/>
            <w:vMerge w:val="continue"/>
            <w:shd w:val="clear" w:color="auto" w:fill="4C4C4C"/>
          </w:tcPr>
          <w:p>
            <w:pPr>
              <w:spacing w:after="0"/>
              <w:rPr>
                <w:sz w:val="13"/>
                <w:szCs w:val="13"/>
                <w:color w:val="auto"/>
              </w:rPr>
            </w:pPr>
          </w:p>
        </w:tc>
        <w:tc>
          <w:tcPr>
            <w:tcW w:w="3840" w:type="dxa"/>
            <w:vAlign w:val="bottom"/>
            <w:shd w:val="clear" w:color="auto" w:fill="4C4C4C"/>
          </w:tcPr>
          <w:p>
            <w:pPr>
              <w:jc w:val="center"/>
              <w:ind w:left="2462"/>
              <w:spacing w:after="0" w:line="158" w:lineRule="exact"/>
              <w:rPr>
                <w:sz w:val="20"/>
                <w:szCs w:val="20"/>
                <w:color w:val="auto"/>
              </w:rPr>
            </w:pPr>
            <w:r>
              <w:rPr>
                <w:rFonts w:ascii="Times New Roman" w:cs="Times New Roman" w:eastAsia="Times New Roman" w:hAnsi="Times New Roman"/>
                <w:sz w:val="16"/>
                <w:szCs w:val="16"/>
                <w:b w:val="1"/>
                <w:bCs w:val="1"/>
                <w:color w:val="FFFFFF"/>
                <w:w w:val="96"/>
              </w:rPr>
              <w:t>Reference</w:t>
            </w:r>
          </w:p>
        </w:tc>
        <w:tc>
          <w:tcPr>
            <w:tcW w:w="940" w:type="dxa"/>
            <w:vAlign w:val="bottom"/>
            <w:vMerge w:val="continue"/>
            <w:shd w:val="clear" w:color="auto" w:fill="4C4C4C"/>
          </w:tcPr>
          <w:p>
            <w:pPr>
              <w:spacing w:after="0"/>
              <w:rPr>
                <w:sz w:val="13"/>
                <w:szCs w:val="13"/>
                <w:color w:val="auto"/>
              </w:rPr>
            </w:pPr>
          </w:p>
        </w:tc>
        <w:tc>
          <w:tcPr>
            <w:tcW w:w="940" w:type="dxa"/>
            <w:vAlign w:val="bottom"/>
            <w:vMerge w:val="continue"/>
            <w:shd w:val="clear" w:color="auto" w:fill="4C4C4C"/>
          </w:tcPr>
          <w:p>
            <w:pPr>
              <w:spacing w:after="0"/>
              <w:rPr>
                <w:sz w:val="13"/>
                <w:szCs w:val="13"/>
                <w:color w:val="auto"/>
              </w:rPr>
            </w:pPr>
          </w:p>
        </w:tc>
        <w:tc>
          <w:tcPr>
            <w:tcW w:w="68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4C4C4C"/>
          </w:tcPr>
          <w:p>
            <w:pPr>
              <w:spacing w:after="0"/>
              <w:rPr>
                <w:sz w:val="18"/>
                <w:szCs w:val="18"/>
                <w:color w:val="auto"/>
              </w:rPr>
            </w:pPr>
          </w:p>
        </w:tc>
        <w:tc>
          <w:tcPr>
            <w:tcW w:w="3840" w:type="dxa"/>
            <w:vAlign w:val="bottom"/>
            <w:shd w:val="clear" w:color="auto" w:fill="4C4C4C"/>
          </w:tcPr>
          <w:p>
            <w:pPr>
              <w:jc w:val="center"/>
              <w:ind w:left="2442"/>
              <w:spacing w:after="0"/>
              <w:rPr>
                <w:sz w:val="20"/>
                <w:szCs w:val="20"/>
                <w:color w:val="auto"/>
              </w:rPr>
            </w:pPr>
            <w:r>
              <w:rPr>
                <w:rFonts w:ascii="Times New Roman" w:cs="Times New Roman" w:eastAsia="Times New Roman" w:hAnsi="Times New Roman"/>
                <w:sz w:val="16"/>
                <w:szCs w:val="16"/>
                <w:b w:val="1"/>
                <w:bCs w:val="1"/>
                <w:color w:val="FFFFFF"/>
                <w:w w:val="98"/>
              </w:rPr>
              <w:t>Number</w:t>
            </w:r>
          </w:p>
        </w:tc>
        <w:tc>
          <w:tcPr>
            <w:tcW w:w="940" w:type="dxa"/>
            <w:vAlign w:val="bottom"/>
            <w:shd w:val="clear" w:color="auto" w:fill="4C4C4C"/>
          </w:tcPr>
          <w:p>
            <w:pPr>
              <w:spacing w:after="0"/>
              <w:rPr>
                <w:sz w:val="18"/>
                <w:szCs w:val="18"/>
                <w:color w:val="auto"/>
              </w:rPr>
            </w:pPr>
          </w:p>
        </w:tc>
        <w:tc>
          <w:tcPr>
            <w:tcW w:w="940" w:type="dxa"/>
            <w:vAlign w:val="bottom"/>
            <w:shd w:val="clear" w:color="auto" w:fill="4C4C4C"/>
          </w:tcPr>
          <w:p>
            <w:pPr>
              <w:spacing w:after="0"/>
              <w:rPr>
                <w:sz w:val="18"/>
                <w:szCs w:val="18"/>
                <w:color w:val="auto"/>
              </w:rPr>
            </w:pPr>
          </w:p>
        </w:tc>
        <w:tc>
          <w:tcPr>
            <w:tcW w:w="680" w:type="dxa"/>
            <w:vAlign w:val="bottom"/>
            <w:shd w:val="clear" w:color="auto" w:fill="4C4C4C"/>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160" w:type="dxa"/>
            <w:vAlign w:val="bottom"/>
            <w:shd w:val="clear" w:color="auto" w:fill="4C4C4C"/>
          </w:tcPr>
          <w:p>
            <w:pPr>
              <w:spacing w:after="0"/>
              <w:rPr>
                <w:sz w:val="2"/>
                <w:szCs w:val="2"/>
                <w:color w:val="auto"/>
              </w:rPr>
            </w:pPr>
          </w:p>
        </w:tc>
        <w:tc>
          <w:tcPr>
            <w:tcW w:w="3840" w:type="dxa"/>
            <w:vAlign w:val="bottom"/>
            <w:shd w:val="clear" w:color="auto" w:fill="4C4C4C"/>
          </w:tcPr>
          <w:p>
            <w:pPr>
              <w:spacing w:after="0"/>
              <w:rPr>
                <w:sz w:val="2"/>
                <w:szCs w:val="2"/>
                <w:color w:val="auto"/>
              </w:rPr>
            </w:pPr>
          </w:p>
        </w:tc>
        <w:tc>
          <w:tcPr>
            <w:tcW w:w="940" w:type="dxa"/>
            <w:vAlign w:val="bottom"/>
            <w:shd w:val="clear" w:color="auto" w:fill="4C4C4C"/>
          </w:tcPr>
          <w:p>
            <w:pPr>
              <w:spacing w:after="0"/>
              <w:rPr>
                <w:sz w:val="2"/>
                <w:szCs w:val="2"/>
                <w:color w:val="auto"/>
              </w:rPr>
            </w:pPr>
          </w:p>
        </w:tc>
        <w:tc>
          <w:tcPr>
            <w:tcW w:w="940" w:type="dxa"/>
            <w:vAlign w:val="bottom"/>
            <w:shd w:val="clear" w:color="auto" w:fill="4C4C4C"/>
          </w:tcPr>
          <w:p>
            <w:pPr>
              <w:spacing w:after="0"/>
              <w:rPr>
                <w:sz w:val="2"/>
                <w:szCs w:val="2"/>
                <w:color w:val="auto"/>
              </w:rPr>
            </w:pPr>
          </w:p>
        </w:tc>
        <w:tc>
          <w:tcPr>
            <w:tcW w:w="680" w:type="dxa"/>
            <w:vAlign w:val="bottom"/>
            <w:shd w:val="clear" w:color="auto" w:fill="4C4C4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0</wp:posOffset>
            </wp:positionV>
            <wp:extent cx="585470" cy="647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2">
                      <a:extLst>
                        <a:ext uri="{28A0092B-C50C-407E-A947-70E740481C1C}"/>
                      </a:extLst>
                    </a:blip>
                    <a:srcRect/>
                    <a:stretch>
                      <a:fillRect/>
                    </a:stretch>
                  </pic:blipFill>
                  <pic:spPr bwMode="auto">
                    <a:xfrm>
                      <a:off x="0" y="0"/>
                      <a:ext cx="585470" cy="6478270"/>
                    </a:xfrm>
                    <a:prstGeom prst="rect">
                      <a:avLst/>
                    </a:prstGeom>
                    <a:noFill/>
                  </pic:spPr>
                </pic:pic>
              </a:graphicData>
            </a:graphic>
          </wp:anchor>
        </w:drawing>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4C4C4C"/>
        </w:rPr>
        <w:t>CASH FLOWS FROM OPERATING ACTIVITIES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9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37,354</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57,577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23,598</w:t>
            </w:r>
          </w:p>
        </w:tc>
      </w:tr>
      <w:tr>
        <w:trPr>
          <w:trHeight w:val="260"/>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for noncash transactions</w:t>
            </w: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98"/>
        </w:trPr>
        <w:tc>
          <w:tcPr>
            <w:tcW w:w="6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depletion (includes impairments)</w:t>
            </w:r>
          </w:p>
        </w:tc>
        <w:tc>
          <w:tcPr>
            <w:tcW w:w="9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2, 9</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20,641</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24,040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w:t>
            </w:r>
          </w:p>
        </w:tc>
      </w:tr>
      <w:tr>
        <w:trPr>
          <w:trHeight w:val="279"/>
        </w:trPr>
        <w:tc>
          <w:tcPr>
            <w:tcW w:w="6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 charges/(credits)</w:t>
            </w:r>
          </w:p>
        </w:tc>
        <w:tc>
          <w:tcPr>
            <w:tcW w:w="9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19</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634</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3,758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9"/>
        </w:trPr>
        <w:tc>
          <w:tcPr>
            <w:tcW w:w="6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Postretirement benefits expense in excess of/(less than) net payments</w:t>
            </w:r>
          </w:p>
        </w:tc>
        <w:tc>
          <w:tcPr>
            <w:tcW w:w="980" w:type="dxa"/>
            <w:vAlign w:val="bottom"/>
          </w:tcPr>
          <w:p>
            <w:pPr>
              <w:spacing w:after="0"/>
              <w:rPr>
                <w:sz w:val="24"/>
                <w:szCs w:val="24"/>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(2,981)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79"/>
        </w:trPr>
        <w:tc>
          <w:tcPr>
            <w:tcW w:w="6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obligation provisions in excess of/(less than) payments</w:t>
            </w:r>
          </w:p>
        </w:tc>
        <w:tc>
          <w:tcPr>
            <w:tcW w:w="9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(1,501)</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(1,932)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9"/>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 received greater than/(less than) equity in current earnings of equity companies</w:t>
            </w:r>
          </w:p>
        </w:tc>
        <w:tc>
          <w:tcPr>
            <w:tcW w:w="980" w:type="dxa"/>
            <w:vAlign w:val="bottom"/>
          </w:tcPr>
          <w:p>
            <w:pPr>
              <w:spacing w:after="0"/>
              <w:rPr>
                <w:sz w:val="24"/>
                <w:szCs w:val="24"/>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509</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(2,446)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79"/>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operational working capital, excluding cash and debt</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Notes and accounts receivable </w:t>
            </w:r>
            <w:r>
              <w:rPr>
                <w:rFonts w:ascii="Times New Roman" w:cs="Times New Roman" w:eastAsia="Times New Roman" w:hAnsi="Times New Roman"/>
                <w:sz w:val="18"/>
                <w:szCs w:val="18"/>
                <w:i w:val="1"/>
                <w:iCs w:val="1"/>
                <w:color w:val="auto"/>
              </w:rPr>
              <w:t>reduction/(increase)</w:t>
            </w:r>
          </w:p>
        </w:tc>
        <w:tc>
          <w:tcPr>
            <w:tcW w:w="980" w:type="dxa"/>
            <w:vAlign w:val="bottom"/>
          </w:tcPr>
          <w:p>
            <w:pPr>
              <w:spacing w:after="0"/>
              <w:rPr>
                <w:sz w:val="24"/>
                <w:szCs w:val="24"/>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4,370</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(11,019)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r>
      <w:tr>
        <w:trPr>
          <w:trHeight w:val="279"/>
        </w:trPr>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i w:val="1"/>
                <w:iCs w:val="1"/>
                <w:color w:val="auto"/>
              </w:rPr>
              <w:t>reduction/(increase)</w:t>
            </w:r>
          </w:p>
        </w:tc>
        <w:tc>
          <w:tcPr>
            <w:tcW w:w="9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(3,472)</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(6,947)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79"/>
        </w:trPr>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Other current assets </w:t>
            </w:r>
            <w:r>
              <w:rPr>
                <w:rFonts w:ascii="Times New Roman" w:cs="Times New Roman" w:eastAsia="Times New Roman" w:hAnsi="Times New Roman"/>
                <w:sz w:val="18"/>
                <w:szCs w:val="18"/>
                <w:i w:val="1"/>
                <w:iCs w:val="1"/>
                <w:color w:val="auto"/>
              </w:rPr>
              <w:t>reduction/(increase)</w:t>
            </w:r>
          </w:p>
        </w:tc>
        <w:tc>
          <w:tcPr>
            <w:tcW w:w="9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(426)</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9"/>
        </w:trPr>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Accounts and other payables </w:t>
            </w:r>
            <w:r>
              <w:rPr>
                <w:rFonts w:ascii="Times New Roman" w:cs="Times New Roman" w:eastAsia="Times New Roman" w:hAnsi="Times New Roman"/>
                <w:sz w:val="18"/>
                <w:szCs w:val="18"/>
                <w:i w:val="1"/>
                <w:iCs w:val="1"/>
                <w:color w:val="auto"/>
              </w:rPr>
              <w:t>increase/(reduction)</w:t>
            </w:r>
          </w:p>
        </w:tc>
        <w:tc>
          <w:tcPr>
            <w:tcW w:w="9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(4,727)</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18,460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r>
      <w:tr>
        <w:trPr>
          <w:trHeight w:val="279"/>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(gain)/loss on asset sales</w:t>
            </w:r>
          </w:p>
        </w:tc>
        <w:tc>
          <w:tcPr>
            <w:tcW w:w="9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5</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(513)</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84"/>
        </w:trPr>
        <w:tc>
          <w:tcPr>
            <w:tcW w:w="68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All other items - net</w:t>
            </w:r>
          </w:p>
        </w:tc>
        <w:tc>
          <w:tcPr>
            <w:tcW w:w="980" w:type="dxa"/>
            <w:vAlign w:val="bottom"/>
            <w:tcBorders>
              <w:bottom w:val="single" w:sz="8" w:color="4C4C4C"/>
            </w:tcBorders>
          </w:tcPr>
          <w:p>
            <w:pPr>
              <w:spacing w:after="0"/>
              <w:rPr>
                <w:sz w:val="24"/>
                <w:szCs w:val="24"/>
                <w:color w:val="auto"/>
              </w:rPr>
            </w:pPr>
          </w:p>
        </w:tc>
        <w:tc>
          <w:tcPr>
            <w:tcW w:w="104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2,410</w:t>
            </w:r>
          </w:p>
        </w:tc>
        <w:tc>
          <w:tcPr>
            <w:tcW w:w="94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59"/>
        </w:trPr>
        <w:tc>
          <w:tcPr>
            <w:tcW w:w="68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4C4C4C"/>
            </w:tcBorders>
          </w:tcPr>
          <w:p>
            <w:pPr>
              <w:spacing w:after="0"/>
              <w:rPr>
                <w:sz w:val="22"/>
                <w:szCs w:val="22"/>
                <w:color w:val="auto"/>
              </w:rPr>
            </w:pPr>
          </w:p>
        </w:tc>
        <w:tc>
          <w:tcPr>
            <w:tcW w:w="104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55,369</w:t>
            </w:r>
          </w:p>
        </w:tc>
        <w:tc>
          <w:tcPr>
            <w:tcW w:w="94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76,797</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48,129</w:t>
            </w:r>
          </w:p>
        </w:tc>
      </w:tr>
    </w:tbl>
    <w:p>
      <w:pPr>
        <w:spacing w:after="0" w:line="1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4C4C4C"/>
        </w:rPr>
        <w:t>CASH FLOWS FROM INVESTING ACTIVITIES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(21,919)</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(18,407)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asset sales and returns of investments</w:t>
            </w:r>
          </w:p>
        </w:tc>
        <w:tc>
          <w:tcPr>
            <w:tcW w:w="27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4,078</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investments and advances</w:t>
            </w:r>
          </w:p>
        </w:tc>
        <w:tc>
          <w:tcPr>
            <w:tcW w:w="2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(2,995)</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(3,090)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84"/>
        </w:trPr>
        <w:tc>
          <w:tcPr>
            <w:tcW w:w="61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Other investing activities including collection of advances</w:t>
            </w:r>
          </w:p>
        </w:tc>
        <w:tc>
          <w:tcPr>
            <w:tcW w:w="274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1,562</w:t>
            </w:r>
          </w:p>
        </w:tc>
        <w:tc>
          <w:tcPr>
            <w:tcW w:w="94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1,508</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59"/>
        </w:trPr>
        <w:tc>
          <w:tcPr>
            <w:tcW w:w="61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7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(19,274)</w:t>
            </w:r>
          </w:p>
        </w:tc>
        <w:tc>
          <w:tcPr>
            <w:tcW w:w="9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(14,742)</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(10,235)</w:t>
            </w:r>
          </w:p>
        </w:tc>
      </w:tr>
    </w:tbl>
    <w:p>
      <w:pPr>
        <w:spacing w:after="0" w:line="1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4C4C4C"/>
        </w:rPr>
        <w:t>CASH FLOWS FROM FINANCING ACTIVITIES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Additions to long-term debt </w:t>
            </w:r>
            <w:r>
              <w:rPr>
                <w:rFonts w:ascii="Times New Roman" w:cs="Times New Roman" w:eastAsia="Times New Roman" w:hAnsi="Times New Roman"/>
                <w:sz w:val="20"/>
                <w:szCs w:val="20"/>
                <w:i w:val="1"/>
                <w:iCs w:val="1"/>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Reductions in long-term debt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9"/>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short-term debt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r>
      <w:tr>
        <w:trPr>
          <w:trHeight w:val="279"/>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Reductions in short-term debt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(8,075)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w:t>
            </w:r>
          </w:p>
        </w:tc>
      </w:tr>
      <w:tr>
        <w:trPr>
          <w:trHeight w:val="279"/>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Additions/(reductions) in debt with three months or less maturity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79"/>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9"/>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dividends to ExxonMobil shareholders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(14,939)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w:t>
            </w:r>
          </w:p>
        </w:tc>
      </w:tr>
      <w:tr>
        <w:trPr>
          <w:trHeight w:val="279"/>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dividends to noncontrolling interests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9"/>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noncontrolling interests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(1,475)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84"/>
        </w:trPr>
        <w:tc>
          <w:tcPr>
            <w:tcW w:w="78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Common stock acquired</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10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(15,155)</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59"/>
        </w:trPr>
        <w:tc>
          <w:tcPr>
            <w:tcW w:w="78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(34,297)</w:t>
            </w:r>
          </w:p>
        </w:tc>
        <w:tc>
          <w:tcPr>
            <w:tcW w:w="110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(39,114)</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(35,423)</w:t>
            </w:r>
          </w:p>
        </w:tc>
      </w:tr>
      <w:tr>
        <w:trPr>
          <w:trHeight w:val="362"/>
        </w:trPr>
        <w:tc>
          <w:tcPr>
            <w:tcW w:w="78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5"/>
        </w:trPr>
        <w:tc>
          <w:tcPr>
            <w:tcW w:w="7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1,903</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22,863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2,438</w:t>
            </w:r>
          </w:p>
        </w:tc>
      </w:tr>
      <w:tr>
        <w:trPr>
          <w:trHeight w:val="284"/>
        </w:trPr>
        <w:tc>
          <w:tcPr>
            <w:tcW w:w="78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11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6,802</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63"/>
        </w:trPr>
        <w:tc>
          <w:tcPr>
            <w:tcW w:w="78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31,568</w:t>
            </w:r>
          </w:p>
        </w:tc>
        <w:tc>
          <w:tcPr>
            <w:tcW w:w="11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29,665</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6,802</w:t>
            </w:r>
          </w:p>
        </w:tc>
      </w:tr>
    </w:tbl>
    <w:p>
      <w:pPr>
        <w:spacing w:after="0" w:line="89" w:lineRule="exact"/>
        <w:rPr>
          <w:sz w:val="20"/>
          <w:szCs w:val="20"/>
          <w:color w:val="auto"/>
        </w:rPr>
      </w:pPr>
    </w:p>
    <w:p>
      <w:pPr>
        <w:ind w:left="300" w:right="80" w:hanging="226"/>
        <w:spacing w:after="0" w:line="229" w:lineRule="auto"/>
        <w:tabs>
          <w:tab w:leader="none" w:pos="326" w:val="left"/>
        </w:tabs>
        <w:numPr>
          <w:ilvl w:val="0"/>
          <w:numId w:val="3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Includes $568 million issued to facilitate the sale of an entity where the buyer assumed the debt upon closing; no longer on the Consolidated Balance Sheet at the end of 2023.</w:t>
      </w: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The information in the Notes to Consolidated Financial Statements is an integral part of these statements.</w:t>
      </w:r>
    </w:p>
    <w:p>
      <w:pPr>
        <w:sectPr>
          <w:pgSz w:w="11880" w:h="15480" w:orient="portrait"/>
          <w:cols w:equalWidth="0" w:num="1">
            <w:col w:w="10580"/>
          </w:cols>
          <w:pgMar w:left="640" w:top="711"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580"/>
          </w:cols>
          <w:pgMar w:left="640" w:top="711" w:right="6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4"/>
          <w:szCs w:val="24"/>
          <w:b w:val="1"/>
          <w:bCs w:val="1"/>
          <w:color w:val="4C4C4C"/>
        </w:rPr>
        <w:t>CONSOLIDATED STATEMENT OF CHANGES IN EQUITY</w:t>
      </w:r>
    </w:p>
    <w:p>
      <w:pPr>
        <w:spacing w:after="0" w:line="200" w:lineRule="exact"/>
        <w:rPr>
          <w:sz w:val="20"/>
          <w:szCs w:val="20"/>
          <w:color w:val="auto"/>
        </w:rPr>
      </w:pPr>
    </w:p>
    <w:p>
      <w:pPr>
        <w:spacing w:after="0" w:line="3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4C4C4C"/>
        </w:rPr>
        <w:t>ExxonMobil Share of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2007235</wp:posOffset>
                </wp:positionH>
                <wp:positionV relativeFrom="paragraph">
                  <wp:posOffset>33655</wp:posOffset>
                </wp:positionV>
                <wp:extent cx="338836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836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05pt,2.65pt" to="424.85pt,2.65pt" o:allowincell="f" strokecolor="#4C4C4C" strokeweight="0.49pt"/>
            </w:pict>
          </mc:Fallback>
        </mc:AlternateConten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840" w:type="dxa"/>
            <w:vAlign w:val="bottom"/>
            <w:shd w:val="clear" w:color="auto" w:fill="4C4C4C"/>
          </w:tcPr>
          <w:p>
            <w:pPr>
              <w:spacing w:after="0"/>
              <w:rPr>
                <w:sz w:val="17"/>
                <w:szCs w:val="17"/>
                <w:color w:val="auto"/>
              </w:rPr>
            </w:pPr>
          </w:p>
        </w:tc>
        <w:tc>
          <w:tcPr>
            <w:tcW w:w="1400" w:type="dxa"/>
            <w:vAlign w:val="bottom"/>
            <w:shd w:val="clear" w:color="auto" w:fill="4C4C4C"/>
          </w:tcPr>
          <w:p>
            <w:pPr>
              <w:spacing w:after="0"/>
              <w:rPr>
                <w:sz w:val="17"/>
                <w:szCs w:val="17"/>
                <w:color w:val="auto"/>
              </w:rPr>
            </w:pPr>
          </w:p>
        </w:tc>
        <w:tc>
          <w:tcPr>
            <w:tcW w:w="1000" w:type="dxa"/>
            <w:vAlign w:val="bottom"/>
            <w:shd w:val="clear" w:color="auto" w:fill="4C4C4C"/>
          </w:tcPr>
          <w:p>
            <w:pPr>
              <w:spacing w:after="0"/>
              <w:rPr>
                <w:sz w:val="17"/>
                <w:szCs w:val="17"/>
                <w:color w:val="auto"/>
              </w:rPr>
            </w:pPr>
          </w:p>
        </w:tc>
        <w:tc>
          <w:tcPr>
            <w:tcW w:w="11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Accumulated</w:t>
            </w:r>
          </w:p>
        </w:tc>
        <w:tc>
          <w:tcPr>
            <w:tcW w:w="102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Common</w:t>
            </w:r>
          </w:p>
        </w:tc>
        <w:tc>
          <w:tcPr>
            <w:tcW w:w="104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ExxonMobil</w:t>
            </w:r>
          </w:p>
        </w:tc>
        <w:tc>
          <w:tcPr>
            <w:tcW w:w="340" w:type="dxa"/>
            <w:vAlign w:val="bottom"/>
            <w:shd w:val="clear" w:color="auto" w:fill="4C4C4C"/>
          </w:tcPr>
          <w:p>
            <w:pPr>
              <w:spacing w:after="0"/>
              <w:rPr>
                <w:sz w:val="17"/>
                <w:szCs w:val="17"/>
                <w:color w:val="auto"/>
              </w:rPr>
            </w:pPr>
          </w:p>
        </w:tc>
        <w:tc>
          <w:tcPr>
            <w:tcW w:w="840" w:type="dxa"/>
            <w:vAlign w:val="bottom"/>
            <w:vMerge w:val="restart"/>
            <w:shd w:val="clear" w:color="auto" w:fill="4C4C4C"/>
          </w:tcPr>
          <w:p>
            <w:pPr>
              <w:jc w:val="center"/>
              <w:ind w:right="402"/>
              <w:spacing w:after="0"/>
              <w:rPr>
                <w:sz w:val="20"/>
                <w:szCs w:val="20"/>
                <w:color w:val="auto"/>
              </w:rPr>
            </w:pPr>
            <w:r>
              <w:rPr>
                <w:rFonts w:ascii="Times New Roman" w:cs="Times New Roman" w:eastAsia="Times New Roman" w:hAnsi="Times New Roman"/>
                <w:sz w:val="16"/>
                <w:szCs w:val="16"/>
                <w:b w:val="1"/>
                <w:bCs w:val="1"/>
                <w:color w:val="FFFFFF"/>
                <w:w w:val="94"/>
              </w:rPr>
              <w:t>Non-</w:t>
            </w:r>
          </w:p>
        </w:tc>
        <w:tc>
          <w:tcPr>
            <w:tcW w:w="90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840" w:type="dxa"/>
            <w:vAlign w:val="bottom"/>
            <w:shd w:val="clear" w:color="auto" w:fill="4C4C4C"/>
          </w:tcPr>
          <w:p>
            <w:pPr>
              <w:spacing w:after="0"/>
              <w:rPr>
                <w:sz w:val="8"/>
                <w:szCs w:val="8"/>
                <w:color w:val="auto"/>
              </w:rPr>
            </w:pPr>
          </w:p>
        </w:tc>
        <w:tc>
          <w:tcPr>
            <w:tcW w:w="1400" w:type="dxa"/>
            <w:vAlign w:val="bottom"/>
            <w:vMerge w:val="restart"/>
            <w:shd w:val="clear" w:color="auto" w:fill="4C4C4C"/>
          </w:tcPr>
          <w:p>
            <w:pPr>
              <w:jc w:val="right"/>
              <w:ind w:right="202"/>
              <w:spacing w:after="0"/>
              <w:rPr>
                <w:sz w:val="20"/>
                <w:szCs w:val="20"/>
                <w:color w:val="auto"/>
              </w:rPr>
            </w:pPr>
            <w:r>
              <w:rPr>
                <w:rFonts w:ascii="Times New Roman" w:cs="Times New Roman" w:eastAsia="Times New Roman" w:hAnsi="Times New Roman"/>
                <w:sz w:val="16"/>
                <w:szCs w:val="16"/>
                <w:b w:val="1"/>
                <w:bCs w:val="1"/>
                <w:color w:val="FFFFFF"/>
              </w:rPr>
              <w:t>Common</w:t>
            </w:r>
          </w:p>
        </w:tc>
        <w:tc>
          <w:tcPr>
            <w:tcW w:w="1000" w:type="dxa"/>
            <w:vAlign w:val="bottom"/>
            <w:vMerge w:val="restart"/>
            <w:shd w:val="clear" w:color="auto" w:fill="4C4C4C"/>
          </w:tcPr>
          <w:p>
            <w:pPr>
              <w:jc w:val="right"/>
              <w:ind w:right="162"/>
              <w:spacing w:after="0"/>
              <w:rPr>
                <w:sz w:val="20"/>
                <w:szCs w:val="20"/>
                <w:color w:val="auto"/>
              </w:rPr>
            </w:pPr>
            <w:r>
              <w:rPr>
                <w:rFonts w:ascii="Times New Roman" w:cs="Times New Roman" w:eastAsia="Times New Roman" w:hAnsi="Times New Roman"/>
                <w:sz w:val="16"/>
                <w:szCs w:val="16"/>
                <w:b w:val="1"/>
                <w:bCs w:val="1"/>
                <w:color w:val="FFFFFF"/>
              </w:rPr>
              <w:t>Earnings</w:t>
            </w:r>
          </w:p>
        </w:tc>
        <w:tc>
          <w:tcPr>
            <w:tcW w:w="11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Other</w:t>
            </w:r>
          </w:p>
        </w:tc>
        <w:tc>
          <w:tcPr>
            <w:tcW w:w="1020" w:type="dxa"/>
            <w:vAlign w:val="bottom"/>
            <w:vMerge w:val="continue"/>
            <w:shd w:val="clear" w:color="auto" w:fill="4C4C4C"/>
          </w:tcPr>
          <w:p>
            <w:pPr>
              <w:spacing w:after="0"/>
              <w:rPr>
                <w:sz w:val="8"/>
                <w:szCs w:val="8"/>
                <w:color w:val="auto"/>
              </w:rPr>
            </w:pPr>
          </w:p>
        </w:tc>
        <w:tc>
          <w:tcPr>
            <w:tcW w:w="1040" w:type="dxa"/>
            <w:vAlign w:val="bottom"/>
            <w:vMerge w:val="continue"/>
            <w:shd w:val="clear" w:color="auto" w:fill="4C4C4C"/>
          </w:tcPr>
          <w:p>
            <w:pPr>
              <w:spacing w:after="0"/>
              <w:rPr>
                <w:sz w:val="8"/>
                <w:szCs w:val="8"/>
                <w:color w:val="auto"/>
              </w:rPr>
            </w:pPr>
          </w:p>
        </w:tc>
        <w:tc>
          <w:tcPr>
            <w:tcW w:w="340" w:type="dxa"/>
            <w:vAlign w:val="bottom"/>
            <w:shd w:val="clear" w:color="auto" w:fill="4C4C4C"/>
          </w:tcPr>
          <w:p>
            <w:pPr>
              <w:spacing w:after="0"/>
              <w:rPr>
                <w:sz w:val="8"/>
                <w:szCs w:val="8"/>
                <w:color w:val="auto"/>
              </w:rPr>
            </w:pPr>
          </w:p>
        </w:tc>
        <w:tc>
          <w:tcPr>
            <w:tcW w:w="840" w:type="dxa"/>
            <w:vAlign w:val="bottom"/>
            <w:vMerge w:val="continue"/>
            <w:shd w:val="clear" w:color="auto" w:fill="4C4C4C"/>
          </w:tcPr>
          <w:p>
            <w:pPr>
              <w:spacing w:after="0"/>
              <w:rPr>
                <w:sz w:val="8"/>
                <w:szCs w:val="8"/>
                <w:color w:val="auto"/>
              </w:rPr>
            </w:pPr>
          </w:p>
        </w:tc>
        <w:tc>
          <w:tcPr>
            <w:tcW w:w="900" w:type="dxa"/>
            <w:vAlign w:val="bottom"/>
            <w:vMerge w:val="restart"/>
            <w:shd w:val="clear" w:color="auto" w:fill="4C4C4C"/>
          </w:tcPr>
          <w:p>
            <w:pPr>
              <w:jc w:val="right"/>
              <w:ind w:right="262"/>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94"/>
        </w:trPr>
        <w:tc>
          <w:tcPr>
            <w:tcW w:w="2840" w:type="dxa"/>
            <w:vAlign w:val="bottom"/>
            <w:vMerge w:val="restart"/>
            <w:shd w:val="clear" w:color="auto" w:fill="4C4C4C"/>
          </w:tcPr>
          <w:p>
            <w:pPr>
              <w:ind w:left="8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400" w:type="dxa"/>
            <w:vAlign w:val="bottom"/>
            <w:vMerge w:val="continue"/>
            <w:shd w:val="clear" w:color="auto" w:fill="4C4C4C"/>
          </w:tcPr>
          <w:p>
            <w:pPr>
              <w:spacing w:after="0"/>
              <w:rPr>
                <w:sz w:val="8"/>
                <w:szCs w:val="8"/>
                <w:color w:val="auto"/>
              </w:rPr>
            </w:pPr>
          </w:p>
        </w:tc>
        <w:tc>
          <w:tcPr>
            <w:tcW w:w="1000" w:type="dxa"/>
            <w:vAlign w:val="bottom"/>
            <w:vMerge w:val="continue"/>
            <w:shd w:val="clear" w:color="auto" w:fill="4C4C4C"/>
          </w:tcPr>
          <w:p>
            <w:pPr>
              <w:spacing w:after="0"/>
              <w:rPr>
                <w:sz w:val="8"/>
                <w:szCs w:val="8"/>
                <w:color w:val="auto"/>
              </w:rPr>
            </w:pPr>
          </w:p>
        </w:tc>
        <w:tc>
          <w:tcPr>
            <w:tcW w:w="1180" w:type="dxa"/>
            <w:vAlign w:val="bottom"/>
            <w:vMerge w:val="continue"/>
            <w:shd w:val="clear" w:color="auto" w:fill="4C4C4C"/>
          </w:tcPr>
          <w:p>
            <w:pPr>
              <w:spacing w:after="0"/>
              <w:rPr>
                <w:sz w:val="8"/>
                <w:szCs w:val="8"/>
                <w:color w:val="auto"/>
              </w:rPr>
            </w:pPr>
          </w:p>
        </w:tc>
        <w:tc>
          <w:tcPr>
            <w:tcW w:w="102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Stock Held in</w:t>
            </w:r>
          </w:p>
        </w:tc>
        <w:tc>
          <w:tcPr>
            <w:tcW w:w="104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Share of</w:t>
            </w:r>
          </w:p>
        </w:tc>
        <w:tc>
          <w:tcPr>
            <w:tcW w:w="1180" w:type="dxa"/>
            <w:vAlign w:val="bottom"/>
            <w:gridSpan w:val="2"/>
            <w:vMerge w:val="restart"/>
            <w:shd w:val="clear" w:color="auto" w:fill="4C4C4C"/>
          </w:tcPr>
          <w:p>
            <w:pPr>
              <w:jc w:val="center"/>
              <w:ind w:right="62"/>
              <w:spacing w:after="0"/>
              <w:rPr>
                <w:sz w:val="20"/>
                <w:szCs w:val="20"/>
                <w:color w:val="auto"/>
              </w:rPr>
            </w:pPr>
            <w:r>
              <w:rPr>
                <w:rFonts w:ascii="Times New Roman" w:cs="Times New Roman" w:eastAsia="Times New Roman" w:hAnsi="Times New Roman"/>
                <w:sz w:val="16"/>
                <w:szCs w:val="16"/>
                <w:b w:val="1"/>
                <w:bCs w:val="1"/>
                <w:color w:val="FFFFFF"/>
                <w:w w:val="96"/>
              </w:rPr>
              <w:t>controlling</w:t>
            </w:r>
          </w:p>
        </w:tc>
        <w:tc>
          <w:tcPr>
            <w:tcW w:w="900" w:type="dxa"/>
            <w:vAlign w:val="bottom"/>
            <w:vMerge w:val="continue"/>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840" w:type="dxa"/>
            <w:vAlign w:val="bottom"/>
            <w:vMerge w:val="continue"/>
            <w:shd w:val="clear" w:color="auto" w:fill="4C4C4C"/>
          </w:tcPr>
          <w:p>
            <w:pPr>
              <w:spacing w:after="0"/>
              <w:rPr>
                <w:sz w:val="13"/>
                <w:szCs w:val="13"/>
                <w:color w:val="auto"/>
              </w:rPr>
            </w:pPr>
          </w:p>
        </w:tc>
        <w:tc>
          <w:tcPr>
            <w:tcW w:w="1400" w:type="dxa"/>
            <w:vAlign w:val="bottom"/>
            <w:shd w:val="clear" w:color="auto" w:fill="4C4C4C"/>
          </w:tcPr>
          <w:p>
            <w:pPr>
              <w:jc w:val="right"/>
              <w:ind w:right="322"/>
              <w:spacing w:after="0" w:line="160" w:lineRule="exact"/>
              <w:rPr>
                <w:sz w:val="20"/>
                <w:szCs w:val="20"/>
                <w:color w:val="auto"/>
              </w:rPr>
            </w:pPr>
            <w:r>
              <w:rPr>
                <w:rFonts w:ascii="Times New Roman" w:cs="Times New Roman" w:eastAsia="Times New Roman" w:hAnsi="Times New Roman"/>
                <w:sz w:val="16"/>
                <w:szCs w:val="16"/>
                <w:b w:val="1"/>
                <w:bCs w:val="1"/>
                <w:color w:val="FFFFFF"/>
              </w:rPr>
              <w:t>Stock</w:t>
            </w:r>
          </w:p>
        </w:tc>
        <w:tc>
          <w:tcPr>
            <w:tcW w:w="1000" w:type="dxa"/>
            <w:vAlign w:val="bottom"/>
            <w:shd w:val="clear" w:color="auto" w:fill="4C4C4C"/>
          </w:tcPr>
          <w:p>
            <w:pPr>
              <w:jc w:val="right"/>
              <w:ind w:right="102"/>
              <w:spacing w:after="0" w:line="160" w:lineRule="exact"/>
              <w:rPr>
                <w:sz w:val="20"/>
                <w:szCs w:val="20"/>
                <w:color w:val="auto"/>
              </w:rPr>
            </w:pPr>
            <w:r>
              <w:rPr>
                <w:rFonts w:ascii="Times New Roman" w:cs="Times New Roman" w:eastAsia="Times New Roman" w:hAnsi="Times New Roman"/>
                <w:sz w:val="16"/>
                <w:szCs w:val="16"/>
                <w:b w:val="1"/>
                <w:bCs w:val="1"/>
                <w:color w:val="FFFFFF"/>
              </w:rPr>
              <w:t>Reinvested</w:t>
            </w:r>
          </w:p>
        </w:tc>
        <w:tc>
          <w:tcPr>
            <w:tcW w:w="1180" w:type="dxa"/>
            <w:vAlign w:val="bottom"/>
            <w:shd w:val="clear" w:color="auto" w:fill="4C4C4C"/>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FFFFFF"/>
                <w:w w:val="97"/>
              </w:rPr>
              <w:t>Comprehensive</w:t>
            </w:r>
          </w:p>
        </w:tc>
        <w:tc>
          <w:tcPr>
            <w:tcW w:w="1020" w:type="dxa"/>
            <w:vAlign w:val="bottom"/>
            <w:vMerge w:val="continue"/>
            <w:shd w:val="clear" w:color="auto" w:fill="4C4C4C"/>
          </w:tcPr>
          <w:p>
            <w:pPr>
              <w:spacing w:after="0"/>
              <w:rPr>
                <w:sz w:val="13"/>
                <w:szCs w:val="13"/>
                <w:color w:val="auto"/>
              </w:rPr>
            </w:pPr>
          </w:p>
        </w:tc>
        <w:tc>
          <w:tcPr>
            <w:tcW w:w="1040" w:type="dxa"/>
            <w:vAlign w:val="bottom"/>
            <w:vMerge w:val="continue"/>
            <w:shd w:val="clear" w:color="auto" w:fill="4C4C4C"/>
          </w:tcPr>
          <w:p>
            <w:pPr>
              <w:spacing w:after="0"/>
              <w:rPr>
                <w:sz w:val="13"/>
                <w:szCs w:val="13"/>
                <w:color w:val="auto"/>
              </w:rPr>
            </w:pPr>
          </w:p>
        </w:tc>
        <w:tc>
          <w:tcPr>
            <w:tcW w:w="1180" w:type="dxa"/>
            <w:vAlign w:val="bottom"/>
            <w:gridSpan w:val="2"/>
            <w:vMerge w:val="continue"/>
            <w:shd w:val="clear" w:color="auto" w:fill="4C4C4C"/>
          </w:tcPr>
          <w:p>
            <w:pPr>
              <w:spacing w:after="0"/>
              <w:rPr>
                <w:sz w:val="13"/>
                <w:szCs w:val="13"/>
                <w:color w:val="auto"/>
              </w:rPr>
            </w:pPr>
          </w:p>
        </w:tc>
        <w:tc>
          <w:tcPr>
            <w:tcW w:w="900" w:type="dxa"/>
            <w:vAlign w:val="bottom"/>
            <w:shd w:val="clear" w:color="auto" w:fill="4C4C4C"/>
          </w:tcPr>
          <w:p>
            <w:pPr>
              <w:jc w:val="right"/>
              <w:ind w:right="222"/>
              <w:spacing w:after="0" w:line="160" w:lineRule="exact"/>
              <w:rPr>
                <w:sz w:val="20"/>
                <w:szCs w:val="20"/>
                <w:color w:val="auto"/>
              </w:rPr>
            </w:pPr>
            <w:r>
              <w:rPr>
                <w:rFonts w:ascii="Times New Roman" w:cs="Times New Roman" w:eastAsia="Times New Roman" w:hAnsi="Times New Roman"/>
                <w:sz w:val="16"/>
                <w:szCs w:val="16"/>
                <w:b w:val="1"/>
                <w:bCs w:val="1"/>
                <w:color w:val="FFFFFF"/>
              </w:rPr>
              <w:t>Equity</w:t>
            </w:r>
          </w:p>
        </w:tc>
        <w:tc>
          <w:tcPr>
            <w:tcW w:w="0" w:type="dxa"/>
            <w:vAlign w:val="bottom"/>
          </w:tcPr>
          <w:p>
            <w:pPr>
              <w:spacing w:after="0"/>
              <w:rPr>
                <w:sz w:val="1"/>
                <w:szCs w:val="1"/>
                <w:color w:val="auto"/>
              </w:rPr>
            </w:pPr>
          </w:p>
        </w:tc>
      </w:tr>
      <w:tr>
        <w:trPr>
          <w:trHeight w:val="188"/>
        </w:trPr>
        <w:tc>
          <w:tcPr>
            <w:tcW w:w="2840" w:type="dxa"/>
            <w:vAlign w:val="bottom"/>
            <w:shd w:val="clear" w:color="auto" w:fill="4C4C4C"/>
          </w:tcPr>
          <w:p>
            <w:pPr>
              <w:spacing w:after="0"/>
              <w:rPr>
                <w:sz w:val="16"/>
                <w:szCs w:val="16"/>
                <w:color w:val="auto"/>
              </w:rPr>
            </w:pPr>
          </w:p>
        </w:tc>
        <w:tc>
          <w:tcPr>
            <w:tcW w:w="1400" w:type="dxa"/>
            <w:vAlign w:val="bottom"/>
            <w:shd w:val="clear" w:color="auto" w:fill="4C4C4C"/>
          </w:tcPr>
          <w:p>
            <w:pPr>
              <w:spacing w:after="0"/>
              <w:rPr>
                <w:sz w:val="16"/>
                <w:szCs w:val="16"/>
                <w:color w:val="auto"/>
              </w:rPr>
            </w:pPr>
          </w:p>
        </w:tc>
        <w:tc>
          <w:tcPr>
            <w:tcW w:w="1000" w:type="dxa"/>
            <w:vAlign w:val="bottom"/>
            <w:shd w:val="clear" w:color="auto" w:fill="4C4C4C"/>
          </w:tcPr>
          <w:p>
            <w:pPr>
              <w:spacing w:after="0"/>
              <w:rPr>
                <w:sz w:val="16"/>
                <w:szCs w:val="16"/>
                <w:color w:val="auto"/>
              </w:rPr>
            </w:pPr>
          </w:p>
        </w:tc>
        <w:tc>
          <w:tcPr>
            <w:tcW w:w="11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Income</w:t>
            </w:r>
          </w:p>
        </w:tc>
        <w:tc>
          <w:tcPr>
            <w:tcW w:w="10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Treasury</w:t>
            </w:r>
          </w:p>
        </w:tc>
        <w:tc>
          <w:tcPr>
            <w:tcW w:w="10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Equity</w:t>
            </w:r>
          </w:p>
        </w:tc>
        <w:tc>
          <w:tcPr>
            <w:tcW w:w="1180" w:type="dxa"/>
            <w:vAlign w:val="bottom"/>
            <w:gridSpan w:val="2"/>
            <w:shd w:val="clear" w:color="auto" w:fill="4C4C4C"/>
          </w:tcPr>
          <w:p>
            <w:pPr>
              <w:jc w:val="center"/>
              <w:ind w:right="62"/>
              <w:spacing w:after="0"/>
              <w:rPr>
                <w:sz w:val="20"/>
                <w:szCs w:val="20"/>
                <w:color w:val="auto"/>
              </w:rPr>
            </w:pPr>
            <w:r>
              <w:rPr>
                <w:rFonts w:ascii="Times New Roman" w:cs="Times New Roman" w:eastAsia="Times New Roman" w:hAnsi="Times New Roman"/>
                <w:sz w:val="16"/>
                <w:szCs w:val="16"/>
                <w:b w:val="1"/>
                <w:bCs w:val="1"/>
                <w:color w:val="FFFFFF"/>
              </w:rPr>
              <w:t>Interests</w:t>
            </w:r>
          </w:p>
        </w:tc>
        <w:tc>
          <w:tcPr>
            <w:tcW w:w="900" w:type="dxa"/>
            <w:vAlign w:val="bottom"/>
            <w:shd w:val="clear" w:color="auto" w:fill="4C4C4C"/>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840" w:type="dxa"/>
            <w:vAlign w:val="bottom"/>
            <w:tcBorders>
              <w:bottom w:val="single" w:sz="8" w:color="4C4C4C"/>
            </w:tcBorders>
            <w:shd w:val="clear" w:color="auto" w:fill="4C4C4C"/>
          </w:tcPr>
          <w:p>
            <w:pPr>
              <w:spacing w:after="0"/>
              <w:rPr>
                <w:sz w:val="4"/>
                <w:szCs w:val="4"/>
                <w:color w:val="auto"/>
              </w:rPr>
            </w:pPr>
          </w:p>
        </w:tc>
        <w:tc>
          <w:tcPr>
            <w:tcW w:w="1400" w:type="dxa"/>
            <w:vAlign w:val="bottom"/>
            <w:tcBorders>
              <w:bottom w:val="single" w:sz="8" w:color="4C4C4C"/>
            </w:tcBorders>
            <w:shd w:val="clear" w:color="auto" w:fill="4C4C4C"/>
          </w:tcPr>
          <w:p>
            <w:pPr>
              <w:spacing w:after="0"/>
              <w:rPr>
                <w:sz w:val="4"/>
                <w:szCs w:val="4"/>
                <w:color w:val="auto"/>
              </w:rPr>
            </w:pPr>
          </w:p>
        </w:tc>
        <w:tc>
          <w:tcPr>
            <w:tcW w:w="1000" w:type="dxa"/>
            <w:vAlign w:val="bottom"/>
            <w:tcBorders>
              <w:bottom w:val="single" w:sz="8" w:color="4C4C4C"/>
            </w:tcBorders>
            <w:shd w:val="clear" w:color="auto" w:fill="4C4C4C"/>
          </w:tcPr>
          <w:p>
            <w:pPr>
              <w:spacing w:after="0"/>
              <w:rPr>
                <w:sz w:val="4"/>
                <w:szCs w:val="4"/>
                <w:color w:val="auto"/>
              </w:rPr>
            </w:pPr>
          </w:p>
        </w:tc>
        <w:tc>
          <w:tcPr>
            <w:tcW w:w="1180" w:type="dxa"/>
            <w:vAlign w:val="bottom"/>
            <w:tcBorders>
              <w:bottom w:val="single" w:sz="8" w:color="4C4C4C"/>
            </w:tcBorders>
            <w:vMerge w:val="continue"/>
            <w:shd w:val="clear" w:color="auto" w:fill="4C4C4C"/>
          </w:tcPr>
          <w:p>
            <w:pPr>
              <w:spacing w:after="0"/>
              <w:rPr>
                <w:sz w:val="4"/>
                <w:szCs w:val="4"/>
                <w:color w:val="auto"/>
              </w:rPr>
            </w:pPr>
          </w:p>
        </w:tc>
        <w:tc>
          <w:tcPr>
            <w:tcW w:w="1020" w:type="dxa"/>
            <w:vAlign w:val="bottom"/>
            <w:tcBorders>
              <w:bottom w:val="single" w:sz="8" w:color="4C4C4C"/>
            </w:tcBorders>
            <w:shd w:val="clear" w:color="auto" w:fill="4C4C4C"/>
          </w:tcPr>
          <w:p>
            <w:pPr>
              <w:spacing w:after="0"/>
              <w:rPr>
                <w:sz w:val="4"/>
                <w:szCs w:val="4"/>
                <w:color w:val="auto"/>
              </w:rPr>
            </w:pPr>
          </w:p>
        </w:tc>
        <w:tc>
          <w:tcPr>
            <w:tcW w:w="1040" w:type="dxa"/>
            <w:vAlign w:val="bottom"/>
            <w:tcBorders>
              <w:bottom w:val="single" w:sz="8" w:color="4C4C4C"/>
            </w:tcBorders>
            <w:shd w:val="clear" w:color="auto" w:fill="4C4C4C"/>
          </w:tcPr>
          <w:p>
            <w:pPr>
              <w:spacing w:after="0"/>
              <w:rPr>
                <w:sz w:val="4"/>
                <w:szCs w:val="4"/>
                <w:color w:val="auto"/>
              </w:rPr>
            </w:pPr>
          </w:p>
        </w:tc>
        <w:tc>
          <w:tcPr>
            <w:tcW w:w="340" w:type="dxa"/>
            <w:vAlign w:val="bottom"/>
            <w:tcBorders>
              <w:bottom w:val="single" w:sz="8" w:color="4C4C4C"/>
            </w:tcBorders>
            <w:shd w:val="clear" w:color="auto" w:fill="4C4C4C"/>
          </w:tcPr>
          <w:p>
            <w:pPr>
              <w:spacing w:after="0"/>
              <w:rPr>
                <w:sz w:val="4"/>
                <w:szCs w:val="4"/>
                <w:color w:val="auto"/>
              </w:rPr>
            </w:pPr>
          </w:p>
        </w:tc>
        <w:tc>
          <w:tcPr>
            <w:tcW w:w="840" w:type="dxa"/>
            <w:vAlign w:val="bottom"/>
            <w:tcBorders>
              <w:bottom w:val="single" w:sz="8" w:color="4C4C4C"/>
            </w:tcBorders>
            <w:shd w:val="clear" w:color="auto" w:fill="4C4C4C"/>
          </w:tcPr>
          <w:p>
            <w:pPr>
              <w:spacing w:after="0"/>
              <w:rPr>
                <w:sz w:val="4"/>
                <w:szCs w:val="4"/>
                <w:color w:val="auto"/>
              </w:rPr>
            </w:pPr>
          </w:p>
        </w:tc>
        <w:tc>
          <w:tcPr>
            <w:tcW w:w="900" w:type="dxa"/>
            <w:vAlign w:val="bottom"/>
            <w:tcBorders>
              <w:bottom w:val="single" w:sz="8" w:color="4C4C4C"/>
            </w:tcBorders>
            <w:shd w:val="clear" w:color="auto" w:fill="4C4C4C"/>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840" w:type="dxa"/>
            <w:vAlign w:val="bottom"/>
            <w:tcBorders>
              <w:bottom w:val="single" w:sz="8" w:color="4C4C4C"/>
            </w:tcBorders>
          </w:tcPr>
          <w:p>
            <w:pPr>
              <w:spacing w:after="0"/>
              <w:rPr>
                <w:sz w:val="8"/>
                <w:szCs w:val="8"/>
                <w:color w:val="auto"/>
              </w:rPr>
            </w:pPr>
          </w:p>
        </w:tc>
        <w:tc>
          <w:tcPr>
            <w:tcW w:w="1400" w:type="dxa"/>
            <w:vAlign w:val="bottom"/>
            <w:tcBorders>
              <w:bottom w:val="single" w:sz="8" w:color="4C4C4C"/>
            </w:tcBorders>
          </w:tcPr>
          <w:p>
            <w:pPr>
              <w:spacing w:after="0"/>
              <w:rPr>
                <w:sz w:val="8"/>
                <w:szCs w:val="8"/>
                <w:color w:val="auto"/>
              </w:rPr>
            </w:pPr>
          </w:p>
        </w:tc>
        <w:tc>
          <w:tcPr>
            <w:tcW w:w="1000" w:type="dxa"/>
            <w:vAlign w:val="bottom"/>
            <w:tcBorders>
              <w:bottom w:val="single" w:sz="8" w:color="4C4C4C"/>
            </w:tcBorders>
          </w:tcPr>
          <w:p>
            <w:pPr>
              <w:spacing w:after="0"/>
              <w:rPr>
                <w:sz w:val="8"/>
                <w:szCs w:val="8"/>
                <w:color w:val="auto"/>
              </w:rPr>
            </w:pPr>
          </w:p>
        </w:tc>
        <w:tc>
          <w:tcPr>
            <w:tcW w:w="1180" w:type="dxa"/>
            <w:vAlign w:val="bottom"/>
            <w:tcBorders>
              <w:bottom w:val="single" w:sz="8" w:color="4C4C4C"/>
            </w:tcBorders>
          </w:tcPr>
          <w:p>
            <w:pPr>
              <w:spacing w:after="0"/>
              <w:rPr>
                <w:sz w:val="8"/>
                <w:szCs w:val="8"/>
                <w:color w:val="auto"/>
              </w:rPr>
            </w:pPr>
          </w:p>
        </w:tc>
        <w:tc>
          <w:tcPr>
            <w:tcW w:w="1020" w:type="dxa"/>
            <w:vAlign w:val="bottom"/>
            <w:tcBorders>
              <w:bottom w:val="single" w:sz="8" w:color="4C4C4C"/>
            </w:tcBorders>
          </w:tcPr>
          <w:p>
            <w:pPr>
              <w:spacing w:after="0"/>
              <w:rPr>
                <w:sz w:val="8"/>
                <w:szCs w:val="8"/>
                <w:color w:val="auto"/>
              </w:rPr>
            </w:pPr>
          </w:p>
        </w:tc>
        <w:tc>
          <w:tcPr>
            <w:tcW w:w="1040" w:type="dxa"/>
            <w:vAlign w:val="bottom"/>
            <w:tcBorders>
              <w:bottom w:val="single" w:sz="8" w:color="4C4C4C"/>
            </w:tcBorders>
            <w:shd w:val="clear" w:color="auto" w:fill="F0F0F0"/>
          </w:tcPr>
          <w:p>
            <w:pPr>
              <w:spacing w:after="0"/>
              <w:rPr>
                <w:sz w:val="8"/>
                <w:szCs w:val="8"/>
                <w:color w:val="auto"/>
              </w:rPr>
            </w:pPr>
          </w:p>
        </w:tc>
        <w:tc>
          <w:tcPr>
            <w:tcW w:w="34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8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14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15,688</w:t>
            </w:r>
          </w:p>
        </w:tc>
        <w:tc>
          <w:tcPr>
            <w:tcW w:w="100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383,943</w:t>
            </w:r>
          </w:p>
        </w:tc>
        <w:tc>
          <w:tcPr>
            <w:tcW w:w="11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(16,705)</w:t>
            </w:r>
          </w:p>
        </w:tc>
        <w:tc>
          <w:tcPr>
            <w:tcW w:w="10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(225,776)</w:t>
            </w:r>
          </w:p>
        </w:tc>
        <w:tc>
          <w:tcPr>
            <w:tcW w:w="10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157,150</w:t>
            </w:r>
          </w:p>
        </w:tc>
        <w:tc>
          <w:tcPr>
            <w:tcW w:w="340" w:type="dxa"/>
            <w:vAlign w:val="bottom"/>
            <w:tcBorders>
              <w:bottom w:val="single" w:sz="8" w:color="4C4C4C"/>
            </w:tcBorders>
          </w:tcPr>
          <w:p>
            <w:pPr>
              <w:spacing w:after="0"/>
              <w:rPr>
                <w:sz w:val="19"/>
                <w:szCs w:val="19"/>
                <w:color w:val="auto"/>
              </w:rPr>
            </w:pPr>
          </w:p>
        </w:tc>
        <w:tc>
          <w:tcPr>
            <w:tcW w:w="840" w:type="dxa"/>
            <w:vAlign w:val="bottom"/>
            <w:tcBorders>
              <w:bottom w:val="single" w:sz="8" w:color="4C4C4C"/>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6,980</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164,130</w:t>
            </w:r>
          </w:p>
        </w:tc>
        <w:tc>
          <w:tcPr>
            <w:tcW w:w="0" w:type="dxa"/>
            <w:vAlign w:val="bottom"/>
          </w:tcPr>
          <w:p>
            <w:pPr>
              <w:spacing w:after="0"/>
              <w:rPr>
                <w:sz w:val="1"/>
                <w:szCs w:val="1"/>
                <w:color w:val="auto"/>
              </w:rPr>
            </w:pPr>
          </w:p>
        </w:tc>
      </w:tr>
      <w:tr>
        <w:trPr>
          <w:trHeight w:val="225"/>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stock-based awards</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534</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340" w:type="dxa"/>
            <w:vAlign w:val="bottom"/>
          </w:tcPr>
          <w:p>
            <w:pPr>
              <w:spacing w:after="0"/>
              <w:rPr>
                <w:sz w:val="19"/>
                <w:szCs w:val="19"/>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(476)</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for the year</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23,040</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558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23,598</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 common shares</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(14,924)</w:t>
            </w:r>
          </w:p>
        </w:tc>
        <w:tc>
          <w:tcPr>
            <w:tcW w:w="34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(15,148)</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2,941</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repurchases, at cost</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34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(551)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55"/>
        </w:trPr>
        <w:tc>
          <w:tcPr>
            <w:tcW w:w="28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color w:val="auto"/>
              </w:rPr>
              <w:t>Dispositions</w:t>
            </w:r>
          </w:p>
        </w:tc>
        <w:tc>
          <w:tcPr>
            <w:tcW w:w="14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4C4C4C"/>
            </w:tcBorders>
          </w:tcPr>
          <w:p>
            <w:pPr>
              <w:jc w:val="right"/>
              <w:ind w:right="2"/>
              <w:spacing w:after="0"/>
              <w:rPr>
                <w:sz w:val="20"/>
                <w:szCs w:val="20"/>
                <w:color w:val="auto"/>
              </w:rPr>
            </w:pPr>
            <w:r>
              <w:rPr>
                <w:rFonts w:ascii="Times New Roman" w:cs="Times New Roman" w:eastAsia="Times New Roman" w:hAnsi="Times New Roman"/>
                <w:sz w:val="16"/>
                <w:szCs w:val="16"/>
                <w:color w:val="auto"/>
              </w:rPr>
              <w:t>467</w:t>
            </w:r>
          </w:p>
        </w:tc>
        <w:tc>
          <w:tcPr>
            <w:tcW w:w="10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340" w:type="dxa"/>
            <w:vAlign w:val="bottom"/>
            <w:tcBorders>
              <w:bottom w:val="single" w:sz="8" w:color="4C4C4C"/>
            </w:tcBorders>
          </w:tcPr>
          <w:p>
            <w:pPr>
              <w:spacing w:after="0"/>
              <w:rPr>
                <w:sz w:val="22"/>
                <w:szCs w:val="22"/>
                <w:color w:val="auto"/>
              </w:rPr>
            </w:pPr>
          </w:p>
        </w:tc>
        <w:tc>
          <w:tcPr>
            <w:tcW w:w="840" w:type="dxa"/>
            <w:vAlign w:val="bottom"/>
            <w:tcBorders>
              <w:bottom w:val="single" w:sz="8" w:color="4C4C4C"/>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4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15,746</w:t>
            </w:r>
          </w:p>
        </w:tc>
        <w:tc>
          <w:tcPr>
            <w:tcW w:w="100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392,059</w:t>
            </w:r>
          </w:p>
        </w:tc>
        <w:tc>
          <w:tcPr>
            <w:tcW w:w="11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(13,764)</w:t>
            </w:r>
          </w:p>
        </w:tc>
        <w:tc>
          <w:tcPr>
            <w:tcW w:w="10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(225,464)</w:t>
            </w:r>
          </w:p>
        </w:tc>
        <w:tc>
          <w:tcPr>
            <w:tcW w:w="10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168,577</w:t>
            </w:r>
          </w:p>
        </w:tc>
        <w:tc>
          <w:tcPr>
            <w:tcW w:w="340" w:type="dxa"/>
            <w:vAlign w:val="bottom"/>
            <w:tcBorders>
              <w:bottom w:val="single" w:sz="8" w:color="4C4C4C"/>
            </w:tcBorders>
          </w:tcPr>
          <w:p>
            <w:pPr>
              <w:spacing w:after="0"/>
              <w:rPr>
                <w:sz w:val="19"/>
                <w:szCs w:val="19"/>
                <w:color w:val="auto"/>
              </w:rPr>
            </w:pPr>
          </w:p>
        </w:tc>
        <w:tc>
          <w:tcPr>
            <w:tcW w:w="840" w:type="dxa"/>
            <w:vAlign w:val="bottom"/>
            <w:tcBorders>
              <w:bottom w:val="single" w:sz="8" w:color="4C4C4C"/>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7,106</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175,683</w:t>
            </w:r>
          </w:p>
        </w:tc>
        <w:tc>
          <w:tcPr>
            <w:tcW w:w="0" w:type="dxa"/>
            <w:vAlign w:val="bottom"/>
          </w:tcPr>
          <w:p>
            <w:pPr>
              <w:spacing w:after="0"/>
              <w:rPr>
                <w:sz w:val="1"/>
                <w:szCs w:val="1"/>
                <w:color w:val="auto"/>
              </w:rPr>
            </w:pPr>
          </w:p>
        </w:tc>
      </w:tr>
      <w:tr>
        <w:trPr>
          <w:trHeight w:val="225"/>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stock-based awards</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481</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340" w:type="dxa"/>
            <w:vAlign w:val="bottom"/>
          </w:tcPr>
          <w:p>
            <w:pPr>
              <w:spacing w:after="0"/>
              <w:rPr>
                <w:sz w:val="19"/>
                <w:szCs w:val="19"/>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(475)</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for the year</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55,740</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55,740</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1,837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57,577</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 common shares</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34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494</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34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repurchases, at cost</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(15,295)</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(15,295)</w:t>
            </w:r>
          </w:p>
        </w:tc>
        <w:tc>
          <w:tcPr>
            <w:tcW w:w="34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(1,479)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0" w:type="dxa"/>
            <w:vAlign w:val="bottom"/>
          </w:tcPr>
          <w:p>
            <w:pPr>
              <w:spacing w:after="0"/>
              <w:rPr>
                <w:sz w:val="1"/>
                <w:szCs w:val="1"/>
                <w:color w:val="auto"/>
              </w:rPr>
            </w:pPr>
          </w:p>
        </w:tc>
      </w:tr>
      <w:tr>
        <w:trPr>
          <w:trHeight w:val="255"/>
        </w:trPr>
        <w:tc>
          <w:tcPr>
            <w:tcW w:w="28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color w:val="auto"/>
              </w:rPr>
              <w:t>Dispositions</w:t>
            </w:r>
          </w:p>
        </w:tc>
        <w:tc>
          <w:tcPr>
            <w:tcW w:w="14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4C4C4C"/>
            </w:tcBorders>
          </w:tcPr>
          <w:p>
            <w:pPr>
              <w:jc w:val="right"/>
              <w:ind w:right="2"/>
              <w:spacing w:after="0"/>
              <w:rPr>
                <w:sz w:val="20"/>
                <w:szCs w:val="20"/>
                <w:color w:val="auto"/>
              </w:rPr>
            </w:pPr>
            <w:r>
              <w:rPr>
                <w:rFonts w:ascii="Times New Roman" w:cs="Times New Roman" w:eastAsia="Times New Roman" w:hAnsi="Times New Roman"/>
                <w:sz w:val="16"/>
                <w:szCs w:val="16"/>
                <w:color w:val="auto"/>
              </w:rPr>
              <w:t>466</w:t>
            </w:r>
          </w:p>
        </w:tc>
        <w:tc>
          <w:tcPr>
            <w:tcW w:w="10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340" w:type="dxa"/>
            <w:vAlign w:val="bottom"/>
            <w:tcBorders>
              <w:bottom w:val="single" w:sz="8" w:color="4C4C4C"/>
            </w:tcBorders>
          </w:tcPr>
          <w:p>
            <w:pPr>
              <w:spacing w:after="0"/>
              <w:rPr>
                <w:sz w:val="22"/>
                <w:szCs w:val="22"/>
                <w:color w:val="auto"/>
              </w:rPr>
            </w:pPr>
          </w:p>
        </w:tc>
        <w:tc>
          <w:tcPr>
            <w:tcW w:w="840" w:type="dxa"/>
            <w:vAlign w:val="bottom"/>
            <w:tcBorders>
              <w:bottom w:val="single" w:sz="8" w:color="4C4C4C"/>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4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15,752</w:t>
            </w:r>
          </w:p>
        </w:tc>
        <w:tc>
          <w:tcPr>
            <w:tcW w:w="100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432,860</w:t>
            </w:r>
          </w:p>
        </w:tc>
        <w:tc>
          <w:tcPr>
            <w:tcW w:w="11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(13,270)</w:t>
            </w:r>
          </w:p>
        </w:tc>
        <w:tc>
          <w:tcPr>
            <w:tcW w:w="10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(240,293)</w:t>
            </w:r>
          </w:p>
        </w:tc>
        <w:tc>
          <w:tcPr>
            <w:tcW w:w="10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195,049</w:t>
            </w:r>
          </w:p>
        </w:tc>
        <w:tc>
          <w:tcPr>
            <w:tcW w:w="340" w:type="dxa"/>
            <w:vAlign w:val="bottom"/>
            <w:tcBorders>
              <w:bottom w:val="single" w:sz="8" w:color="4C4C4C"/>
            </w:tcBorders>
          </w:tcPr>
          <w:p>
            <w:pPr>
              <w:spacing w:after="0"/>
              <w:rPr>
                <w:sz w:val="19"/>
                <w:szCs w:val="19"/>
                <w:color w:val="auto"/>
              </w:rPr>
            </w:pPr>
          </w:p>
        </w:tc>
        <w:tc>
          <w:tcPr>
            <w:tcW w:w="840" w:type="dxa"/>
            <w:vAlign w:val="bottom"/>
            <w:tcBorders>
              <w:bottom w:val="single" w:sz="8" w:color="4C4C4C"/>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7,424</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202,473</w:t>
            </w:r>
          </w:p>
        </w:tc>
        <w:tc>
          <w:tcPr>
            <w:tcW w:w="0" w:type="dxa"/>
            <w:vAlign w:val="bottom"/>
          </w:tcPr>
          <w:p>
            <w:pPr>
              <w:spacing w:after="0"/>
              <w:rPr>
                <w:sz w:val="1"/>
                <w:szCs w:val="1"/>
                <w:color w:val="auto"/>
              </w:rPr>
            </w:pPr>
          </w:p>
        </w:tc>
      </w:tr>
      <w:tr>
        <w:trPr>
          <w:trHeight w:val="225"/>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stock-based awards</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565</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340" w:type="dxa"/>
            <w:vAlign w:val="bottom"/>
          </w:tcPr>
          <w:p>
            <w:pPr>
              <w:spacing w:after="0"/>
              <w:rPr>
                <w:sz w:val="19"/>
                <w:szCs w:val="19"/>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for the year</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36,010</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36,010</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1,344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37,354</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 common shares</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34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(531)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(15,472)</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1,281</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repurchases, at cost</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(17,993)</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(17,993)</w:t>
            </w:r>
          </w:p>
        </w:tc>
        <w:tc>
          <w:tcPr>
            <w:tcW w:w="34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(851)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(18,844)</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Issued for acquisitions</w:t>
            </w: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1,978</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2,866</w:t>
            </w: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3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0" w:type="dxa"/>
            <w:vAlign w:val="bottom"/>
          </w:tcPr>
          <w:p>
            <w:pPr>
              <w:spacing w:after="0"/>
              <w:rPr>
                <w:sz w:val="1"/>
                <w:szCs w:val="1"/>
                <w:color w:val="auto"/>
              </w:rPr>
            </w:pPr>
          </w:p>
        </w:tc>
      </w:tr>
      <w:tr>
        <w:trPr>
          <w:trHeight w:val="255"/>
        </w:trPr>
        <w:tc>
          <w:tcPr>
            <w:tcW w:w="28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color w:val="auto"/>
              </w:rPr>
              <w:t>Dispositions</w:t>
            </w:r>
          </w:p>
        </w:tc>
        <w:tc>
          <w:tcPr>
            <w:tcW w:w="14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4C4C4C"/>
            </w:tcBorders>
          </w:tcPr>
          <w:p>
            <w:pPr>
              <w:jc w:val="right"/>
              <w:ind w:right="2"/>
              <w:spacing w:after="0"/>
              <w:rPr>
                <w:sz w:val="20"/>
                <w:szCs w:val="20"/>
                <w:color w:val="auto"/>
              </w:rPr>
            </w:pPr>
            <w:r>
              <w:rPr>
                <w:rFonts w:ascii="Times New Roman" w:cs="Times New Roman" w:eastAsia="Times New Roman" w:hAnsi="Times New Roman"/>
                <w:sz w:val="16"/>
                <w:szCs w:val="16"/>
                <w:color w:val="auto"/>
              </w:rPr>
              <w:t>503</w:t>
            </w:r>
          </w:p>
        </w:tc>
        <w:tc>
          <w:tcPr>
            <w:tcW w:w="10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340" w:type="dxa"/>
            <w:vAlign w:val="bottom"/>
            <w:tcBorders>
              <w:bottom w:val="single" w:sz="8" w:color="4C4C4C"/>
            </w:tcBorders>
          </w:tcPr>
          <w:p>
            <w:pPr>
              <w:spacing w:after="0"/>
              <w:rPr>
                <w:sz w:val="22"/>
                <w:szCs w:val="22"/>
                <w:color w:val="auto"/>
              </w:rPr>
            </w:pPr>
          </w:p>
        </w:tc>
        <w:tc>
          <w:tcPr>
            <w:tcW w:w="840" w:type="dxa"/>
            <w:vAlign w:val="bottom"/>
            <w:tcBorders>
              <w:bottom w:val="single" w:sz="8" w:color="4C4C4C"/>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35"/>
        </w:trPr>
        <w:tc>
          <w:tcPr>
            <w:tcW w:w="28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17,781</w:t>
            </w:r>
          </w:p>
        </w:tc>
        <w:tc>
          <w:tcPr>
            <w:tcW w:w="1000" w:type="dxa"/>
            <w:vAlign w:val="bottom"/>
            <w:tcBorders>
              <w:bottom w:val="single" w:sz="8" w:color="4C4C4C"/>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453,927</w:t>
            </w:r>
          </w:p>
        </w:tc>
        <w:tc>
          <w:tcPr>
            <w:tcW w:w="11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(11,989)</w:t>
            </w:r>
          </w:p>
        </w:tc>
        <w:tc>
          <w:tcPr>
            <w:tcW w:w="10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(254,917)</w:t>
            </w:r>
          </w:p>
        </w:tc>
        <w:tc>
          <w:tcPr>
            <w:tcW w:w="10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204,802</w:t>
            </w:r>
          </w:p>
        </w:tc>
        <w:tc>
          <w:tcPr>
            <w:tcW w:w="340" w:type="dxa"/>
            <w:vAlign w:val="bottom"/>
            <w:tcBorders>
              <w:bottom w:val="single" w:sz="8" w:color="4C4C4C"/>
            </w:tcBorders>
          </w:tcPr>
          <w:p>
            <w:pPr>
              <w:spacing w:after="0"/>
              <w:rPr>
                <w:sz w:val="20"/>
                <w:szCs w:val="20"/>
                <w:color w:val="auto"/>
              </w:rPr>
            </w:pPr>
          </w:p>
        </w:tc>
        <w:tc>
          <w:tcPr>
            <w:tcW w:w="840" w:type="dxa"/>
            <w:vAlign w:val="bottom"/>
            <w:tcBorders>
              <w:bottom w:val="single" w:sz="8" w:color="4C4C4C"/>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7,736</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212,538</w:t>
            </w:r>
          </w:p>
        </w:tc>
        <w:tc>
          <w:tcPr>
            <w:tcW w:w="0" w:type="dxa"/>
            <w:vAlign w:val="bottom"/>
          </w:tcPr>
          <w:p>
            <w:pPr>
              <w:spacing w:after="0"/>
              <w:rPr>
                <w:sz w:val="1"/>
                <w:szCs w:val="1"/>
                <w:color w:val="auto"/>
              </w:rPr>
            </w:pPr>
          </w:p>
        </w:tc>
      </w:tr>
      <w:tr>
        <w:trPr>
          <w:trHeight w:val="515"/>
        </w:trPr>
        <w:tc>
          <w:tcPr>
            <w:tcW w:w="2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840" w:type="dxa"/>
            <w:vAlign w:val="bottom"/>
            <w:shd w:val="clear" w:color="auto" w:fill="4C4C4C"/>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FFFFFF"/>
              </w:rPr>
              <w:t>Common Stock Share Activity</w:t>
            </w:r>
          </w:p>
        </w:tc>
        <w:tc>
          <w:tcPr>
            <w:tcW w:w="1400" w:type="dxa"/>
            <w:vAlign w:val="bottom"/>
            <w:shd w:val="clear" w:color="auto" w:fill="4C4C4C"/>
          </w:tcPr>
          <w:p>
            <w:pPr>
              <w:spacing w:after="0"/>
              <w:rPr>
                <w:sz w:val="15"/>
                <w:szCs w:val="15"/>
                <w:color w:val="auto"/>
              </w:rPr>
            </w:pPr>
          </w:p>
        </w:tc>
        <w:tc>
          <w:tcPr>
            <w:tcW w:w="1000" w:type="dxa"/>
            <w:vAlign w:val="bottom"/>
            <w:shd w:val="clear" w:color="auto" w:fill="4C4C4C"/>
          </w:tcPr>
          <w:p>
            <w:pPr>
              <w:spacing w:after="0"/>
              <w:rPr>
                <w:sz w:val="15"/>
                <w:szCs w:val="15"/>
                <w:color w:val="auto"/>
              </w:rPr>
            </w:pPr>
          </w:p>
        </w:tc>
        <w:tc>
          <w:tcPr>
            <w:tcW w:w="1180" w:type="dxa"/>
            <w:vAlign w:val="bottom"/>
            <w:shd w:val="clear" w:color="auto" w:fill="4C4C4C"/>
          </w:tcPr>
          <w:p>
            <w:pPr>
              <w:spacing w:after="0"/>
              <w:rPr>
                <w:sz w:val="15"/>
                <w:szCs w:val="15"/>
                <w:color w:val="auto"/>
              </w:rPr>
            </w:pPr>
          </w:p>
        </w:tc>
        <w:tc>
          <w:tcPr>
            <w:tcW w:w="1020" w:type="dxa"/>
            <w:vAlign w:val="bottom"/>
            <w:vMerge w:val="restart"/>
            <w:shd w:val="clear" w:color="auto" w:fill="4C4C4C"/>
          </w:tcPr>
          <w:p>
            <w:pPr>
              <w:jc w:val="right"/>
              <w:ind w:right="2"/>
              <w:spacing w:after="0"/>
              <w:rPr>
                <w:sz w:val="20"/>
                <w:szCs w:val="20"/>
                <w:color w:val="auto"/>
              </w:rPr>
            </w:pPr>
            <w:r>
              <w:rPr>
                <w:rFonts w:ascii="Times New Roman" w:cs="Times New Roman" w:eastAsia="Times New Roman" w:hAnsi="Times New Roman"/>
                <w:sz w:val="16"/>
                <w:szCs w:val="16"/>
                <w:b w:val="1"/>
                <w:bCs w:val="1"/>
                <w:color w:val="FFFFFF"/>
              </w:rPr>
              <w:t>Issued</w:t>
            </w:r>
          </w:p>
        </w:tc>
        <w:tc>
          <w:tcPr>
            <w:tcW w:w="1380" w:type="dxa"/>
            <w:vAlign w:val="bottom"/>
            <w:gridSpan w:val="2"/>
            <w:shd w:val="clear" w:color="auto" w:fill="4C4C4C"/>
          </w:tcPr>
          <w:p>
            <w:pPr>
              <w:jc w:val="center"/>
              <w:ind w:left="682"/>
              <w:spacing w:after="0" w:line="181" w:lineRule="exact"/>
              <w:rPr>
                <w:sz w:val="20"/>
                <w:szCs w:val="20"/>
                <w:color w:val="auto"/>
              </w:rPr>
            </w:pPr>
            <w:r>
              <w:rPr>
                <w:rFonts w:ascii="Times New Roman" w:cs="Times New Roman" w:eastAsia="Times New Roman" w:hAnsi="Times New Roman"/>
                <w:sz w:val="16"/>
                <w:szCs w:val="16"/>
                <w:b w:val="1"/>
                <w:bCs w:val="1"/>
                <w:color w:val="FFFFFF"/>
                <w:w w:val="99"/>
              </w:rPr>
              <w:t>Held in</w:t>
            </w:r>
          </w:p>
        </w:tc>
        <w:tc>
          <w:tcPr>
            <w:tcW w:w="1740" w:type="dxa"/>
            <w:vAlign w:val="bottom"/>
            <w:gridSpan w:val="2"/>
            <w:vMerge w:val="restart"/>
            <w:shd w:val="clear" w:color="auto" w:fill="4C4C4C"/>
          </w:tcPr>
          <w:p>
            <w:pPr>
              <w:jc w:val="right"/>
              <w:ind w:right="182"/>
              <w:spacing w:after="0"/>
              <w:rPr>
                <w:sz w:val="20"/>
                <w:szCs w:val="20"/>
                <w:color w:val="auto"/>
              </w:rPr>
            </w:pPr>
            <w:r>
              <w:rPr>
                <w:rFonts w:ascii="Times New Roman" w:cs="Times New Roman" w:eastAsia="Times New Roman" w:hAnsi="Times New Roman"/>
                <w:sz w:val="16"/>
                <w:szCs w:val="16"/>
                <w:b w:val="1"/>
                <w:bCs w:val="1"/>
                <w:color w:val="FFFFFF"/>
              </w:rPr>
              <w:t>Outstanding</w:t>
            </w:r>
          </w:p>
        </w:tc>
        <w:tc>
          <w:tcPr>
            <w:tcW w:w="0" w:type="dxa"/>
            <w:vAlign w:val="bottom"/>
          </w:tcPr>
          <w:p>
            <w:pPr>
              <w:spacing w:after="0"/>
              <w:rPr>
                <w:sz w:val="1"/>
                <w:szCs w:val="1"/>
                <w:color w:val="auto"/>
              </w:rPr>
            </w:pPr>
          </w:p>
        </w:tc>
      </w:tr>
      <w:tr>
        <w:trPr>
          <w:trHeight w:val="128"/>
        </w:trPr>
        <w:tc>
          <w:tcPr>
            <w:tcW w:w="284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shares)</w:t>
            </w:r>
          </w:p>
        </w:tc>
        <w:tc>
          <w:tcPr>
            <w:tcW w:w="1400" w:type="dxa"/>
            <w:vAlign w:val="bottom"/>
            <w:shd w:val="clear" w:color="auto" w:fill="4C4C4C"/>
          </w:tcPr>
          <w:p>
            <w:pPr>
              <w:spacing w:after="0"/>
              <w:rPr>
                <w:sz w:val="11"/>
                <w:szCs w:val="11"/>
                <w:color w:val="auto"/>
              </w:rPr>
            </w:pPr>
          </w:p>
        </w:tc>
        <w:tc>
          <w:tcPr>
            <w:tcW w:w="1000" w:type="dxa"/>
            <w:vAlign w:val="bottom"/>
            <w:shd w:val="clear" w:color="auto" w:fill="4C4C4C"/>
          </w:tcPr>
          <w:p>
            <w:pPr>
              <w:spacing w:after="0"/>
              <w:rPr>
                <w:sz w:val="11"/>
                <w:szCs w:val="11"/>
                <w:color w:val="auto"/>
              </w:rPr>
            </w:pPr>
          </w:p>
        </w:tc>
        <w:tc>
          <w:tcPr>
            <w:tcW w:w="1180" w:type="dxa"/>
            <w:vAlign w:val="bottom"/>
            <w:shd w:val="clear" w:color="auto" w:fill="4C4C4C"/>
          </w:tcPr>
          <w:p>
            <w:pPr>
              <w:spacing w:after="0"/>
              <w:rPr>
                <w:sz w:val="11"/>
                <w:szCs w:val="11"/>
                <w:color w:val="auto"/>
              </w:rPr>
            </w:pPr>
          </w:p>
        </w:tc>
        <w:tc>
          <w:tcPr>
            <w:tcW w:w="1020" w:type="dxa"/>
            <w:vAlign w:val="bottom"/>
            <w:vMerge w:val="continue"/>
            <w:shd w:val="clear" w:color="auto" w:fill="4C4C4C"/>
          </w:tcPr>
          <w:p>
            <w:pPr>
              <w:spacing w:after="0"/>
              <w:rPr>
                <w:sz w:val="11"/>
                <w:szCs w:val="11"/>
                <w:color w:val="auto"/>
              </w:rPr>
            </w:pPr>
          </w:p>
        </w:tc>
        <w:tc>
          <w:tcPr>
            <w:tcW w:w="1380" w:type="dxa"/>
            <w:vAlign w:val="bottom"/>
            <w:gridSpan w:val="2"/>
            <w:vMerge w:val="restart"/>
            <w:shd w:val="clear" w:color="auto" w:fill="4C4C4C"/>
          </w:tcPr>
          <w:p>
            <w:pPr>
              <w:jc w:val="center"/>
              <w:ind w:left="682"/>
              <w:spacing w:after="0"/>
              <w:rPr>
                <w:sz w:val="20"/>
                <w:szCs w:val="20"/>
                <w:color w:val="auto"/>
              </w:rPr>
            </w:pPr>
            <w:r>
              <w:rPr>
                <w:rFonts w:ascii="Times New Roman" w:cs="Times New Roman" w:eastAsia="Times New Roman" w:hAnsi="Times New Roman"/>
                <w:sz w:val="16"/>
                <w:szCs w:val="16"/>
                <w:b w:val="1"/>
                <w:bCs w:val="1"/>
                <w:color w:val="FFFFFF"/>
                <w:w w:val="98"/>
              </w:rPr>
              <w:t>Treasury</w:t>
            </w:r>
          </w:p>
        </w:tc>
        <w:tc>
          <w:tcPr>
            <w:tcW w:w="1740" w:type="dxa"/>
            <w:vAlign w:val="bottom"/>
            <w:gridSpan w:val="2"/>
            <w:vMerge w:val="continue"/>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40" w:type="dxa"/>
            <w:vAlign w:val="bottom"/>
            <w:tcBorders>
              <w:bottom w:val="single" w:sz="8" w:color="4C4C4C"/>
            </w:tcBorders>
            <w:vMerge w:val="continue"/>
            <w:shd w:val="clear" w:color="auto" w:fill="4C4C4C"/>
          </w:tcPr>
          <w:p>
            <w:pPr>
              <w:spacing w:after="0"/>
              <w:rPr>
                <w:sz w:val="8"/>
                <w:szCs w:val="8"/>
                <w:color w:val="auto"/>
              </w:rPr>
            </w:pPr>
          </w:p>
        </w:tc>
        <w:tc>
          <w:tcPr>
            <w:tcW w:w="1400" w:type="dxa"/>
            <w:vAlign w:val="bottom"/>
            <w:tcBorders>
              <w:bottom w:val="single" w:sz="8" w:color="4C4C4C"/>
            </w:tcBorders>
            <w:shd w:val="clear" w:color="auto" w:fill="4C4C4C"/>
          </w:tcPr>
          <w:p>
            <w:pPr>
              <w:spacing w:after="0"/>
              <w:rPr>
                <w:sz w:val="8"/>
                <w:szCs w:val="8"/>
                <w:color w:val="auto"/>
              </w:rPr>
            </w:pPr>
          </w:p>
        </w:tc>
        <w:tc>
          <w:tcPr>
            <w:tcW w:w="1000" w:type="dxa"/>
            <w:vAlign w:val="bottom"/>
            <w:tcBorders>
              <w:bottom w:val="single" w:sz="8" w:color="4C4C4C"/>
            </w:tcBorders>
            <w:shd w:val="clear" w:color="auto" w:fill="4C4C4C"/>
          </w:tcPr>
          <w:p>
            <w:pPr>
              <w:spacing w:after="0"/>
              <w:rPr>
                <w:sz w:val="8"/>
                <w:szCs w:val="8"/>
                <w:color w:val="auto"/>
              </w:rPr>
            </w:pPr>
          </w:p>
        </w:tc>
        <w:tc>
          <w:tcPr>
            <w:tcW w:w="1180" w:type="dxa"/>
            <w:vAlign w:val="bottom"/>
            <w:tcBorders>
              <w:bottom w:val="single" w:sz="8" w:color="4C4C4C"/>
            </w:tcBorders>
            <w:shd w:val="clear" w:color="auto" w:fill="4C4C4C"/>
          </w:tcPr>
          <w:p>
            <w:pPr>
              <w:spacing w:after="0"/>
              <w:rPr>
                <w:sz w:val="8"/>
                <w:szCs w:val="8"/>
                <w:color w:val="auto"/>
              </w:rPr>
            </w:pPr>
          </w:p>
        </w:tc>
        <w:tc>
          <w:tcPr>
            <w:tcW w:w="1020" w:type="dxa"/>
            <w:vAlign w:val="bottom"/>
            <w:tcBorders>
              <w:bottom w:val="single" w:sz="8" w:color="4C4C4C"/>
            </w:tcBorders>
            <w:shd w:val="clear" w:color="auto" w:fill="4C4C4C"/>
          </w:tcPr>
          <w:p>
            <w:pPr>
              <w:spacing w:after="0"/>
              <w:rPr>
                <w:sz w:val="8"/>
                <w:szCs w:val="8"/>
                <w:color w:val="auto"/>
              </w:rPr>
            </w:pPr>
          </w:p>
        </w:tc>
        <w:tc>
          <w:tcPr>
            <w:tcW w:w="1380" w:type="dxa"/>
            <w:vAlign w:val="bottom"/>
            <w:tcBorders>
              <w:bottom w:val="single" w:sz="8" w:color="4C4C4C"/>
            </w:tcBorders>
            <w:gridSpan w:val="2"/>
            <w:vMerge w:val="continue"/>
            <w:shd w:val="clear" w:color="auto" w:fill="4C4C4C"/>
          </w:tcPr>
          <w:p>
            <w:pPr>
              <w:spacing w:after="0"/>
              <w:rPr>
                <w:sz w:val="8"/>
                <w:szCs w:val="8"/>
                <w:color w:val="auto"/>
              </w:rPr>
            </w:pPr>
          </w:p>
        </w:tc>
        <w:tc>
          <w:tcPr>
            <w:tcW w:w="840" w:type="dxa"/>
            <w:vAlign w:val="bottom"/>
            <w:tcBorders>
              <w:bottom w:val="single" w:sz="8" w:color="4C4C4C"/>
            </w:tcBorders>
            <w:shd w:val="clear" w:color="auto" w:fill="4C4C4C"/>
          </w:tcPr>
          <w:p>
            <w:pPr>
              <w:spacing w:after="0"/>
              <w:rPr>
                <w:sz w:val="8"/>
                <w:szCs w:val="8"/>
                <w:color w:val="auto"/>
              </w:rPr>
            </w:pPr>
          </w:p>
        </w:tc>
        <w:tc>
          <w:tcPr>
            <w:tcW w:w="900" w:type="dxa"/>
            <w:vAlign w:val="bottom"/>
            <w:tcBorders>
              <w:bottom w:val="single" w:sz="8" w:color="4C4C4C"/>
            </w:tcBorders>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40" w:type="dxa"/>
            <w:vAlign w:val="bottom"/>
            <w:tcBorders>
              <w:bottom w:val="single" w:sz="8" w:color="4C4C4C"/>
            </w:tcBorders>
          </w:tcPr>
          <w:p>
            <w:pPr>
              <w:spacing w:after="0"/>
              <w:rPr>
                <w:sz w:val="8"/>
                <w:szCs w:val="8"/>
                <w:color w:val="auto"/>
              </w:rPr>
            </w:pPr>
          </w:p>
        </w:tc>
        <w:tc>
          <w:tcPr>
            <w:tcW w:w="1400" w:type="dxa"/>
            <w:vAlign w:val="bottom"/>
            <w:tcBorders>
              <w:bottom w:val="single" w:sz="8" w:color="4C4C4C"/>
            </w:tcBorders>
          </w:tcPr>
          <w:p>
            <w:pPr>
              <w:spacing w:after="0"/>
              <w:rPr>
                <w:sz w:val="8"/>
                <w:szCs w:val="8"/>
                <w:color w:val="auto"/>
              </w:rPr>
            </w:pPr>
          </w:p>
        </w:tc>
        <w:tc>
          <w:tcPr>
            <w:tcW w:w="1000" w:type="dxa"/>
            <w:vAlign w:val="bottom"/>
            <w:tcBorders>
              <w:bottom w:val="single" w:sz="8" w:color="4C4C4C"/>
            </w:tcBorders>
          </w:tcPr>
          <w:p>
            <w:pPr>
              <w:spacing w:after="0"/>
              <w:rPr>
                <w:sz w:val="8"/>
                <w:szCs w:val="8"/>
                <w:color w:val="auto"/>
              </w:rPr>
            </w:pPr>
          </w:p>
        </w:tc>
        <w:tc>
          <w:tcPr>
            <w:tcW w:w="1180" w:type="dxa"/>
            <w:vAlign w:val="bottom"/>
            <w:tcBorders>
              <w:bottom w:val="single" w:sz="8" w:color="4C4C4C"/>
            </w:tcBorders>
          </w:tcPr>
          <w:p>
            <w:pPr>
              <w:spacing w:after="0"/>
              <w:rPr>
                <w:sz w:val="8"/>
                <w:szCs w:val="8"/>
                <w:color w:val="auto"/>
              </w:rPr>
            </w:pPr>
          </w:p>
        </w:tc>
        <w:tc>
          <w:tcPr>
            <w:tcW w:w="2060" w:type="dxa"/>
            <w:vAlign w:val="bottom"/>
            <w:tcBorders>
              <w:bottom w:val="single" w:sz="8" w:color="4C4C4C"/>
            </w:tcBorders>
            <w:gridSpan w:val="2"/>
          </w:tcPr>
          <w:p>
            <w:pPr>
              <w:spacing w:after="0"/>
              <w:rPr>
                <w:sz w:val="8"/>
                <w:szCs w:val="8"/>
                <w:color w:val="auto"/>
              </w:rPr>
            </w:pPr>
          </w:p>
        </w:tc>
        <w:tc>
          <w:tcPr>
            <w:tcW w:w="1180" w:type="dxa"/>
            <w:vAlign w:val="bottom"/>
            <w:tcBorders>
              <w:bottom w:val="single" w:sz="8" w:color="4C4C4C"/>
            </w:tcBorders>
            <w:gridSpan w:val="2"/>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8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140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c>
          <w:tcPr>
            <w:tcW w:w="1180" w:type="dxa"/>
            <w:vAlign w:val="bottom"/>
            <w:tcBorders>
              <w:bottom w:val="single" w:sz="8" w:color="4C4C4C"/>
            </w:tcBorders>
          </w:tcPr>
          <w:p>
            <w:pPr>
              <w:spacing w:after="0"/>
              <w:rPr>
                <w:sz w:val="19"/>
                <w:szCs w:val="19"/>
                <w:color w:val="auto"/>
              </w:rPr>
            </w:pPr>
          </w:p>
        </w:tc>
        <w:tc>
          <w:tcPr>
            <w:tcW w:w="2060" w:type="dxa"/>
            <w:vAlign w:val="bottom"/>
            <w:tcBorders>
              <w:bottom w:val="single" w:sz="8" w:color="4C4C4C"/>
            </w:tcBorders>
            <w:gridSpan w:val="2"/>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8,019</w:t>
            </w:r>
          </w:p>
        </w:tc>
        <w:tc>
          <w:tcPr>
            <w:tcW w:w="1180" w:type="dxa"/>
            <w:vAlign w:val="bottom"/>
            <w:tcBorders>
              <w:bottom w:val="single" w:sz="8" w:color="4C4C4C"/>
            </w:tcBorders>
            <w:gridSpan w:val="2"/>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(3,786)</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4,233</w:t>
            </w:r>
          </w:p>
        </w:tc>
        <w:tc>
          <w:tcPr>
            <w:tcW w:w="0" w:type="dxa"/>
            <w:vAlign w:val="bottom"/>
          </w:tcPr>
          <w:p>
            <w:pPr>
              <w:spacing w:after="0"/>
              <w:rPr>
                <w:sz w:val="1"/>
                <w:szCs w:val="1"/>
                <w:color w:val="auto"/>
              </w:rPr>
            </w:pPr>
          </w:p>
        </w:tc>
      </w:tr>
      <w:tr>
        <w:trPr>
          <w:trHeight w:val="225"/>
        </w:trPr>
        <w:tc>
          <w:tcPr>
            <w:tcW w:w="2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repurchases, at cost</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5"/>
        </w:trPr>
        <w:tc>
          <w:tcPr>
            <w:tcW w:w="28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6"/>
                <w:szCs w:val="16"/>
                <w:color w:val="auto"/>
              </w:rPr>
              <w:t>Dispositions</w:t>
            </w:r>
          </w:p>
        </w:tc>
        <w:tc>
          <w:tcPr>
            <w:tcW w:w="1400" w:type="dxa"/>
            <w:vAlign w:val="bottom"/>
            <w:tcBorders>
              <w:bottom w:val="single" w:sz="8" w:color="4C4C4C"/>
            </w:tcBorders>
          </w:tcPr>
          <w:p>
            <w:pPr>
              <w:spacing w:after="0"/>
              <w:rPr>
                <w:sz w:val="22"/>
                <w:szCs w:val="22"/>
                <w:color w:val="auto"/>
              </w:rPr>
            </w:pPr>
          </w:p>
        </w:tc>
        <w:tc>
          <w:tcPr>
            <w:tcW w:w="1000" w:type="dxa"/>
            <w:vAlign w:val="bottom"/>
            <w:tcBorders>
              <w:bottom w:val="single" w:sz="8" w:color="4C4C4C"/>
            </w:tcBorders>
          </w:tcPr>
          <w:p>
            <w:pPr>
              <w:spacing w:after="0"/>
              <w:rPr>
                <w:sz w:val="22"/>
                <w:szCs w:val="22"/>
                <w:color w:val="auto"/>
              </w:rPr>
            </w:pPr>
          </w:p>
        </w:tc>
        <w:tc>
          <w:tcPr>
            <w:tcW w:w="1180" w:type="dxa"/>
            <w:vAlign w:val="bottom"/>
            <w:tcBorders>
              <w:bottom w:val="single" w:sz="8" w:color="4C4C4C"/>
            </w:tcBorders>
          </w:tcPr>
          <w:p>
            <w:pPr>
              <w:spacing w:after="0"/>
              <w:rPr>
                <w:sz w:val="22"/>
                <w:szCs w:val="22"/>
                <w:color w:val="auto"/>
              </w:rPr>
            </w:pPr>
          </w:p>
        </w:tc>
        <w:tc>
          <w:tcPr>
            <w:tcW w:w="1020" w:type="dxa"/>
            <w:vAlign w:val="bottom"/>
            <w:tcBorders>
              <w:bottom w:val="single" w:sz="8" w:color="4C4C4C"/>
            </w:tcBorders>
          </w:tcPr>
          <w:p>
            <w:pPr>
              <w:spacing w:after="0"/>
              <w:rPr>
                <w:sz w:val="22"/>
                <w:szCs w:val="22"/>
                <w:color w:val="auto"/>
              </w:rPr>
            </w:pPr>
          </w:p>
        </w:tc>
        <w:tc>
          <w:tcPr>
            <w:tcW w:w="1040" w:type="dxa"/>
            <w:vAlign w:val="bottom"/>
            <w:tcBorders>
              <w:bottom w:val="single" w:sz="8" w:color="4C4C4C"/>
            </w:tcBorders>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4C4C4C"/>
            </w:tcBorders>
          </w:tcPr>
          <w:p>
            <w:pPr>
              <w:spacing w:after="0"/>
              <w:rPr>
                <w:sz w:val="22"/>
                <w:szCs w:val="22"/>
                <w:color w:val="auto"/>
              </w:rPr>
            </w:pPr>
          </w:p>
        </w:tc>
        <w:tc>
          <w:tcPr>
            <w:tcW w:w="840" w:type="dxa"/>
            <w:vAlign w:val="bottom"/>
            <w:tcBorders>
              <w:bottom w:val="single" w:sz="8" w:color="4C4C4C"/>
            </w:tcBorders>
          </w:tcPr>
          <w:p>
            <w:pPr>
              <w:jc w:val="right"/>
              <w:ind w:right="462"/>
              <w:spacing w:after="0"/>
              <w:rPr>
                <w:sz w:val="20"/>
                <w:szCs w:val="20"/>
                <w:color w:val="auto"/>
              </w:rPr>
            </w:pPr>
            <w:r>
              <w:rPr>
                <w:rFonts w:ascii="Times New Roman" w:cs="Times New Roman" w:eastAsia="Times New Roman" w:hAnsi="Times New Roman"/>
                <w:sz w:val="16"/>
                <w:szCs w:val="16"/>
                <w:color w:val="auto"/>
              </w:rPr>
              <w:t>8</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40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c>
          <w:tcPr>
            <w:tcW w:w="1180" w:type="dxa"/>
            <w:vAlign w:val="bottom"/>
            <w:tcBorders>
              <w:bottom w:val="single" w:sz="8" w:color="4C4C4C"/>
            </w:tcBorders>
          </w:tcPr>
          <w:p>
            <w:pPr>
              <w:spacing w:after="0"/>
              <w:rPr>
                <w:sz w:val="19"/>
                <w:szCs w:val="19"/>
                <w:color w:val="auto"/>
              </w:rPr>
            </w:pPr>
          </w:p>
        </w:tc>
        <w:tc>
          <w:tcPr>
            <w:tcW w:w="2060" w:type="dxa"/>
            <w:vAlign w:val="bottom"/>
            <w:tcBorders>
              <w:bottom w:val="single" w:sz="8" w:color="4C4C4C"/>
            </w:tcBorders>
            <w:gridSpan w:val="2"/>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8,019</w:t>
            </w:r>
          </w:p>
        </w:tc>
        <w:tc>
          <w:tcPr>
            <w:tcW w:w="1180" w:type="dxa"/>
            <w:vAlign w:val="bottom"/>
            <w:tcBorders>
              <w:bottom w:val="single" w:sz="8" w:color="4C4C4C"/>
            </w:tcBorders>
            <w:gridSpan w:val="2"/>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(3,780)</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4,239</w:t>
            </w:r>
          </w:p>
        </w:tc>
        <w:tc>
          <w:tcPr>
            <w:tcW w:w="0" w:type="dxa"/>
            <w:vAlign w:val="bottom"/>
          </w:tcPr>
          <w:p>
            <w:pPr>
              <w:spacing w:after="0"/>
              <w:rPr>
                <w:sz w:val="1"/>
                <w:szCs w:val="1"/>
                <w:color w:val="auto"/>
              </w:rPr>
            </w:pPr>
          </w:p>
        </w:tc>
      </w:tr>
      <w:tr>
        <w:trPr>
          <w:trHeight w:val="225"/>
        </w:trPr>
        <w:tc>
          <w:tcPr>
            <w:tcW w:w="2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repurchases, at cost</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7"/>
              </w:rPr>
              <w:t>(165)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55"/>
        </w:trPr>
        <w:tc>
          <w:tcPr>
            <w:tcW w:w="28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6"/>
                <w:szCs w:val="16"/>
                <w:color w:val="auto"/>
              </w:rPr>
              <w:t>Dispositions</w:t>
            </w:r>
          </w:p>
        </w:tc>
        <w:tc>
          <w:tcPr>
            <w:tcW w:w="1400" w:type="dxa"/>
            <w:vAlign w:val="bottom"/>
            <w:tcBorders>
              <w:bottom w:val="single" w:sz="8" w:color="4C4C4C"/>
            </w:tcBorders>
          </w:tcPr>
          <w:p>
            <w:pPr>
              <w:spacing w:after="0"/>
              <w:rPr>
                <w:sz w:val="22"/>
                <w:szCs w:val="22"/>
                <w:color w:val="auto"/>
              </w:rPr>
            </w:pPr>
          </w:p>
        </w:tc>
        <w:tc>
          <w:tcPr>
            <w:tcW w:w="1000" w:type="dxa"/>
            <w:vAlign w:val="bottom"/>
            <w:tcBorders>
              <w:bottom w:val="single" w:sz="8" w:color="4C4C4C"/>
            </w:tcBorders>
          </w:tcPr>
          <w:p>
            <w:pPr>
              <w:spacing w:after="0"/>
              <w:rPr>
                <w:sz w:val="22"/>
                <w:szCs w:val="22"/>
                <w:color w:val="auto"/>
              </w:rPr>
            </w:pPr>
          </w:p>
        </w:tc>
        <w:tc>
          <w:tcPr>
            <w:tcW w:w="1180" w:type="dxa"/>
            <w:vAlign w:val="bottom"/>
            <w:tcBorders>
              <w:bottom w:val="single" w:sz="8" w:color="4C4C4C"/>
            </w:tcBorders>
          </w:tcPr>
          <w:p>
            <w:pPr>
              <w:spacing w:after="0"/>
              <w:rPr>
                <w:sz w:val="22"/>
                <w:szCs w:val="22"/>
                <w:color w:val="auto"/>
              </w:rPr>
            </w:pPr>
          </w:p>
        </w:tc>
        <w:tc>
          <w:tcPr>
            <w:tcW w:w="1020" w:type="dxa"/>
            <w:vAlign w:val="bottom"/>
            <w:tcBorders>
              <w:bottom w:val="single" w:sz="8" w:color="4C4C4C"/>
            </w:tcBorders>
          </w:tcPr>
          <w:p>
            <w:pPr>
              <w:spacing w:after="0"/>
              <w:rPr>
                <w:sz w:val="22"/>
                <w:szCs w:val="22"/>
                <w:color w:val="auto"/>
              </w:rPr>
            </w:pPr>
          </w:p>
        </w:tc>
        <w:tc>
          <w:tcPr>
            <w:tcW w:w="1040" w:type="dxa"/>
            <w:vAlign w:val="bottom"/>
            <w:tcBorders>
              <w:bottom w:val="single" w:sz="8" w:color="4C4C4C"/>
            </w:tcBorders>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4C4C4C"/>
            </w:tcBorders>
          </w:tcPr>
          <w:p>
            <w:pPr>
              <w:spacing w:after="0"/>
              <w:rPr>
                <w:sz w:val="22"/>
                <w:szCs w:val="22"/>
                <w:color w:val="auto"/>
              </w:rPr>
            </w:pPr>
          </w:p>
        </w:tc>
        <w:tc>
          <w:tcPr>
            <w:tcW w:w="840" w:type="dxa"/>
            <w:vAlign w:val="bottom"/>
            <w:tcBorders>
              <w:bottom w:val="single" w:sz="8" w:color="4C4C4C"/>
            </w:tcBorders>
          </w:tcPr>
          <w:p>
            <w:pPr>
              <w:jc w:val="right"/>
              <w:ind w:right="462"/>
              <w:spacing w:after="0"/>
              <w:rPr>
                <w:sz w:val="20"/>
                <w:szCs w:val="20"/>
                <w:color w:val="auto"/>
              </w:rPr>
            </w:pPr>
            <w:r>
              <w:rPr>
                <w:rFonts w:ascii="Times New Roman" w:cs="Times New Roman" w:eastAsia="Times New Roman" w:hAnsi="Times New Roman"/>
                <w:sz w:val="16"/>
                <w:szCs w:val="16"/>
                <w:color w:val="auto"/>
              </w:rPr>
              <w:t>8</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40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c>
          <w:tcPr>
            <w:tcW w:w="1180" w:type="dxa"/>
            <w:vAlign w:val="bottom"/>
            <w:tcBorders>
              <w:bottom w:val="single" w:sz="8" w:color="4C4C4C"/>
            </w:tcBorders>
          </w:tcPr>
          <w:p>
            <w:pPr>
              <w:spacing w:after="0"/>
              <w:rPr>
                <w:sz w:val="19"/>
                <w:szCs w:val="19"/>
                <w:color w:val="auto"/>
              </w:rPr>
            </w:pPr>
          </w:p>
        </w:tc>
        <w:tc>
          <w:tcPr>
            <w:tcW w:w="2060" w:type="dxa"/>
            <w:vAlign w:val="bottom"/>
            <w:tcBorders>
              <w:bottom w:val="single" w:sz="8" w:color="4C4C4C"/>
            </w:tcBorders>
            <w:gridSpan w:val="2"/>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8,019</w:t>
            </w:r>
          </w:p>
        </w:tc>
        <w:tc>
          <w:tcPr>
            <w:tcW w:w="1180" w:type="dxa"/>
            <w:vAlign w:val="bottom"/>
            <w:tcBorders>
              <w:bottom w:val="single" w:sz="8" w:color="4C4C4C"/>
            </w:tcBorders>
            <w:gridSpan w:val="2"/>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(3,937)</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4,082</w:t>
            </w:r>
          </w:p>
        </w:tc>
        <w:tc>
          <w:tcPr>
            <w:tcW w:w="0" w:type="dxa"/>
            <w:vAlign w:val="bottom"/>
          </w:tcPr>
          <w:p>
            <w:pPr>
              <w:spacing w:after="0"/>
              <w:rPr>
                <w:sz w:val="1"/>
                <w:szCs w:val="1"/>
                <w:color w:val="auto"/>
              </w:rPr>
            </w:pPr>
          </w:p>
        </w:tc>
      </w:tr>
      <w:tr>
        <w:trPr>
          <w:trHeight w:val="225"/>
        </w:trPr>
        <w:tc>
          <w:tcPr>
            <w:tcW w:w="2840" w:type="dxa"/>
            <w:vAlign w:val="bottom"/>
            <w:shd w:val="clear" w:color="auto" w:fill="F0F0F0"/>
          </w:tcPr>
          <w:p>
            <w:pPr>
              <w:ind w:left="60"/>
              <w:spacing w:after="0"/>
              <w:rPr>
                <w:sz w:val="20"/>
                <w:szCs w:val="20"/>
                <w:color w:val="auto"/>
              </w:rPr>
            </w:pPr>
            <w:r>
              <w:rPr>
                <w:rFonts w:ascii="Times New Roman" w:cs="Times New Roman" w:eastAsia="Times New Roman" w:hAnsi="Times New Roman"/>
                <w:sz w:val="16"/>
                <w:szCs w:val="16"/>
                <w:color w:val="auto"/>
              </w:rPr>
              <w:t>Share repurchases, at cost</w:t>
            </w:r>
          </w:p>
        </w:tc>
        <w:tc>
          <w:tcPr>
            <w:tcW w:w="1400" w:type="dxa"/>
            <w:vAlign w:val="bottom"/>
            <w:shd w:val="clear" w:color="auto" w:fill="F0F0F0"/>
          </w:tcPr>
          <w:p>
            <w:pPr>
              <w:spacing w:after="0"/>
              <w:rPr>
                <w:sz w:val="19"/>
                <w:szCs w:val="19"/>
                <w:color w:val="auto"/>
              </w:rPr>
            </w:pPr>
          </w:p>
        </w:tc>
        <w:tc>
          <w:tcPr>
            <w:tcW w:w="1000" w:type="dxa"/>
            <w:vAlign w:val="bottom"/>
            <w:shd w:val="clear" w:color="auto" w:fill="F0F0F0"/>
          </w:tcPr>
          <w:p>
            <w:pPr>
              <w:spacing w:after="0"/>
              <w:rPr>
                <w:sz w:val="19"/>
                <w:szCs w:val="19"/>
                <w:color w:val="auto"/>
              </w:rPr>
            </w:pPr>
          </w:p>
        </w:tc>
        <w:tc>
          <w:tcPr>
            <w:tcW w:w="1180" w:type="dxa"/>
            <w:vAlign w:val="bottom"/>
            <w:shd w:val="clear" w:color="auto" w:fill="F0F0F0"/>
          </w:tcPr>
          <w:p>
            <w:pPr>
              <w:spacing w:after="0"/>
              <w:rPr>
                <w:sz w:val="19"/>
                <w:szCs w:val="19"/>
                <w:color w:val="auto"/>
              </w:rPr>
            </w:pPr>
          </w:p>
        </w:tc>
        <w:tc>
          <w:tcPr>
            <w:tcW w:w="1020" w:type="dxa"/>
            <w:vAlign w:val="bottom"/>
            <w:shd w:val="clear" w:color="auto" w:fill="F0F0F0"/>
          </w:tcPr>
          <w:p>
            <w:pPr>
              <w:spacing w:after="0"/>
              <w:rPr>
                <w:sz w:val="19"/>
                <w:szCs w:val="19"/>
                <w:color w:val="auto"/>
              </w:rPr>
            </w:pPr>
          </w:p>
        </w:tc>
        <w:tc>
          <w:tcPr>
            <w:tcW w:w="1040" w:type="dxa"/>
            <w:vAlign w:val="bottom"/>
            <w:shd w:val="clear" w:color="auto" w:fill="F0F0F0"/>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F0F0F0"/>
          </w:tcPr>
          <w:p>
            <w:pPr>
              <w:spacing w:after="0"/>
              <w:rPr>
                <w:sz w:val="19"/>
                <w:szCs w:val="19"/>
                <w:color w:val="auto"/>
              </w:rPr>
            </w:pPr>
          </w:p>
        </w:tc>
        <w:tc>
          <w:tcPr>
            <w:tcW w:w="840" w:type="dxa"/>
            <w:vAlign w:val="bottom"/>
            <w:shd w:val="clear" w:color="auto" w:fill="F0F0F0"/>
          </w:tcPr>
          <w:p>
            <w:pPr>
              <w:jc w:val="right"/>
              <w:ind w:right="402"/>
              <w:spacing w:after="0"/>
              <w:rPr>
                <w:sz w:val="20"/>
                <w:szCs w:val="20"/>
                <w:color w:val="auto"/>
              </w:rPr>
            </w:pPr>
            <w:r>
              <w:rPr>
                <w:rFonts w:ascii="Times New Roman" w:cs="Times New Roman" w:eastAsia="Times New Roman" w:hAnsi="Times New Roman"/>
                <w:sz w:val="16"/>
                <w:szCs w:val="16"/>
                <w:color w:val="auto"/>
                <w:w w:val="97"/>
              </w:rPr>
              <w:t>(165)</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50"/>
        </w:trPr>
        <w:tc>
          <w:tcPr>
            <w:tcW w:w="2840" w:type="dxa"/>
            <w:vAlign w:val="bottom"/>
            <w:shd w:val="clear" w:color="auto" w:fill="F0F0F0"/>
          </w:tcPr>
          <w:p>
            <w:pPr>
              <w:ind w:left="60"/>
              <w:spacing w:after="0"/>
              <w:rPr>
                <w:sz w:val="20"/>
                <w:szCs w:val="20"/>
                <w:color w:val="auto"/>
              </w:rPr>
            </w:pPr>
            <w:r>
              <w:rPr>
                <w:rFonts w:ascii="Times New Roman" w:cs="Times New Roman" w:eastAsia="Times New Roman" w:hAnsi="Times New Roman"/>
                <w:sz w:val="16"/>
                <w:szCs w:val="16"/>
                <w:color w:val="auto"/>
              </w:rPr>
              <w:t>Issued for acquisitions</w:t>
            </w:r>
          </w:p>
        </w:tc>
        <w:tc>
          <w:tcPr>
            <w:tcW w:w="1400" w:type="dxa"/>
            <w:vAlign w:val="bottom"/>
            <w:shd w:val="clear" w:color="auto" w:fill="F0F0F0"/>
          </w:tcPr>
          <w:p>
            <w:pPr>
              <w:spacing w:after="0"/>
              <w:rPr>
                <w:sz w:val="21"/>
                <w:szCs w:val="21"/>
                <w:color w:val="auto"/>
              </w:rPr>
            </w:pPr>
          </w:p>
        </w:tc>
        <w:tc>
          <w:tcPr>
            <w:tcW w:w="1000" w:type="dxa"/>
            <w:vAlign w:val="bottom"/>
            <w:shd w:val="clear" w:color="auto" w:fill="F0F0F0"/>
          </w:tcPr>
          <w:p>
            <w:pPr>
              <w:spacing w:after="0"/>
              <w:rPr>
                <w:sz w:val="21"/>
                <w:szCs w:val="21"/>
                <w:color w:val="auto"/>
              </w:rPr>
            </w:pPr>
          </w:p>
        </w:tc>
        <w:tc>
          <w:tcPr>
            <w:tcW w:w="1180" w:type="dxa"/>
            <w:vAlign w:val="bottom"/>
            <w:shd w:val="clear" w:color="auto" w:fill="F0F0F0"/>
          </w:tcPr>
          <w:p>
            <w:pPr>
              <w:spacing w:after="0"/>
              <w:rPr>
                <w:sz w:val="21"/>
                <w:szCs w:val="21"/>
                <w:color w:val="auto"/>
              </w:rPr>
            </w:pPr>
          </w:p>
        </w:tc>
        <w:tc>
          <w:tcPr>
            <w:tcW w:w="1020" w:type="dxa"/>
            <w:vAlign w:val="bottom"/>
            <w:shd w:val="clear" w:color="auto" w:fill="F0F0F0"/>
          </w:tcPr>
          <w:p>
            <w:pPr>
              <w:spacing w:after="0"/>
              <w:rPr>
                <w:sz w:val="21"/>
                <w:szCs w:val="21"/>
                <w:color w:val="auto"/>
              </w:rPr>
            </w:pPr>
          </w:p>
        </w:tc>
        <w:tc>
          <w:tcPr>
            <w:tcW w:w="1040" w:type="dxa"/>
            <w:vAlign w:val="bottom"/>
            <w:shd w:val="clear" w:color="auto" w:fill="F0F0F0"/>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F0F0F0"/>
          </w:tcPr>
          <w:p>
            <w:pPr>
              <w:spacing w:after="0"/>
              <w:rPr>
                <w:sz w:val="21"/>
                <w:szCs w:val="21"/>
                <w:color w:val="auto"/>
              </w:rPr>
            </w:pPr>
          </w:p>
        </w:tc>
        <w:tc>
          <w:tcPr>
            <w:tcW w:w="840" w:type="dxa"/>
            <w:vAlign w:val="bottom"/>
            <w:shd w:val="clear" w:color="auto" w:fill="F0F0F0"/>
          </w:tcPr>
          <w:p>
            <w:pPr>
              <w:jc w:val="right"/>
              <w:ind w:right="462"/>
              <w:spacing w:after="0"/>
              <w:rPr>
                <w:sz w:val="20"/>
                <w:szCs w:val="20"/>
                <w:color w:val="auto"/>
              </w:rPr>
            </w:pPr>
            <w:r>
              <w:rPr>
                <w:rFonts w:ascii="Times New Roman" w:cs="Times New Roman" w:eastAsia="Times New Roman" w:hAnsi="Times New Roman"/>
                <w:sz w:val="16"/>
                <w:szCs w:val="16"/>
                <w:color w:val="auto"/>
              </w:rPr>
              <w:t>46</w:t>
            </w:r>
          </w:p>
        </w:tc>
        <w:tc>
          <w:tcPr>
            <w:tcW w:w="9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55"/>
        </w:trPr>
        <w:tc>
          <w:tcPr>
            <w:tcW w:w="2840" w:type="dxa"/>
            <w:vAlign w:val="bottom"/>
            <w:tcBorders>
              <w:bottom w:val="single" w:sz="8" w:color="4C4C4C"/>
            </w:tcBorders>
            <w:shd w:val="clear" w:color="auto" w:fill="F0F0F0"/>
          </w:tcPr>
          <w:p>
            <w:pPr>
              <w:ind w:left="60"/>
              <w:spacing w:after="0"/>
              <w:rPr>
                <w:sz w:val="20"/>
                <w:szCs w:val="20"/>
                <w:color w:val="auto"/>
              </w:rPr>
            </w:pPr>
            <w:r>
              <w:rPr>
                <w:rFonts w:ascii="Times New Roman" w:cs="Times New Roman" w:eastAsia="Times New Roman" w:hAnsi="Times New Roman"/>
                <w:sz w:val="16"/>
                <w:szCs w:val="16"/>
                <w:color w:val="auto"/>
              </w:rPr>
              <w:t>Dispositions</w:t>
            </w:r>
          </w:p>
        </w:tc>
        <w:tc>
          <w:tcPr>
            <w:tcW w:w="1400" w:type="dxa"/>
            <w:vAlign w:val="bottom"/>
            <w:tcBorders>
              <w:bottom w:val="single" w:sz="8" w:color="4C4C4C"/>
            </w:tcBorders>
            <w:shd w:val="clear" w:color="auto" w:fill="F0F0F0"/>
          </w:tcPr>
          <w:p>
            <w:pPr>
              <w:spacing w:after="0"/>
              <w:rPr>
                <w:sz w:val="22"/>
                <w:szCs w:val="22"/>
                <w:color w:val="auto"/>
              </w:rPr>
            </w:pPr>
          </w:p>
        </w:tc>
        <w:tc>
          <w:tcPr>
            <w:tcW w:w="1000" w:type="dxa"/>
            <w:vAlign w:val="bottom"/>
            <w:tcBorders>
              <w:bottom w:val="single" w:sz="8" w:color="4C4C4C"/>
            </w:tcBorders>
            <w:shd w:val="clear" w:color="auto" w:fill="F0F0F0"/>
          </w:tcPr>
          <w:p>
            <w:pPr>
              <w:spacing w:after="0"/>
              <w:rPr>
                <w:sz w:val="22"/>
                <w:szCs w:val="22"/>
                <w:color w:val="auto"/>
              </w:rPr>
            </w:pPr>
          </w:p>
        </w:tc>
        <w:tc>
          <w:tcPr>
            <w:tcW w:w="1180" w:type="dxa"/>
            <w:vAlign w:val="bottom"/>
            <w:tcBorders>
              <w:bottom w:val="single" w:sz="8" w:color="4C4C4C"/>
            </w:tcBorders>
            <w:shd w:val="clear" w:color="auto" w:fill="F0F0F0"/>
          </w:tcPr>
          <w:p>
            <w:pPr>
              <w:spacing w:after="0"/>
              <w:rPr>
                <w:sz w:val="22"/>
                <w:szCs w:val="22"/>
                <w:color w:val="auto"/>
              </w:rPr>
            </w:pPr>
          </w:p>
        </w:tc>
        <w:tc>
          <w:tcPr>
            <w:tcW w:w="1020" w:type="dxa"/>
            <w:vAlign w:val="bottom"/>
            <w:tcBorders>
              <w:bottom w:val="single" w:sz="8" w:color="4C4C4C"/>
            </w:tcBorders>
            <w:shd w:val="clear" w:color="auto" w:fill="F0F0F0"/>
          </w:tcPr>
          <w:p>
            <w:pPr>
              <w:spacing w:after="0"/>
              <w:rPr>
                <w:sz w:val="22"/>
                <w:szCs w:val="22"/>
                <w:color w:val="auto"/>
              </w:rPr>
            </w:pPr>
          </w:p>
        </w:tc>
        <w:tc>
          <w:tcPr>
            <w:tcW w:w="1040" w:type="dxa"/>
            <w:vAlign w:val="bottom"/>
            <w:tcBorders>
              <w:bottom w:val="single" w:sz="8" w:color="4C4C4C"/>
            </w:tcBorders>
            <w:shd w:val="clear" w:color="auto" w:fill="F0F0F0"/>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4C4C4C"/>
            </w:tcBorders>
            <w:shd w:val="clear" w:color="auto" w:fill="F0F0F0"/>
          </w:tcPr>
          <w:p>
            <w:pPr>
              <w:spacing w:after="0"/>
              <w:rPr>
                <w:sz w:val="22"/>
                <w:szCs w:val="22"/>
                <w:color w:val="auto"/>
              </w:rPr>
            </w:pPr>
          </w:p>
        </w:tc>
        <w:tc>
          <w:tcPr>
            <w:tcW w:w="840" w:type="dxa"/>
            <w:vAlign w:val="bottom"/>
            <w:tcBorders>
              <w:bottom w:val="single" w:sz="8" w:color="4C4C4C"/>
            </w:tcBorders>
            <w:shd w:val="clear" w:color="auto" w:fill="F0F0F0"/>
          </w:tcPr>
          <w:p>
            <w:pPr>
              <w:jc w:val="right"/>
              <w:ind w:right="462"/>
              <w:spacing w:after="0"/>
              <w:rPr>
                <w:sz w:val="20"/>
                <w:szCs w:val="20"/>
                <w:color w:val="auto"/>
              </w:rPr>
            </w:pPr>
            <w:r>
              <w:rPr>
                <w:rFonts w:ascii="Times New Roman" w:cs="Times New Roman" w:eastAsia="Times New Roman" w:hAnsi="Times New Roman"/>
                <w:sz w:val="16"/>
                <w:szCs w:val="16"/>
                <w:color w:val="auto"/>
              </w:rPr>
              <w:t>8</w:t>
            </w:r>
          </w:p>
        </w:tc>
        <w:tc>
          <w:tcPr>
            <w:tcW w:w="90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5"/>
        </w:trPr>
        <w:tc>
          <w:tcPr>
            <w:tcW w:w="2840" w:type="dxa"/>
            <w:vAlign w:val="bottom"/>
            <w:tcBorders>
              <w:bottom w:val="single" w:sz="8" w:color="4C4C4C"/>
            </w:tcBorders>
            <w:shd w:val="clear" w:color="auto" w:fill="F0F0F0"/>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00" w:type="dxa"/>
            <w:vAlign w:val="bottom"/>
            <w:tcBorders>
              <w:bottom w:val="single" w:sz="8" w:color="4C4C4C"/>
            </w:tcBorders>
            <w:shd w:val="clear" w:color="auto" w:fill="F0F0F0"/>
          </w:tcPr>
          <w:p>
            <w:pPr>
              <w:spacing w:after="0"/>
              <w:rPr>
                <w:sz w:val="20"/>
                <w:szCs w:val="20"/>
                <w:color w:val="auto"/>
              </w:rPr>
            </w:pPr>
          </w:p>
        </w:tc>
        <w:tc>
          <w:tcPr>
            <w:tcW w:w="1000" w:type="dxa"/>
            <w:vAlign w:val="bottom"/>
            <w:tcBorders>
              <w:bottom w:val="single" w:sz="8" w:color="4C4C4C"/>
            </w:tcBorders>
            <w:shd w:val="clear" w:color="auto" w:fill="F0F0F0"/>
          </w:tcPr>
          <w:p>
            <w:pPr>
              <w:spacing w:after="0"/>
              <w:rPr>
                <w:sz w:val="20"/>
                <w:szCs w:val="20"/>
                <w:color w:val="auto"/>
              </w:rPr>
            </w:pPr>
          </w:p>
        </w:tc>
        <w:tc>
          <w:tcPr>
            <w:tcW w:w="1180" w:type="dxa"/>
            <w:vAlign w:val="bottom"/>
            <w:tcBorders>
              <w:bottom w:val="single" w:sz="8" w:color="4C4C4C"/>
            </w:tcBorders>
            <w:shd w:val="clear" w:color="auto" w:fill="F0F0F0"/>
          </w:tcPr>
          <w:p>
            <w:pPr>
              <w:spacing w:after="0"/>
              <w:rPr>
                <w:sz w:val="20"/>
                <w:szCs w:val="20"/>
                <w:color w:val="auto"/>
              </w:rPr>
            </w:pPr>
          </w:p>
        </w:tc>
        <w:tc>
          <w:tcPr>
            <w:tcW w:w="2060" w:type="dxa"/>
            <w:vAlign w:val="bottom"/>
            <w:tcBorders>
              <w:bottom w:val="single" w:sz="8" w:color="4C4C4C"/>
            </w:tcBorders>
            <w:gridSpan w:val="2"/>
            <w:shd w:val="clear" w:color="auto" w:fill="F0F0F0"/>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8,019</w:t>
            </w:r>
          </w:p>
        </w:tc>
        <w:tc>
          <w:tcPr>
            <w:tcW w:w="1180" w:type="dxa"/>
            <w:vAlign w:val="bottom"/>
            <w:tcBorders>
              <w:bottom w:val="single" w:sz="8" w:color="4C4C4C"/>
            </w:tcBorders>
            <w:gridSpan w:val="2"/>
            <w:shd w:val="clear" w:color="auto" w:fill="F0F0F0"/>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(4,048)</w:t>
            </w:r>
          </w:p>
        </w:tc>
        <w:tc>
          <w:tcPr>
            <w:tcW w:w="90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3,971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672719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3">
                      <a:extLst>
                        <a:ext uri="{28A0092B-C50C-407E-A947-70E740481C1C}"/>
                      </a:extLst>
                    </a:blip>
                    <a:srcRect/>
                    <a:stretch>
                      <a:fillRect/>
                    </a:stretch>
                  </pic:blipFill>
                  <pic:spPr bwMode="auto">
                    <a:xfrm>
                      <a:off x="0" y="0"/>
                      <a:ext cx="6727190" cy="247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13970</wp:posOffset>
                </wp:positionH>
                <wp:positionV relativeFrom="paragraph">
                  <wp:posOffset>-8890</wp:posOffset>
                </wp:positionV>
                <wp:extent cx="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F0F0F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0.6999pt" to="1.1pt,-0.6999pt" o:allowincell="f" strokecolor="#F0F0F0" strokeweight="0pt"/>
            </w:pict>
          </mc:Fallback>
        </mc:AlternateContent>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The information in the Notes to Consolidated Financial Statements is an integral part of these statements.</w:t>
      </w:r>
    </w:p>
    <w:p>
      <w:pPr>
        <w:sectPr>
          <w:pgSz w:w="11880" w:h="15480" w:orient="portrait"/>
          <w:cols w:equalWidth="0" w:num="1">
            <w:col w:w="10580"/>
          </w:cols>
          <w:pgMar w:left="640" w:top="711"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580"/>
          </w:cols>
          <w:pgMar w:left="640" w:top="711" w:right="66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accompanying consolidated financial statements and the supporting and supplemental material are the responsibility of the management of Exxon Mobil Corporation.</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Corporation’s principal business involves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lower-emission fuels and lithium.</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Generally Accepted Accounting Principles (GAAP) requires management to make estimates that affect the reported amounts of assets, liabilities, revenues, and expenses and the disclosure of contingent assets and liabilities. Actual results could differ from these estimates.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1. Summary of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 and Accounting for Investments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Consolidated Financial Statements include the accounts of subsidiaries the Corporation controls and any variable interest entities where it is deemed the primary beneficiary. They also include the Corporation’s share of the undivided interest in certain upstream assets, liabilities, revenues, and expenses. Amounts representing the Corporation’s interest in entities that it does not control, but over which it exercises significant influence, are included in “Investments, advances and long-term receivables”. Under the equity method of accounting, the Corporation recognizes its share of the net income of these companies in “Income from equity affiliates”.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Majority ownership is normally the indicator of control that is the basis on which subsidiaries are consolidated. However, certain factors may indicate that a majority-owned investment is not controlled and, therefore, should be accounted for using the equity method of accounting. These factors occur where the minority shareholders are granted, by law or by contract, substantive participating rights. These include the right to approve operating policies, expense budgets, financing and investment plans, and management compensation and succession plans.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Investments accounted for by the equity method are assessed for possible impairment when events or changes in circumstances indicate that the carrying value of an investment may not be recoverable. Examples of key indicators include a history of operating losses, negative earnings and cash flow outlook, significant downward revisions to oil and gas reserves, and the financial condition and prospects for the investee’s business segment or geographic region. If the decline in value of the investment is other than temporary, the carrying value of the investment is written down to fair value. In the absence of market prices for the investment, discounted cash flows are used to assess fair value. The Corporation’s share of the cumulative foreign exchange translation adjustment for equity method investments is reported in “Accumulated other comprehensive income”.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Investments in equity securities, other than consolidated subsidiaries and equity method investments, are measured at fair value with changes in fair value recognized in net income. The Corporation uses the modified approach for equity securities that do not have a readily determinable fair value. This modified approach measures investments at cost minus impairment, if any, plus or minus changes resulting from observable price changes in orderly transactions in a similar investment of the same issuer.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Corporation generally sells crude oil, natural gas, and petroleum and chemical products under short-term agreements at prevailing market prices. In some cases (e.g., natural gas), products may be sold under long-term agreements, with periodic price adjustments to reflect market conditions. Revenue is recognized at the amount the Corporation expects to receive when the customer has taken control, which is typically when title transfers and the customer has assumed the risks and rewards of ownership. The prices of certain sales are based on price indices that are sometimes not available until the next period. In such cases, estimated realizations are accrued when the sale is recognized, and are finalized when the price is available. Such adjustments to revenue from performance obligations satisfied in previous periods are not significant. Payment for revenue transactions is typically due within 30 days. Future volume delivery obligations that are unsatisfied at the end of the period are expected to be fulfilled through ordinary production or purchases. These performance obligations are based on market prices at the time of the transaction and are fully constrained due to market price volatility.</w:t>
      </w:r>
    </w:p>
    <w:p>
      <w:pPr>
        <w:spacing w:after="0" w:line="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Purchases and sales of inventory with the same counterparty that are entered into in contemplation of one another are combined and recorded as exchanges measured at the book value of the item sold.</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“Sales and other operating revenue” and “Notes and accounts receivable” include revenue and receivables both within the scope of ASC 606 "Revenue from Contracts with Customers” and those outside the scope of ASC 606. Long-term receivables are primarily from receivables outside the scope of ASC 606. Contract assets are mainly from marketing assistance programs and are not significant. Contract liabilities are mainly customer prepayments and accruals of expected volume discounts and are not significant.</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600"/>
          </w:cols>
          <w:pgMar w:left="640" w:top="270" w:right="64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and Other Taxes</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excludes from the Consolidated Statement of Income certain sales and value-added taxes imposed on and concurrent with revenue-producing transactions with customers and collected on behalf of governmental authorities. Similar taxes, for which the Corporation is not considered to be an agent for the government, are reported on a gross basis (included in both “Sales and other operating revenue” and “Other taxes and duties”).</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Corporation accounts for U.S. tax on global intangible low-taxed income as an income tax expense in the period in which it is incurred.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 may use derivative instruments for trading purposes and to offset exposures associated with commodity prices, foreign currency exchange rates, and interest rates that arise from existing assets, liabilities, firm commitments, and forecasted transactions. All derivative instruments, except those designated as normal purchase and normal sale, are recorded at fair value. Derivative assets and liabilities with the same counterparty are netted if the right of offset exists and certain other criteria are met. Collateral payables or receivables are netted against derivative assets and derivative liabilities, respectively.</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Recognition and classification of the gain or loss that results from adjusting a derivative to fair value depends on the purpose for the derivative. All gains and losses from derivative instruments for which the Corporation does not apply hedge accounting are immediately recognized in earnings. The Corporation may designate derivatives as fair value or cash flow hedges. For fair value hedges, the gain or loss from derivative instruments and the offsetting gain or loss from the hedged item are recognized in earnings. For cash flow hedges, the gain or loss from the derivative instrument is initially reported as a component of other comprehensive income and subsequently reclassified into earnings in the period that the forecasted transaction affects earnings.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Fair value is the price that would be received to sell an asset or paid to transfer a liability in an orderly transaction between market participants. Hierarchy levels 1, 2, and 3 are terms for the priority of inputs to valuation techniques used to measure fair value. Hierarchy level 1 inputs are quoted prices in active markets for identical assets or liabilities. Hierarchy level 2 inputs are inputs other than quoted prices included within level 1 that are directly or indirectly observable for the asset or liability. Hierarchy level 3 inputs are inputs that are not observable in the market.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Crude oil, products, and merchandise inventories are carried at the lower of current market value or cost (generally determined under the last-in, first-out method – LIFO). Inventory costs include expenditures and other charges (including depreciation) directly and indirectly incurred in bringing the inventory to its existing condition and location. Selling expenses and general and administrative expenses are reported as period costs and excluded from inventory cost. Inventories of materials and supplies are valued at cost or less.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Cost Basis. </w:t>
      </w:r>
      <w:r>
        <w:rPr>
          <w:rFonts w:ascii="Times New Roman" w:cs="Times New Roman" w:eastAsia="Times New Roman" w:hAnsi="Times New Roman"/>
          <w:sz w:val="20"/>
          <w:szCs w:val="20"/>
          <w:color w:val="auto"/>
        </w:rPr>
        <w:t>The Corporation uses the “successful efforts” method to account for its exploration and production activities.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 costs are accumulated on a field-by-field basis. Costs incurred to purchase, lease, or otherwise acquire a property (whether unproved or proved) are capitalized when incurred. Exploratory well costs are carried as an asset when the well has found a sufficient quantity of reserves to justify its completion as a producing well and where the Corporation is making sufficient progress assessing the reserves and the economic and operating viability of the project. Exploratory well costs not meeting these criteria are charged to expense. Other exploratory expenditures, including geophysical costs and annual lease rentals, are expensed as incurred. Development costs, including costs of productive wells and development dry holes, are capitalized.</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Interest costs incurred to finance expenditures during the construction phase of multiyear projects are capitalized as part of the historical cost of acquiring the constructed assets. The project construction phase commences with the development of the detailed engineering design and ends when the constructed assets are ready for their intended use. Capitalized interest costs are included in property, plant, and equipment and are depreciated over the service life of the related assets.</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600"/>
          </w:cols>
          <w:pgMar w:left="640" w:top="270" w:right="64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Depreciation, Depletion, and Amortization. </w:t>
      </w:r>
      <w:r>
        <w:rPr>
          <w:rFonts w:ascii="Times New Roman" w:cs="Times New Roman" w:eastAsia="Times New Roman" w:hAnsi="Times New Roman"/>
          <w:sz w:val="20"/>
          <w:szCs w:val="20"/>
          <w:color w:val="auto"/>
        </w:rPr>
        <w:t>Depreciation, depletion, and amortization are primarily determined under either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unit-of-production method or the straight-line method, which is based on estimated asset service life, taking obsolescence into consideration.</w:t>
      </w:r>
    </w:p>
    <w:p>
      <w:pPr>
        <w:spacing w:after="0" w:line="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Acquisition costs of proved properties are amortized using a unit-of-production method, computed on the basis of total proved oil and natural gas reserve volumes. Capitalized exploratory drilling and development costs associated with productive depletable extractive properties are amortized using the unit-of-production rates based on the amount of proved developed reserves of oil and gas that are estimated to be recoverable from existing facilities using current operating methods. Under the unit-of-production method, oil and natural gas volumes are considered produced once they have been measured through meters at custody transfer or sales transaction points at the outlet valve on the lease or field storage tank.</w:t>
      </w:r>
    </w:p>
    <w:p>
      <w:pPr>
        <w:spacing w:after="0" w:line="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Investments in refinery, chemical process, and lubes basestock manufacturing equipment are generally depreciated on a straight-line basis over a 25-year life. Service station buildings and fixed improvements are generally depreciated over a 20-year life. Maintenance and repairs, including planned major maintenance, are expensed as incurred. Major renewals and improvements are capitalized, and the assets replaced are retired.</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Impairment Assessment. </w:t>
      </w:r>
      <w:r>
        <w:rPr>
          <w:rFonts w:ascii="Times New Roman" w:cs="Times New Roman" w:eastAsia="Times New Roman" w:hAnsi="Times New Roman"/>
          <w:sz w:val="20"/>
          <w:szCs w:val="20"/>
          <w:color w:val="auto"/>
        </w:rPr>
        <w:t>The Corporation tests assets or groups of assets for recoverability on an ongoing basis whenever events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changes in circumstances indicate that the carrying amounts may not be recoverable. Among the events or changes in circumstances which could indicate that the carrying value of an asset or asset group may not be recoverable are the following:</w:t>
      </w:r>
    </w:p>
    <w:p>
      <w:pPr>
        <w:spacing w:after="0" w:line="57" w:lineRule="exact"/>
        <w:rPr>
          <w:sz w:val="20"/>
          <w:szCs w:val="20"/>
          <w:color w:val="auto"/>
        </w:rPr>
      </w:pPr>
    </w:p>
    <w:p>
      <w:pPr>
        <w:ind w:left="720" w:hanging="359"/>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decrease in the market price of a long-lived asset;</w:t>
      </w:r>
    </w:p>
    <w:p>
      <w:pPr>
        <w:spacing w:after="0" w:line="103" w:lineRule="exact"/>
        <w:rPr>
          <w:rFonts w:ascii="Times New Roman" w:cs="Times New Roman" w:eastAsia="Times New Roman" w:hAnsi="Times New Roman"/>
          <w:sz w:val="20"/>
          <w:szCs w:val="20"/>
          <w:color w:val="auto"/>
        </w:rPr>
      </w:pPr>
    </w:p>
    <w:p>
      <w:pPr>
        <w:ind w:left="720" w:hanging="359"/>
        <w:spacing w:after="0" w:line="27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adverse change in the extent or manner in which an asset is being used or in its physical condition, including a significant decrease in current and projected reserve volumes;</w:t>
      </w:r>
    </w:p>
    <w:p>
      <w:pPr>
        <w:spacing w:after="0" w:line="45" w:lineRule="exact"/>
        <w:rPr>
          <w:rFonts w:ascii="Times New Roman" w:cs="Times New Roman" w:eastAsia="Times New Roman" w:hAnsi="Times New Roman"/>
          <w:sz w:val="20"/>
          <w:szCs w:val="20"/>
          <w:color w:val="auto"/>
        </w:rPr>
      </w:pPr>
    </w:p>
    <w:p>
      <w:pPr>
        <w:ind w:left="720" w:hanging="359"/>
        <w:spacing w:after="0" w:line="27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adverse change in legal factors or in the business climate that could affect the value, including an adverse action or assessment by a regulator;</w:t>
      </w:r>
    </w:p>
    <w:p>
      <w:pPr>
        <w:spacing w:after="0" w:line="45"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accumulation of project costs significantly in excess of the amount originally expected;</w:t>
      </w:r>
    </w:p>
    <w:p>
      <w:pPr>
        <w:spacing w:after="0" w:line="103"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current-period operating loss combined with a history and forecast of operating or cash flow losses; and</w:t>
      </w:r>
    </w:p>
    <w:p>
      <w:pPr>
        <w:spacing w:after="0" w:line="103" w:lineRule="exact"/>
        <w:rPr>
          <w:rFonts w:ascii="Times New Roman" w:cs="Times New Roman" w:eastAsia="Times New Roman" w:hAnsi="Times New Roman"/>
          <w:sz w:val="20"/>
          <w:szCs w:val="20"/>
          <w:color w:val="auto"/>
        </w:rPr>
      </w:pPr>
    </w:p>
    <w:p>
      <w:pPr>
        <w:ind w:left="720" w:hanging="359"/>
        <w:spacing w:after="0" w:line="27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current expectation that, more likely than not, a long-lived asset will be sold or otherwise disposed of significantly before the end of its previously estimated useful life.</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has a robust process to monitor for indicators of potential impairment across its asset groups throughout the year. This process is aligned with the requirements of ASC 360 and ASC 932, and relies, in part, on the Corporation’s planning and budgeting cycle. Asset valuation analysis, profitability reviews, and other periodic control processes assist the Corporation in assessing whether events or changes in circumstances indicate the carrying amounts of any of its assets may not be recoverable.</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Because the lifespans of the vast majority of the Corporation’s major assets are measured in decades, the future cash flows of these assets are predominantly based on long-term oil and natural gas commodity prices and industry margins, development costs, and production costs. Significant reductions in the Corporation’s view of oil or natural gas commodity prices or margin ranges, especially the longer-term prices and margins, and changes in the development plans, including decisions to defer, reduce, or eliminate planned capital spending, can be an indicator of potential impairment. Other events or changes in circumstances can be indicators of potential impairment as well.</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600"/>
          </w:cols>
          <w:pgMar w:left="640" w:top="270" w:right="64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alternative energy sources, and levels of prosperity. During the lifespan of its major assets, the Corporation expects that oil and gas prices and industry margins will experience significant volatility. Consequently, these assets will experience periods of higher earnings and periods of lower earnings, or even losses. In assessing whether events or changes in circumstances indicate the carrying value of an asset may not be recoverable, the Corporation considers recent periods of operating losses in the context of its longer-term view of prices and margins.</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the Upstream, the standardized measure of discounted cash flows included in the Supplemental Information on Oil and Gas Exploration and Production Activities is required to use prices based on the average of first-of-month prices in the year. These prices represent discrete points in time and could be higher or lower than the Corporation’s price assumptions which are used for impairment assessments. The Corporation believes the standardized measure does not provide a reliable estimate of the expected future cash flows to be obtained from the development and production of its oil and gas properties or of the value of its oil and gas reserves, and therefore, does not consider it relevant in determining whether events or changes in circumstances indicate the need for an impairment assessment.</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Global Outlook and Cash Flow Assessment. </w:t>
      </w:r>
      <w:r>
        <w:rPr>
          <w:rFonts w:ascii="Times New Roman" w:cs="Times New Roman" w:eastAsia="Times New Roman" w:hAnsi="Times New Roman"/>
          <w:sz w:val="20"/>
          <w:szCs w:val="20"/>
          <w:color w:val="auto"/>
        </w:rPr>
        <w:t>The annual planning and budgeting process, known as the Corporate Plan, is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mechanism by which resources (capital, operating expenses, and people) are allocated across the Corporation. The foundation for the assumptions supporting the Corporate Plan is the Global Outlook (Outlook), which contains the Corporation’s demand and supply projections based on its assessment of current trends in technology, government policies, consumer preferences, geopolitics, economic development, and other factors. Reflective of the existing global policy environment, the Outlook does not attempt to project the degree of necessary future policy and technology advancement and deployment for the world, or the Corporation, to meet net zero by 2050. As future policies and technology advancements emerge, they will be incorporated into the Outlook, and the Corporation’s business plans will be updated accordingly.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assumptions developed in the Corporate Plan, which is reviewed and approved by the Board of Directors,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including greenhouse gas emission prices, and foreign currency exchange rates. Notably, when assessing future cash flows, the Corporation includes the estimated costs in support of reaching its 2030 greenhouse gas emission-reduction plans, including its goal of net-zero Scope 1 and 2 greenhouse gas emissions from unconventional operated assets in the Permian Basin. Volumes are based on projected field and facility production profiles, throughput, or sales. Management’s estimate of upstream production volumes used for projected cash flows makes use of proved reserve quantities and may include risk-adjusted unproved reserve quantities. Cash flow estimates for impairment testing exclude the effects of derivative instruments. As part of the Corporate Plan, the Company considers estimated greenhouse gas emission costs, even for jurisdictions without a current greenhouse gas pricing policy.</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Fair Value of Impaired Assets. </w:t>
      </w:r>
      <w:r>
        <w:rPr>
          <w:rFonts w:ascii="Times New Roman" w:cs="Times New Roman" w:eastAsia="Times New Roman" w:hAnsi="Times New Roman"/>
          <w:sz w:val="20"/>
          <w:szCs w:val="20"/>
          <w:color w:val="auto"/>
        </w:rPr>
        <w:t>An asset group is impaired if its estimated undiscounted cash flows are less than the asset group's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carrying value. Impairments are measured by the excess of the carrying value over fair value. The assessment of fair value is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throughput and product sales volumes, commodity prices (which are consistent with the average of third-party industry experts and government agencies), refining and chemical margins, drilling and development costs, operating costs, and discount rates which are reflective of the characteristics of the asset group.</w:t>
      </w:r>
    </w:p>
    <w:p>
      <w:pPr>
        <w:spacing w:after="0" w:line="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Other Impairments Related to Property, Plant and Equipment. </w:t>
      </w:r>
      <w:r>
        <w:rPr>
          <w:rFonts w:ascii="Times New Roman" w:cs="Times New Roman" w:eastAsia="Times New Roman" w:hAnsi="Times New Roman"/>
          <w:sz w:val="20"/>
          <w:szCs w:val="20"/>
          <w:color w:val="auto"/>
        </w:rPr>
        <w:t>Unproved properties are assessed periodically to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they have been impaired. Significant unproved 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Long-lived assets that are held for sale are evaluated for possible impairment by comparing the carrying value of the asset with its fair value less the cost to sell. If the net book value exceeds the fair value less cost to sell, the assets are considered impaired and adjusted to the lower value. Gains on sales of proved and unproved properties are only recognized when there is neither uncertainty about the recovery of costs applicable to any interest retained nor any substantial obligation for future performance by the Corporation.</w:t>
      </w:r>
    </w:p>
    <w:p>
      <w:pPr>
        <w:sectPr>
          <w:pgSz w:w="11880" w:h="15480" w:orient="portrait"/>
          <w:cols w:equalWidth="0" w:num="1">
            <w:col w:w="10600"/>
          </w:cols>
          <w:pgMar w:left="640" w:top="270" w:right="640" w:bottom="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600"/>
          </w:cols>
          <w:pgMar w:left="640" w:top="270" w:right="64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Liabilities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Liabilities for environmental costs are recorded when it is probable that obligations have been incurred and the amounts can be reasonably estimated. These liabilities are not reduced by possible recoveries from third parties, and projected cash expenditures are not discounted.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Corporation selects the functional reporting currency for its international subsidiaries based on the currency of the primary economic environment in which each subsidiary operates. Operations in the Product Solutions businesses use the local currency. However, the U.S. dollar is used in countries with a history of high inflation (primarily in Latin America) and in Singapore, which predominantly sells into the U.S. dollar export market. Upstream operations which are relatively self-contained and integrated within a particular country, such as in Canada and Europe, use the local currency. Some Upstream operations, primarily in Asia and Africa, use the U.S. dollar because they predominantly sell crude and natural gas production into U.S. dollar-denominated markets.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all operations, gains or losses from remeasuring foreign currency transactions into the functional currency are included in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2. Russia</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response to Russia’s military action in Ukraine, the Corporation announced in early 2022 that it planned to discontinue operations on the Sakhalin-1 project (“Sakhalin”) and develop steps to exit the venture. In light of this, an impairment assessment was conducted, and management determined that the carrying value of the asset group was not recoverable. As a result, the Corporation’s first-quarter 2022 earnings included after-tax charges of $3.4 billion largely representing the full impairment of its operations related to Sakhalin. On a before-tax basis, the charges amounted to $4.6 billion, substantially all of which is reflected in the line captioned “Depreciation and depletion (including impairments)” on the Consolidated Statement of Income. Effective October 14, 2022, the Russian government unilaterally terminated the Corporation’s interests in Sakhalin, transferring operations to a Russian operator. The Corporation’s fourth-quarter 2022 results include an after-tax benefit of $1.1 billion largely reflecting the impact of the expropriation on the company’s various obligations related to Sakhalin. The Corporation's exit from the project resulted in approximately 150 million oil-equivalent barrels no longer qualifying as proved reserves at year-end 2022.</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600"/>
          </w:cols>
          <w:pgMar w:left="640" w:top="270" w:right="640" w:bottom="0" w:gutter="0" w:footer="0" w:header="0"/>
          <w:type w:val="continuous"/>
        </w:sectPr>
      </w:pPr>
    </w:p>
    <w:bookmarkStart w:id="97" w:name="page98"/>
    <w:bookmarkEnd w:id="97"/>
    <w:p>
      <w:pPr>
        <w:ind w:right="4380"/>
        <w:spacing w:after="0" w:line="365"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3. Miscellaneous Financial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expenses totaled $879 million in 2023, $824 million in 2022, and $843 million in 2021.</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Net income included before-tax aggregate foreign exchange transaction losses of $51 million, $218 million, and $18 million in 2023, 2022, and 2021, respectively.</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LIFO Inventory. </w:t>
      </w:r>
      <w:r>
        <w:rPr>
          <w:rFonts w:ascii="Times New Roman" w:cs="Times New Roman" w:eastAsia="Times New Roman" w:hAnsi="Times New Roman"/>
          <w:sz w:val="20"/>
          <w:szCs w:val="20"/>
          <w:color w:val="auto"/>
        </w:rPr>
        <w:t>In 2023, 2022, and 2021, net income included gains of $366 million, $367 million, and $54 million, respectively,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attributable to the combined effects of LIFO inventory accumulations and drawdowns. The aggregate replacement cost of inventories was estimated to exceed their LIFO carrying values by approximately $14 billion and $15 billion at December 31, 2023 and 2022,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Crude oil, products, and merchandise as of year-end 2023 and 2022 consist of the following:</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7940" w:type="dxa"/>
            <w:vAlign w:val="bottom"/>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280" w:type="dxa"/>
            <w:vAlign w:val="bottom"/>
            <w:shd w:val="clear" w:color="auto" w:fill="4C4C4C"/>
          </w:tcPr>
          <w:p>
            <w:pPr>
              <w:jc w:val="right"/>
              <w:ind w:right="125"/>
              <w:spacing w:after="0"/>
              <w:rPr>
                <w:sz w:val="20"/>
                <w:szCs w:val="20"/>
                <w:color w:val="auto"/>
              </w:rPr>
            </w:pPr>
            <w:r>
              <w:rPr>
                <w:rFonts w:ascii="Times New Roman" w:cs="Times New Roman" w:eastAsia="Times New Roman" w:hAnsi="Times New Roman"/>
                <w:sz w:val="16"/>
                <w:szCs w:val="16"/>
                <w:b w:val="1"/>
                <w:bCs w:val="1"/>
                <w:color w:val="FFFFFF"/>
              </w:rPr>
              <w:t>Dec 31, 2023</w:t>
            </w:r>
          </w:p>
        </w:tc>
        <w:tc>
          <w:tcPr>
            <w:tcW w:w="1340" w:type="dxa"/>
            <w:vAlign w:val="bottom"/>
            <w:shd w:val="clear" w:color="auto" w:fill="4C4C4C"/>
          </w:tcPr>
          <w:p>
            <w:pPr>
              <w:jc w:val="right"/>
              <w:ind w:right="125"/>
              <w:spacing w:after="0"/>
              <w:rPr>
                <w:sz w:val="20"/>
                <w:szCs w:val="20"/>
                <w:color w:val="auto"/>
              </w:rPr>
            </w:pPr>
            <w:r>
              <w:rPr>
                <w:rFonts w:ascii="Times New Roman" w:cs="Times New Roman" w:eastAsia="Times New Roman" w:hAnsi="Times New Roman"/>
                <w:sz w:val="16"/>
                <w:szCs w:val="16"/>
                <w:b w:val="1"/>
                <w:bCs w:val="1"/>
                <w:color w:val="FFFFFF"/>
              </w:rPr>
              <w:t>Dec 31, 2022</w:t>
            </w:r>
          </w:p>
        </w:tc>
      </w:tr>
      <w:tr>
        <w:trPr>
          <w:trHeight w:val="102"/>
        </w:trPr>
        <w:tc>
          <w:tcPr>
            <w:tcW w:w="7940" w:type="dxa"/>
            <w:vAlign w:val="bottom"/>
            <w:shd w:val="clear" w:color="auto" w:fill="4C4C4C"/>
          </w:tcPr>
          <w:p>
            <w:pPr>
              <w:spacing w:after="0"/>
              <w:rPr>
                <w:sz w:val="8"/>
                <w:szCs w:val="8"/>
                <w:color w:val="auto"/>
              </w:rPr>
            </w:pPr>
          </w:p>
        </w:tc>
        <w:tc>
          <w:tcPr>
            <w:tcW w:w="1280" w:type="dxa"/>
            <w:vAlign w:val="bottom"/>
            <w:shd w:val="clear" w:color="auto" w:fill="4C4C4C"/>
          </w:tcPr>
          <w:p>
            <w:pPr>
              <w:spacing w:after="0"/>
              <w:rPr>
                <w:sz w:val="8"/>
                <w:szCs w:val="8"/>
                <w:color w:val="auto"/>
              </w:rPr>
            </w:pPr>
          </w:p>
        </w:tc>
        <w:tc>
          <w:tcPr>
            <w:tcW w:w="1340" w:type="dxa"/>
            <w:vAlign w:val="bottom"/>
            <w:shd w:val="clear" w:color="auto" w:fill="4C4C4C"/>
          </w:tcPr>
          <w:p>
            <w:pPr>
              <w:spacing w:after="0"/>
              <w:rPr>
                <w:sz w:val="8"/>
                <w:szCs w:val="8"/>
                <w:color w:val="auto"/>
              </w:rPr>
            </w:pPr>
          </w:p>
        </w:tc>
      </w:tr>
      <w:tr>
        <w:trPr>
          <w:trHeight w:val="282"/>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Crude oil</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6,944</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6,909</w:t>
            </w: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Petroleum products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6,248</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6,291</w:t>
            </w: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Chemical products </w:t>
            </w:r>
            <w:r>
              <w:rPr>
                <w:rFonts w:ascii="Times New Roman" w:cs="Times New Roman" w:eastAsia="Times New Roman" w:hAnsi="Times New Roman"/>
                <w:sz w:val="10"/>
                <w:szCs w:val="10"/>
                <w:i w:val="1"/>
                <w:iCs w:val="1"/>
                <w:color w:val="auto"/>
              </w:rPr>
              <w:t>(1)</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3,930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3,806</w:t>
            </w:r>
          </w:p>
        </w:tc>
      </w:tr>
      <w:tr>
        <w:trPr>
          <w:trHeight w:val="29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Gas/other</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3,406</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3,428</w:t>
            </w:r>
          </w:p>
        </w:tc>
      </w:tr>
      <w:tr>
        <w:trPr>
          <w:trHeight w:val="27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20,528</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20,434</w:t>
            </w:r>
          </w:p>
        </w:tc>
      </w:tr>
    </w:tbl>
    <w:p>
      <w:pPr>
        <w:spacing w:after="0" w:line="104" w:lineRule="exact"/>
        <w:rPr>
          <w:sz w:val="20"/>
          <w:szCs w:val="20"/>
          <w:color w:val="auto"/>
        </w:rPr>
      </w:pPr>
    </w:p>
    <w:p>
      <w:pPr>
        <w:ind w:left="60" w:right="60" w:firstLine="7"/>
        <w:spacing w:after="0" w:line="281" w:lineRule="auto"/>
        <w:tabs>
          <w:tab w:leader="none" w:pos="214" w:val="left"/>
        </w:tabs>
        <w:numPr>
          <w:ilvl w:val="0"/>
          <w:numId w:val="39"/>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Chemical products includes basic chemicals (olefins and aromatics), polymers (such as polyolefins, adhesions, specialty elastomers, &amp; butyl), intermediates (e.g. hydrocarbon fluids, plasticizers) and synthetics.</w:t>
      </w: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Government Assistance. </w:t>
      </w:r>
      <w:r>
        <w:rPr>
          <w:rFonts w:ascii="Times New Roman" w:cs="Times New Roman" w:eastAsia="Times New Roman" w:hAnsi="Times New Roman"/>
          <w:sz w:val="19"/>
          <w:szCs w:val="19"/>
          <w:color w:val="auto"/>
        </w:rPr>
        <w:t>ASC 832 "Government Assistance" requires disclosure of certain types of government assistance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covered by authoritative accounting guidance. During 2023 and 2022, certain governments outside the United States provided payments which, individually and in aggregate, were immaterial to the Corporation's financial results. Among these are programs where governments endeavor to stabilize or cap fuel and energy costs for local consumers. To compensate producers who sell at the government-mandated prices, these governments provide reimbursements to the producers. In 2023 such reimbursements were negligible and in 2022 these reimbursements totaled approximately $1.5 billion before tax, which were reflected as reductions to the line captioned "Crude oil and product purchases" on the Consolidated Statement of Income. At December 31, 2022, "Notes and accounts receivable - net" on the Consolidated Balance Sheet included $0.5 billion related to pending government reimbursements. The terms and conditions of these programs, including their duration, vary by country. In the event that any of these programs are discontinued, the Corporation does not expect a significant impact to its financial results. Additionally, in connection with cap and trade programs in certain countries outside the United States, companies receive allowances from governments covering a specified level of emissions from facilities they operate. The terms of these programs vary by country. The Corporation records these allowances at a nominal amount, generally in "Inventories - Crude oil, products and merchandise" on the Consolidated Balance Sheet.</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600"/>
          </w:cols>
          <w:pgMar w:left="640" w:top="270" w:right="640" w:bottom="0" w:gutter="0" w:footer="0" w:header="0"/>
          <w:type w:val="continuous"/>
        </w:sectPr>
      </w:pPr>
    </w:p>
    <w:bookmarkStart w:id="98" w:name="page99"/>
    <w:bookmarkEnd w:id="98"/>
    <w:p>
      <w:pPr>
        <w:ind w:right="4340"/>
        <w:spacing w:after="0" w:line="455" w:lineRule="auto"/>
        <w:rPr>
          <w:sz w:val="20"/>
          <w:szCs w:val="20"/>
          <w:color w:val="auto"/>
        </w:rPr>
      </w:pPr>
      <w:r>
        <w:rPr>
          <w:rFonts w:ascii="Times New Roman" w:cs="Times New Roman" w:eastAsia="Times New Roman" w:hAnsi="Times New Roman"/>
          <w:sz w:val="22"/>
          <w:szCs w:val="22"/>
          <w:b w:val="1"/>
          <w:bCs w:val="1"/>
          <w:color w:val="4C4C4C"/>
        </w:rPr>
        <w:t>NOTES TO CONSOLIDATED FINANCIAL STATEMENTS 4. Other Comprehensive Income Information</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02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ExxonMobil Share of Accumulated Other</w:t>
            </w:r>
          </w:p>
        </w:tc>
        <w:tc>
          <w:tcPr>
            <w:tcW w:w="1740" w:type="dxa"/>
            <w:vAlign w:val="bottom"/>
            <w:shd w:val="clear" w:color="auto" w:fill="4C4C4C"/>
          </w:tcPr>
          <w:p>
            <w:pPr>
              <w:jc w:val="center"/>
              <w:ind w:left="9"/>
              <w:spacing w:after="0"/>
              <w:rPr>
                <w:sz w:val="20"/>
                <w:szCs w:val="20"/>
                <w:color w:val="auto"/>
              </w:rPr>
            </w:pPr>
            <w:r>
              <w:rPr>
                <w:rFonts w:ascii="Times New Roman" w:cs="Times New Roman" w:eastAsia="Times New Roman" w:hAnsi="Times New Roman"/>
                <w:sz w:val="16"/>
                <w:szCs w:val="16"/>
                <w:b w:val="1"/>
                <w:bCs w:val="1"/>
                <w:color w:val="FFFFFF"/>
                <w:w w:val="98"/>
              </w:rPr>
              <w:t>Cumulative Foreign</w:t>
            </w:r>
          </w:p>
        </w:tc>
        <w:tc>
          <w:tcPr>
            <w:tcW w:w="14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Postretirement</w:t>
            </w:r>
          </w:p>
        </w:tc>
        <w:tc>
          <w:tcPr>
            <w:tcW w:w="1360" w:type="dxa"/>
            <w:vAlign w:val="bottom"/>
            <w:shd w:val="clear" w:color="auto" w:fill="4C4C4C"/>
          </w:tcPr>
          <w:p>
            <w:pPr>
              <w:spacing w:after="0"/>
              <w:rPr>
                <w:sz w:val="21"/>
                <w:szCs w:val="21"/>
                <w:color w:val="auto"/>
              </w:rPr>
            </w:pPr>
          </w:p>
        </w:tc>
        <w:tc>
          <w:tcPr>
            <w:tcW w:w="0" w:type="dxa"/>
            <w:vAlign w:val="bottom"/>
          </w:tcPr>
          <w:p>
            <w:pPr>
              <w:spacing w:after="0"/>
              <w:rPr>
                <w:sz w:val="1"/>
                <w:szCs w:val="1"/>
                <w:color w:val="auto"/>
              </w:rPr>
            </w:pPr>
          </w:p>
        </w:tc>
      </w:tr>
      <w:tr>
        <w:trPr>
          <w:trHeight w:val="78"/>
        </w:trPr>
        <w:tc>
          <w:tcPr>
            <w:tcW w:w="602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Comprehensive Income</w:t>
            </w:r>
          </w:p>
        </w:tc>
        <w:tc>
          <w:tcPr>
            <w:tcW w:w="1740" w:type="dxa"/>
            <w:vAlign w:val="bottom"/>
            <w:shd w:val="clear" w:color="auto" w:fill="4C4C4C"/>
          </w:tcPr>
          <w:p>
            <w:pPr>
              <w:jc w:val="center"/>
              <w:ind w:left="9"/>
              <w:spacing w:after="0" w:line="79" w:lineRule="exact"/>
              <w:rPr>
                <w:sz w:val="20"/>
                <w:szCs w:val="20"/>
                <w:color w:val="auto"/>
              </w:rPr>
            </w:pPr>
            <w:r>
              <w:rPr>
                <w:rFonts w:ascii="Times New Roman" w:cs="Times New Roman" w:eastAsia="Times New Roman" w:hAnsi="Times New Roman"/>
                <w:sz w:val="9"/>
                <w:szCs w:val="9"/>
                <w:b w:val="1"/>
                <w:bCs w:val="1"/>
                <w:color w:val="FFFFFF"/>
              </w:rPr>
              <w:t>Exchange</w:t>
            </w:r>
          </w:p>
        </w:tc>
        <w:tc>
          <w:tcPr>
            <w:tcW w:w="142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Benefits Reserves</w:t>
            </w:r>
          </w:p>
        </w:tc>
        <w:tc>
          <w:tcPr>
            <w:tcW w:w="1360" w:type="dxa"/>
            <w:vAlign w:val="bottom"/>
            <w:vMerge w:val="restart"/>
            <w:shd w:val="clear" w:color="auto" w:fill="4C4C4C"/>
          </w:tcPr>
          <w:p>
            <w:pPr>
              <w:jc w:val="right"/>
              <w:ind w:right="403"/>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57"/>
        </w:trPr>
        <w:tc>
          <w:tcPr>
            <w:tcW w:w="6020" w:type="dxa"/>
            <w:vAlign w:val="bottom"/>
            <w:vMerge w:val="continue"/>
            <w:shd w:val="clear" w:color="auto" w:fill="4C4C4C"/>
          </w:tcPr>
          <w:p>
            <w:pPr>
              <w:spacing w:after="0"/>
              <w:rPr>
                <w:sz w:val="13"/>
                <w:szCs w:val="13"/>
                <w:color w:val="auto"/>
              </w:rPr>
            </w:pPr>
          </w:p>
        </w:tc>
        <w:tc>
          <w:tcPr>
            <w:tcW w:w="1740" w:type="dxa"/>
            <w:vAlign w:val="bottom"/>
            <w:shd w:val="clear" w:color="auto" w:fill="4C4C4C"/>
          </w:tcPr>
          <w:p>
            <w:pPr>
              <w:jc w:val="center"/>
              <w:ind w:left="9"/>
              <w:spacing w:after="0" w:line="157" w:lineRule="exact"/>
              <w:rPr>
                <w:sz w:val="20"/>
                <w:szCs w:val="20"/>
                <w:color w:val="auto"/>
              </w:rPr>
            </w:pPr>
            <w:r>
              <w:rPr>
                <w:rFonts w:ascii="Times New Roman" w:cs="Times New Roman" w:eastAsia="Times New Roman" w:hAnsi="Times New Roman"/>
                <w:sz w:val="16"/>
                <w:szCs w:val="16"/>
                <w:b w:val="1"/>
                <w:bCs w:val="1"/>
                <w:color w:val="FFFFFF"/>
                <w:w w:val="99"/>
              </w:rPr>
              <w:t>Translation</w:t>
            </w:r>
          </w:p>
        </w:tc>
        <w:tc>
          <w:tcPr>
            <w:tcW w:w="1420" w:type="dxa"/>
            <w:vAlign w:val="bottom"/>
            <w:vMerge w:val="continue"/>
            <w:shd w:val="clear" w:color="auto" w:fill="4C4C4C"/>
          </w:tcPr>
          <w:p>
            <w:pPr>
              <w:spacing w:after="0"/>
              <w:rPr>
                <w:sz w:val="13"/>
                <w:szCs w:val="13"/>
                <w:color w:val="auto"/>
              </w:rPr>
            </w:pPr>
          </w:p>
        </w:tc>
        <w:tc>
          <w:tcPr>
            <w:tcW w:w="136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020" w:type="dxa"/>
            <w:vAlign w:val="bottom"/>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740" w:type="dxa"/>
            <w:vAlign w:val="bottom"/>
            <w:shd w:val="clear" w:color="auto" w:fill="4C4C4C"/>
          </w:tcPr>
          <w:p>
            <w:pPr>
              <w:jc w:val="center"/>
              <w:ind w:left="9"/>
              <w:spacing w:after="0"/>
              <w:rPr>
                <w:sz w:val="20"/>
                <w:szCs w:val="20"/>
                <w:color w:val="auto"/>
              </w:rPr>
            </w:pPr>
            <w:r>
              <w:rPr>
                <w:rFonts w:ascii="Times New Roman" w:cs="Times New Roman" w:eastAsia="Times New Roman" w:hAnsi="Times New Roman"/>
                <w:sz w:val="16"/>
                <w:szCs w:val="16"/>
                <w:b w:val="1"/>
                <w:bCs w:val="1"/>
                <w:color w:val="FFFFFF"/>
                <w:w w:val="98"/>
              </w:rPr>
              <w:t>Adjustment</w:t>
            </w:r>
          </w:p>
        </w:tc>
        <w:tc>
          <w:tcPr>
            <w:tcW w:w="14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Adjustment</w:t>
            </w:r>
          </w:p>
        </w:tc>
        <w:tc>
          <w:tcPr>
            <w:tcW w:w="1360" w:type="dxa"/>
            <w:vAlign w:val="bottom"/>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as of December 31, 2020</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(10,614)</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(6,091)</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(16,705)</w:t>
            </w:r>
          </w:p>
        </w:tc>
        <w:tc>
          <w:tcPr>
            <w:tcW w:w="0" w:type="dxa"/>
            <w:vAlign w:val="bottom"/>
          </w:tcPr>
          <w:p>
            <w:pPr>
              <w:spacing w:after="0"/>
              <w:rPr>
                <w:sz w:val="1"/>
                <w:szCs w:val="1"/>
                <w:color w:val="auto"/>
              </w:rPr>
            </w:pPr>
          </w:p>
        </w:tc>
      </w:tr>
      <w:tr>
        <w:trPr>
          <w:trHeight w:val="214"/>
        </w:trPr>
        <w:tc>
          <w:tcPr>
            <w:tcW w:w="602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Current period change excluding amounts reclassified from accumulated</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shd w:val="clear" w:color="auto" w:fill="F0F0F0"/>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2,938</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2,055</w:t>
            </w:r>
          </w:p>
        </w:tc>
        <w:tc>
          <w:tcPr>
            <w:tcW w:w="0" w:type="dxa"/>
            <w:vAlign w:val="bottom"/>
          </w:tcPr>
          <w:p>
            <w:pPr>
              <w:spacing w:after="0"/>
              <w:rPr>
                <w:sz w:val="1"/>
                <w:szCs w:val="1"/>
                <w:color w:val="auto"/>
              </w:rPr>
            </w:pPr>
          </w:p>
        </w:tc>
      </w:tr>
      <w:tr>
        <w:trPr>
          <w:trHeight w:val="357"/>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income</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20" w:type="dxa"/>
            <w:vAlign w:val="bottom"/>
            <w:vMerge w:val="restart"/>
          </w:tcPr>
          <w:p>
            <w:pPr>
              <w:jc w:val="right"/>
              <w:ind w:right="46"/>
              <w:spacing w:after="0"/>
              <w:rPr>
                <w:sz w:val="20"/>
                <w:szCs w:val="20"/>
                <w:color w:val="auto"/>
              </w:rPr>
            </w:pPr>
            <w:r>
              <w:rPr>
                <w:rFonts w:ascii="Times New Roman" w:cs="Times New Roman" w:eastAsia="Times New Roman" w:hAnsi="Times New Roman"/>
                <w:sz w:val="20"/>
                <w:szCs w:val="20"/>
                <w:color w:val="auto"/>
              </w:rPr>
              <w:t>888</w:t>
            </w:r>
          </w:p>
        </w:tc>
        <w:tc>
          <w:tcPr>
            <w:tcW w:w="13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0" w:type="dxa"/>
            <w:vAlign w:val="bottom"/>
          </w:tcPr>
          <w:p>
            <w:pPr>
              <w:spacing w:after="0"/>
              <w:rPr>
                <w:sz w:val="1"/>
                <w:szCs w:val="1"/>
                <w:color w:val="auto"/>
              </w:rPr>
            </w:pPr>
          </w:p>
        </w:tc>
      </w:tr>
      <w:tr>
        <w:trPr>
          <w:trHeight w:val="102"/>
        </w:trPr>
        <w:tc>
          <w:tcPr>
            <w:tcW w:w="6020" w:type="dxa"/>
            <w:vAlign w:val="bottom"/>
            <w:tcBorders>
              <w:bottom w:val="single" w:sz="8" w:color="4C4C4C"/>
            </w:tcBorders>
          </w:tcPr>
          <w:p>
            <w:pPr>
              <w:spacing w:after="0"/>
              <w:rPr>
                <w:sz w:val="8"/>
                <w:szCs w:val="8"/>
                <w:color w:val="auto"/>
              </w:rPr>
            </w:pPr>
          </w:p>
        </w:tc>
        <w:tc>
          <w:tcPr>
            <w:tcW w:w="1740" w:type="dxa"/>
            <w:vAlign w:val="bottom"/>
            <w:tcBorders>
              <w:bottom w:val="single" w:sz="8" w:color="4C4C4C"/>
            </w:tcBorders>
            <w:vMerge w:val="continue"/>
          </w:tcPr>
          <w:p>
            <w:pPr>
              <w:spacing w:after="0"/>
              <w:rPr>
                <w:sz w:val="8"/>
                <w:szCs w:val="8"/>
                <w:color w:val="auto"/>
              </w:rPr>
            </w:pPr>
          </w:p>
        </w:tc>
        <w:tc>
          <w:tcPr>
            <w:tcW w:w="1420" w:type="dxa"/>
            <w:vAlign w:val="bottom"/>
            <w:tcBorders>
              <w:bottom w:val="single" w:sz="8" w:color="4C4C4C"/>
            </w:tcBorders>
            <w:vMerge w:val="continue"/>
          </w:tcPr>
          <w:p>
            <w:pPr>
              <w:spacing w:after="0"/>
              <w:rPr>
                <w:sz w:val="8"/>
                <w:szCs w:val="8"/>
                <w:color w:val="auto"/>
              </w:rPr>
            </w:pPr>
          </w:p>
        </w:tc>
        <w:tc>
          <w:tcPr>
            <w:tcW w:w="1360" w:type="dxa"/>
            <w:vAlign w:val="bottom"/>
            <w:tcBorders>
              <w:bottom w:val="single" w:sz="8" w:color="4C4C4C"/>
            </w:tcBorders>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60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change in accumulated other comprehensive income</w:t>
            </w:r>
          </w:p>
        </w:tc>
        <w:tc>
          <w:tcPr>
            <w:tcW w:w="1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(885)</w:t>
            </w:r>
          </w:p>
        </w:tc>
        <w:tc>
          <w:tcPr>
            <w:tcW w:w="1420" w:type="dxa"/>
            <w:vAlign w:val="bottom"/>
            <w:tcBorders>
              <w:bottom w:val="single" w:sz="8" w:color="4C4C4C"/>
            </w:tcBorders>
          </w:tcPr>
          <w:p>
            <w:pPr>
              <w:jc w:val="right"/>
              <w:ind w:right="46"/>
              <w:spacing w:after="0"/>
              <w:rPr>
                <w:sz w:val="20"/>
                <w:szCs w:val="20"/>
                <w:color w:val="auto"/>
              </w:rPr>
            </w:pPr>
            <w:r>
              <w:rPr>
                <w:rFonts w:ascii="Times New Roman" w:cs="Times New Roman" w:eastAsia="Times New Roman" w:hAnsi="Times New Roman"/>
                <w:sz w:val="20"/>
                <w:szCs w:val="20"/>
                <w:color w:val="auto"/>
              </w:rPr>
              <w:t>3,826</w:t>
            </w:r>
          </w:p>
        </w:tc>
        <w:tc>
          <w:tcPr>
            <w:tcW w:w="13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2,941</w:t>
            </w:r>
          </w:p>
        </w:tc>
        <w:tc>
          <w:tcPr>
            <w:tcW w:w="0" w:type="dxa"/>
            <w:vAlign w:val="bottom"/>
          </w:tcPr>
          <w:p>
            <w:pPr>
              <w:spacing w:after="0"/>
              <w:rPr>
                <w:sz w:val="1"/>
                <w:szCs w:val="1"/>
                <w:color w:val="auto"/>
              </w:rPr>
            </w:pPr>
          </w:p>
        </w:tc>
      </w:tr>
      <w:tr>
        <w:trPr>
          <w:trHeight w:val="271"/>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as of December 31,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(11,499)</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(2,265)</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(13,764)</w:t>
            </w:r>
          </w:p>
        </w:tc>
        <w:tc>
          <w:tcPr>
            <w:tcW w:w="0" w:type="dxa"/>
            <w:vAlign w:val="bottom"/>
          </w:tcPr>
          <w:p>
            <w:pPr>
              <w:spacing w:after="0"/>
              <w:rPr>
                <w:sz w:val="1"/>
                <w:szCs w:val="1"/>
                <w:color w:val="auto"/>
              </w:rPr>
            </w:pPr>
          </w:p>
        </w:tc>
      </w:tr>
      <w:tr>
        <w:trPr>
          <w:trHeight w:val="214"/>
        </w:trPr>
        <w:tc>
          <w:tcPr>
            <w:tcW w:w="602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Current period change excluding amounts reclassified from accumulated</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shd w:val="clear" w:color="auto" w:fill="F0F0F0"/>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other comprehensive income </w:t>
            </w:r>
            <w:r>
              <w:rPr>
                <w:rFonts w:ascii="Times New Roman" w:cs="Times New Roman" w:eastAsia="Times New Roman" w:hAnsi="Times New Roman"/>
                <w:sz w:val="10"/>
                <w:szCs w:val="10"/>
                <w:i w:val="1"/>
                <w:iCs w:val="1"/>
                <w:color w:val="auto"/>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(3,092)</w:t>
            </w: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3,205</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357"/>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income</w:t>
            </w:r>
          </w:p>
        </w:tc>
        <w:tc>
          <w:tcPr>
            <w:tcW w:w="1740" w:type="dxa"/>
            <w:vAlign w:val="bottom"/>
            <w:vMerge w:val="restart"/>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ind w:right="46"/>
              <w:spacing w:after="0"/>
              <w:rPr>
                <w:sz w:val="20"/>
                <w:szCs w:val="20"/>
                <w:color w:val="auto"/>
              </w:rPr>
            </w:pPr>
            <w:r>
              <w:rPr>
                <w:rFonts w:ascii="Times New Roman" w:cs="Times New Roman" w:eastAsia="Times New Roman" w:hAnsi="Times New Roman"/>
                <w:sz w:val="20"/>
                <w:szCs w:val="20"/>
                <w:color w:val="auto"/>
              </w:rPr>
              <w:t>381</w:t>
            </w:r>
          </w:p>
        </w:tc>
        <w:tc>
          <w:tcPr>
            <w:tcW w:w="13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0" w:type="dxa"/>
            <w:vAlign w:val="bottom"/>
          </w:tcPr>
          <w:p>
            <w:pPr>
              <w:spacing w:after="0"/>
              <w:rPr>
                <w:sz w:val="1"/>
                <w:szCs w:val="1"/>
                <w:color w:val="auto"/>
              </w:rPr>
            </w:pPr>
          </w:p>
        </w:tc>
      </w:tr>
      <w:tr>
        <w:trPr>
          <w:trHeight w:val="102"/>
        </w:trPr>
        <w:tc>
          <w:tcPr>
            <w:tcW w:w="6020" w:type="dxa"/>
            <w:vAlign w:val="bottom"/>
            <w:tcBorders>
              <w:bottom w:val="single" w:sz="8" w:color="4C4C4C"/>
            </w:tcBorders>
          </w:tcPr>
          <w:p>
            <w:pPr>
              <w:spacing w:after="0"/>
              <w:rPr>
                <w:sz w:val="8"/>
                <w:szCs w:val="8"/>
                <w:color w:val="auto"/>
              </w:rPr>
            </w:pPr>
          </w:p>
        </w:tc>
        <w:tc>
          <w:tcPr>
            <w:tcW w:w="1740" w:type="dxa"/>
            <w:vAlign w:val="bottom"/>
            <w:tcBorders>
              <w:bottom w:val="single" w:sz="8" w:color="4C4C4C"/>
            </w:tcBorders>
            <w:vMerge w:val="continue"/>
          </w:tcPr>
          <w:p>
            <w:pPr>
              <w:spacing w:after="0"/>
              <w:rPr>
                <w:sz w:val="8"/>
                <w:szCs w:val="8"/>
                <w:color w:val="auto"/>
              </w:rPr>
            </w:pPr>
          </w:p>
        </w:tc>
        <w:tc>
          <w:tcPr>
            <w:tcW w:w="1420" w:type="dxa"/>
            <w:vAlign w:val="bottom"/>
            <w:tcBorders>
              <w:bottom w:val="single" w:sz="8" w:color="4C4C4C"/>
            </w:tcBorders>
            <w:vMerge w:val="continue"/>
          </w:tcPr>
          <w:p>
            <w:pPr>
              <w:spacing w:after="0"/>
              <w:rPr>
                <w:sz w:val="8"/>
                <w:szCs w:val="8"/>
                <w:color w:val="auto"/>
              </w:rPr>
            </w:pPr>
          </w:p>
        </w:tc>
        <w:tc>
          <w:tcPr>
            <w:tcW w:w="1360" w:type="dxa"/>
            <w:vAlign w:val="bottom"/>
            <w:tcBorders>
              <w:bottom w:val="single" w:sz="8" w:color="4C4C4C"/>
            </w:tcBorders>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60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change in accumulated other comprehensive income</w:t>
            </w:r>
          </w:p>
        </w:tc>
        <w:tc>
          <w:tcPr>
            <w:tcW w:w="1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(3,092)</w:t>
            </w:r>
          </w:p>
        </w:tc>
        <w:tc>
          <w:tcPr>
            <w:tcW w:w="1420" w:type="dxa"/>
            <w:vAlign w:val="bottom"/>
            <w:tcBorders>
              <w:bottom w:val="single" w:sz="8" w:color="4C4C4C"/>
            </w:tcBorders>
          </w:tcPr>
          <w:p>
            <w:pPr>
              <w:jc w:val="right"/>
              <w:ind w:right="46"/>
              <w:spacing w:after="0"/>
              <w:rPr>
                <w:sz w:val="20"/>
                <w:szCs w:val="20"/>
                <w:color w:val="auto"/>
              </w:rPr>
            </w:pPr>
            <w:r>
              <w:rPr>
                <w:rFonts w:ascii="Times New Roman" w:cs="Times New Roman" w:eastAsia="Times New Roman" w:hAnsi="Times New Roman"/>
                <w:sz w:val="20"/>
                <w:szCs w:val="20"/>
                <w:color w:val="auto"/>
              </w:rPr>
              <w:t>3,586</w:t>
            </w:r>
          </w:p>
        </w:tc>
        <w:tc>
          <w:tcPr>
            <w:tcW w:w="13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0" w:type="dxa"/>
            <w:vAlign w:val="bottom"/>
          </w:tcPr>
          <w:p>
            <w:pPr>
              <w:spacing w:after="0"/>
              <w:rPr>
                <w:sz w:val="1"/>
                <w:szCs w:val="1"/>
                <w:color w:val="auto"/>
              </w:rPr>
            </w:pPr>
          </w:p>
        </w:tc>
      </w:tr>
      <w:tr>
        <w:trPr>
          <w:trHeight w:val="271"/>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as of December 31,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(14,591)</w:t>
            </w:r>
          </w:p>
        </w:tc>
        <w:tc>
          <w:tcPr>
            <w:tcW w:w="1420" w:type="dxa"/>
            <w:vAlign w:val="bottom"/>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1,321</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(13,270)</w:t>
            </w:r>
          </w:p>
        </w:tc>
        <w:tc>
          <w:tcPr>
            <w:tcW w:w="0" w:type="dxa"/>
            <w:vAlign w:val="bottom"/>
          </w:tcPr>
          <w:p>
            <w:pPr>
              <w:spacing w:after="0"/>
              <w:rPr>
                <w:sz w:val="1"/>
                <w:szCs w:val="1"/>
                <w:color w:val="auto"/>
              </w:rPr>
            </w:pPr>
          </w:p>
        </w:tc>
      </w:tr>
      <w:tr>
        <w:trPr>
          <w:trHeight w:val="214"/>
        </w:trPr>
        <w:tc>
          <w:tcPr>
            <w:tcW w:w="602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Current period change excluding amounts reclassified from accumulated</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shd w:val="clear" w:color="auto" w:fill="F0F0F0"/>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other comprehensive income </w:t>
            </w:r>
            <w:r>
              <w:rPr>
                <w:rFonts w:ascii="Times New Roman" w:cs="Times New Roman" w:eastAsia="Times New Roman" w:hAnsi="Times New Roman"/>
                <w:sz w:val="10"/>
                <w:szCs w:val="10"/>
                <w:i w:val="1"/>
                <w:iCs w:val="1"/>
                <w:color w:val="auto"/>
              </w:rPr>
              <w:t>(1)</w:t>
            </w:r>
          </w:p>
        </w:tc>
        <w:tc>
          <w:tcPr>
            <w:tcW w:w="1740" w:type="dxa"/>
            <w:vAlign w:val="bottom"/>
          </w:tcPr>
          <w:p>
            <w:pPr>
              <w:jc w:val="right"/>
              <w:ind w:right="49"/>
              <w:spacing w:after="0"/>
              <w:rPr>
                <w:sz w:val="20"/>
                <w:szCs w:val="20"/>
                <w:color w:val="auto"/>
              </w:rPr>
            </w:pPr>
            <w:r>
              <w:rPr>
                <w:rFonts w:ascii="Times New Roman" w:cs="Times New Roman" w:eastAsia="Times New Roman" w:hAnsi="Times New Roman"/>
                <w:sz w:val="20"/>
                <w:szCs w:val="20"/>
                <w:color w:val="auto"/>
              </w:rPr>
              <w:t>1,108</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0" w:type="dxa"/>
            <w:vAlign w:val="bottom"/>
          </w:tcPr>
          <w:p>
            <w:pPr>
              <w:spacing w:after="0"/>
              <w:rPr>
                <w:sz w:val="1"/>
                <w:szCs w:val="1"/>
                <w:color w:val="auto"/>
              </w:rPr>
            </w:pPr>
          </w:p>
        </w:tc>
      </w:tr>
      <w:tr>
        <w:trPr>
          <w:trHeight w:val="357"/>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income</w:t>
            </w:r>
          </w:p>
        </w:tc>
        <w:tc>
          <w:tcPr>
            <w:tcW w:w="1740" w:type="dxa"/>
            <w:vAlign w:val="bottom"/>
            <w:vMerge w:val="restart"/>
          </w:tcPr>
          <w:p>
            <w:pPr>
              <w:jc w:val="right"/>
              <w:ind w:right="49"/>
              <w:spacing w:after="0"/>
              <w:rPr>
                <w:sz w:val="20"/>
                <w:szCs w:val="20"/>
                <w:color w:val="auto"/>
              </w:rPr>
            </w:pPr>
            <w:r>
              <w:rPr>
                <w:rFonts w:ascii="Times New Roman" w:cs="Times New Roman" w:eastAsia="Times New Roman" w:hAnsi="Times New Roman"/>
                <w:sz w:val="20"/>
                <w:szCs w:val="20"/>
                <w:color w:val="auto"/>
              </w:rPr>
              <w:t>427</w:t>
            </w:r>
          </w:p>
        </w:tc>
        <w:tc>
          <w:tcPr>
            <w:tcW w:w="1420" w:type="dxa"/>
            <w:vAlign w:val="bottom"/>
            <w:vMerge w:val="restart"/>
          </w:tcPr>
          <w:p>
            <w:pPr>
              <w:jc w:val="right"/>
              <w:ind w:right="46"/>
              <w:spacing w:after="0"/>
              <w:rPr>
                <w:sz w:val="20"/>
                <w:szCs w:val="20"/>
                <w:color w:val="auto"/>
              </w:rPr>
            </w:pPr>
            <w:r>
              <w:rPr>
                <w:rFonts w:ascii="Times New Roman" w:cs="Times New Roman" w:eastAsia="Times New Roman" w:hAnsi="Times New Roman"/>
                <w:sz w:val="20"/>
                <w:szCs w:val="20"/>
                <w:color w:val="auto"/>
              </w:rPr>
              <w:t>51</w:t>
            </w:r>
          </w:p>
        </w:tc>
        <w:tc>
          <w:tcPr>
            <w:tcW w:w="13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0" w:type="dxa"/>
            <w:vAlign w:val="bottom"/>
          </w:tcPr>
          <w:p>
            <w:pPr>
              <w:spacing w:after="0"/>
              <w:rPr>
                <w:sz w:val="1"/>
                <w:szCs w:val="1"/>
                <w:color w:val="auto"/>
              </w:rPr>
            </w:pPr>
          </w:p>
        </w:tc>
      </w:tr>
      <w:tr>
        <w:trPr>
          <w:trHeight w:val="102"/>
        </w:trPr>
        <w:tc>
          <w:tcPr>
            <w:tcW w:w="6020" w:type="dxa"/>
            <w:vAlign w:val="bottom"/>
            <w:tcBorders>
              <w:bottom w:val="single" w:sz="8" w:color="4C4C4C"/>
            </w:tcBorders>
          </w:tcPr>
          <w:p>
            <w:pPr>
              <w:spacing w:after="0"/>
              <w:rPr>
                <w:sz w:val="8"/>
                <w:szCs w:val="8"/>
                <w:color w:val="auto"/>
              </w:rPr>
            </w:pPr>
          </w:p>
        </w:tc>
        <w:tc>
          <w:tcPr>
            <w:tcW w:w="1740" w:type="dxa"/>
            <w:vAlign w:val="bottom"/>
            <w:tcBorders>
              <w:bottom w:val="single" w:sz="8" w:color="4C4C4C"/>
            </w:tcBorders>
            <w:vMerge w:val="continue"/>
          </w:tcPr>
          <w:p>
            <w:pPr>
              <w:spacing w:after="0"/>
              <w:rPr>
                <w:sz w:val="8"/>
                <w:szCs w:val="8"/>
                <w:color w:val="auto"/>
              </w:rPr>
            </w:pPr>
          </w:p>
        </w:tc>
        <w:tc>
          <w:tcPr>
            <w:tcW w:w="1420" w:type="dxa"/>
            <w:vAlign w:val="bottom"/>
            <w:tcBorders>
              <w:bottom w:val="single" w:sz="8" w:color="4C4C4C"/>
            </w:tcBorders>
            <w:vMerge w:val="continue"/>
          </w:tcPr>
          <w:p>
            <w:pPr>
              <w:spacing w:after="0"/>
              <w:rPr>
                <w:sz w:val="8"/>
                <w:szCs w:val="8"/>
                <w:color w:val="auto"/>
              </w:rPr>
            </w:pPr>
          </w:p>
        </w:tc>
        <w:tc>
          <w:tcPr>
            <w:tcW w:w="1360" w:type="dxa"/>
            <w:vAlign w:val="bottom"/>
            <w:tcBorders>
              <w:bottom w:val="single" w:sz="8" w:color="4C4C4C"/>
            </w:tcBorders>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60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Total change in accumulated other comprehensive income</w:t>
            </w:r>
          </w:p>
        </w:tc>
        <w:tc>
          <w:tcPr>
            <w:tcW w:w="1740" w:type="dxa"/>
            <w:vAlign w:val="bottom"/>
            <w:tcBorders>
              <w:bottom w:val="single" w:sz="8" w:color="4C4C4C"/>
            </w:tcBorders>
          </w:tcPr>
          <w:p>
            <w:pPr>
              <w:jc w:val="right"/>
              <w:ind w:right="49"/>
              <w:spacing w:after="0"/>
              <w:rPr>
                <w:sz w:val="20"/>
                <w:szCs w:val="20"/>
                <w:color w:val="auto"/>
              </w:rPr>
            </w:pPr>
            <w:r>
              <w:rPr>
                <w:rFonts w:ascii="Times New Roman" w:cs="Times New Roman" w:eastAsia="Times New Roman" w:hAnsi="Times New Roman"/>
                <w:sz w:val="20"/>
                <w:szCs w:val="20"/>
                <w:color w:val="auto"/>
              </w:rPr>
              <w:t>1,535</w:t>
            </w:r>
          </w:p>
        </w:tc>
        <w:tc>
          <w:tcPr>
            <w:tcW w:w="14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13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1,281</w:t>
            </w:r>
          </w:p>
        </w:tc>
        <w:tc>
          <w:tcPr>
            <w:tcW w:w="0" w:type="dxa"/>
            <w:vAlign w:val="bottom"/>
          </w:tcPr>
          <w:p>
            <w:pPr>
              <w:spacing w:after="0"/>
              <w:rPr>
                <w:sz w:val="1"/>
                <w:szCs w:val="1"/>
                <w:color w:val="auto"/>
              </w:rPr>
            </w:pPr>
          </w:p>
        </w:tc>
      </w:tr>
      <w:tr>
        <w:trPr>
          <w:trHeight w:val="277"/>
        </w:trPr>
        <w:tc>
          <w:tcPr>
            <w:tcW w:w="60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as of December 31, 2023</w:t>
            </w:r>
          </w:p>
        </w:tc>
        <w:tc>
          <w:tcPr>
            <w:tcW w:w="1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(13,056)</w:t>
            </w:r>
          </w:p>
        </w:tc>
        <w:tc>
          <w:tcPr>
            <w:tcW w:w="1420" w:type="dxa"/>
            <w:vAlign w:val="bottom"/>
            <w:tcBorders>
              <w:bottom w:val="single" w:sz="8" w:color="4C4C4C"/>
            </w:tcBorders>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1,067</w:t>
            </w:r>
          </w:p>
        </w:tc>
        <w:tc>
          <w:tcPr>
            <w:tcW w:w="13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(11,989)</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60" w:right="40" w:hanging="178"/>
        <w:spacing w:after="0" w:line="229" w:lineRule="auto"/>
        <w:tabs>
          <w:tab w:leader="none" w:pos="244" w:val="left"/>
        </w:tabs>
        <w:numPr>
          <w:ilvl w:val="0"/>
          <w:numId w:val="4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Cumulative Foreign Exchange Translation Adjustment includes net investment hedge gain/(loss) net of taxes of $(135) million and $230 million in 2023 and 2022, respectively.</w:t>
      </w:r>
    </w:p>
    <w:p>
      <w:pPr>
        <w:sectPr>
          <w:pgSz w:w="11880" w:h="15480" w:orient="portrait"/>
          <w:cols w:equalWidth="0" w:num="1">
            <w:col w:w="10560"/>
          </w:cols>
          <w:pgMar w:left="640" w:top="270"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 w:right="1900"/>
        <w:spacing w:after="0" w:line="235" w:lineRule="auto"/>
        <w:rPr>
          <w:sz w:val="20"/>
          <w:szCs w:val="20"/>
          <w:color w:val="auto"/>
        </w:rPr>
      </w:pPr>
      <w:r>
        <w:rPr>
          <w:rFonts w:ascii="Times New Roman" w:cs="Times New Roman" w:eastAsia="Times New Roman" w:hAnsi="Times New Roman"/>
          <w:sz w:val="19"/>
          <w:szCs w:val="19"/>
          <w:b w:val="1"/>
          <w:bCs w:val="1"/>
          <w:color w:val="FFFFFF"/>
        </w:rPr>
        <w:t>Amounts Reclassified Out of Accumulated Other Comprehensive Income - Before-tax Income/(Expense)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-266065</wp:posOffset>
                </wp:positionV>
                <wp:extent cx="6692900" cy="40068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900" cy="400685"/>
                        </a:xfrm>
                        <a:prstGeom prst="rect">
                          <a:avLst/>
                        </a:prstGeom>
                        <a:solidFill>
                          <a:srgbClr val="4C4C4C"/>
                        </a:solidFill>
                      </wps:spPr>
                      <wps:bodyPr/>
                    </wps:wsp>
                  </a:graphicData>
                </a:graphic>
              </wp:anchor>
            </w:drawing>
          </mc:Choice>
          <mc:Fallback>
            <w:pict>
              <v:rect id="Shape 153" o:spid="_x0000_s1178" style="position:absolute;margin-left:1.5pt;margin-top:-20.9499pt;width:527pt;height:3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ind w:left="80"/>
        <w:spacing w:after="0"/>
        <w:rPr>
          <w:sz w:val="20"/>
          <w:szCs w:val="20"/>
          <w:color w:val="auto"/>
        </w:rPr>
      </w:pPr>
      <w:r>
        <w:rPr>
          <w:rFonts w:ascii="Times New Roman" w:cs="Times New Roman" w:eastAsia="Times New Roman" w:hAnsi="Times New Roman"/>
          <w:sz w:val="16"/>
          <w:szCs w:val="16"/>
          <w:i w:val="1"/>
          <w:iCs w:val="1"/>
          <w:color w:val="FFFFFF"/>
        </w:rPr>
        <w:t>(millions of dollars)</w:t>
      </w:r>
    </w:p>
    <w:p>
      <w:pPr>
        <w:spacing w:after="0" w:line="158" w:lineRule="exact"/>
        <w:rPr>
          <w:sz w:val="20"/>
          <w:szCs w:val="20"/>
          <w:color w:val="auto"/>
        </w:rPr>
      </w:pPr>
    </w:p>
    <w:p>
      <w:pPr>
        <w:ind w:left="80" w:right="1500"/>
        <w:spacing w:after="0" w:line="236" w:lineRule="auto"/>
        <w:rPr>
          <w:sz w:val="20"/>
          <w:szCs w:val="20"/>
          <w:color w:val="auto"/>
        </w:rPr>
      </w:pPr>
      <w:r>
        <w:rPr>
          <w:rFonts w:ascii="Times New Roman" w:cs="Times New Roman" w:eastAsia="Times New Roman" w:hAnsi="Times New Roman"/>
          <w:sz w:val="20"/>
          <w:szCs w:val="20"/>
          <w:color w:val="auto"/>
        </w:rPr>
        <w:t>Foreign exchange translation gain/(loss) included in net income (Statement of Income line: Other income)</w:t>
      </w:r>
    </w:p>
    <w:p>
      <w:pPr>
        <w:spacing w:after="0" w:line="80" w:lineRule="exact"/>
        <w:rPr>
          <w:sz w:val="20"/>
          <w:szCs w:val="20"/>
          <w:color w:val="auto"/>
        </w:rPr>
      </w:pPr>
    </w:p>
    <w:p>
      <w:pPr>
        <w:ind w:left="80" w:right="580"/>
        <w:spacing w:after="0" w:line="225" w:lineRule="auto"/>
        <w:rPr>
          <w:sz w:val="20"/>
          <w:szCs w:val="20"/>
          <w:color w:val="auto"/>
        </w:rPr>
      </w:pPr>
      <w:r>
        <w:rPr>
          <w:rFonts w:ascii="Times New Roman" w:cs="Times New Roman" w:eastAsia="Times New Roman" w:hAnsi="Times New Roman"/>
          <w:sz w:val="20"/>
          <w:szCs w:val="20"/>
          <w:color w:val="auto"/>
        </w:rPr>
        <w:t>Amortization and settlement of postretirement benefits reserves adjustment included in net periodic benefit costs (Statement of Income line: Non-service pension and postretirement benefit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b w:val="1"/>
          <w:bCs w:val="1"/>
          <w:color w:val="FFFFFF"/>
        </w:rPr>
        <w:t>2023</w:t>
      </w:r>
      <w:r>
        <w:rPr>
          <w:sz w:val="20"/>
          <w:szCs w:val="20"/>
          <w:color w:val="auto"/>
        </w:rPr>
        <w:tab/>
      </w:r>
      <w:r>
        <w:rPr>
          <w:rFonts w:ascii="Times New Roman" w:cs="Times New Roman" w:eastAsia="Times New Roman" w:hAnsi="Times New Roman"/>
          <w:sz w:val="16"/>
          <w:szCs w:val="16"/>
          <w:b w:val="1"/>
          <w:bCs w:val="1"/>
          <w:color w:val="FFFFFF"/>
        </w:rPr>
        <w:t>2022</w:t>
      </w:r>
      <w:r>
        <w:rPr>
          <w:sz w:val="20"/>
          <w:szCs w:val="20"/>
          <w:color w:val="auto"/>
        </w:rPr>
        <w:tab/>
      </w:r>
      <w:r>
        <w:rPr>
          <w:rFonts w:ascii="Times New Roman" w:cs="Times New Roman" w:eastAsia="Times New Roman" w:hAnsi="Times New Roman"/>
          <w:sz w:val="16"/>
          <w:szCs w:val="16"/>
          <w:b w:val="1"/>
          <w:bCs w:val="1"/>
          <w:color w:val="FFFFFF"/>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-589280</wp:posOffset>
                </wp:positionH>
                <wp:positionV relativeFrom="paragraph">
                  <wp:posOffset>155575</wp:posOffset>
                </wp:positionV>
                <wp:extent cx="867410" cy="83058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7410" cy="830580"/>
                        </a:xfrm>
                        <a:prstGeom prst="rect">
                          <a:avLst/>
                        </a:prstGeom>
                        <a:solidFill>
                          <a:srgbClr val="F0F0F0"/>
                        </a:solidFill>
                      </wps:spPr>
                      <wps:bodyPr/>
                    </wps:wsp>
                  </a:graphicData>
                </a:graphic>
              </wp:anchor>
            </w:drawing>
          </mc:Choice>
          <mc:Fallback>
            <w:pict>
              <v:rect id="Shape 154" o:spid="_x0000_s1179" style="position:absolute;margin-left:-46.3999pt;margin-top:12.25pt;width:68.3pt;height:6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0F0F0" stroked="f"/>
            </w:pict>
          </mc:Fallback>
        </mc:AlternateContent>
      </w:r>
    </w:p>
    <w:p>
      <w:pPr>
        <w:spacing w:after="0" w:line="200" w:lineRule="exact"/>
        <w:rPr>
          <w:sz w:val="20"/>
          <w:szCs w:val="20"/>
          <w:color w:val="auto"/>
        </w:rPr>
      </w:pPr>
    </w:p>
    <w:p>
      <w:pPr>
        <w:spacing w:after="0" w:line="389" w:lineRule="exact"/>
        <w:rPr>
          <w:sz w:val="20"/>
          <w:szCs w:val="20"/>
          <w:color w:val="auto"/>
        </w:rPr>
      </w:pPr>
    </w:p>
    <w:p>
      <w:pPr>
        <w:spacing w:after="0"/>
        <w:tabs>
          <w:tab w:leader="none" w:pos="1560" w:val="left"/>
          <w:tab w:leader="none" w:pos="310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pacing w:after="0" w:line="261" w:lineRule="exact"/>
        <w:rPr>
          <w:sz w:val="20"/>
          <w:szCs w:val="20"/>
          <w:color w:val="auto"/>
        </w:rPr>
      </w:pPr>
    </w:p>
    <w:p>
      <w:pPr>
        <w:ind w:left="100"/>
        <w:spacing w:after="0"/>
        <w:tabs>
          <w:tab w:leader="none" w:pos="1400" w:val="left"/>
          <w:tab w:leader="none" w:pos="26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19"/>
          <w:szCs w:val="19"/>
          <w:color w:val="auto"/>
        </w:rPr>
        <w:t>(1,229)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14605</wp:posOffset>
            </wp:positionV>
            <wp:extent cx="905510"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4">
                      <a:extLst>
                        <a:ext uri="{28A0092B-C50C-407E-A947-70E740481C1C}"/>
                      </a:extLst>
                    </a:blip>
                    <a:srcRect/>
                    <a:stretch>
                      <a:fillRect/>
                    </a:stretch>
                  </pic:blipFill>
                  <pic:spPr bwMode="auto">
                    <a:xfrm>
                      <a:off x="0" y="0"/>
                      <a:ext cx="905510" cy="18415"/>
                    </a:xfrm>
                    <a:prstGeom prst="rect">
                      <a:avLst/>
                    </a:prstGeom>
                    <a:noFill/>
                  </pic:spPr>
                </pic:pic>
              </a:graphicData>
            </a:graphic>
          </wp:anchor>
        </w:drawing>
      </w:r>
    </w:p>
    <w:p>
      <w:pPr>
        <w:spacing w:after="0" w:line="224" w:lineRule="exact"/>
        <w:rPr>
          <w:sz w:val="20"/>
          <w:szCs w:val="20"/>
          <w:color w:val="auto"/>
        </w:rPr>
      </w:pPr>
    </w:p>
    <w:p>
      <w:pPr>
        <w:sectPr>
          <w:pgSz w:w="11880" w:h="15480" w:orient="portrait"/>
          <w:cols w:equalWidth="0" w:num="2">
            <w:col w:w="6560" w:space="720"/>
            <w:col w:w="3280"/>
          </w:cols>
          <w:pgMar w:left="640" w:top="270" w:right="680" w:bottom="0" w:gutter="0" w:footer="0" w:header="0"/>
          <w:type w:val="continuous"/>
        </w:sect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4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Income Tax (Expense)/Credit For</w:t>
            </w:r>
          </w:p>
        </w:tc>
        <w:tc>
          <w:tcPr>
            <w:tcW w:w="1360" w:type="dxa"/>
            <w:vAlign w:val="bottom"/>
            <w:shd w:val="clear" w:color="auto" w:fill="4C4C4C"/>
          </w:tcPr>
          <w:p>
            <w:pPr>
              <w:spacing w:after="0"/>
              <w:rPr>
                <w:sz w:val="19"/>
                <w:szCs w:val="19"/>
                <w:color w:val="auto"/>
              </w:rPr>
            </w:pPr>
          </w:p>
        </w:tc>
        <w:tc>
          <w:tcPr>
            <w:tcW w:w="1840" w:type="dxa"/>
            <w:vAlign w:val="bottom"/>
            <w:shd w:val="clear" w:color="auto" w:fill="4C4C4C"/>
          </w:tcPr>
          <w:p>
            <w:pPr>
              <w:spacing w:after="0"/>
              <w:rPr>
                <w:sz w:val="19"/>
                <w:szCs w:val="19"/>
                <w:color w:val="auto"/>
              </w:rPr>
            </w:pPr>
          </w:p>
        </w:tc>
        <w:tc>
          <w:tcPr>
            <w:tcW w:w="1000" w:type="dxa"/>
            <w:vAlign w:val="bottom"/>
            <w:shd w:val="clear" w:color="auto" w:fill="4C4C4C"/>
          </w:tcPr>
          <w:p>
            <w:pPr>
              <w:spacing w:after="0"/>
              <w:rPr>
                <w:sz w:val="19"/>
                <w:szCs w:val="19"/>
                <w:color w:val="auto"/>
              </w:rPr>
            </w:pPr>
          </w:p>
        </w:tc>
      </w:tr>
      <w:tr>
        <w:trPr>
          <w:trHeight w:val="208"/>
        </w:trPr>
        <w:tc>
          <w:tcPr>
            <w:tcW w:w="6340" w:type="dxa"/>
            <w:vAlign w:val="bottom"/>
            <w:shd w:val="clear" w:color="auto" w:fill="4C4C4C"/>
          </w:tcPr>
          <w:p>
            <w:pPr>
              <w:ind w:left="60"/>
              <w:spacing w:after="0" w:line="208" w:lineRule="exact"/>
              <w:rPr>
                <w:sz w:val="20"/>
                <w:szCs w:val="20"/>
                <w:color w:val="auto"/>
              </w:rPr>
            </w:pPr>
            <w:r>
              <w:rPr>
                <w:rFonts w:ascii="Times New Roman" w:cs="Times New Roman" w:eastAsia="Times New Roman" w:hAnsi="Times New Roman"/>
                <w:sz w:val="20"/>
                <w:szCs w:val="20"/>
                <w:b w:val="1"/>
                <w:bCs w:val="1"/>
                <w:color w:val="FFFFFF"/>
              </w:rPr>
              <w:t>Components of Other Comprehensive Income</w:t>
            </w:r>
          </w:p>
        </w:tc>
        <w:tc>
          <w:tcPr>
            <w:tcW w:w="136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840" w:type="dxa"/>
            <w:vAlign w:val="bottom"/>
            <w:shd w:val="clear" w:color="auto" w:fill="4C4C4C"/>
          </w:tcPr>
          <w:p>
            <w:pPr>
              <w:jc w:val="right"/>
              <w:ind w:right="36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100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211"/>
        </w:trPr>
        <w:tc>
          <w:tcPr>
            <w:tcW w:w="634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360" w:type="dxa"/>
            <w:vAlign w:val="bottom"/>
            <w:tcBorders>
              <w:bottom w:val="single" w:sz="8" w:color="4C4C4C"/>
            </w:tcBorders>
            <w:shd w:val="clear" w:color="auto" w:fill="4C4C4C"/>
          </w:tcPr>
          <w:p>
            <w:pPr>
              <w:spacing w:after="0"/>
              <w:rPr>
                <w:sz w:val="18"/>
                <w:szCs w:val="18"/>
                <w:color w:val="auto"/>
              </w:rPr>
            </w:pPr>
          </w:p>
        </w:tc>
        <w:tc>
          <w:tcPr>
            <w:tcW w:w="1840" w:type="dxa"/>
            <w:vAlign w:val="bottom"/>
            <w:tcBorders>
              <w:bottom w:val="single" w:sz="8" w:color="4C4C4C"/>
            </w:tcBorders>
            <w:shd w:val="clear" w:color="auto" w:fill="4C4C4C"/>
          </w:tcPr>
          <w:p>
            <w:pPr>
              <w:spacing w:after="0"/>
              <w:rPr>
                <w:sz w:val="18"/>
                <w:szCs w:val="18"/>
                <w:color w:val="auto"/>
              </w:rPr>
            </w:pPr>
          </w:p>
        </w:tc>
        <w:tc>
          <w:tcPr>
            <w:tcW w:w="1000" w:type="dxa"/>
            <w:vAlign w:val="bottom"/>
            <w:tcBorders>
              <w:bottom w:val="single" w:sz="8" w:color="4C4C4C"/>
            </w:tcBorders>
            <w:shd w:val="clear" w:color="auto" w:fill="4C4C4C"/>
          </w:tcPr>
          <w:p>
            <w:pPr>
              <w:spacing w:after="0"/>
              <w:rPr>
                <w:sz w:val="18"/>
                <w:szCs w:val="18"/>
                <w:color w:val="auto"/>
              </w:rPr>
            </w:pPr>
          </w:p>
        </w:tc>
      </w:tr>
      <w:tr>
        <w:trPr>
          <w:trHeight w:val="385"/>
        </w:trPr>
        <w:tc>
          <w:tcPr>
            <w:tcW w:w="6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 exchange translation adjustment</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1840" w:type="dxa"/>
            <w:vAlign w:val="bottom"/>
          </w:tcPr>
          <w:p>
            <w:pPr>
              <w:jc w:val="right"/>
              <w:ind w:right="406"/>
              <w:spacing w:after="0"/>
              <w:rPr>
                <w:sz w:val="20"/>
                <w:szCs w:val="20"/>
                <w:color w:val="auto"/>
              </w:rPr>
            </w:pPr>
            <w:r>
              <w:rPr>
                <w:rFonts w:ascii="Times New Roman" w:cs="Times New Roman" w:eastAsia="Times New Roman" w:hAnsi="Times New Roman"/>
                <w:sz w:val="20"/>
                <w:szCs w:val="20"/>
                <w:color w:val="auto"/>
              </w:rPr>
              <w:t>54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94"/>
        </w:trPr>
        <w:tc>
          <w:tcPr>
            <w:tcW w:w="6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Postretirement benefits reserves adjustment (excluding amortization)</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840" w:type="dxa"/>
            <w:vAlign w:val="bottom"/>
          </w:tcPr>
          <w:p>
            <w:pPr>
              <w:jc w:val="right"/>
              <w:ind w:right="346"/>
              <w:spacing w:after="0"/>
              <w:rPr>
                <w:sz w:val="20"/>
                <w:szCs w:val="20"/>
                <w:color w:val="auto"/>
              </w:rPr>
            </w:pPr>
            <w:r>
              <w:rPr>
                <w:rFonts w:ascii="Times New Roman" w:cs="Times New Roman" w:eastAsia="Times New Roman" w:hAnsi="Times New Roman"/>
                <w:sz w:val="20"/>
                <w:szCs w:val="20"/>
                <w:color w:val="auto"/>
              </w:rPr>
              <w:t>(1,120)</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w:t>
            </w:r>
          </w:p>
        </w:tc>
      </w:tr>
      <w:tr>
        <w:trPr>
          <w:trHeight w:val="214"/>
        </w:trPr>
        <w:tc>
          <w:tcPr>
            <w:tcW w:w="634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Amortization and settlement of postretirement benefits reserves adjustment</w:t>
            </w:r>
          </w:p>
        </w:tc>
        <w:tc>
          <w:tcPr>
            <w:tcW w:w="1360" w:type="dxa"/>
            <w:vAlign w:val="bottom"/>
            <w:shd w:val="clear" w:color="auto" w:fill="F0F0F0"/>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4"/>
        </w:trPr>
        <w:tc>
          <w:tcPr>
            <w:tcW w:w="63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included in net periodic benefit costs</w:t>
            </w:r>
          </w:p>
        </w:tc>
        <w:tc>
          <w:tcPr>
            <w:tcW w:w="13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840" w:type="dxa"/>
            <w:vAlign w:val="bottom"/>
            <w:tcBorders>
              <w:bottom w:val="single" w:sz="8" w:color="4C4C4C"/>
            </w:tcBorders>
          </w:tcPr>
          <w:p>
            <w:pPr>
              <w:jc w:val="right"/>
              <w:ind w:right="346"/>
              <w:spacing w:after="0"/>
              <w:rPr>
                <w:sz w:val="20"/>
                <w:szCs w:val="20"/>
                <w:color w:val="auto"/>
              </w:rPr>
            </w:pPr>
            <w:r>
              <w:rPr>
                <w:rFonts w:ascii="Times New Roman" w:cs="Times New Roman" w:eastAsia="Times New Roman" w:hAnsi="Times New Roman"/>
                <w:sz w:val="20"/>
                <w:szCs w:val="20"/>
                <w:color w:val="auto"/>
              </w:rPr>
              <w:t>(116)</w:t>
            </w:r>
          </w:p>
        </w:tc>
        <w:tc>
          <w:tcPr>
            <w:tcW w:w="10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(304)</w:t>
            </w:r>
          </w:p>
        </w:tc>
      </w:tr>
      <w:tr>
        <w:trPr>
          <w:trHeight w:val="277"/>
        </w:trPr>
        <w:tc>
          <w:tcPr>
            <w:tcW w:w="63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36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521</w:t>
            </w:r>
          </w:p>
        </w:tc>
        <w:tc>
          <w:tcPr>
            <w:tcW w:w="1840" w:type="dxa"/>
            <w:vAlign w:val="bottom"/>
            <w:tcBorders>
              <w:bottom w:val="single" w:sz="8" w:color="4C4C4C"/>
            </w:tcBorders>
          </w:tcPr>
          <w:p>
            <w:pPr>
              <w:jc w:val="right"/>
              <w:ind w:right="346"/>
              <w:spacing w:after="0"/>
              <w:rPr>
                <w:sz w:val="20"/>
                <w:szCs w:val="20"/>
                <w:color w:val="auto"/>
              </w:rPr>
            </w:pPr>
            <w:r>
              <w:rPr>
                <w:rFonts w:ascii="Times New Roman" w:cs="Times New Roman" w:eastAsia="Times New Roman" w:hAnsi="Times New Roman"/>
                <w:sz w:val="20"/>
                <w:szCs w:val="20"/>
                <w:b w:val="1"/>
                <w:bCs w:val="1"/>
                <w:color w:val="auto"/>
              </w:rPr>
              <w:t>(1,182)</w:t>
            </w:r>
          </w:p>
        </w:tc>
        <w:tc>
          <w:tcPr>
            <w:tcW w:w="10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(1,401)</w:t>
            </w:r>
          </w:p>
        </w:tc>
      </w:tr>
    </w:tbl>
    <w:p>
      <w:pPr>
        <w:spacing w:after="0" w:line="200" w:lineRule="exact"/>
        <w:rPr>
          <w:sz w:val="20"/>
          <w:szCs w:val="20"/>
          <w:color w:val="auto"/>
        </w:rPr>
      </w:pPr>
    </w:p>
    <w:p>
      <w:pPr>
        <w:sectPr>
          <w:pgSz w:w="11880" w:h="15480" w:orient="portrait"/>
          <w:cols w:equalWidth="0" w:num="1">
            <w:col w:w="10560"/>
          </w:cols>
          <w:pgMar w:left="640" w:top="270" w:right="6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560"/>
          </w:cols>
          <w:pgMar w:left="640" w:top="270" w:right="680" w:bottom="0" w:gutter="0" w:footer="0" w:header="0"/>
          <w:type w:val="continuous"/>
        </w:sectPr>
      </w:pPr>
    </w:p>
    <w:bookmarkStart w:id="99" w:name="page100"/>
    <w:bookmarkEnd w:id="99"/>
    <w:p>
      <w:pPr>
        <w:ind w:right="4380"/>
        <w:spacing w:after="0" w:line="365"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5. Cash Flow Information</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Consolidated Statement of Cash Flows provides information about changes in cash and cash equivalents. Highly liquid investments with maturities of three months or less when acquired are classified as cash equivalents.</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2023, the Corporation completed the acquisition of Denbury Inc. (Denbury) through the issuance of 46 million shares of ExxonMobil Corporation common stock having a fair value of $4.8 billion on the acquisition date. Additional information is provided in Note 21.</w:t>
      </w:r>
    </w:p>
    <w:p>
      <w:pPr>
        <w:spacing w:after="0" w:line="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 2023, the Corporation completed the sale of Esso Thailand. The sale included cash proceeds as well as cash from debt that was issued to facilitate the sale, which was assumed by the buyer upon closing.</w:t>
      </w:r>
    </w:p>
    <w:p>
      <w:pPr>
        <w:spacing w:after="0" w:line="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For 2023, The “Net (gain)/loss on asset sales” on the Consolidated Statement of Cash Flows includes before-tax amounts mainly from the sale of upstream assets in the United States. For 2022, the number includes before-tax amounts from the sale of certain unproved assets in Romania and unconventional assets in Canada and the United States, as well as other smaller divestments. For 2021, the number includes before-tax amounts from the sale of non-operated upstream assets in the United Kingdom Central and Northern North Sea and the sale of ExxonMobil's global </w:t>
      </w:r>
      <w:r>
        <w:rPr>
          <w:rFonts w:ascii="Times New Roman" w:cs="Times New Roman" w:eastAsia="Times New Roman" w:hAnsi="Times New Roman"/>
          <w:sz w:val="20"/>
          <w:szCs w:val="20"/>
          <w:i w:val="1"/>
          <w:iCs w:val="1"/>
          <w:color w:val="auto"/>
        </w:rPr>
        <w:t>Santoprene</w:t>
      </w:r>
      <w:r>
        <w:rPr>
          <w:rFonts w:ascii="Times New Roman" w:cs="Times New Roman" w:eastAsia="Times New Roman" w:hAnsi="Times New Roman"/>
          <w:sz w:val="20"/>
          <w:szCs w:val="20"/>
          <w:color w:val="auto"/>
        </w:rPr>
        <w:t xml:space="preserve"> business. These net (gain)/loss amounts are reported in "Other income" on the Consolidated Statement of Income.</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50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80" w:type="dxa"/>
            <w:vAlign w:val="bottom"/>
            <w:tcBorders>
              <w:bottom w:val="single" w:sz="8" w:color="4C4C4C"/>
            </w:tcBorders>
            <w:shd w:val="clear" w:color="auto" w:fill="4C4C4C"/>
          </w:tcPr>
          <w:p>
            <w:pPr>
              <w:jc w:val="right"/>
              <w:ind w:right="20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0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85"/>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taxes paid</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15,473</w:t>
            </w:r>
          </w:p>
        </w:tc>
        <w:tc>
          <w:tcPr>
            <w:tcW w:w="1280" w:type="dxa"/>
            <w:vAlign w:val="bottom"/>
          </w:tcPr>
          <w:p>
            <w:pPr>
              <w:jc w:val="right"/>
              <w:ind w:right="226"/>
              <w:spacing w:after="0"/>
              <w:rPr>
                <w:sz w:val="20"/>
                <w:szCs w:val="20"/>
                <w:color w:val="auto"/>
              </w:rPr>
            </w:pPr>
            <w:r>
              <w:rPr>
                <w:rFonts w:ascii="Times New Roman" w:cs="Times New Roman" w:eastAsia="Times New Roman" w:hAnsi="Times New Roman"/>
                <w:sz w:val="20"/>
                <w:szCs w:val="20"/>
                <w:color w:val="auto"/>
              </w:rPr>
              <w:t>15,364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5,341</w:t>
            </w:r>
          </w:p>
        </w:tc>
      </w:tr>
      <w:tr>
        <w:trPr>
          <w:trHeight w:val="37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Cash interest paid</w:t>
            </w:r>
          </w:p>
        </w:tc>
        <w:tc>
          <w:tcPr>
            <w:tcW w:w="98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3"/>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Included in cash flows from operating activities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1280" w:type="dxa"/>
            <w:vAlign w:val="bottom"/>
          </w:tcPr>
          <w:p>
            <w:pPr>
              <w:jc w:val="right"/>
              <w:ind w:right="226"/>
              <w:spacing w:after="0"/>
              <w:rPr>
                <w:sz w:val="20"/>
                <w:szCs w:val="20"/>
                <w:color w:val="auto"/>
              </w:rPr>
            </w:pPr>
            <w:r>
              <w:rPr>
                <w:rFonts w:ascii="Times New Roman" w:cs="Times New Roman" w:eastAsia="Times New Roman" w:hAnsi="Times New Roman"/>
                <w:sz w:val="20"/>
                <w:szCs w:val="20"/>
                <w:color w:val="auto"/>
              </w:rPr>
              <w:t>666</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w:t>
            </w:r>
          </w:p>
        </w:tc>
      </w:tr>
      <w:tr>
        <w:trPr>
          <w:trHeight w:val="297"/>
        </w:trPr>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Capitalized, included in cash flows from investing activities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1280" w:type="dxa"/>
            <w:vAlign w:val="bottom"/>
            <w:tcBorders>
              <w:bottom w:val="single" w:sz="8" w:color="4C4C4C"/>
            </w:tcBorders>
          </w:tcPr>
          <w:p>
            <w:pPr>
              <w:jc w:val="right"/>
              <w:ind w:right="226"/>
              <w:spacing w:after="0"/>
              <w:rPr>
                <w:sz w:val="20"/>
                <w:szCs w:val="20"/>
                <w:color w:val="auto"/>
              </w:rPr>
            </w:pPr>
            <w:r>
              <w:rPr>
                <w:rFonts w:ascii="Times New Roman" w:cs="Times New Roman" w:eastAsia="Times New Roman" w:hAnsi="Times New Roman"/>
                <w:sz w:val="20"/>
                <w:szCs w:val="20"/>
                <w:color w:val="auto"/>
              </w:rPr>
              <w:t>838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655</w:t>
            </w:r>
          </w:p>
        </w:tc>
      </w:tr>
      <w:tr>
        <w:trPr>
          <w:trHeight w:val="277"/>
        </w:trPr>
        <w:tc>
          <w:tcPr>
            <w:tcW w:w="75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cash interest paid</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1,736</w:t>
            </w:r>
          </w:p>
        </w:tc>
        <w:tc>
          <w:tcPr>
            <w:tcW w:w="1280" w:type="dxa"/>
            <w:vAlign w:val="bottom"/>
            <w:tcBorders>
              <w:bottom w:val="single" w:sz="8" w:color="4C4C4C"/>
            </w:tcBorders>
          </w:tcPr>
          <w:p>
            <w:pPr>
              <w:jc w:val="right"/>
              <w:ind w:right="226"/>
              <w:spacing w:after="0"/>
              <w:rPr>
                <w:sz w:val="20"/>
                <w:szCs w:val="20"/>
                <w:color w:val="auto"/>
              </w:rPr>
            </w:pPr>
            <w:r>
              <w:rPr>
                <w:rFonts w:ascii="Times New Roman" w:cs="Times New Roman" w:eastAsia="Times New Roman" w:hAnsi="Times New Roman"/>
                <w:sz w:val="20"/>
                <w:szCs w:val="20"/>
                <w:b w:val="1"/>
                <w:bCs w:val="1"/>
                <w:color w:val="auto"/>
              </w:rPr>
              <w:t>1,504</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6736715"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5">
                      <a:extLst>
                        <a:ext uri="{28A0092B-C50C-407E-A947-70E740481C1C}"/>
                      </a:extLst>
                    </a:blip>
                    <a:srcRect/>
                    <a:stretch>
                      <a:fillRect/>
                    </a:stretch>
                  </pic:blipFill>
                  <pic:spPr bwMode="auto">
                    <a:xfrm>
                      <a:off x="0" y="0"/>
                      <a:ext cx="6736715" cy="2476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6. Additional Working Capital Information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94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280" w:type="dxa"/>
            <w:vAlign w:val="bottom"/>
            <w:tcBorders>
              <w:bottom w:val="single" w:sz="8" w:color="4C4C4C"/>
            </w:tcBorders>
            <w:shd w:val="clear" w:color="auto" w:fill="4C4C4C"/>
          </w:tcPr>
          <w:p>
            <w:pPr>
              <w:jc w:val="right"/>
              <w:ind w:right="124"/>
              <w:spacing w:after="0"/>
              <w:rPr>
                <w:sz w:val="20"/>
                <w:szCs w:val="20"/>
                <w:color w:val="auto"/>
              </w:rPr>
            </w:pPr>
            <w:r>
              <w:rPr>
                <w:rFonts w:ascii="Times New Roman" w:cs="Times New Roman" w:eastAsia="Times New Roman" w:hAnsi="Times New Roman"/>
                <w:sz w:val="16"/>
                <w:szCs w:val="16"/>
                <w:b w:val="1"/>
                <w:bCs w:val="1"/>
                <w:color w:val="FFFFFF"/>
              </w:rPr>
              <w:t>Dec 31, 2023</w:t>
            </w:r>
          </w:p>
        </w:tc>
        <w:tc>
          <w:tcPr>
            <w:tcW w:w="1340" w:type="dxa"/>
            <w:vAlign w:val="bottom"/>
            <w:tcBorders>
              <w:bottom w:val="single" w:sz="8" w:color="4C4C4C"/>
            </w:tcBorders>
            <w:shd w:val="clear" w:color="auto" w:fill="4C4C4C"/>
          </w:tcPr>
          <w:p>
            <w:pPr>
              <w:jc w:val="right"/>
              <w:ind w:right="124"/>
              <w:spacing w:after="0"/>
              <w:rPr>
                <w:sz w:val="20"/>
                <w:szCs w:val="20"/>
                <w:color w:val="auto"/>
              </w:rPr>
            </w:pPr>
            <w:r>
              <w:rPr>
                <w:rFonts w:ascii="Times New Roman" w:cs="Times New Roman" w:eastAsia="Times New Roman" w:hAnsi="Times New Roman"/>
                <w:sz w:val="16"/>
                <w:szCs w:val="16"/>
                <w:b w:val="1"/>
                <w:bCs w:val="1"/>
                <w:color w:val="FFFFFF"/>
              </w:rPr>
              <w:t>Dec 31, 2022</w:t>
            </w:r>
          </w:p>
        </w:tc>
      </w:tr>
      <w:tr>
        <w:trPr>
          <w:trHeight w:val="366"/>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Notes and accounts receivable</w:t>
            </w:r>
          </w:p>
        </w:tc>
        <w:tc>
          <w:tcPr>
            <w:tcW w:w="128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r>
      <w:tr>
        <w:trPr>
          <w:trHeight w:val="313"/>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 less reserves of $170 million and $168 million</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30,296</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32,844</w:t>
            </w:r>
          </w:p>
        </w:tc>
      </w:tr>
      <w:tr>
        <w:trPr>
          <w:trHeight w:val="29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Other, less reserves of $101 million and $402 million</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7,719</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8,905</w:t>
            </w:r>
          </w:p>
        </w:tc>
      </w:tr>
      <w:tr>
        <w:trPr>
          <w:trHeight w:val="274"/>
        </w:trPr>
        <w:tc>
          <w:tcPr>
            <w:tcW w:w="79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38,015</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41,749</w:t>
            </w:r>
          </w:p>
        </w:tc>
      </w:tr>
      <w:tr>
        <w:trPr>
          <w:trHeight w:val="37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Notes and loans payable</w:t>
            </w:r>
          </w:p>
        </w:tc>
        <w:tc>
          <w:tcPr>
            <w:tcW w:w="128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Bank loans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w:t>
            </w: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 paper</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9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Long-term debt due within one year</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4,009</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274"/>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4,090</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634</w:t>
            </w:r>
          </w:p>
        </w:tc>
      </w:tr>
      <w:tr>
        <w:trPr>
          <w:trHeight w:val="37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Accounts payable and accrued liabilities</w:t>
            </w:r>
          </w:p>
        </w:tc>
        <w:tc>
          <w:tcPr>
            <w:tcW w:w="128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 payables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31,249</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33,169</w:t>
            </w: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Payables to equity companies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11,885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14,585</w:t>
            </w: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taxes other than income taxes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3,817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3,969</w:t>
            </w:r>
          </w:p>
        </w:tc>
      </w:tr>
      <w:tr>
        <w:trPr>
          <w:trHeight w:val="29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11,086</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11,474</w:t>
            </w:r>
          </w:p>
        </w:tc>
      </w:tr>
      <w:tr>
        <w:trPr>
          <w:trHeight w:val="27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58,037</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63,197</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 notes and accounts receivables include both receivables within the scope of ASC 606 and outside the scope of ASC 606.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Receivables outside the scope of ASC 606 primarily relate to physically settled commodity contracts accounted for as derivatives.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quality and type of customer are generally similar between receivables within the scope of ASC 606 and those outside it.</w:t>
      </w:r>
    </w:p>
    <w:p>
      <w:pPr>
        <w:spacing w:after="0" w:line="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Corporation has short-term committed lines of credit of $0.3 billion which were unused as of December 31, 2023. These lines are available for general corporate purposes.</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600"/>
          </w:cols>
          <w:pgMar w:left="640" w:top="270" w:right="640" w:bottom="0" w:gutter="0" w:footer="0" w:header="0"/>
          <w:type w:val="continuous"/>
        </w:sectPr>
      </w:pPr>
    </w:p>
    <w:bookmarkStart w:id="100" w:name="page101"/>
    <w:bookmarkEnd w:id="100"/>
    <w:p>
      <w:pPr>
        <w:ind w:right="4380"/>
        <w:spacing w:after="0" w:line="365"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7. Equity Company Information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summarized financial information below includes amounts related to certain less-than-majority-owned companies and majority-owned subsidiaries where minority shareholders possess the right to participate in significant management decisions (see Note 1). These companies are primarily engaged in oil and gas exploration and production, natural gas marketing, transportation of crude oil, and petrochemical manufacturing in North America; natural gas production and distribution in Europe; LNG operations in Africa; and exploration, production, LNG operations, and the manufacture and sale of petroleum and petrochemical products in Asia and the Middle East. Also included are several refining and marketing ventures.</w:t>
      </w:r>
    </w:p>
    <w:p>
      <w:pPr>
        <w:spacing w:after="0" w:line="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share of total equity company revenues from sales to ExxonMobil consolidated companies was 9 percent, 11 percent, and 10 percent in the years 2023, 2022, and 2021, respectively.</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Corporation’s ownership in these ventures is in the form of shares in corporate joint ventures as well as interests in partnerships. Differences between the company’s carrying value of an equity investment and its underlying equity in the net assets of the affiliate are assigned, to the extent practicable, to specific assets and liabilities based on the company’s analysis of the factors giving rise to the difference. The amortization of this difference, as appropriate, is included in “Income from equity affiliates” on the Consolidated Statement of Income.</w:t>
      </w:r>
    </w:p>
    <w:p>
      <w:pPr>
        <w:spacing w:after="0" w:line="6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Impairments related to Upstream equity investments of $0.6 billion, $0.6 billion, and $0.2 billion in 2023, 2022, and 2021, respectively, are included in “Income from equity affiliates” or “Other income” on the Consolidated Statement of Income.</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372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Equity Company</w:t>
            </w:r>
          </w:p>
        </w:tc>
        <w:tc>
          <w:tcPr>
            <w:tcW w:w="60" w:type="dxa"/>
            <w:vAlign w:val="bottom"/>
          </w:tcPr>
          <w:p>
            <w:pPr>
              <w:spacing w:after="0"/>
              <w:rPr>
                <w:sz w:val="22"/>
                <w:szCs w:val="22"/>
                <w:color w:val="auto"/>
              </w:rPr>
            </w:pPr>
          </w:p>
        </w:tc>
        <w:tc>
          <w:tcPr>
            <w:tcW w:w="2220" w:type="dxa"/>
            <w:vAlign w:val="bottom"/>
            <w:gridSpan w:val="2"/>
            <w:shd w:val="clear" w:color="auto" w:fill="4C4C4C"/>
          </w:tcPr>
          <w:p>
            <w:pPr>
              <w:jc w:val="right"/>
              <w:ind w:right="865"/>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0" w:type="dxa"/>
            <w:vAlign w:val="bottom"/>
          </w:tcPr>
          <w:p>
            <w:pPr>
              <w:spacing w:after="0"/>
              <w:rPr>
                <w:sz w:val="22"/>
                <w:szCs w:val="22"/>
                <w:color w:val="auto"/>
              </w:rPr>
            </w:pPr>
          </w:p>
        </w:tc>
        <w:tc>
          <w:tcPr>
            <w:tcW w:w="2220" w:type="dxa"/>
            <w:vAlign w:val="bottom"/>
            <w:gridSpan w:val="2"/>
            <w:shd w:val="clear" w:color="auto" w:fill="4C4C4C"/>
          </w:tcPr>
          <w:p>
            <w:pPr>
              <w:jc w:val="right"/>
              <w:ind w:right="86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tcPr>
          <w:p>
            <w:pPr>
              <w:spacing w:after="0"/>
              <w:rPr>
                <w:sz w:val="22"/>
                <w:szCs w:val="22"/>
                <w:color w:val="auto"/>
              </w:rPr>
            </w:pPr>
          </w:p>
        </w:tc>
        <w:tc>
          <w:tcPr>
            <w:tcW w:w="2200" w:type="dxa"/>
            <w:vAlign w:val="bottom"/>
            <w:gridSpan w:val="2"/>
            <w:shd w:val="clear" w:color="auto" w:fill="4C4C4C"/>
          </w:tcPr>
          <w:p>
            <w:pPr>
              <w:jc w:val="right"/>
              <w:ind w:right="845"/>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239"/>
        </w:trPr>
        <w:tc>
          <w:tcPr>
            <w:tcW w:w="372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Financial Summary</w:t>
            </w:r>
          </w:p>
        </w:tc>
        <w:tc>
          <w:tcPr>
            <w:tcW w:w="60" w:type="dxa"/>
            <w:vAlign w:val="bottom"/>
          </w:tcPr>
          <w:p>
            <w:pPr>
              <w:spacing w:after="0"/>
              <w:rPr>
                <w:sz w:val="20"/>
                <w:szCs w:val="20"/>
                <w:color w:val="auto"/>
              </w:rPr>
            </w:pPr>
          </w:p>
        </w:tc>
        <w:tc>
          <w:tcPr>
            <w:tcW w:w="1140" w:type="dxa"/>
            <w:vAlign w:val="bottom"/>
            <w:vMerge w:val="restart"/>
            <w:shd w:val="clear" w:color="auto" w:fill="4C4C4C"/>
          </w:tcPr>
          <w:p>
            <w:pPr>
              <w:jc w:val="right"/>
              <w:ind w:right="305"/>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1080" w:type="dxa"/>
            <w:vAlign w:val="bottom"/>
            <w:shd w:val="clear" w:color="auto" w:fill="4C4C4C"/>
          </w:tcPr>
          <w:p>
            <w:pPr>
              <w:jc w:val="right"/>
              <w:ind w:right="45"/>
              <w:spacing w:after="0"/>
              <w:rPr>
                <w:sz w:val="20"/>
                <w:szCs w:val="20"/>
                <w:color w:val="auto"/>
              </w:rPr>
            </w:pPr>
            <w:r>
              <w:rPr>
                <w:rFonts w:ascii="Times New Roman" w:cs="Times New Roman" w:eastAsia="Times New Roman" w:hAnsi="Times New Roman"/>
                <w:sz w:val="16"/>
                <w:szCs w:val="16"/>
                <w:b w:val="1"/>
                <w:bCs w:val="1"/>
                <w:color w:val="FFFFFF"/>
              </w:rPr>
              <w:t>ExxonMobil</w:t>
            </w:r>
          </w:p>
        </w:tc>
        <w:tc>
          <w:tcPr>
            <w:tcW w:w="60" w:type="dxa"/>
            <w:vAlign w:val="bottom"/>
          </w:tcPr>
          <w:p>
            <w:pPr>
              <w:spacing w:after="0"/>
              <w:rPr>
                <w:sz w:val="20"/>
                <w:szCs w:val="20"/>
                <w:color w:val="auto"/>
              </w:rPr>
            </w:pPr>
          </w:p>
        </w:tc>
        <w:tc>
          <w:tcPr>
            <w:tcW w:w="1140" w:type="dxa"/>
            <w:vAlign w:val="bottom"/>
            <w:vMerge w:val="restart"/>
            <w:shd w:val="clear" w:color="auto" w:fill="4C4C4C"/>
          </w:tcPr>
          <w:p>
            <w:pPr>
              <w:jc w:val="right"/>
              <w:ind w:right="322"/>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1080" w:type="dxa"/>
            <w:vAlign w:val="bottom"/>
            <w:shd w:val="clear" w:color="auto" w:fill="4C4C4C"/>
          </w:tcPr>
          <w:p>
            <w:pPr>
              <w:jc w:val="right"/>
              <w:ind w:right="45"/>
              <w:spacing w:after="0"/>
              <w:rPr>
                <w:sz w:val="20"/>
                <w:szCs w:val="20"/>
                <w:color w:val="auto"/>
              </w:rPr>
            </w:pPr>
            <w:r>
              <w:rPr>
                <w:rFonts w:ascii="Times New Roman" w:cs="Times New Roman" w:eastAsia="Times New Roman" w:hAnsi="Times New Roman"/>
                <w:sz w:val="16"/>
                <w:szCs w:val="16"/>
                <w:b w:val="1"/>
                <w:bCs w:val="1"/>
                <w:color w:val="FFFFFF"/>
              </w:rPr>
              <w:t>ExxonMobil</w:t>
            </w:r>
          </w:p>
        </w:tc>
        <w:tc>
          <w:tcPr>
            <w:tcW w:w="60" w:type="dxa"/>
            <w:vAlign w:val="bottom"/>
          </w:tcPr>
          <w:p>
            <w:pPr>
              <w:spacing w:after="0"/>
              <w:rPr>
                <w:sz w:val="20"/>
                <w:szCs w:val="20"/>
                <w:color w:val="auto"/>
              </w:rPr>
            </w:pPr>
          </w:p>
        </w:tc>
        <w:tc>
          <w:tcPr>
            <w:tcW w:w="1140" w:type="dxa"/>
            <w:vAlign w:val="bottom"/>
            <w:vMerge w:val="restart"/>
            <w:shd w:val="clear" w:color="auto" w:fill="4C4C4C"/>
          </w:tcPr>
          <w:p>
            <w:pPr>
              <w:jc w:val="right"/>
              <w:ind w:right="322"/>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1060" w:type="dxa"/>
            <w:vAlign w:val="bottom"/>
            <w:shd w:val="clear" w:color="auto" w:fill="4C4C4C"/>
          </w:tcPr>
          <w:p>
            <w:pPr>
              <w:jc w:val="right"/>
              <w:ind w:right="25"/>
              <w:spacing w:after="0"/>
              <w:rPr>
                <w:sz w:val="20"/>
                <w:szCs w:val="20"/>
                <w:color w:val="auto"/>
              </w:rPr>
            </w:pPr>
            <w:r>
              <w:rPr>
                <w:rFonts w:ascii="Times New Roman" w:cs="Times New Roman" w:eastAsia="Times New Roman" w:hAnsi="Times New Roman"/>
                <w:sz w:val="16"/>
                <w:szCs w:val="16"/>
                <w:b w:val="1"/>
                <w:bCs w:val="1"/>
                <w:color w:val="FFFFFF"/>
              </w:rPr>
              <w:t>ExxonMobil</w:t>
            </w:r>
          </w:p>
        </w:tc>
        <w:tc>
          <w:tcPr>
            <w:tcW w:w="0" w:type="dxa"/>
            <w:vAlign w:val="bottom"/>
          </w:tcPr>
          <w:p>
            <w:pPr>
              <w:spacing w:after="0"/>
              <w:rPr>
                <w:sz w:val="1"/>
                <w:szCs w:val="1"/>
                <w:color w:val="auto"/>
              </w:rPr>
            </w:pPr>
          </w:p>
        </w:tc>
      </w:tr>
      <w:tr>
        <w:trPr>
          <w:trHeight w:val="246"/>
        </w:trPr>
        <w:tc>
          <w:tcPr>
            <w:tcW w:w="372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0" w:type="dxa"/>
            <w:vAlign w:val="bottom"/>
          </w:tcPr>
          <w:p>
            <w:pPr>
              <w:spacing w:after="0"/>
              <w:rPr>
                <w:sz w:val="21"/>
                <w:szCs w:val="21"/>
                <w:color w:val="auto"/>
              </w:rPr>
            </w:pPr>
          </w:p>
        </w:tc>
        <w:tc>
          <w:tcPr>
            <w:tcW w:w="1140" w:type="dxa"/>
            <w:vAlign w:val="bottom"/>
            <w:tcBorders>
              <w:bottom w:val="single" w:sz="8" w:color="4C4C4C"/>
            </w:tcBorders>
            <w:vMerge w:val="continue"/>
            <w:shd w:val="clear" w:color="auto" w:fill="4C4C4C"/>
          </w:tcPr>
          <w:p>
            <w:pPr>
              <w:spacing w:after="0"/>
              <w:rPr>
                <w:sz w:val="21"/>
                <w:szCs w:val="21"/>
                <w:color w:val="auto"/>
              </w:rPr>
            </w:pPr>
          </w:p>
        </w:tc>
        <w:tc>
          <w:tcPr>
            <w:tcW w:w="1080" w:type="dxa"/>
            <w:vAlign w:val="bottom"/>
            <w:tcBorders>
              <w:bottom w:val="single" w:sz="8" w:color="4C4C4C"/>
            </w:tcBorders>
            <w:shd w:val="clear" w:color="auto" w:fill="4C4C4C"/>
          </w:tcPr>
          <w:p>
            <w:pPr>
              <w:jc w:val="right"/>
              <w:ind w:right="265"/>
              <w:spacing w:after="0"/>
              <w:rPr>
                <w:sz w:val="20"/>
                <w:szCs w:val="20"/>
                <w:color w:val="auto"/>
              </w:rPr>
            </w:pPr>
            <w:r>
              <w:rPr>
                <w:rFonts w:ascii="Times New Roman" w:cs="Times New Roman" w:eastAsia="Times New Roman" w:hAnsi="Times New Roman"/>
                <w:sz w:val="16"/>
                <w:szCs w:val="16"/>
                <w:b w:val="1"/>
                <w:bCs w:val="1"/>
                <w:color w:val="FFFFFF"/>
              </w:rPr>
              <w:t>Share</w:t>
            </w:r>
          </w:p>
        </w:tc>
        <w:tc>
          <w:tcPr>
            <w:tcW w:w="60" w:type="dxa"/>
            <w:vAlign w:val="bottom"/>
          </w:tcPr>
          <w:p>
            <w:pPr>
              <w:spacing w:after="0"/>
              <w:rPr>
                <w:sz w:val="21"/>
                <w:szCs w:val="21"/>
                <w:color w:val="auto"/>
              </w:rPr>
            </w:pPr>
          </w:p>
        </w:tc>
        <w:tc>
          <w:tcPr>
            <w:tcW w:w="1140" w:type="dxa"/>
            <w:vAlign w:val="bottom"/>
            <w:tcBorders>
              <w:bottom w:val="single" w:sz="8" w:color="4C4C4C"/>
            </w:tcBorders>
            <w:vMerge w:val="continue"/>
            <w:shd w:val="clear" w:color="auto" w:fill="4C4C4C"/>
          </w:tcPr>
          <w:p>
            <w:pPr>
              <w:spacing w:after="0"/>
              <w:rPr>
                <w:sz w:val="21"/>
                <w:szCs w:val="21"/>
                <w:color w:val="auto"/>
              </w:rPr>
            </w:pPr>
          </w:p>
        </w:tc>
        <w:tc>
          <w:tcPr>
            <w:tcW w:w="1080" w:type="dxa"/>
            <w:vAlign w:val="bottom"/>
            <w:tcBorders>
              <w:bottom w:val="single" w:sz="8" w:color="4C4C4C"/>
            </w:tcBorders>
            <w:shd w:val="clear" w:color="auto" w:fill="4C4C4C"/>
          </w:tcPr>
          <w:p>
            <w:pPr>
              <w:jc w:val="right"/>
              <w:ind w:right="265"/>
              <w:spacing w:after="0"/>
              <w:rPr>
                <w:sz w:val="20"/>
                <w:szCs w:val="20"/>
                <w:color w:val="auto"/>
              </w:rPr>
            </w:pPr>
            <w:r>
              <w:rPr>
                <w:rFonts w:ascii="Times New Roman" w:cs="Times New Roman" w:eastAsia="Times New Roman" w:hAnsi="Times New Roman"/>
                <w:sz w:val="16"/>
                <w:szCs w:val="16"/>
                <w:b w:val="1"/>
                <w:bCs w:val="1"/>
                <w:color w:val="FFFFFF"/>
              </w:rPr>
              <w:t>Share</w:t>
            </w:r>
          </w:p>
        </w:tc>
        <w:tc>
          <w:tcPr>
            <w:tcW w:w="60" w:type="dxa"/>
            <w:vAlign w:val="bottom"/>
          </w:tcPr>
          <w:p>
            <w:pPr>
              <w:spacing w:after="0"/>
              <w:rPr>
                <w:sz w:val="21"/>
                <w:szCs w:val="21"/>
                <w:color w:val="auto"/>
              </w:rPr>
            </w:pPr>
          </w:p>
        </w:tc>
        <w:tc>
          <w:tcPr>
            <w:tcW w:w="1140" w:type="dxa"/>
            <w:vAlign w:val="bottom"/>
            <w:tcBorders>
              <w:bottom w:val="single" w:sz="8" w:color="4C4C4C"/>
            </w:tcBorders>
            <w:vMerge w:val="continue"/>
            <w:shd w:val="clear" w:color="auto" w:fill="4C4C4C"/>
          </w:tcPr>
          <w:p>
            <w:pPr>
              <w:spacing w:after="0"/>
              <w:rPr>
                <w:sz w:val="21"/>
                <w:szCs w:val="21"/>
                <w:color w:val="auto"/>
              </w:rPr>
            </w:pPr>
          </w:p>
        </w:tc>
        <w:tc>
          <w:tcPr>
            <w:tcW w:w="1060" w:type="dxa"/>
            <w:vAlign w:val="bottom"/>
            <w:tcBorders>
              <w:bottom w:val="single" w:sz="8" w:color="4C4C4C"/>
            </w:tcBorders>
            <w:shd w:val="clear" w:color="auto" w:fill="4C4C4C"/>
          </w:tcPr>
          <w:p>
            <w:pPr>
              <w:jc w:val="right"/>
              <w:ind w:right="245"/>
              <w:spacing w:after="0"/>
              <w:rPr>
                <w:sz w:val="20"/>
                <w:szCs w:val="20"/>
                <w:color w:val="auto"/>
              </w:rPr>
            </w:pPr>
            <w:r>
              <w:rPr>
                <w:rFonts w:ascii="Times New Roman" w:cs="Times New Roman" w:eastAsia="Times New Roman" w:hAnsi="Times New Roman"/>
                <w:sz w:val="16"/>
                <w:szCs w:val="16"/>
                <w:b w:val="1"/>
                <w:bCs w:val="1"/>
                <w:color w:val="FFFFFF"/>
              </w:rPr>
              <w:t>Share</w:t>
            </w:r>
          </w:p>
        </w:tc>
        <w:tc>
          <w:tcPr>
            <w:tcW w:w="0" w:type="dxa"/>
            <w:vAlign w:val="bottom"/>
          </w:tcPr>
          <w:p>
            <w:pPr>
              <w:spacing w:after="0"/>
              <w:rPr>
                <w:sz w:val="1"/>
                <w:szCs w:val="1"/>
                <w:color w:val="auto"/>
              </w:rPr>
            </w:pPr>
          </w:p>
        </w:tc>
      </w:tr>
      <w:tr>
        <w:trPr>
          <w:trHeight w:val="389"/>
        </w:trPr>
        <w:tc>
          <w:tcPr>
            <w:tcW w:w="37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60" w:type="dxa"/>
            <w:vAlign w:val="bottom"/>
            <w:tcBorders>
              <w:bottom w:val="single" w:sz="8" w:color="4C4C4C"/>
            </w:tcBorders>
          </w:tcPr>
          <w:p>
            <w:pPr>
              <w:spacing w:after="0"/>
              <w:rPr>
                <w:sz w:val="24"/>
                <w:szCs w:val="24"/>
                <w:color w:val="auto"/>
              </w:rPr>
            </w:pPr>
          </w:p>
        </w:tc>
        <w:tc>
          <w:tcPr>
            <w:tcW w:w="1140" w:type="dxa"/>
            <w:vAlign w:val="bottom"/>
            <w:tcBorders>
              <w:bottom w:val="single" w:sz="8" w:color="4C4C4C"/>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132,783</w:t>
            </w:r>
          </w:p>
        </w:tc>
        <w:tc>
          <w:tcPr>
            <w:tcW w:w="10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40,682</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183,812</w:t>
            </w:r>
          </w:p>
        </w:tc>
        <w:tc>
          <w:tcPr>
            <w:tcW w:w="1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57,528</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116,972</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34,995</w:t>
            </w:r>
          </w:p>
        </w:tc>
        <w:tc>
          <w:tcPr>
            <w:tcW w:w="0" w:type="dxa"/>
            <w:vAlign w:val="bottom"/>
          </w:tcPr>
          <w:p>
            <w:pPr>
              <w:spacing w:after="0"/>
              <w:rPr>
                <w:sz w:val="1"/>
                <w:szCs w:val="1"/>
                <w:color w:val="auto"/>
              </w:rPr>
            </w:pPr>
          </w:p>
        </w:tc>
      </w:tr>
      <w:tr>
        <w:trPr>
          <w:trHeight w:val="271"/>
        </w:trPr>
        <w:tc>
          <w:tcPr>
            <w:tcW w:w="3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60" w:type="dxa"/>
            <w:vAlign w:val="bottom"/>
          </w:tcPr>
          <w:p>
            <w:pPr>
              <w:spacing w:after="0"/>
              <w:rPr>
                <w:sz w:val="23"/>
                <w:szCs w:val="23"/>
                <w:color w:val="auto"/>
              </w:rPr>
            </w:pPr>
          </w:p>
        </w:tc>
        <w:tc>
          <w:tcPr>
            <w:tcW w:w="1140" w:type="dxa"/>
            <w:vAlign w:val="bottom"/>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35,999</w:t>
            </w:r>
          </w:p>
        </w:tc>
        <w:tc>
          <w:tcPr>
            <w:tcW w:w="10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10,078</w:t>
            </w:r>
          </w:p>
        </w:tc>
        <w:tc>
          <w:tcPr>
            <w:tcW w:w="120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61,550</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19,279</w:t>
            </w:r>
          </w:p>
        </w:tc>
        <w:tc>
          <w:tcPr>
            <w:tcW w:w="120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35,142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9,278</w:t>
            </w:r>
          </w:p>
        </w:tc>
        <w:tc>
          <w:tcPr>
            <w:tcW w:w="0" w:type="dxa"/>
            <w:vAlign w:val="bottom"/>
          </w:tcPr>
          <w:p>
            <w:pPr>
              <w:spacing w:after="0"/>
              <w:rPr>
                <w:sz w:val="1"/>
                <w:szCs w:val="1"/>
                <w:color w:val="auto"/>
              </w:rPr>
            </w:pPr>
          </w:p>
        </w:tc>
      </w:tr>
      <w:tr>
        <w:trPr>
          <w:trHeight w:val="297"/>
        </w:trPr>
        <w:tc>
          <w:tcPr>
            <w:tcW w:w="37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Income taxes</w:t>
            </w:r>
          </w:p>
        </w:tc>
        <w:tc>
          <w:tcPr>
            <w:tcW w:w="60" w:type="dxa"/>
            <w:vAlign w:val="bottom"/>
            <w:tcBorders>
              <w:bottom w:val="single" w:sz="8" w:color="4C4C4C"/>
            </w:tcBorders>
          </w:tcPr>
          <w:p>
            <w:pPr>
              <w:spacing w:after="0"/>
              <w:rPr>
                <w:sz w:val="24"/>
                <w:szCs w:val="24"/>
                <w:color w:val="auto"/>
              </w:rPr>
            </w:pPr>
          </w:p>
        </w:tc>
        <w:tc>
          <w:tcPr>
            <w:tcW w:w="1140" w:type="dxa"/>
            <w:vAlign w:val="bottom"/>
            <w:tcBorders>
              <w:bottom w:val="single" w:sz="8" w:color="4C4C4C"/>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11,404</w:t>
            </w:r>
          </w:p>
        </w:tc>
        <w:tc>
          <w:tcPr>
            <w:tcW w:w="10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3,085</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23,149</w:t>
            </w:r>
          </w:p>
        </w:tc>
        <w:tc>
          <w:tcPr>
            <w:tcW w:w="1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7,603</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11,010</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2,763</w:t>
            </w:r>
          </w:p>
        </w:tc>
        <w:tc>
          <w:tcPr>
            <w:tcW w:w="0" w:type="dxa"/>
            <w:vAlign w:val="bottom"/>
          </w:tcPr>
          <w:p>
            <w:pPr>
              <w:spacing w:after="0"/>
              <w:rPr>
                <w:sz w:val="1"/>
                <w:szCs w:val="1"/>
                <w:color w:val="auto"/>
              </w:rPr>
            </w:pPr>
          </w:p>
        </w:tc>
      </w:tr>
      <w:tr>
        <w:trPr>
          <w:trHeight w:val="274"/>
        </w:trPr>
        <w:tc>
          <w:tcPr>
            <w:tcW w:w="37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Income from equity affiliates</w:t>
            </w:r>
          </w:p>
        </w:tc>
        <w:tc>
          <w:tcPr>
            <w:tcW w:w="60" w:type="dxa"/>
            <w:vAlign w:val="bottom"/>
            <w:tcBorders>
              <w:bottom w:val="single" w:sz="8" w:color="4C4C4C"/>
            </w:tcBorders>
          </w:tcPr>
          <w:p>
            <w:pPr>
              <w:spacing w:after="0"/>
              <w:rPr>
                <w:sz w:val="23"/>
                <w:szCs w:val="23"/>
                <w:color w:val="auto"/>
              </w:rPr>
            </w:pPr>
          </w:p>
        </w:tc>
        <w:tc>
          <w:tcPr>
            <w:tcW w:w="1140" w:type="dxa"/>
            <w:vAlign w:val="bottom"/>
            <w:tcBorders>
              <w:bottom w:val="single" w:sz="8" w:color="4C4C4C"/>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24,595</w:t>
            </w:r>
          </w:p>
        </w:tc>
        <w:tc>
          <w:tcPr>
            <w:tcW w:w="10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6,993</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38,401</w:t>
            </w:r>
          </w:p>
        </w:tc>
        <w:tc>
          <w:tcPr>
            <w:tcW w:w="1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11,676</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24,132</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6,515</w:t>
            </w:r>
          </w:p>
        </w:tc>
        <w:tc>
          <w:tcPr>
            <w:tcW w:w="0" w:type="dxa"/>
            <w:vAlign w:val="bottom"/>
          </w:tcPr>
          <w:p>
            <w:pPr>
              <w:spacing w:after="0"/>
              <w:rPr>
                <w:sz w:val="1"/>
                <w:szCs w:val="1"/>
                <w:color w:val="auto"/>
              </w:rPr>
            </w:pPr>
          </w:p>
        </w:tc>
      </w:tr>
      <w:tr>
        <w:trPr>
          <w:trHeight w:val="374"/>
        </w:trPr>
        <w:tc>
          <w:tcPr>
            <w:tcW w:w="3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60" w:type="dxa"/>
            <w:vAlign w:val="bottom"/>
          </w:tcPr>
          <w:p>
            <w:pPr>
              <w:spacing w:after="0"/>
              <w:rPr>
                <w:sz w:val="24"/>
                <w:szCs w:val="24"/>
                <w:color w:val="auto"/>
              </w:rPr>
            </w:pPr>
          </w:p>
        </w:tc>
        <w:tc>
          <w:tcPr>
            <w:tcW w:w="1140" w:type="dxa"/>
            <w:vAlign w:val="bottom"/>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53,081</w:t>
            </w:r>
          </w:p>
        </w:tc>
        <w:tc>
          <w:tcPr>
            <w:tcW w:w="10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18,713</w:t>
            </w:r>
          </w:p>
        </w:tc>
        <w:tc>
          <w:tcPr>
            <w:tcW w:w="120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77,457</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24,994</w:t>
            </w:r>
          </w:p>
        </w:tc>
        <w:tc>
          <w:tcPr>
            <w:tcW w:w="120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45,267</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15,542</w:t>
            </w:r>
          </w:p>
        </w:tc>
        <w:tc>
          <w:tcPr>
            <w:tcW w:w="0" w:type="dxa"/>
            <w:vAlign w:val="bottom"/>
          </w:tcPr>
          <w:p>
            <w:pPr>
              <w:spacing w:after="0"/>
              <w:rPr>
                <w:sz w:val="1"/>
                <w:szCs w:val="1"/>
                <w:color w:val="auto"/>
              </w:rPr>
            </w:pPr>
          </w:p>
        </w:tc>
      </w:tr>
      <w:tr>
        <w:trPr>
          <w:trHeight w:val="297"/>
        </w:trPr>
        <w:tc>
          <w:tcPr>
            <w:tcW w:w="37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Long-term assets</w:t>
            </w:r>
          </w:p>
        </w:tc>
        <w:tc>
          <w:tcPr>
            <w:tcW w:w="60" w:type="dxa"/>
            <w:vAlign w:val="bottom"/>
            <w:tcBorders>
              <w:bottom w:val="single" w:sz="8" w:color="4C4C4C"/>
            </w:tcBorders>
          </w:tcPr>
          <w:p>
            <w:pPr>
              <w:spacing w:after="0"/>
              <w:rPr>
                <w:sz w:val="24"/>
                <w:szCs w:val="24"/>
                <w:color w:val="auto"/>
              </w:rPr>
            </w:pPr>
          </w:p>
        </w:tc>
        <w:tc>
          <w:tcPr>
            <w:tcW w:w="1140" w:type="dxa"/>
            <w:vAlign w:val="bottom"/>
            <w:tcBorders>
              <w:bottom w:val="single" w:sz="8" w:color="4C4C4C"/>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150,198</w:t>
            </w:r>
          </w:p>
        </w:tc>
        <w:tc>
          <w:tcPr>
            <w:tcW w:w="10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40,986</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153,186</w:t>
            </w:r>
          </w:p>
        </w:tc>
        <w:tc>
          <w:tcPr>
            <w:tcW w:w="1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42,921</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150,699</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41,614</w:t>
            </w:r>
          </w:p>
        </w:tc>
        <w:tc>
          <w:tcPr>
            <w:tcW w:w="0" w:type="dxa"/>
            <w:vAlign w:val="bottom"/>
          </w:tcPr>
          <w:p>
            <w:pPr>
              <w:spacing w:after="0"/>
              <w:rPr>
                <w:sz w:val="1"/>
                <w:szCs w:val="1"/>
                <w:color w:val="auto"/>
              </w:rPr>
            </w:pPr>
          </w:p>
        </w:tc>
      </w:tr>
      <w:tr>
        <w:trPr>
          <w:trHeight w:val="274"/>
        </w:trPr>
        <w:tc>
          <w:tcPr>
            <w:tcW w:w="37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60" w:type="dxa"/>
            <w:vAlign w:val="bottom"/>
            <w:tcBorders>
              <w:bottom w:val="single" w:sz="8" w:color="4C4C4C"/>
            </w:tcBorders>
          </w:tcPr>
          <w:p>
            <w:pPr>
              <w:spacing w:after="0"/>
              <w:rPr>
                <w:sz w:val="23"/>
                <w:szCs w:val="23"/>
                <w:color w:val="auto"/>
              </w:rPr>
            </w:pPr>
          </w:p>
        </w:tc>
        <w:tc>
          <w:tcPr>
            <w:tcW w:w="1140" w:type="dxa"/>
            <w:vAlign w:val="bottom"/>
            <w:tcBorders>
              <w:bottom w:val="single" w:sz="8" w:color="4C4C4C"/>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203,279</w:t>
            </w:r>
          </w:p>
        </w:tc>
        <w:tc>
          <w:tcPr>
            <w:tcW w:w="10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59,699</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230,643</w:t>
            </w:r>
          </w:p>
        </w:tc>
        <w:tc>
          <w:tcPr>
            <w:tcW w:w="1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67,915</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195,966</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57,156</w:t>
            </w:r>
          </w:p>
        </w:tc>
        <w:tc>
          <w:tcPr>
            <w:tcW w:w="0" w:type="dxa"/>
            <w:vAlign w:val="bottom"/>
          </w:tcPr>
          <w:p>
            <w:pPr>
              <w:spacing w:after="0"/>
              <w:rPr>
                <w:sz w:val="1"/>
                <w:szCs w:val="1"/>
                <w:color w:val="auto"/>
              </w:rPr>
            </w:pPr>
          </w:p>
        </w:tc>
      </w:tr>
      <w:tr>
        <w:trPr>
          <w:trHeight w:val="374"/>
        </w:trPr>
        <w:tc>
          <w:tcPr>
            <w:tcW w:w="3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60" w:type="dxa"/>
            <w:vAlign w:val="bottom"/>
          </w:tcPr>
          <w:p>
            <w:pPr>
              <w:spacing w:after="0"/>
              <w:rPr>
                <w:sz w:val="24"/>
                <w:szCs w:val="24"/>
                <w:color w:val="auto"/>
              </w:rPr>
            </w:pPr>
          </w:p>
        </w:tc>
        <w:tc>
          <w:tcPr>
            <w:tcW w:w="1140" w:type="dxa"/>
            <w:vAlign w:val="bottom"/>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30,721</w:t>
            </w:r>
          </w:p>
        </w:tc>
        <w:tc>
          <w:tcPr>
            <w:tcW w:w="10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9,652</w:t>
            </w:r>
          </w:p>
        </w:tc>
        <w:tc>
          <w:tcPr>
            <w:tcW w:w="120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53,640</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15,555</w:t>
            </w:r>
          </w:p>
        </w:tc>
        <w:tc>
          <w:tcPr>
            <w:tcW w:w="120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28,862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8,297</w:t>
            </w:r>
          </w:p>
        </w:tc>
        <w:tc>
          <w:tcPr>
            <w:tcW w:w="0" w:type="dxa"/>
            <w:vAlign w:val="bottom"/>
          </w:tcPr>
          <w:p>
            <w:pPr>
              <w:spacing w:after="0"/>
              <w:rPr>
                <w:sz w:val="1"/>
                <w:szCs w:val="1"/>
                <w:color w:val="auto"/>
              </w:rPr>
            </w:pPr>
          </w:p>
        </w:tc>
      </w:tr>
      <w:tr>
        <w:trPr>
          <w:trHeight w:val="297"/>
        </w:trPr>
        <w:tc>
          <w:tcPr>
            <w:tcW w:w="37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Long-term liabilities</w:t>
            </w:r>
          </w:p>
        </w:tc>
        <w:tc>
          <w:tcPr>
            <w:tcW w:w="60" w:type="dxa"/>
            <w:vAlign w:val="bottom"/>
            <w:tcBorders>
              <w:bottom w:val="single" w:sz="8" w:color="4C4C4C"/>
            </w:tcBorders>
          </w:tcPr>
          <w:p>
            <w:pPr>
              <w:spacing w:after="0"/>
              <w:rPr>
                <w:sz w:val="24"/>
                <w:szCs w:val="24"/>
                <w:color w:val="auto"/>
              </w:rPr>
            </w:pPr>
          </w:p>
        </w:tc>
        <w:tc>
          <w:tcPr>
            <w:tcW w:w="1140" w:type="dxa"/>
            <w:vAlign w:val="bottom"/>
            <w:tcBorders>
              <w:bottom w:val="single" w:sz="8" w:color="4C4C4C"/>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color w:val="auto"/>
              </w:rPr>
              <w:t>57,237</w:t>
            </w:r>
          </w:p>
        </w:tc>
        <w:tc>
          <w:tcPr>
            <w:tcW w:w="10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17,059</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62,009</w:t>
            </w:r>
          </w:p>
        </w:tc>
        <w:tc>
          <w:tcPr>
            <w:tcW w:w="1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18,929</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63,138</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19,084</w:t>
            </w:r>
          </w:p>
        </w:tc>
        <w:tc>
          <w:tcPr>
            <w:tcW w:w="0" w:type="dxa"/>
            <w:vAlign w:val="bottom"/>
          </w:tcPr>
          <w:p>
            <w:pPr>
              <w:spacing w:after="0"/>
              <w:rPr>
                <w:sz w:val="1"/>
                <w:szCs w:val="1"/>
                <w:color w:val="auto"/>
              </w:rPr>
            </w:pPr>
          </w:p>
        </w:tc>
      </w:tr>
      <w:tr>
        <w:trPr>
          <w:trHeight w:val="274"/>
        </w:trPr>
        <w:tc>
          <w:tcPr>
            <w:tcW w:w="37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Net assets</w:t>
            </w:r>
          </w:p>
        </w:tc>
        <w:tc>
          <w:tcPr>
            <w:tcW w:w="60" w:type="dxa"/>
            <w:vAlign w:val="bottom"/>
            <w:tcBorders>
              <w:bottom w:val="single" w:sz="8" w:color="4C4C4C"/>
            </w:tcBorders>
          </w:tcPr>
          <w:p>
            <w:pPr>
              <w:spacing w:after="0"/>
              <w:rPr>
                <w:sz w:val="23"/>
                <w:szCs w:val="23"/>
                <w:color w:val="auto"/>
              </w:rPr>
            </w:pPr>
          </w:p>
        </w:tc>
        <w:tc>
          <w:tcPr>
            <w:tcW w:w="1140" w:type="dxa"/>
            <w:vAlign w:val="bottom"/>
            <w:tcBorders>
              <w:bottom w:val="single" w:sz="8" w:color="4C4C4C"/>
            </w:tcBorders>
            <w:shd w:val="clear" w:color="auto" w:fill="F0F0F0"/>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115,321</w:t>
            </w:r>
          </w:p>
        </w:tc>
        <w:tc>
          <w:tcPr>
            <w:tcW w:w="10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32,988</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114,994</w:t>
            </w:r>
          </w:p>
        </w:tc>
        <w:tc>
          <w:tcPr>
            <w:tcW w:w="1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33,431</w:t>
            </w:r>
          </w:p>
        </w:tc>
        <w:tc>
          <w:tcPr>
            <w:tcW w:w="120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103,966</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600"/>
          </w:cols>
          <w:pgMar w:left="640" w:top="270" w:right="64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A list of significant equity companies as of December 31, 2023, together with the Corporation’s percentage ownership interest, is detailed below:</w:t>
      </w:r>
    </w:p>
    <w:p>
      <w:pPr>
        <w:spacing w:after="0" w:line="67"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6040" w:type="dxa"/>
            <w:vAlign w:val="bottom"/>
            <w:shd w:val="clear" w:color="auto" w:fill="4C4C4C"/>
          </w:tcPr>
          <w:p>
            <w:pPr>
              <w:spacing w:after="0"/>
              <w:rPr>
                <w:sz w:val="19"/>
                <w:szCs w:val="19"/>
                <w:color w:val="auto"/>
              </w:rPr>
            </w:pPr>
          </w:p>
        </w:tc>
        <w:tc>
          <w:tcPr>
            <w:tcW w:w="1840" w:type="dxa"/>
            <w:vAlign w:val="bottom"/>
            <w:shd w:val="clear" w:color="auto" w:fill="4C4C4C"/>
          </w:tcPr>
          <w:p>
            <w:pPr>
              <w:jc w:val="center"/>
              <w:ind w:left="262"/>
              <w:spacing w:after="0"/>
              <w:rPr>
                <w:sz w:val="20"/>
                <w:szCs w:val="20"/>
                <w:color w:val="auto"/>
              </w:rPr>
            </w:pPr>
            <w:r>
              <w:rPr>
                <w:rFonts w:ascii="Times New Roman" w:cs="Times New Roman" w:eastAsia="Times New Roman" w:hAnsi="Times New Roman"/>
                <w:sz w:val="20"/>
                <w:szCs w:val="20"/>
                <w:b w:val="1"/>
                <w:bCs w:val="1"/>
                <w:color w:val="FFFFFF"/>
                <w:w w:val="97"/>
              </w:rPr>
              <w:t>Percentage</w:t>
            </w:r>
          </w:p>
        </w:tc>
      </w:tr>
      <w:tr>
        <w:trPr>
          <w:trHeight w:val="196"/>
        </w:trPr>
        <w:tc>
          <w:tcPr>
            <w:tcW w:w="6040" w:type="dxa"/>
            <w:vAlign w:val="bottom"/>
            <w:shd w:val="clear" w:color="auto" w:fill="4C4C4C"/>
          </w:tcPr>
          <w:p>
            <w:pPr>
              <w:spacing w:after="0"/>
              <w:rPr>
                <w:sz w:val="17"/>
                <w:szCs w:val="17"/>
                <w:color w:val="auto"/>
              </w:rPr>
            </w:pPr>
          </w:p>
        </w:tc>
        <w:tc>
          <w:tcPr>
            <w:tcW w:w="1840" w:type="dxa"/>
            <w:vAlign w:val="bottom"/>
            <w:shd w:val="clear" w:color="auto" w:fill="4C4C4C"/>
          </w:tcPr>
          <w:p>
            <w:pPr>
              <w:jc w:val="center"/>
              <w:ind w:left="262"/>
              <w:spacing w:after="0" w:line="196" w:lineRule="exact"/>
              <w:rPr>
                <w:sz w:val="20"/>
                <w:szCs w:val="20"/>
                <w:color w:val="auto"/>
              </w:rPr>
            </w:pPr>
            <w:r>
              <w:rPr>
                <w:rFonts w:ascii="Times New Roman" w:cs="Times New Roman" w:eastAsia="Times New Roman" w:hAnsi="Times New Roman"/>
                <w:sz w:val="20"/>
                <w:szCs w:val="20"/>
                <w:b w:val="1"/>
                <w:bCs w:val="1"/>
                <w:color w:val="FFFFFF"/>
                <w:w w:val="97"/>
              </w:rPr>
              <w:t>Ownership</w:t>
            </w:r>
          </w:p>
        </w:tc>
      </w:tr>
      <w:tr>
        <w:trPr>
          <w:trHeight w:val="274"/>
        </w:trPr>
        <w:tc>
          <w:tcPr>
            <w:tcW w:w="6040" w:type="dxa"/>
            <w:vAlign w:val="bottom"/>
            <w:shd w:val="clear" w:color="auto" w:fill="4C4C4C"/>
          </w:tcPr>
          <w:p>
            <w:pPr>
              <w:spacing w:after="0"/>
              <w:rPr>
                <w:sz w:val="23"/>
                <w:szCs w:val="23"/>
                <w:color w:val="auto"/>
              </w:rPr>
            </w:pPr>
          </w:p>
        </w:tc>
        <w:tc>
          <w:tcPr>
            <w:tcW w:w="1840" w:type="dxa"/>
            <w:vAlign w:val="bottom"/>
            <w:shd w:val="clear" w:color="auto" w:fill="4C4C4C"/>
          </w:tcPr>
          <w:p>
            <w:pPr>
              <w:jc w:val="center"/>
              <w:ind w:left="262"/>
              <w:spacing w:after="0"/>
              <w:rPr>
                <w:sz w:val="20"/>
                <w:szCs w:val="20"/>
                <w:color w:val="auto"/>
              </w:rPr>
            </w:pPr>
            <w:r>
              <w:rPr>
                <w:rFonts w:ascii="Times New Roman" w:cs="Times New Roman" w:eastAsia="Times New Roman" w:hAnsi="Times New Roman"/>
                <w:sz w:val="20"/>
                <w:szCs w:val="20"/>
                <w:b w:val="1"/>
                <w:bCs w:val="1"/>
                <w:color w:val="FFFFFF"/>
                <w:w w:val="95"/>
              </w:rPr>
              <w:t>Interest</w:t>
            </w:r>
          </w:p>
        </w:tc>
      </w:tr>
      <w:tr>
        <w:trPr>
          <w:trHeight w:val="385"/>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Upstream</w:t>
            </w:r>
          </w:p>
        </w:tc>
        <w:tc>
          <w:tcPr>
            <w:tcW w:w="1840" w:type="dxa"/>
            <w:vAlign w:val="bottom"/>
          </w:tcPr>
          <w:p>
            <w:pPr>
              <w:spacing w:after="0"/>
              <w:rPr>
                <w:sz w:val="24"/>
                <w:szCs w:val="24"/>
                <w:color w:val="auto"/>
              </w:rPr>
            </w:pP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Barzan Gas Company Limited</w:t>
            </w:r>
          </w:p>
        </w:tc>
        <w:tc>
          <w:tcPr>
            <w:tcW w:w="1840" w:type="dxa"/>
            <w:vAlign w:val="bottom"/>
          </w:tcPr>
          <w:p>
            <w:pPr>
              <w:jc w:val="center"/>
              <w:ind w:left="282"/>
              <w:spacing w:after="0"/>
              <w:rPr>
                <w:sz w:val="20"/>
                <w:szCs w:val="20"/>
                <w:color w:val="auto"/>
              </w:rPr>
            </w:pPr>
            <w:r>
              <w:rPr>
                <w:rFonts w:ascii="Times New Roman" w:cs="Times New Roman" w:eastAsia="Times New Roman" w:hAnsi="Times New Roman"/>
                <w:sz w:val="20"/>
                <w:szCs w:val="20"/>
                <w:color w:val="auto"/>
                <w:w w:val="99"/>
              </w:rPr>
              <w:t>7</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BEB Erdgas und Erdoel GmbH &amp; Co. KG</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Caspian Pipeline Consortium</w:t>
            </w:r>
          </w:p>
        </w:tc>
        <w:tc>
          <w:tcPr>
            <w:tcW w:w="1840" w:type="dxa"/>
            <w:vAlign w:val="bottom"/>
          </w:tcPr>
          <w:p>
            <w:pPr>
              <w:jc w:val="center"/>
              <w:ind w:left="282"/>
              <w:spacing w:after="0"/>
              <w:rPr>
                <w:sz w:val="20"/>
                <w:szCs w:val="20"/>
                <w:color w:val="auto"/>
              </w:rPr>
            </w:pPr>
            <w:r>
              <w:rPr>
                <w:rFonts w:ascii="Times New Roman" w:cs="Times New Roman" w:eastAsia="Times New Roman" w:hAnsi="Times New Roman"/>
                <w:sz w:val="20"/>
                <w:szCs w:val="20"/>
                <w:color w:val="auto"/>
                <w:w w:val="99"/>
              </w:rPr>
              <w:t>8</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Coral FLNG S.A.</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25</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Cross Timbers Energy LLC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GasTerra B.V.</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25</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Golden Pass LNG Terminal LLC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30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Golden Pass Pipeline LLC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30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Marine Well Containment Company LLC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10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Mozambique Rovuma Venture S.p.A.</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36</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Nederlandse Aardolie Maatschappij B.V.</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Papua New Guinea Liquefied Natural Gas Global Company LDC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33</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Permian Highway Pipeline LLC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17</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QatarEnergy LNG N (2)</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24</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QatarEnergy LNG NFE (3)</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25</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QatarEnergy LNG S (1)</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25</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QatarEnergy LNG S (2)</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31</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QatarEnergy LNG S (3)</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30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South Hook LNG Terminal Company Limited</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24</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Tengizchevroil LLP</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25</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Terminale GNL Adriatico S.r.l.</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71</w:t>
            </w:r>
          </w:p>
        </w:tc>
      </w:tr>
      <w:tr>
        <w:trPr>
          <w:trHeight w:val="588"/>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Energy Products, Chemical Products, and/or Specialty Products</w:t>
            </w:r>
          </w:p>
        </w:tc>
        <w:tc>
          <w:tcPr>
            <w:tcW w:w="1840" w:type="dxa"/>
            <w:vAlign w:val="bottom"/>
          </w:tcPr>
          <w:p>
            <w:pPr>
              <w:spacing w:after="0"/>
              <w:rPr>
                <w:sz w:val="24"/>
                <w:szCs w:val="24"/>
                <w:color w:val="auto"/>
              </w:rPr>
            </w:pP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Al-Jubail Petrochemical Company</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Alberta Products Pipe Line Ltd.</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45</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Fujian Refining &amp; Petrochemical Co. Ltd.</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25</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Gulf Coast Growth Ventures LLC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Infineum USA L.P.</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Permian Express Partners LLC</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12</w:t>
            </w:r>
          </w:p>
        </w:tc>
      </w:tr>
      <w:tr>
        <w:trPr>
          <w:trHeight w:val="29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Saudi Aramco Mobil Refinery Company Ltd.</w:t>
            </w:r>
          </w:p>
        </w:tc>
        <w:tc>
          <w:tcPr>
            <w:tcW w:w="184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r>
        <w:trPr>
          <w:trHeight w:val="300"/>
        </w:trPr>
        <w:tc>
          <w:tcPr>
            <w:tcW w:w="60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Saudi Yanbu Petrochemical Co.</w:t>
            </w:r>
          </w:p>
        </w:tc>
        <w:tc>
          <w:tcPr>
            <w:tcW w:w="1840" w:type="dxa"/>
            <w:vAlign w:val="bottom"/>
            <w:tcBorders>
              <w:bottom w:val="single" w:sz="8" w:color="4C4C4C"/>
            </w:tcBorders>
          </w:tcPr>
          <w:p>
            <w:pPr>
              <w:jc w:val="center"/>
              <w:ind w:left="302"/>
              <w:spacing w:after="0"/>
              <w:rPr>
                <w:sz w:val="20"/>
                <w:szCs w:val="20"/>
                <w:color w:val="auto"/>
              </w:rPr>
            </w:pPr>
            <w:r>
              <w:rPr>
                <w:rFonts w:ascii="Times New Roman" w:cs="Times New Roman" w:eastAsia="Times New Roman" w:hAnsi="Times New Roman"/>
                <w:sz w:val="20"/>
                <w:szCs w:val="20"/>
                <w:color w:val="auto"/>
                <w:w w:val="99"/>
              </w:rPr>
              <w:t>50</w:t>
            </w:r>
          </w:p>
        </w:tc>
      </w:tr>
    </w:tbl>
    <w:p>
      <w:pPr>
        <w:spacing w:after="0" w:line="200" w:lineRule="exact"/>
        <w:rPr>
          <w:sz w:val="20"/>
          <w:szCs w:val="20"/>
          <w:color w:val="auto"/>
        </w:rPr>
      </w:pP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600"/>
          </w:cols>
          <w:pgMar w:left="640" w:top="270" w:right="640" w:bottom="0" w:gutter="0" w:footer="0" w:header="0"/>
          <w:type w:val="continuous"/>
        </w:sectPr>
      </w:pPr>
    </w:p>
    <w:bookmarkStart w:id="102" w:name="page103"/>
    <w:bookmarkEnd w:id="102"/>
    <w:p>
      <w:pPr>
        <w:ind w:right="4380"/>
        <w:spacing w:after="0" w:line="427" w:lineRule="auto"/>
        <w:rPr>
          <w:sz w:val="20"/>
          <w:szCs w:val="20"/>
          <w:color w:val="auto"/>
        </w:rPr>
      </w:pPr>
      <w:r>
        <w:rPr>
          <w:rFonts w:ascii="Times New Roman" w:cs="Times New Roman" w:eastAsia="Times New Roman" w:hAnsi="Times New Roman"/>
          <w:sz w:val="22"/>
          <w:szCs w:val="22"/>
          <w:b w:val="1"/>
          <w:bCs w:val="1"/>
          <w:color w:val="4C4C4C"/>
        </w:rPr>
        <w:t>NOTES TO CONSOLIDATED FINANCIAL STATEMENTS 8. Investments, Advances and Long-Term Receivables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90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280" w:type="dxa"/>
            <w:vAlign w:val="bottom"/>
            <w:tcBorders>
              <w:bottom w:val="single" w:sz="8" w:color="4C4C4C"/>
            </w:tcBorders>
            <w:shd w:val="clear" w:color="auto" w:fill="4C4C4C"/>
          </w:tcPr>
          <w:p>
            <w:pPr>
              <w:jc w:val="right"/>
              <w:ind w:right="125"/>
              <w:spacing w:after="0"/>
              <w:rPr>
                <w:sz w:val="20"/>
                <w:szCs w:val="20"/>
                <w:color w:val="auto"/>
              </w:rPr>
            </w:pPr>
            <w:r>
              <w:rPr>
                <w:rFonts w:ascii="Times New Roman" w:cs="Times New Roman" w:eastAsia="Times New Roman" w:hAnsi="Times New Roman"/>
                <w:sz w:val="16"/>
                <w:szCs w:val="16"/>
                <w:b w:val="1"/>
                <w:bCs w:val="1"/>
                <w:color w:val="FFFFFF"/>
              </w:rPr>
              <w:t>Dec 31, 2023</w:t>
            </w:r>
          </w:p>
        </w:tc>
        <w:tc>
          <w:tcPr>
            <w:tcW w:w="1340" w:type="dxa"/>
            <w:vAlign w:val="bottom"/>
            <w:tcBorders>
              <w:bottom w:val="single" w:sz="8" w:color="4C4C4C"/>
            </w:tcBorders>
            <w:shd w:val="clear" w:color="auto" w:fill="4C4C4C"/>
          </w:tcPr>
          <w:p>
            <w:pPr>
              <w:jc w:val="right"/>
              <w:ind w:right="125"/>
              <w:spacing w:after="0"/>
              <w:rPr>
                <w:sz w:val="20"/>
                <w:szCs w:val="20"/>
                <w:color w:val="auto"/>
              </w:rPr>
            </w:pPr>
            <w:r>
              <w:rPr>
                <w:rFonts w:ascii="Times New Roman" w:cs="Times New Roman" w:eastAsia="Times New Roman" w:hAnsi="Times New Roman"/>
                <w:sz w:val="16"/>
                <w:szCs w:val="16"/>
                <w:b w:val="1"/>
                <w:bCs w:val="1"/>
                <w:color w:val="FFFFFF"/>
              </w:rPr>
              <w:t>Dec 31, 2022</w:t>
            </w:r>
          </w:p>
        </w:tc>
      </w:tr>
      <w:tr>
        <w:trPr>
          <w:trHeight w:val="366"/>
        </w:trPr>
        <w:tc>
          <w:tcPr>
            <w:tcW w:w="79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Equity method company investments and advances</w:t>
            </w:r>
          </w:p>
        </w:tc>
        <w:tc>
          <w:tcPr>
            <w:tcW w:w="128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r>
      <w:tr>
        <w:trPr>
          <w:trHeight w:val="313"/>
        </w:trPr>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34,080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34,522</w:t>
            </w:r>
          </w:p>
        </w:tc>
      </w:tr>
      <w:tr>
        <w:trPr>
          <w:trHeight w:val="297"/>
        </w:trPr>
        <w:tc>
          <w:tcPr>
            <w:tcW w:w="7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Advances, net of allowances of $33 million and $28 million</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7,527</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8,049</w:t>
            </w:r>
          </w:p>
        </w:tc>
      </w:tr>
      <w:tr>
        <w:trPr>
          <w:trHeight w:val="274"/>
        </w:trPr>
        <w:tc>
          <w:tcPr>
            <w:tcW w:w="7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equity method company investments and advances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41,607</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42,571</w:t>
            </w:r>
          </w:p>
        </w:tc>
      </w:tr>
      <w:tr>
        <w:trPr>
          <w:trHeight w:val="271"/>
        </w:trPr>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securities carried at fair value and other investments at adjusted cost basis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r>
      <w:tr>
        <w:trPr>
          <w:trHeight w:val="297"/>
        </w:trPr>
        <w:tc>
          <w:tcPr>
            <w:tcW w:w="7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Long-term receivables and miscellaneous, net of reserves of $1,966 million and $1,623 million</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5,846</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6,944</w:t>
            </w:r>
          </w:p>
        </w:tc>
      </w:tr>
      <w:tr>
        <w:trPr>
          <w:trHeight w:val="277"/>
        </w:trPr>
        <w:tc>
          <w:tcPr>
            <w:tcW w:w="7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47,630</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49,793</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9. Property, Plant and Equipment and Asset Retirement Obligations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30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Property, Plant and Equipment</w:t>
            </w:r>
          </w:p>
        </w:tc>
        <w:tc>
          <w:tcPr>
            <w:tcW w:w="3920" w:type="dxa"/>
            <w:vAlign w:val="bottom"/>
            <w:gridSpan w:val="2"/>
            <w:shd w:val="clear" w:color="auto" w:fill="4C4C4C"/>
          </w:tcPr>
          <w:p>
            <w:pPr>
              <w:jc w:val="right"/>
              <w:ind w:right="785"/>
              <w:spacing w:after="0"/>
              <w:rPr>
                <w:sz w:val="20"/>
                <w:szCs w:val="20"/>
                <w:color w:val="auto"/>
              </w:rPr>
            </w:pPr>
            <w:r>
              <w:rPr>
                <w:rFonts w:ascii="Times New Roman" w:cs="Times New Roman" w:eastAsia="Times New Roman" w:hAnsi="Times New Roman"/>
                <w:sz w:val="16"/>
                <w:szCs w:val="16"/>
                <w:b w:val="1"/>
                <w:bCs w:val="1"/>
                <w:color w:val="FFFFFF"/>
              </w:rPr>
              <w:t>December 31, 2023</w:t>
            </w:r>
          </w:p>
        </w:tc>
        <w:tc>
          <w:tcPr>
            <w:tcW w:w="2380" w:type="dxa"/>
            <w:vAlign w:val="bottom"/>
            <w:gridSpan w:val="2"/>
            <w:shd w:val="clear" w:color="auto" w:fill="4C4C4C"/>
          </w:tcPr>
          <w:p>
            <w:pPr>
              <w:jc w:val="right"/>
              <w:ind w:right="545"/>
              <w:spacing w:after="0"/>
              <w:rPr>
                <w:sz w:val="20"/>
                <w:szCs w:val="20"/>
                <w:color w:val="auto"/>
              </w:rPr>
            </w:pPr>
            <w:r>
              <w:rPr>
                <w:rFonts w:ascii="Times New Roman" w:cs="Times New Roman" w:eastAsia="Times New Roman" w:hAnsi="Times New Roman"/>
                <w:sz w:val="16"/>
                <w:szCs w:val="16"/>
                <w:b w:val="1"/>
                <w:bCs w:val="1"/>
                <w:color w:val="FFFFFF"/>
              </w:rPr>
              <w:t>December 31, 2022</w:t>
            </w:r>
          </w:p>
        </w:tc>
      </w:tr>
      <w:tr>
        <w:trPr>
          <w:trHeight w:val="287"/>
        </w:trPr>
        <w:tc>
          <w:tcPr>
            <w:tcW w:w="430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2620" w:type="dxa"/>
            <w:vAlign w:val="bottom"/>
            <w:tcBorders>
              <w:bottom w:val="single" w:sz="8" w:color="4C4C4C"/>
            </w:tcBorders>
            <w:shd w:val="clear" w:color="auto" w:fill="4C4C4C"/>
          </w:tcPr>
          <w:p>
            <w:pPr>
              <w:jc w:val="right"/>
              <w:ind w:right="607"/>
              <w:spacing w:after="0"/>
              <w:rPr>
                <w:sz w:val="20"/>
                <w:szCs w:val="20"/>
                <w:color w:val="auto"/>
              </w:rPr>
            </w:pPr>
            <w:r>
              <w:rPr>
                <w:rFonts w:ascii="Times New Roman" w:cs="Times New Roman" w:eastAsia="Times New Roman" w:hAnsi="Times New Roman"/>
                <w:sz w:val="16"/>
                <w:szCs w:val="16"/>
                <w:b w:val="1"/>
                <w:bCs w:val="1"/>
                <w:color w:val="FFFFFF"/>
              </w:rPr>
              <w:t>Cost</w:t>
            </w:r>
          </w:p>
        </w:tc>
        <w:tc>
          <w:tcPr>
            <w:tcW w:w="1300" w:type="dxa"/>
            <w:vAlign w:val="bottom"/>
            <w:tcBorders>
              <w:bottom w:val="single" w:sz="8" w:color="4C4C4C"/>
            </w:tcBorders>
            <w:shd w:val="clear" w:color="auto" w:fill="4C4C4C"/>
          </w:tcPr>
          <w:p>
            <w:pPr>
              <w:jc w:val="right"/>
              <w:ind w:right="665"/>
              <w:spacing w:after="0"/>
              <w:rPr>
                <w:sz w:val="20"/>
                <w:szCs w:val="20"/>
                <w:color w:val="auto"/>
              </w:rPr>
            </w:pPr>
            <w:r>
              <w:rPr>
                <w:rFonts w:ascii="Times New Roman" w:cs="Times New Roman" w:eastAsia="Times New Roman" w:hAnsi="Times New Roman"/>
                <w:sz w:val="16"/>
                <w:szCs w:val="16"/>
                <w:b w:val="1"/>
                <w:bCs w:val="1"/>
                <w:color w:val="FFFFFF"/>
              </w:rPr>
              <w:t>Net</w:t>
            </w:r>
          </w:p>
        </w:tc>
        <w:tc>
          <w:tcPr>
            <w:tcW w:w="1320" w:type="dxa"/>
            <w:vAlign w:val="bottom"/>
            <w:tcBorders>
              <w:bottom w:val="single" w:sz="8" w:color="4C4C4C"/>
            </w:tcBorders>
            <w:shd w:val="clear" w:color="auto" w:fill="4C4C4C"/>
          </w:tcPr>
          <w:p>
            <w:pPr>
              <w:jc w:val="right"/>
              <w:ind w:right="607"/>
              <w:spacing w:after="0"/>
              <w:rPr>
                <w:sz w:val="20"/>
                <w:szCs w:val="20"/>
                <w:color w:val="auto"/>
              </w:rPr>
            </w:pPr>
            <w:r>
              <w:rPr>
                <w:rFonts w:ascii="Times New Roman" w:cs="Times New Roman" w:eastAsia="Times New Roman" w:hAnsi="Times New Roman"/>
                <w:sz w:val="16"/>
                <w:szCs w:val="16"/>
                <w:b w:val="1"/>
                <w:bCs w:val="1"/>
                <w:color w:val="FFFFFF"/>
              </w:rPr>
              <w:t>Cost</w:t>
            </w:r>
          </w:p>
        </w:tc>
        <w:tc>
          <w:tcPr>
            <w:tcW w:w="1060" w:type="dxa"/>
            <w:vAlign w:val="bottom"/>
            <w:tcBorders>
              <w:bottom w:val="single" w:sz="8" w:color="4C4C4C"/>
            </w:tcBorders>
            <w:shd w:val="clear" w:color="auto" w:fill="4C4C4C"/>
          </w:tcPr>
          <w:p>
            <w:pPr>
              <w:jc w:val="right"/>
              <w:ind w:right="425"/>
              <w:spacing w:after="0"/>
              <w:rPr>
                <w:sz w:val="20"/>
                <w:szCs w:val="20"/>
                <w:color w:val="auto"/>
              </w:rPr>
            </w:pPr>
            <w:r>
              <w:rPr>
                <w:rFonts w:ascii="Times New Roman" w:cs="Times New Roman" w:eastAsia="Times New Roman" w:hAnsi="Times New Roman"/>
                <w:sz w:val="16"/>
                <w:szCs w:val="16"/>
                <w:b w:val="1"/>
                <w:bCs w:val="1"/>
                <w:color w:val="FFFFFF"/>
              </w:rPr>
              <w:t>Net</w:t>
            </w:r>
          </w:p>
        </w:tc>
      </w:tr>
      <w:tr>
        <w:trPr>
          <w:trHeight w:val="385"/>
        </w:trPr>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Upstream</w:t>
            </w:r>
          </w:p>
        </w:tc>
        <w:tc>
          <w:tcPr>
            <w:tcW w:w="26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359,031</w:t>
            </w:r>
          </w:p>
        </w:tc>
        <w:tc>
          <w:tcPr>
            <w:tcW w:w="13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148,245</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350,748</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144,146</w:t>
            </w:r>
          </w:p>
        </w:tc>
      </w:tr>
      <w:tr>
        <w:trPr>
          <w:trHeight w:val="294"/>
        </w:trPr>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Energy Products</w:t>
            </w:r>
          </w:p>
        </w:tc>
        <w:tc>
          <w:tcPr>
            <w:tcW w:w="26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57,400</w:t>
            </w:r>
          </w:p>
        </w:tc>
        <w:tc>
          <w:tcPr>
            <w:tcW w:w="13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27,284</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58,393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26,765</w:t>
            </w:r>
          </w:p>
        </w:tc>
      </w:tr>
      <w:tr>
        <w:trPr>
          <w:trHeight w:val="294"/>
        </w:trPr>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Chemical Products</w:t>
            </w:r>
          </w:p>
        </w:tc>
        <w:tc>
          <w:tcPr>
            <w:tcW w:w="26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38,801</w:t>
            </w:r>
          </w:p>
        </w:tc>
        <w:tc>
          <w:tcPr>
            <w:tcW w:w="13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20,329</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36,322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19,064</w:t>
            </w:r>
          </w:p>
        </w:tc>
      </w:tr>
      <w:tr>
        <w:trPr>
          <w:trHeight w:val="294"/>
        </w:trPr>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Specialty Products</w:t>
            </w:r>
          </w:p>
        </w:tc>
        <w:tc>
          <w:tcPr>
            <w:tcW w:w="26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9,385</w:t>
            </w:r>
          </w:p>
        </w:tc>
        <w:tc>
          <w:tcPr>
            <w:tcW w:w="130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4,378</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8,895</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4,303</w:t>
            </w:r>
          </w:p>
        </w:tc>
      </w:tr>
      <w:tr>
        <w:trPr>
          <w:trHeight w:val="297"/>
        </w:trPr>
        <w:tc>
          <w:tcPr>
            <w:tcW w:w="4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2620" w:type="dxa"/>
            <w:vAlign w:val="bottom"/>
            <w:tcBorders>
              <w:bottom w:val="single" w:sz="8" w:color="4C4C4C"/>
            </w:tcBorders>
          </w:tcPr>
          <w:p>
            <w:pPr>
              <w:jc w:val="right"/>
              <w:ind w:right="207"/>
              <w:spacing w:after="0"/>
              <w:rPr>
                <w:sz w:val="20"/>
                <w:szCs w:val="20"/>
                <w:color w:val="auto"/>
              </w:rPr>
            </w:pPr>
            <w:r>
              <w:rPr>
                <w:rFonts w:ascii="Times New Roman" w:cs="Times New Roman" w:eastAsia="Times New Roman" w:hAnsi="Times New Roman"/>
                <w:sz w:val="20"/>
                <w:szCs w:val="20"/>
                <w:color w:val="auto"/>
              </w:rPr>
              <w:t>22,768</w:t>
            </w:r>
          </w:p>
        </w:tc>
        <w:tc>
          <w:tcPr>
            <w:tcW w:w="1300" w:type="dxa"/>
            <w:vAlign w:val="bottom"/>
            <w:tcBorders>
              <w:bottom w:val="single" w:sz="8" w:color="4C4C4C"/>
            </w:tcBorders>
          </w:tcPr>
          <w:p>
            <w:pPr>
              <w:jc w:val="right"/>
              <w:ind w:right="225"/>
              <w:spacing w:after="0"/>
              <w:rPr>
                <w:sz w:val="20"/>
                <w:szCs w:val="20"/>
                <w:color w:val="auto"/>
              </w:rPr>
            </w:pPr>
            <w:r>
              <w:rPr>
                <w:rFonts w:ascii="Times New Roman" w:cs="Times New Roman" w:eastAsia="Times New Roman" w:hAnsi="Times New Roman"/>
                <w:sz w:val="20"/>
                <w:szCs w:val="20"/>
                <w:color w:val="auto"/>
              </w:rPr>
              <w:t>14,704</w:t>
            </w:r>
          </w:p>
        </w:tc>
        <w:tc>
          <w:tcPr>
            <w:tcW w:w="1320" w:type="dxa"/>
            <w:vAlign w:val="bottom"/>
            <w:tcBorders>
              <w:bottom w:val="single" w:sz="8" w:color="4C4C4C"/>
            </w:tcBorders>
          </w:tcPr>
          <w:p>
            <w:pPr>
              <w:jc w:val="right"/>
              <w:ind w:right="207"/>
              <w:spacing w:after="0"/>
              <w:rPr>
                <w:sz w:val="20"/>
                <w:szCs w:val="20"/>
                <w:color w:val="auto"/>
              </w:rPr>
            </w:pPr>
            <w:r>
              <w:rPr>
                <w:rFonts w:ascii="Times New Roman" w:cs="Times New Roman" w:eastAsia="Times New Roman" w:hAnsi="Times New Roman"/>
                <w:sz w:val="20"/>
                <w:szCs w:val="20"/>
                <w:color w:val="auto"/>
              </w:rPr>
              <w:t>18,335</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10,414</w:t>
            </w:r>
          </w:p>
        </w:tc>
      </w:tr>
      <w:tr>
        <w:trPr>
          <w:trHeight w:val="277"/>
        </w:trPr>
        <w:tc>
          <w:tcPr>
            <w:tcW w:w="4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620" w:type="dxa"/>
            <w:vAlign w:val="bottom"/>
            <w:tcBorders>
              <w:bottom w:val="single" w:sz="8" w:color="4C4C4C"/>
            </w:tcBorders>
          </w:tcPr>
          <w:p>
            <w:pPr>
              <w:jc w:val="right"/>
              <w:ind w:right="207"/>
              <w:spacing w:after="0"/>
              <w:rPr>
                <w:sz w:val="20"/>
                <w:szCs w:val="20"/>
                <w:color w:val="auto"/>
              </w:rPr>
            </w:pPr>
            <w:r>
              <w:rPr>
                <w:rFonts w:ascii="Times New Roman" w:cs="Times New Roman" w:eastAsia="Times New Roman" w:hAnsi="Times New Roman"/>
                <w:sz w:val="20"/>
                <w:szCs w:val="20"/>
                <w:b w:val="1"/>
                <w:bCs w:val="1"/>
                <w:color w:val="auto"/>
              </w:rPr>
              <w:t>487,385</w:t>
            </w:r>
          </w:p>
        </w:tc>
        <w:tc>
          <w:tcPr>
            <w:tcW w:w="1300" w:type="dxa"/>
            <w:vAlign w:val="bottom"/>
            <w:tcBorders>
              <w:bottom w:val="single" w:sz="8" w:color="4C4C4C"/>
            </w:tcBorders>
          </w:tcPr>
          <w:p>
            <w:pPr>
              <w:jc w:val="right"/>
              <w:ind w:right="225"/>
              <w:spacing w:after="0"/>
              <w:rPr>
                <w:sz w:val="20"/>
                <w:szCs w:val="20"/>
                <w:color w:val="auto"/>
              </w:rPr>
            </w:pPr>
            <w:r>
              <w:rPr>
                <w:rFonts w:ascii="Times New Roman" w:cs="Times New Roman" w:eastAsia="Times New Roman" w:hAnsi="Times New Roman"/>
                <w:sz w:val="20"/>
                <w:szCs w:val="20"/>
                <w:b w:val="1"/>
                <w:bCs w:val="1"/>
                <w:color w:val="auto"/>
              </w:rPr>
              <w:t>214,940</w:t>
            </w:r>
          </w:p>
        </w:tc>
        <w:tc>
          <w:tcPr>
            <w:tcW w:w="1320" w:type="dxa"/>
            <w:vAlign w:val="bottom"/>
            <w:tcBorders>
              <w:bottom w:val="single" w:sz="8" w:color="4C4C4C"/>
            </w:tcBorders>
          </w:tcPr>
          <w:p>
            <w:pPr>
              <w:jc w:val="right"/>
              <w:ind w:right="207"/>
              <w:spacing w:after="0"/>
              <w:rPr>
                <w:sz w:val="20"/>
                <w:szCs w:val="20"/>
                <w:color w:val="auto"/>
              </w:rPr>
            </w:pPr>
            <w:r>
              <w:rPr>
                <w:rFonts w:ascii="Times New Roman" w:cs="Times New Roman" w:eastAsia="Times New Roman" w:hAnsi="Times New Roman"/>
                <w:sz w:val="20"/>
                <w:szCs w:val="20"/>
                <w:b w:val="1"/>
                <w:bCs w:val="1"/>
                <w:color w:val="auto"/>
              </w:rPr>
              <w:t>472,693</w:t>
            </w:r>
          </w:p>
        </w:tc>
        <w:tc>
          <w:tcPr>
            <w:tcW w:w="10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204,692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-1231265</wp:posOffset>
            </wp:positionV>
            <wp:extent cx="6730365" cy="1250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6">
                      <a:extLst>
                        <a:ext uri="{28A0092B-C50C-407E-A947-70E740481C1C}"/>
                      </a:extLst>
                    </a:blip>
                    <a:srcRect/>
                    <a:stretch>
                      <a:fillRect/>
                    </a:stretch>
                  </pic:blipFill>
                  <pic:spPr bwMode="auto">
                    <a:xfrm>
                      <a:off x="0" y="0"/>
                      <a:ext cx="6730365" cy="12509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2023, the Corporation identified situations where events or changes in circumstances indicated that the carrying value of certain long-lived assets may not be recoverable and conducted impairment assessments. Before-tax charges of $3.3 billion were recognized, in large part due to impairing the idled Upstream Santa Ynez Unit assets and associated facilities in California, reflecting the continuing challenges in the state regulatory environment that impeded progress in restoring operations. Other before-tax impairment charges recognized during 2023 included $0.3 billion in Upstream, $0.3 billion in Chemical Products, and $0.1 billion in Specialty Products.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2022, before-tax impairment charges of $4.5 billion were recognized during the first quarter as a result of the Corporation's plans to discontinue operations on the Sakhalin-1 project and develop steps to exit the venture in response to Russia's military action in Ukraine (Refer to Note 2 for additional information). Other before-tax impairment charges recognized during 2022 included $1.5 billion in Upstream and $0.4 billion in Energy Products.</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 2021, the Corporation recognized before-tax impairment charges of $1.2 billion largely as a result of changes to Upstream development plans.</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Impairment charges are primarily recognized in the lines “Depreciation and depletion” and “Exploration expenses, including dry holes” on the Consolidated Statement of Income. Accumulated depreciation and depletion totaled $272,445 million at the end of 2023 and $268,001 million at the end of 2022.</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600"/>
          </w:cols>
          <w:pgMar w:left="640" w:top="270" w:right="64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 Retirement Obligations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Corporation incurs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incurred in the current period were Level 3 fair value measurements. The costs associated with these liabilities are capitalized as part of the related assets and depreciated as the reserves are produced. Over time, the liabilities are accreted for the change in their present value.</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Asset retirement obligations for facilities in the Product Solutions business generally become firm at the time a decision is made to permanently shut down and dismantle the facilities. These obligations may include the costs of asset disposal and additional soil remediation. However, these sites generally have indeterminate lives based on plans for continued operations and as such, the fair value of the conditional legal obligations cannot be measured, since it is impossible to estimate the future settlement dates of such obligations.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activity in the liability for asset retirement obligations: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48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60" w:type="dxa"/>
            <w:vAlign w:val="bottom"/>
            <w:tcBorders>
              <w:bottom w:val="single" w:sz="8" w:color="4C4C4C"/>
            </w:tcBorders>
            <w:shd w:val="clear" w:color="auto" w:fill="4C4C4C"/>
          </w:tcPr>
          <w:p>
            <w:pPr>
              <w:jc w:val="right"/>
              <w:ind w:right="16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2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85"/>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January 1</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10,491</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20"/>
                <w:szCs w:val="20"/>
                <w:b w:val="1"/>
                <w:bCs w:val="1"/>
                <w:color w:val="auto"/>
              </w:rPr>
              <w:t>10,630</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11,247</w:t>
            </w:r>
          </w:p>
        </w:tc>
      </w:tr>
      <w:tr>
        <w:trPr>
          <w:trHeight w:val="294"/>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Accretion expense and other provisions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rPr>
              <w:t>744</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w:t>
            </w:r>
          </w:p>
        </w:tc>
      </w:tr>
      <w:tr>
        <w:trPr>
          <w:trHeight w:val="294"/>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Reduction due to property sales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(328)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w:t>
            </w:r>
          </w:p>
        </w:tc>
      </w:tr>
      <w:tr>
        <w:trPr>
          <w:trHeight w:val="294"/>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 made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(518)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r>
      <w:tr>
        <w:trPr>
          <w:trHeight w:val="294"/>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Liabilities incurred</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rPr>
              <w:t>119</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94"/>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(330)</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97"/>
        </w:trPr>
        <w:tc>
          <w:tcPr>
            <w:tcW w:w="74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Revisions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1,790</w:t>
            </w:r>
          </w:p>
        </w:tc>
        <w:tc>
          <w:tcPr>
            <w:tcW w:w="1260" w:type="dxa"/>
            <w:vAlign w:val="bottom"/>
            <w:tcBorders>
              <w:bottom w:val="single" w:sz="8" w:color="4C4C4C"/>
            </w:tcBorders>
          </w:tcPr>
          <w:p>
            <w:pPr>
              <w:jc w:val="right"/>
              <w:ind w:right="204"/>
              <w:spacing w:after="0"/>
              <w:rPr>
                <w:sz w:val="20"/>
                <w:szCs w:val="20"/>
                <w:color w:val="auto"/>
              </w:rPr>
            </w:pPr>
            <w:r>
              <w:rPr>
                <w:rFonts w:ascii="Times New Roman" w:cs="Times New Roman" w:eastAsia="Times New Roman" w:hAnsi="Times New Roman"/>
                <w:sz w:val="20"/>
                <w:szCs w:val="20"/>
                <w:color w:val="auto"/>
              </w:rPr>
              <w:t>174</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386</w:t>
            </w:r>
          </w:p>
        </w:tc>
      </w:tr>
      <w:tr>
        <w:trPr>
          <w:trHeight w:val="277"/>
        </w:trPr>
        <w:tc>
          <w:tcPr>
            <w:tcW w:w="74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December 31</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12,989</w:t>
            </w:r>
          </w:p>
        </w:tc>
        <w:tc>
          <w:tcPr>
            <w:tcW w:w="1260" w:type="dxa"/>
            <w:vAlign w:val="bottom"/>
            <w:tcBorders>
              <w:bottom w:val="single" w:sz="8" w:color="4C4C4C"/>
            </w:tcBorders>
          </w:tcPr>
          <w:p>
            <w:pPr>
              <w:jc w:val="right"/>
              <w:ind w:right="204"/>
              <w:spacing w:after="0"/>
              <w:rPr>
                <w:sz w:val="20"/>
                <w:szCs w:val="20"/>
                <w:color w:val="auto"/>
              </w:rPr>
            </w:pPr>
            <w:r>
              <w:rPr>
                <w:rFonts w:ascii="Times New Roman" w:cs="Times New Roman" w:eastAsia="Times New Roman" w:hAnsi="Times New Roman"/>
                <w:sz w:val="20"/>
                <w:szCs w:val="20"/>
                <w:b w:val="1"/>
                <w:bCs w:val="1"/>
                <w:color w:val="auto"/>
              </w:rPr>
              <w:t>10,491</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10,630</w:t>
            </w:r>
          </w:p>
        </w:tc>
      </w:tr>
    </w:tbl>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long-term Asset Retirement Obligations were $11,942 million and $9,650 million at December 31, 2023 and 2022, respectively, and are included in “Other long-term obligations” on the Consolidated Balance Sheet. Estimated cash payments in 2024 and 2025 are $1,047 million and $899 million, respectively.</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600"/>
          </w:cols>
          <w:pgMar w:left="640" w:top="270" w:right="640" w:bottom="0" w:gutter="0" w:footer="0" w:header="0"/>
          <w:type w:val="continuous"/>
        </w:sectPr>
      </w:pPr>
    </w:p>
    <w:bookmarkStart w:id="104" w:name="page105"/>
    <w:bookmarkEnd w:id="104"/>
    <w:p>
      <w:pPr>
        <w:ind w:right="4380"/>
        <w:spacing w:after="0" w:line="398" w:lineRule="auto"/>
        <w:rPr>
          <w:sz w:val="20"/>
          <w:szCs w:val="20"/>
          <w:color w:val="auto"/>
        </w:rPr>
      </w:pPr>
      <w:r>
        <w:rPr>
          <w:rFonts w:ascii="Times New Roman" w:cs="Times New Roman" w:eastAsia="Times New Roman" w:hAnsi="Times New Roman"/>
          <w:sz w:val="22"/>
          <w:szCs w:val="22"/>
          <w:b w:val="1"/>
          <w:bCs w:val="1"/>
          <w:color w:val="4C4C4C"/>
        </w:rPr>
        <w:t>NOTES TO CONSOLIDATED FINANCIAL STATEMENTS 10. Accounting for Suspended Exploratory Well Costs</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continues capitalization of exploratory well costs when the well has found a sufficient quantity of reserves to justify its completion as a producing well and the Corporation is making sufficient progress assessing the reserves and the economic and operating viability of the project. The term “project” as used in this report can refer to a variety of different activities and does not necessarily have the same meaning as in any government payment transparency reports.</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following two tables provide details of the changes in the balance of suspended exploratory well costs, including an aging summary of those costs.</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400" w:type="dxa"/>
            <w:vAlign w:val="bottom"/>
            <w:tcBorders>
              <w:right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Change in capitalized suspended exploratory well costs</w:t>
            </w:r>
          </w:p>
        </w:tc>
        <w:tc>
          <w:tcPr>
            <w:tcW w:w="6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20" w:type="dxa"/>
            <w:vAlign w:val="bottom"/>
            <w:vMerge w:val="restart"/>
            <w:shd w:val="clear" w:color="auto" w:fill="4C4C4C"/>
          </w:tcPr>
          <w:p>
            <w:pPr>
              <w:jc w:val="right"/>
              <w:ind w:right="4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2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8"/>
        </w:trPr>
        <w:tc>
          <w:tcPr>
            <w:tcW w:w="8400" w:type="dxa"/>
            <w:vAlign w:val="bottom"/>
            <w:tcBorders>
              <w:right w:val="single" w:sz="8" w:color="4C4C4C"/>
            </w:tcBorders>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40" w:type="dxa"/>
            <w:vAlign w:val="bottom"/>
            <w:vMerge w:val="continue"/>
            <w:shd w:val="clear" w:color="auto" w:fill="4C4C4C"/>
          </w:tcPr>
          <w:p>
            <w:pPr>
              <w:spacing w:after="0"/>
              <w:rPr>
                <w:sz w:val="9"/>
                <w:szCs w:val="9"/>
                <w:color w:val="auto"/>
              </w:rPr>
            </w:pPr>
          </w:p>
        </w:tc>
        <w:tc>
          <w:tcPr>
            <w:tcW w:w="820" w:type="dxa"/>
            <w:vAlign w:val="bottom"/>
            <w:vMerge w:val="continue"/>
            <w:shd w:val="clear" w:color="auto" w:fill="4C4C4C"/>
          </w:tcPr>
          <w:p>
            <w:pPr>
              <w:spacing w:after="0"/>
              <w:rPr>
                <w:sz w:val="9"/>
                <w:szCs w:val="9"/>
                <w:color w:val="auto"/>
              </w:rPr>
            </w:pPr>
          </w:p>
        </w:tc>
        <w:tc>
          <w:tcPr>
            <w:tcW w:w="62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0" w:type="dxa"/>
            <w:vAlign w:val="bottom"/>
            <w:tcBorders>
              <w:bottom w:val="single" w:sz="8" w:color="4C4C4C"/>
              <w:right w:val="single" w:sz="8" w:color="4C4C4C"/>
            </w:tcBorders>
            <w:vMerge w:val="continue"/>
            <w:shd w:val="clear" w:color="auto" w:fill="4C4C4C"/>
          </w:tcPr>
          <w:p>
            <w:pPr>
              <w:spacing w:after="0"/>
              <w:rPr>
                <w:sz w:val="9"/>
                <w:szCs w:val="9"/>
                <w:color w:val="auto"/>
              </w:rPr>
            </w:pPr>
          </w:p>
        </w:tc>
        <w:tc>
          <w:tcPr>
            <w:tcW w:w="640" w:type="dxa"/>
            <w:vAlign w:val="bottom"/>
            <w:tcBorders>
              <w:bottom w:val="single" w:sz="8" w:color="4C4C4C"/>
            </w:tcBorders>
            <w:shd w:val="clear" w:color="auto" w:fill="4C4C4C"/>
          </w:tcPr>
          <w:p>
            <w:pPr>
              <w:spacing w:after="0"/>
              <w:rPr>
                <w:sz w:val="9"/>
                <w:szCs w:val="9"/>
                <w:color w:val="auto"/>
              </w:rPr>
            </w:pPr>
          </w:p>
        </w:tc>
        <w:tc>
          <w:tcPr>
            <w:tcW w:w="820" w:type="dxa"/>
            <w:vAlign w:val="bottom"/>
            <w:tcBorders>
              <w:bottom w:val="single" w:sz="8" w:color="4C4C4C"/>
            </w:tcBorders>
            <w:shd w:val="clear" w:color="auto" w:fill="4C4C4C"/>
          </w:tcPr>
          <w:p>
            <w:pPr>
              <w:spacing w:after="0"/>
              <w:rPr>
                <w:sz w:val="9"/>
                <w:szCs w:val="9"/>
                <w:color w:val="auto"/>
              </w:rPr>
            </w:pPr>
          </w:p>
        </w:tc>
        <w:tc>
          <w:tcPr>
            <w:tcW w:w="620" w:type="dxa"/>
            <w:vAlign w:val="bottom"/>
            <w:tcBorders>
              <w:bottom w:val="single" w:sz="8" w:color="4C4C4C"/>
            </w:tcBorders>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84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beginning at January 1</w:t>
            </w:r>
          </w:p>
        </w:tc>
        <w:tc>
          <w:tcPr>
            <w:tcW w:w="6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3,512</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20"/>
                <w:szCs w:val="20"/>
                <w:b w:val="1"/>
                <w:bCs w:val="1"/>
                <w:color w:val="auto"/>
              </w:rPr>
              <w:t>4,120</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4,382</w:t>
            </w:r>
          </w:p>
        </w:tc>
        <w:tc>
          <w:tcPr>
            <w:tcW w:w="0" w:type="dxa"/>
            <w:vAlign w:val="bottom"/>
          </w:tcPr>
          <w:p>
            <w:pPr>
              <w:spacing w:after="0"/>
              <w:rPr>
                <w:sz w:val="1"/>
                <w:szCs w:val="1"/>
                <w:color w:val="auto"/>
              </w:rPr>
            </w:pPr>
          </w:p>
        </w:tc>
      </w:tr>
      <w:tr>
        <w:trPr>
          <w:trHeight w:val="294"/>
        </w:trPr>
        <w:tc>
          <w:tcPr>
            <w:tcW w:w="8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pending the determination of proved reserves</w:t>
            </w:r>
          </w:p>
        </w:tc>
        <w:tc>
          <w:tcPr>
            <w:tcW w:w="6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378</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0" w:type="dxa"/>
            <w:vAlign w:val="bottom"/>
          </w:tcPr>
          <w:p>
            <w:pPr>
              <w:spacing w:after="0"/>
              <w:rPr>
                <w:sz w:val="1"/>
                <w:szCs w:val="1"/>
                <w:color w:val="auto"/>
              </w:rPr>
            </w:pPr>
          </w:p>
        </w:tc>
      </w:tr>
      <w:tr>
        <w:trPr>
          <w:trHeight w:val="294"/>
        </w:trPr>
        <w:tc>
          <w:tcPr>
            <w:tcW w:w="8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Charged to expense</w:t>
            </w:r>
          </w:p>
        </w:tc>
        <w:tc>
          <w:tcPr>
            <w:tcW w:w="6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(259)</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0" w:type="dxa"/>
            <w:vAlign w:val="bottom"/>
          </w:tcPr>
          <w:p>
            <w:pPr>
              <w:spacing w:after="0"/>
              <w:rPr>
                <w:sz w:val="1"/>
                <w:szCs w:val="1"/>
                <w:color w:val="auto"/>
              </w:rPr>
            </w:pPr>
          </w:p>
        </w:tc>
      </w:tr>
      <w:tr>
        <w:trPr>
          <w:trHeight w:val="294"/>
        </w:trPr>
        <w:tc>
          <w:tcPr>
            <w:tcW w:w="8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Reclassifications to wells, facilities and equipment based on the determination of proved reserves</w:t>
            </w:r>
          </w:p>
        </w:tc>
        <w:tc>
          <w:tcPr>
            <w:tcW w:w="6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(142)</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0" w:type="dxa"/>
            <w:vAlign w:val="bottom"/>
          </w:tcPr>
          <w:p>
            <w:pPr>
              <w:spacing w:after="0"/>
              <w:rPr>
                <w:sz w:val="1"/>
                <w:szCs w:val="1"/>
                <w:color w:val="auto"/>
              </w:rPr>
            </w:pPr>
          </w:p>
        </w:tc>
      </w:tr>
      <w:tr>
        <w:trPr>
          <w:trHeight w:val="297"/>
        </w:trPr>
        <w:tc>
          <w:tcPr>
            <w:tcW w:w="84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Divestments/Other</w:t>
            </w:r>
          </w:p>
        </w:tc>
        <w:tc>
          <w:tcPr>
            <w:tcW w:w="6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20" w:type="dxa"/>
            <w:vAlign w:val="bottom"/>
            <w:tcBorders>
              <w:bottom w:val="single" w:sz="8" w:color="4C4C4C"/>
            </w:tcBorders>
          </w:tcPr>
          <w:p>
            <w:pPr>
              <w:jc w:val="right"/>
              <w:ind w:right="5"/>
              <w:spacing w:after="0"/>
              <w:rPr>
                <w:sz w:val="20"/>
                <w:szCs w:val="20"/>
                <w:color w:val="auto"/>
              </w:rPr>
            </w:pPr>
            <w:r>
              <w:rPr>
                <w:rFonts w:ascii="Times New Roman" w:cs="Times New Roman" w:eastAsia="Times New Roman" w:hAnsi="Times New Roman"/>
                <w:sz w:val="20"/>
                <w:szCs w:val="20"/>
                <w:color w:val="auto"/>
              </w:rPr>
              <w:t>(585)</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74"/>
        </w:trPr>
        <w:tc>
          <w:tcPr>
            <w:tcW w:w="84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Ending balance at December 31</w:t>
            </w:r>
          </w:p>
        </w:tc>
        <w:tc>
          <w:tcPr>
            <w:tcW w:w="6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3,559</w:t>
            </w:r>
          </w:p>
        </w:tc>
        <w:tc>
          <w:tcPr>
            <w:tcW w:w="820" w:type="dxa"/>
            <w:vAlign w:val="bottom"/>
            <w:tcBorders>
              <w:bottom w:val="single" w:sz="8" w:color="4C4C4C"/>
            </w:tcBorders>
          </w:tcPr>
          <w:p>
            <w:pPr>
              <w:jc w:val="right"/>
              <w:ind w:right="85"/>
              <w:spacing w:after="0"/>
              <w:rPr>
                <w:sz w:val="20"/>
                <w:szCs w:val="20"/>
                <w:color w:val="auto"/>
              </w:rPr>
            </w:pPr>
            <w:r>
              <w:rPr>
                <w:rFonts w:ascii="Times New Roman" w:cs="Times New Roman" w:eastAsia="Times New Roman" w:hAnsi="Times New Roman"/>
                <w:sz w:val="20"/>
                <w:szCs w:val="20"/>
                <w:b w:val="1"/>
                <w:bCs w:val="1"/>
                <w:color w:val="auto"/>
              </w:rPr>
              <w:t>3,512</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4,120</w:t>
            </w:r>
          </w:p>
        </w:tc>
        <w:tc>
          <w:tcPr>
            <w:tcW w:w="0" w:type="dxa"/>
            <w:vAlign w:val="bottom"/>
          </w:tcPr>
          <w:p>
            <w:pPr>
              <w:spacing w:after="0"/>
              <w:rPr>
                <w:sz w:val="1"/>
                <w:szCs w:val="1"/>
                <w:color w:val="auto"/>
              </w:rPr>
            </w:pPr>
          </w:p>
        </w:tc>
      </w:tr>
      <w:tr>
        <w:trPr>
          <w:trHeight w:val="277"/>
        </w:trPr>
        <w:tc>
          <w:tcPr>
            <w:tcW w:w="84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Ending balance attributed to equity companies included above</w:t>
            </w:r>
          </w:p>
        </w:tc>
        <w:tc>
          <w:tcPr>
            <w:tcW w:w="6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820" w:type="dxa"/>
            <w:vAlign w:val="bottom"/>
            <w:tcBorders>
              <w:bottom w:val="single" w:sz="8" w:color="4C4C4C"/>
            </w:tcBorders>
          </w:tcPr>
          <w:p>
            <w:pPr>
              <w:jc w:val="right"/>
              <w:ind w:right="85"/>
              <w:spacing w:after="0"/>
              <w:rPr>
                <w:sz w:val="20"/>
                <w:szCs w:val="20"/>
                <w:color w:val="auto"/>
              </w:rPr>
            </w:pPr>
            <w:r>
              <w:rPr>
                <w:rFonts w:ascii="Times New Roman" w:cs="Times New Roman" w:eastAsia="Times New Roman" w:hAnsi="Times New Roman"/>
                <w:sz w:val="20"/>
                <w:szCs w:val="20"/>
                <w:color w:val="auto"/>
              </w:rPr>
              <w:t>306</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0" w:type="dxa"/>
            <w:vAlign w:val="bottom"/>
          </w:tcPr>
          <w:p>
            <w:pPr>
              <w:spacing w:after="0"/>
              <w:rPr>
                <w:sz w:val="1"/>
                <w:szCs w:val="1"/>
                <w:color w:val="auto"/>
              </w:rPr>
            </w:pPr>
          </w:p>
        </w:tc>
      </w:tr>
      <w:tr>
        <w:trPr>
          <w:trHeight w:val="515"/>
        </w:trPr>
        <w:tc>
          <w:tcPr>
            <w:tcW w:w="8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Borders>
              <w:right w:val="single" w:sz="8" w:color="4C4C4C"/>
            </w:tcBorders>
            <w:shd w:val="clear" w:color="auto" w:fill="4C4C4C"/>
          </w:tcPr>
          <w:p>
            <w:pPr>
              <w:ind w:left="60"/>
              <w:spacing w:after="0" w:line="204" w:lineRule="exact"/>
              <w:rPr>
                <w:sz w:val="20"/>
                <w:szCs w:val="20"/>
                <w:color w:val="auto"/>
              </w:rPr>
            </w:pPr>
            <w:r>
              <w:rPr>
                <w:rFonts w:ascii="Times New Roman" w:cs="Times New Roman" w:eastAsia="Times New Roman" w:hAnsi="Times New Roman"/>
                <w:sz w:val="20"/>
                <w:szCs w:val="20"/>
                <w:b w:val="1"/>
                <w:bCs w:val="1"/>
                <w:color w:val="FFFFFF"/>
              </w:rPr>
              <w:t>Period-end capitalized suspended exploratory well costs</w:t>
            </w:r>
          </w:p>
        </w:tc>
        <w:tc>
          <w:tcPr>
            <w:tcW w:w="6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20" w:type="dxa"/>
            <w:vAlign w:val="bottom"/>
            <w:vMerge w:val="restart"/>
            <w:shd w:val="clear" w:color="auto" w:fill="4C4C4C"/>
          </w:tcPr>
          <w:p>
            <w:pPr>
              <w:jc w:val="right"/>
              <w:ind w:right="6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2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5"/>
        </w:trPr>
        <w:tc>
          <w:tcPr>
            <w:tcW w:w="8400" w:type="dxa"/>
            <w:vAlign w:val="bottom"/>
            <w:tcBorders>
              <w:right w:val="single" w:sz="8" w:color="4C4C4C"/>
            </w:tcBorders>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640" w:type="dxa"/>
            <w:vAlign w:val="bottom"/>
            <w:vMerge w:val="continue"/>
            <w:shd w:val="clear" w:color="auto" w:fill="4C4C4C"/>
          </w:tcPr>
          <w:p>
            <w:pPr>
              <w:spacing w:after="0"/>
              <w:rPr>
                <w:sz w:val="9"/>
                <w:szCs w:val="9"/>
                <w:color w:val="auto"/>
              </w:rPr>
            </w:pPr>
          </w:p>
        </w:tc>
        <w:tc>
          <w:tcPr>
            <w:tcW w:w="820" w:type="dxa"/>
            <w:vAlign w:val="bottom"/>
            <w:vMerge w:val="continue"/>
            <w:shd w:val="clear" w:color="auto" w:fill="4C4C4C"/>
          </w:tcPr>
          <w:p>
            <w:pPr>
              <w:spacing w:after="0"/>
              <w:rPr>
                <w:sz w:val="9"/>
                <w:szCs w:val="9"/>
                <w:color w:val="auto"/>
              </w:rPr>
            </w:pPr>
          </w:p>
        </w:tc>
        <w:tc>
          <w:tcPr>
            <w:tcW w:w="62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400" w:type="dxa"/>
            <w:vAlign w:val="bottom"/>
            <w:tcBorders>
              <w:right w:val="single" w:sz="8" w:color="4C4C4C"/>
            </w:tcBorders>
            <w:vMerge w:val="continue"/>
            <w:shd w:val="clear" w:color="auto" w:fill="4C4C4C"/>
          </w:tcPr>
          <w:p>
            <w:pPr>
              <w:spacing w:after="0"/>
              <w:rPr>
                <w:sz w:val="10"/>
                <w:szCs w:val="10"/>
                <w:color w:val="auto"/>
              </w:rPr>
            </w:pPr>
          </w:p>
        </w:tc>
        <w:tc>
          <w:tcPr>
            <w:tcW w:w="640" w:type="dxa"/>
            <w:vAlign w:val="bottom"/>
            <w:shd w:val="clear" w:color="auto" w:fill="4C4C4C"/>
          </w:tcPr>
          <w:p>
            <w:pPr>
              <w:spacing w:after="0"/>
              <w:rPr>
                <w:sz w:val="10"/>
                <w:szCs w:val="10"/>
                <w:color w:val="auto"/>
              </w:rPr>
            </w:pPr>
          </w:p>
        </w:tc>
        <w:tc>
          <w:tcPr>
            <w:tcW w:w="820" w:type="dxa"/>
            <w:vAlign w:val="bottom"/>
            <w:shd w:val="clear" w:color="auto" w:fill="4C4C4C"/>
          </w:tcPr>
          <w:p>
            <w:pPr>
              <w:spacing w:after="0"/>
              <w:rPr>
                <w:sz w:val="10"/>
                <w:szCs w:val="10"/>
                <w:color w:val="auto"/>
              </w:rPr>
            </w:pPr>
          </w:p>
        </w:tc>
        <w:tc>
          <w:tcPr>
            <w:tcW w:w="62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389"/>
        </w:trPr>
        <w:tc>
          <w:tcPr>
            <w:tcW w:w="8400" w:type="dxa"/>
            <w:vAlign w:val="bottom"/>
            <w:tcBorders>
              <w:bottom w:val="single" w:sz="8" w:color="4C4C4C"/>
              <w:right w:val="single" w:sz="8" w:color="F0F0F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Capitalized for a period of one year or less</w:t>
            </w:r>
          </w:p>
        </w:tc>
        <w:tc>
          <w:tcPr>
            <w:tcW w:w="6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200</w:t>
            </w:r>
          </w:p>
        </w:tc>
        <w:tc>
          <w:tcPr>
            <w:tcW w:w="820" w:type="dxa"/>
            <w:vAlign w:val="bottom"/>
            <w:tcBorders>
              <w:bottom w:val="single" w:sz="8" w:color="4C4C4C"/>
            </w:tcBorders>
          </w:tcPr>
          <w:p>
            <w:pPr>
              <w:jc w:val="right"/>
              <w:ind w:right="85"/>
              <w:spacing w:after="0"/>
              <w:rPr>
                <w:sz w:val="20"/>
                <w:szCs w:val="20"/>
                <w:color w:val="auto"/>
              </w:rPr>
            </w:pPr>
            <w:r>
              <w:rPr>
                <w:rFonts w:ascii="Times New Roman" w:cs="Times New Roman" w:eastAsia="Times New Roman" w:hAnsi="Times New Roman"/>
                <w:sz w:val="20"/>
                <w:szCs w:val="20"/>
                <w:b w:val="1"/>
                <w:bCs w:val="1"/>
                <w:color w:val="auto"/>
              </w:rPr>
              <w:t>378</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420</w:t>
            </w:r>
          </w:p>
        </w:tc>
        <w:tc>
          <w:tcPr>
            <w:tcW w:w="0" w:type="dxa"/>
            <w:vAlign w:val="bottom"/>
          </w:tcPr>
          <w:p>
            <w:pPr>
              <w:spacing w:after="0"/>
              <w:rPr>
                <w:sz w:val="1"/>
                <w:szCs w:val="1"/>
                <w:color w:val="auto"/>
              </w:rPr>
            </w:pPr>
          </w:p>
        </w:tc>
      </w:tr>
      <w:tr>
        <w:trPr>
          <w:trHeight w:val="271"/>
        </w:trPr>
        <w:tc>
          <w:tcPr>
            <w:tcW w:w="8400" w:type="dxa"/>
            <w:vAlign w:val="bottom"/>
            <w:tcBorders>
              <w:right w:val="single" w:sz="8" w:color="F0F0F0"/>
            </w:tcBorders>
          </w:tcPr>
          <w:p>
            <w:pPr>
              <w:ind w:left="60"/>
              <w:spacing w:after="0"/>
              <w:rPr>
                <w:sz w:val="20"/>
                <w:szCs w:val="20"/>
                <w:color w:val="auto"/>
              </w:rPr>
            </w:pPr>
            <w:r>
              <w:rPr>
                <w:rFonts w:ascii="Times New Roman" w:cs="Times New Roman" w:eastAsia="Times New Roman" w:hAnsi="Times New Roman"/>
                <w:sz w:val="20"/>
                <w:szCs w:val="20"/>
                <w:color w:val="auto"/>
              </w:rPr>
              <w:t>Capitalized for a period of between one and five years</w:t>
            </w:r>
          </w:p>
        </w:tc>
        <w:tc>
          <w:tcPr>
            <w:tcW w:w="6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1,030</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969</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0" w:type="dxa"/>
            <w:vAlign w:val="bottom"/>
          </w:tcPr>
          <w:p>
            <w:pPr>
              <w:spacing w:after="0"/>
              <w:rPr>
                <w:sz w:val="1"/>
                <w:szCs w:val="1"/>
                <w:color w:val="auto"/>
              </w:rPr>
            </w:pPr>
          </w:p>
        </w:tc>
      </w:tr>
      <w:tr>
        <w:trPr>
          <w:trHeight w:val="294"/>
        </w:trPr>
        <w:tc>
          <w:tcPr>
            <w:tcW w:w="8400" w:type="dxa"/>
            <w:vAlign w:val="bottom"/>
            <w:tcBorders>
              <w:right w:val="single" w:sz="8" w:color="F0F0F0"/>
            </w:tcBorders>
          </w:tcPr>
          <w:p>
            <w:pPr>
              <w:ind w:left="60"/>
              <w:spacing w:after="0"/>
              <w:rPr>
                <w:sz w:val="20"/>
                <w:szCs w:val="20"/>
                <w:color w:val="auto"/>
              </w:rPr>
            </w:pPr>
            <w:r>
              <w:rPr>
                <w:rFonts w:ascii="Times New Roman" w:cs="Times New Roman" w:eastAsia="Times New Roman" w:hAnsi="Times New Roman"/>
                <w:sz w:val="20"/>
                <w:szCs w:val="20"/>
                <w:color w:val="auto"/>
              </w:rPr>
              <w:t>Capitalized for a period of between five and ten years</w:t>
            </w:r>
          </w:p>
        </w:tc>
        <w:tc>
          <w:tcPr>
            <w:tcW w:w="6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1,411</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1,410</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w:t>
            </w:r>
          </w:p>
        </w:tc>
        <w:tc>
          <w:tcPr>
            <w:tcW w:w="0" w:type="dxa"/>
            <w:vAlign w:val="bottom"/>
          </w:tcPr>
          <w:p>
            <w:pPr>
              <w:spacing w:after="0"/>
              <w:rPr>
                <w:sz w:val="1"/>
                <w:szCs w:val="1"/>
                <w:color w:val="auto"/>
              </w:rPr>
            </w:pPr>
          </w:p>
        </w:tc>
      </w:tr>
      <w:tr>
        <w:trPr>
          <w:trHeight w:val="297"/>
        </w:trPr>
        <w:tc>
          <w:tcPr>
            <w:tcW w:w="8400" w:type="dxa"/>
            <w:vAlign w:val="bottom"/>
            <w:tcBorders>
              <w:bottom w:val="single" w:sz="8" w:color="4C4C4C"/>
              <w:right w:val="single" w:sz="8" w:color="F0F0F0"/>
            </w:tcBorders>
          </w:tcPr>
          <w:p>
            <w:pPr>
              <w:ind w:left="60"/>
              <w:spacing w:after="0"/>
              <w:rPr>
                <w:sz w:val="20"/>
                <w:szCs w:val="20"/>
                <w:color w:val="auto"/>
              </w:rPr>
            </w:pPr>
            <w:r>
              <w:rPr>
                <w:rFonts w:ascii="Times New Roman" w:cs="Times New Roman" w:eastAsia="Times New Roman" w:hAnsi="Times New Roman"/>
                <w:sz w:val="20"/>
                <w:szCs w:val="20"/>
                <w:color w:val="auto"/>
              </w:rPr>
              <w:t>Capitalized for a period of greater than ten years</w:t>
            </w:r>
          </w:p>
        </w:tc>
        <w:tc>
          <w:tcPr>
            <w:tcW w:w="6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820" w:type="dxa"/>
            <w:vAlign w:val="bottom"/>
            <w:tcBorders>
              <w:bottom w:val="single" w:sz="8" w:color="4C4C4C"/>
            </w:tcBorders>
          </w:tcPr>
          <w:p>
            <w:pPr>
              <w:jc w:val="right"/>
              <w:ind w:right="85"/>
              <w:spacing w:after="0"/>
              <w:rPr>
                <w:sz w:val="20"/>
                <w:szCs w:val="20"/>
                <w:color w:val="auto"/>
              </w:rPr>
            </w:pPr>
            <w:r>
              <w:rPr>
                <w:rFonts w:ascii="Times New Roman" w:cs="Times New Roman" w:eastAsia="Times New Roman" w:hAnsi="Times New Roman"/>
                <w:sz w:val="20"/>
                <w:szCs w:val="20"/>
                <w:color w:val="auto"/>
              </w:rPr>
              <w:t>755</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0" w:type="dxa"/>
            <w:vAlign w:val="bottom"/>
          </w:tcPr>
          <w:p>
            <w:pPr>
              <w:spacing w:after="0"/>
              <w:rPr>
                <w:sz w:val="1"/>
                <w:szCs w:val="1"/>
                <w:color w:val="auto"/>
              </w:rPr>
            </w:pPr>
          </w:p>
        </w:tc>
      </w:tr>
      <w:tr>
        <w:trPr>
          <w:trHeight w:val="274"/>
        </w:trPr>
        <w:tc>
          <w:tcPr>
            <w:tcW w:w="8400" w:type="dxa"/>
            <w:vAlign w:val="bottom"/>
            <w:tcBorders>
              <w:bottom w:val="single" w:sz="8" w:color="4C4C4C"/>
              <w:right w:val="single" w:sz="8" w:color="F0F0F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Capitalized for a period greater than one year - subtotal</w:t>
            </w:r>
          </w:p>
        </w:tc>
        <w:tc>
          <w:tcPr>
            <w:tcW w:w="6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3,359</w:t>
            </w:r>
          </w:p>
        </w:tc>
        <w:tc>
          <w:tcPr>
            <w:tcW w:w="820" w:type="dxa"/>
            <w:vAlign w:val="bottom"/>
            <w:tcBorders>
              <w:bottom w:val="single" w:sz="8" w:color="4C4C4C"/>
            </w:tcBorders>
          </w:tcPr>
          <w:p>
            <w:pPr>
              <w:jc w:val="right"/>
              <w:ind w:right="85"/>
              <w:spacing w:after="0"/>
              <w:rPr>
                <w:sz w:val="20"/>
                <w:szCs w:val="20"/>
                <w:color w:val="auto"/>
              </w:rPr>
            </w:pPr>
            <w:r>
              <w:rPr>
                <w:rFonts w:ascii="Times New Roman" w:cs="Times New Roman" w:eastAsia="Times New Roman" w:hAnsi="Times New Roman"/>
                <w:sz w:val="20"/>
                <w:szCs w:val="20"/>
                <w:b w:val="1"/>
                <w:bCs w:val="1"/>
                <w:color w:val="auto"/>
              </w:rPr>
              <w:t>3,134</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3,700</w:t>
            </w:r>
          </w:p>
        </w:tc>
        <w:tc>
          <w:tcPr>
            <w:tcW w:w="0" w:type="dxa"/>
            <w:vAlign w:val="bottom"/>
          </w:tcPr>
          <w:p>
            <w:pPr>
              <w:spacing w:after="0"/>
              <w:rPr>
                <w:sz w:val="1"/>
                <w:szCs w:val="1"/>
                <w:color w:val="auto"/>
              </w:rPr>
            </w:pPr>
          </w:p>
        </w:tc>
      </w:tr>
      <w:tr>
        <w:trPr>
          <w:trHeight w:val="277"/>
        </w:trPr>
        <w:tc>
          <w:tcPr>
            <w:tcW w:w="8400" w:type="dxa"/>
            <w:vAlign w:val="bottom"/>
            <w:tcBorders>
              <w:bottom w:val="single" w:sz="8" w:color="4C4C4C"/>
              <w:right w:val="single" w:sz="8" w:color="F0F0F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3,559</w:t>
            </w:r>
          </w:p>
        </w:tc>
        <w:tc>
          <w:tcPr>
            <w:tcW w:w="820" w:type="dxa"/>
            <w:vAlign w:val="bottom"/>
            <w:tcBorders>
              <w:bottom w:val="single" w:sz="8" w:color="4C4C4C"/>
            </w:tcBorders>
          </w:tcPr>
          <w:p>
            <w:pPr>
              <w:jc w:val="right"/>
              <w:ind w:right="85"/>
              <w:spacing w:after="0"/>
              <w:rPr>
                <w:sz w:val="20"/>
                <w:szCs w:val="20"/>
                <w:color w:val="auto"/>
              </w:rPr>
            </w:pPr>
            <w:r>
              <w:rPr>
                <w:rFonts w:ascii="Times New Roman" w:cs="Times New Roman" w:eastAsia="Times New Roman" w:hAnsi="Times New Roman"/>
                <w:sz w:val="20"/>
                <w:szCs w:val="20"/>
                <w:b w:val="1"/>
                <w:bCs w:val="1"/>
                <w:color w:val="auto"/>
              </w:rPr>
              <w:t>3,512</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5325745</wp:posOffset>
                </wp:positionH>
                <wp:positionV relativeFrom="paragraph">
                  <wp:posOffset>-1986280</wp:posOffset>
                </wp:positionV>
                <wp:extent cx="3683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3111">
                          <a:solidFill>
                            <a:srgbClr val="4C4C4C"/>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35pt,-156.3999pt" to="422.25pt,-156.3999pt" o:allowincell="f" strokecolor="#4C4C4C" strokeweight="0.245pt"/>
            </w:pict>
          </mc:Fallback>
        </mc:AlternateContent>
        <w:drawing>
          <wp:anchor simplePos="0" relativeHeight="251657728" behindDoc="1" locked="0" layoutInCell="0" allowOverlap="1">
            <wp:simplePos x="0" y="0"/>
            <wp:positionH relativeFrom="column">
              <wp:posOffset>5308600</wp:posOffset>
            </wp:positionH>
            <wp:positionV relativeFrom="paragraph">
              <wp:posOffset>-210820</wp:posOffset>
            </wp:positionV>
            <wp:extent cx="62230" cy="31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7">
                      <a:extLst>
                        <a:ext uri="{28A0092B-C50C-407E-A947-70E740481C1C}"/>
                      </a:extLst>
                    </a:blip>
                    <a:srcRect/>
                    <a:stretch>
                      <a:fillRect/>
                    </a:stretch>
                  </pic:blipFill>
                  <pic:spPr bwMode="auto">
                    <a:xfrm>
                      <a:off x="0" y="0"/>
                      <a:ext cx="62230" cy="311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Exploration activity often involves drilling multiple wells, over a number of years, to fully evaluate a project. The table below provides a breakdown of the number of projects with only exploratory well costs capitalized for a period of one year or less and those that have had exploratory well costs capitalized for a period greater than one year.</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8380" w:type="dxa"/>
            <w:vAlign w:val="bottom"/>
            <w:tcBorders>
              <w:bottom w:val="single" w:sz="8" w:color="4C4C4C"/>
            </w:tcBorders>
            <w:shd w:val="clear" w:color="auto" w:fill="4C4C4C"/>
          </w:tcPr>
          <w:p>
            <w:pPr>
              <w:spacing w:after="0"/>
              <w:rPr>
                <w:sz w:val="23"/>
                <w:szCs w:val="23"/>
                <w:color w:val="auto"/>
              </w:rPr>
            </w:pPr>
          </w:p>
        </w:tc>
        <w:tc>
          <w:tcPr>
            <w:tcW w:w="6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80" w:type="dxa"/>
            <w:vAlign w:val="bottom"/>
            <w:tcBorders>
              <w:bottom w:val="single" w:sz="8" w:color="4C4C4C"/>
            </w:tcBorders>
            <w:shd w:val="clear" w:color="auto" w:fill="4C4C4C"/>
          </w:tcPr>
          <w:p>
            <w:pPr>
              <w:jc w:val="right"/>
              <w:ind w:right="107"/>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5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85"/>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Number of projects that only have exploratory well costs capitalized for a period of one year or less</w:t>
            </w:r>
          </w:p>
        </w:tc>
        <w:tc>
          <w:tcPr>
            <w:tcW w:w="660" w:type="dxa"/>
            <w:vAlign w:val="bottom"/>
            <w:shd w:val="clear" w:color="auto" w:fill="F0F0F0"/>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10</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9"/>
        </w:trPr>
        <w:tc>
          <w:tcPr>
            <w:tcW w:w="83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Number of projects that have exploratory well costs capitalized for a period greater than one year</w:t>
            </w:r>
          </w:p>
        </w:tc>
        <w:tc>
          <w:tcPr>
            <w:tcW w:w="660" w:type="dxa"/>
            <w:vAlign w:val="bottom"/>
            <w:tcBorders>
              <w:bottom w:val="single" w:sz="8" w:color="4C4C4C"/>
            </w:tcBorders>
            <w:shd w:val="clear" w:color="auto" w:fill="F0F0F0"/>
          </w:tcPr>
          <w:p>
            <w:pPr>
              <w:ind w:left="400"/>
              <w:spacing w:after="0"/>
              <w:rPr>
                <w:sz w:val="20"/>
                <w:szCs w:val="20"/>
                <w:color w:val="auto"/>
              </w:rPr>
            </w:pPr>
            <w:r>
              <w:rPr>
                <w:rFonts w:ascii="Times New Roman" w:cs="Times New Roman" w:eastAsia="Times New Roman" w:hAnsi="Times New Roman"/>
                <w:sz w:val="20"/>
                <w:szCs w:val="20"/>
                <w:color w:val="auto"/>
              </w:rPr>
              <w:t>31</w:t>
            </w:r>
          </w:p>
        </w:tc>
        <w:tc>
          <w:tcPr>
            <w:tcW w:w="88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color w:val="auto"/>
              </w:rPr>
              <w:t>26</w:t>
            </w:r>
          </w:p>
        </w:tc>
        <w:tc>
          <w:tcPr>
            <w:tcW w:w="5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75"/>
        </w:trPr>
        <w:tc>
          <w:tcPr>
            <w:tcW w:w="83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60" w:type="dxa"/>
            <w:vAlign w:val="bottom"/>
            <w:tcBorders>
              <w:bottom w:val="single" w:sz="8" w:color="4C4C4C"/>
            </w:tcBorders>
            <w:shd w:val="clear" w:color="auto" w:fill="F0F0F0"/>
          </w:tcPr>
          <w:p>
            <w:pPr>
              <w:ind w:left="400"/>
              <w:spacing w:after="0"/>
              <w:rPr>
                <w:sz w:val="20"/>
                <w:szCs w:val="20"/>
                <w:color w:val="auto"/>
              </w:rPr>
            </w:pPr>
            <w:r>
              <w:rPr>
                <w:rFonts w:ascii="Times New Roman" w:cs="Times New Roman" w:eastAsia="Times New Roman" w:hAnsi="Times New Roman"/>
                <w:sz w:val="20"/>
                <w:szCs w:val="20"/>
                <w:b w:val="1"/>
                <w:bCs w:val="1"/>
                <w:color w:val="auto"/>
              </w:rPr>
              <w:t>31</w:t>
            </w:r>
          </w:p>
        </w:tc>
        <w:tc>
          <w:tcPr>
            <w:tcW w:w="88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b w:val="1"/>
                <w:bCs w:val="1"/>
                <w:color w:val="auto"/>
              </w:rPr>
              <w:t>36</w:t>
            </w:r>
          </w:p>
        </w:tc>
        <w:tc>
          <w:tcPr>
            <w:tcW w:w="5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-233045</wp:posOffset>
            </wp:positionV>
            <wp:extent cx="6739255" cy="261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8">
                      <a:extLst>
                        <a:ext uri="{28A0092B-C50C-407E-A947-70E740481C1C}"/>
                      </a:extLst>
                    </a:blip>
                    <a:srcRect/>
                    <a:stretch>
                      <a:fillRect/>
                    </a:stretch>
                  </pic:blipFill>
                  <pic:spPr bwMode="auto">
                    <a:xfrm>
                      <a:off x="0" y="0"/>
                      <a:ext cx="6739255" cy="261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Of the 31 projects that have exploratory well costs capitalized for a period greater than one year as of December 31, 2023, 16 projects have drilling in the preceding year or exploratory activity planned in the next two years, while the remaining 15 projects are those with completed exploratory activity progressing toward development.</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600"/>
          </w:cols>
          <w:pgMar w:left="640" w:top="270" w:right="64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provides additional detail for those 15 projects, which total $2,389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273050</wp:posOffset>
            </wp:positionV>
            <wp:extent cx="5038090" cy="4737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9">
                      <a:extLst>
                        <a:ext uri="{28A0092B-C50C-407E-A947-70E740481C1C}"/>
                      </a:extLst>
                    </a:blip>
                    <a:srcRect/>
                    <a:stretch>
                      <a:fillRect/>
                    </a:stretch>
                  </pic:blipFill>
                  <pic:spPr bwMode="auto">
                    <a:xfrm>
                      <a:off x="0" y="0"/>
                      <a:ext cx="5038090" cy="47371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258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Country/Project</w:t>
            </w:r>
          </w:p>
        </w:tc>
        <w:tc>
          <w:tcPr>
            <w:tcW w:w="14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December 31,</w:t>
            </w:r>
          </w:p>
        </w:tc>
        <w:tc>
          <w:tcPr>
            <w:tcW w:w="12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Years Wells</w:t>
            </w:r>
          </w:p>
        </w:tc>
        <w:tc>
          <w:tcPr>
            <w:tcW w:w="5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FFFFFF"/>
              </w:rPr>
              <w:t>Comment</w:t>
            </w:r>
          </w:p>
        </w:tc>
        <w:tc>
          <w:tcPr>
            <w:tcW w:w="0" w:type="dxa"/>
            <w:vAlign w:val="bottom"/>
          </w:tcPr>
          <w:p>
            <w:pPr>
              <w:spacing w:after="0"/>
              <w:rPr>
                <w:sz w:val="1"/>
                <w:szCs w:val="1"/>
                <w:color w:val="auto"/>
              </w:rPr>
            </w:pPr>
          </w:p>
        </w:tc>
      </w:tr>
      <w:tr>
        <w:trPr>
          <w:trHeight w:val="208"/>
        </w:trPr>
        <w:tc>
          <w:tcPr>
            <w:tcW w:w="2580" w:type="dxa"/>
            <w:vAlign w:val="bottom"/>
            <w:tcBorders>
              <w:bottom w:val="single" w:sz="8" w:color="4C4C4C"/>
            </w:tcBorders>
            <w:vMerge w:val="continue"/>
            <w:shd w:val="clear" w:color="auto" w:fill="4C4C4C"/>
          </w:tcPr>
          <w:p>
            <w:pPr>
              <w:spacing w:after="0"/>
              <w:rPr>
                <w:sz w:val="18"/>
                <w:szCs w:val="18"/>
                <w:color w:val="auto"/>
              </w:rPr>
            </w:pPr>
          </w:p>
        </w:tc>
        <w:tc>
          <w:tcPr>
            <w:tcW w:w="1460" w:type="dxa"/>
            <w:vAlign w:val="bottom"/>
            <w:tcBorders>
              <w:bottom w:val="single" w:sz="8" w:color="4C4C4C"/>
            </w:tcBorders>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9"/>
              </w:rPr>
              <w:t>2023</w:t>
            </w:r>
          </w:p>
        </w:tc>
        <w:tc>
          <w:tcPr>
            <w:tcW w:w="1260" w:type="dxa"/>
            <w:vAlign w:val="bottom"/>
            <w:tcBorders>
              <w:bottom w:val="single" w:sz="8" w:color="4C4C4C"/>
            </w:tcBorders>
            <w:shd w:val="clear" w:color="auto" w:fill="4C4C4C"/>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FFFFFF"/>
                <w:w w:val="99"/>
              </w:rPr>
              <w:t>Drilled /</w:t>
            </w:r>
          </w:p>
        </w:tc>
        <w:tc>
          <w:tcPr>
            <w:tcW w:w="5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80" w:type="dxa"/>
            <w:vAlign w:val="bottom"/>
            <w:shd w:val="clear" w:color="auto" w:fill="4C4C4C"/>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FFFFFF"/>
                <w:w w:val="97"/>
              </w:rPr>
              <w:t>(millions of dollars)</w:t>
            </w:r>
          </w:p>
        </w:tc>
        <w:tc>
          <w:tcPr>
            <w:tcW w:w="1260" w:type="dxa"/>
            <w:vAlign w:val="bottom"/>
            <w:shd w:val="clear" w:color="auto" w:fill="4C4C4C"/>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FFFFFF"/>
                <w:w w:val="97"/>
              </w:rPr>
              <w:t>Acquired</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Angola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Block 32 Central NE Hub</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2007 - 2021</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Evaluating development plan to tie into existing infrastructure.</w:t>
            </w:r>
          </w:p>
        </w:tc>
        <w:tc>
          <w:tcPr>
            <w:tcW w:w="0" w:type="dxa"/>
            <w:vAlign w:val="bottom"/>
          </w:tcPr>
          <w:p>
            <w:pPr>
              <w:spacing w:after="0"/>
              <w:rPr>
                <w:sz w:val="1"/>
                <w:szCs w:val="1"/>
                <w:color w:val="auto"/>
              </w:rPr>
            </w:pPr>
          </w:p>
        </w:tc>
      </w:tr>
      <w:tr>
        <w:trPr>
          <w:trHeight w:val="32"/>
        </w:trPr>
        <w:tc>
          <w:tcPr>
            <w:tcW w:w="2580" w:type="dxa"/>
            <w:vAlign w:val="bottom"/>
            <w:tcBorders>
              <w:bottom w:val="single" w:sz="8" w:color="4C4C4C"/>
            </w:tcBorders>
          </w:tcPr>
          <w:p>
            <w:pPr>
              <w:spacing w:after="0"/>
              <w:rPr>
                <w:sz w:val="2"/>
                <w:szCs w:val="2"/>
                <w:color w:val="auto"/>
              </w:rPr>
            </w:pPr>
          </w:p>
        </w:tc>
        <w:tc>
          <w:tcPr>
            <w:tcW w:w="1460" w:type="dxa"/>
            <w:vAlign w:val="bottom"/>
            <w:tcBorders>
              <w:bottom w:val="single" w:sz="8" w:color="4C4C4C"/>
            </w:tcBorders>
          </w:tcPr>
          <w:p>
            <w:pPr>
              <w:spacing w:after="0"/>
              <w:rPr>
                <w:sz w:val="2"/>
                <w:szCs w:val="2"/>
                <w:color w:val="auto"/>
              </w:rPr>
            </w:pPr>
          </w:p>
        </w:tc>
        <w:tc>
          <w:tcPr>
            <w:tcW w:w="1260" w:type="dxa"/>
            <w:vAlign w:val="bottom"/>
            <w:tcBorders>
              <w:bottom w:val="single" w:sz="8" w:color="4C4C4C"/>
            </w:tcBorders>
          </w:tcPr>
          <w:p>
            <w:pPr>
              <w:spacing w:after="0"/>
              <w:rPr>
                <w:sz w:val="2"/>
                <w:szCs w:val="2"/>
                <w:color w:val="auto"/>
              </w:rPr>
            </w:pPr>
          </w:p>
        </w:tc>
        <w:tc>
          <w:tcPr>
            <w:tcW w:w="5180" w:type="dxa"/>
            <w:vAlign w:val="bottom"/>
            <w:tcBorders>
              <w:bottom w:val="single" w:sz="8" w:color="4C4C4C"/>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Argentina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 Invernada</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72</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2014</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Evaluating development plan to tie into planned infrastructure.</w:t>
            </w:r>
          </w:p>
        </w:tc>
        <w:tc>
          <w:tcPr>
            <w:tcW w:w="0" w:type="dxa"/>
            <w:vAlign w:val="bottom"/>
          </w:tcPr>
          <w:p>
            <w:pPr>
              <w:spacing w:after="0"/>
              <w:rPr>
                <w:sz w:val="1"/>
                <w:szCs w:val="1"/>
                <w:color w:val="auto"/>
              </w:rPr>
            </w:pPr>
          </w:p>
        </w:tc>
      </w:tr>
      <w:tr>
        <w:trPr>
          <w:trHeight w:val="32"/>
        </w:trPr>
        <w:tc>
          <w:tcPr>
            <w:tcW w:w="2580" w:type="dxa"/>
            <w:vAlign w:val="bottom"/>
            <w:tcBorders>
              <w:bottom w:val="single" w:sz="8" w:color="4C4C4C"/>
            </w:tcBorders>
          </w:tcPr>
          <w:p>
            <w:pPr>
              <w:spacing w:after="0"/>
              <w:rPr>
                <w:sz w:val="2"/>
                <w:szCs w:val="2"/>
                <w:color w:val="auto"/>
              </w:rPr>
            </w:pPr>
          </w:p>
        </w:tc>
        <w:tc>
          <w:tcPr>
            <w:tcW w:w="1460" w:type="dxa"/>
            <w:vAlign w:val="bottom"/>
            <w:tcBorders>
              <w:bottom w:val="single" w:sz="8" w:color="4C4C4C"/>
            </w:tcBorders>
          </w:tcPr>
          <w:p>
            <w:pPr>
              <w:spacing w:after="0"/>
              <w:rPr>
                <w:sz w:val="2"/>
                <w:szCs w:val="2"/>
                <w:color w:val="auto"/>
              </w:rPr>
            </w:pPr>
          </w:p>
        </w:tc>
        <w:tc>
          <w:tcPr>
            <w:tcW w:w="1260" w:type="dxa"/>
            <w:vAlign w:val="bottom"/>
            <w:tcBorders>
              <w:bottom w:val="single" w:sz="8" w:color="4C4C4C"/>
            </w:tcBorders>
          </w:tcPr>
          <w:p>
            <w:pPr>
              <w:spacing w:after="0"/>
              <w:rPr>
                <w:sz w:val="2"/>
                <w:szCs w:val="2"/>
                <w:color w:val="auto"/>
              </w:rPr>
            </w:pPr>
          </w:p>
        </w:tc>
        <w:tc>
          <w:tcPr>
            <w:tcW w:w="5180" w:type="dxa"/>
            <w:vAlign w:val="bottom"/>
            <w:tcBorders>
              <w:bottom w:val="single" w:sz="8" w:color="4C4C4C"/>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Australia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Gorgon Area Ullage</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308</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1994 - 2015</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Evaluating development plans to tie into existing LNG facilities.</w:t>
            </w:r>
          </w:p>
        </w:tc>
        <w:tc>
          <w:tcPr>
            <w:tcW w:w="0" w:type="dxa"/>
            <w:vAlign w:val="bottom"/>
          </w:tcPr>
          <w:p>
            <w:pPr>
              <w:spacing w:after="0"/>
              <w:rPr>
                <w:sz w:val="1"/>
                <w:szCs w:val="1"/>
                <w:color w:val="auto"/>
              </w:rPr>
            </w:pPr>
          </w:p>
        </w:tc>
      </w:tr>
      <w:tr>
        <w:trPr>
          <w:trHeight w:val="32"/>
        </w:trPr>
        <w:tc>
          <w:tcPr>
            <w:tcW w:w="2580" w:type="dxa"/>
            <w:vAlign w:val="bottom"/>
            <w:tcBorders>
              <w:bottom w:val="single" w:sz="8" w:color="4C4C4C"/>
            </w:tcBorders>
          </w:tcPr>
          <w:p>
            <w:pPr>
              <w:spacing w:after="0"/>
              <w:rPr>
                <w:sz w:val="2"/>
                <w:szCs w:val="2"/>
                <w:color w:val="auto"/>
              </w:rPr>
            </w:pPr>
          </w:p>
        </w:tc>
        <w:tc>
          <w:tcPr>
            <w:tcW w:w="1460" w:type="dxa"/>
            <w:vAlign w:val="bottom"/>
            <w:tcBorders>
              <w:bottom w:val="single" w:sz="8" w:color="4C4C4C"/>
            </w:tcBorders>
          </w:tcPr>
          <w:p>
            <w:pPr>
              <w:spacing w:after="0"/>
              <w:rPr>
                <w:sz w:val="2"/>
                <w:szCs w:val="2"/>
                <w:color w:val="auto"/>
              </w:rPr>
            </w:pPr>
          </w:p>
        </w:tc>
        <w:tc>
          <w:tcPr>
            <w:tcW w:w="1260" w:type="dxa"/>
            <w:vAlign w:val="bottom"/>
            <w:tcBorders>
              <w:bottom w:val="single" w:sz="8" w:color="4C4C4C"/>
            </w:tcBorders>
          </w:tcPr>
          <w:p>
            <w:pPr>
              <w:spacing w:after="0"/>
              <w:rPr>
                <w:sz w:val="2"/>
                <w:szCs w:val="2"/>
                <w:color w:val="auto"/>
              </w:rPr>
            </w:pPr>
          </w:p>
        </w:tc>
        <w:tc>
          <w:tcPr>
            <w:tcW w:w="5180" w:type="dxa"/>
            <w:vAlign w:val="bottom"/>
            <w:tcBorders>
              <w:bottom w:val="single" w:sz="8" w:color="4C4C4C"/>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Canada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Hibernia North</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2019</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Awaiting capacity in existing/planned infrastructure.</w:t>
            </w:r>
          </w:p>
        </w:tc>
        <w:tc>
          <w:tcPr>
            <w:tcW w:w="0" w:type="dxa"/>
            <w:vAlign w:val="bottom"/>
          </w:tcPr>
          <w:p>
            <w:pPr>
              <w:spacing w:after="0"/>
              <w:rPr>
                <w:sz w:val="1"/>
                <w:szCs w:val="1"/>
                <w:color w:val="auto"/>
              </w:rPr>
            </w:pPr>
          </w:p>
        </w:tc>
      </w:tr>
      <w:tr>
        <w:trPr>
          <w:trHeight w:val="32"/>
        </w:trPr>
        <w:tc>
          <w:tcPr>
            <w:tcW w:w="2580" w:type="dxa"/>
            <w:vAlign w:val="bottom"/>
            <w:tcBorders>
              <w:bottom w:val="single" w:sz="8" w:color="4C4C4C"/>
            </w:tcBorders>
          </w:tcPr>
          <w:p>
            <w:pPr>
              <w:spacing w:after="0"/>
              <w:rPr>
                <w:sz w:val="2"/>
                <w:szCs w:val="2"/>
                <w:color w:val="auto"/>
              </w:rPr>
            </w:pPr>
          </w:p>
        </w:tc>
        <w:tc>
          <w:tcPr>
            <w:tcW w:w="1460" w:type="dxa"/>
            <w:vAlign w:val="bottom"/>
            <w:tcBorders>
              <w:bottom w:val="single" w:sz="8" w:color="4C4C4C"/>
            </w:tcBorders>
          </w:tcPr>
          <w:p>
            <w:pPr>
              <w:spacing w:after="0"/>
              <w:rPr>
                <w:sz w:val="2"/>
                <w:szCs w:val="2"/>
                <w:color w:val="auto"/>
              </w:rPr>
            </w:pPr>
          </w:p>
        </w:tc>
        <w:tc>
          <w:tcPr>
            <w:tcW w:w="1260" w:type="dxa"/>
            <w:vAlign w:val="bottom"/>
            <w:tcBorders>
              <w:bottom w:val="single" w:sz="8" w:color="4C4C4C"/>
            </w:tcBorders>
          </w:tcPr>
          <w:p>
            <w:pPr>
              <w:spacing w:after="0"/>
              <w:rPr>
                <w:sz w:val="2"/>
                <w:szCs w:val="2"/>
                <w:color w:val="auto"/>
              </w:rPr>
            </w:pPr>
          </w:p>
        </w:tc>
        <w:tc>
          <w:tcPr>
            <w:tcW w:w="5180" w:type="dxa"/>
            <w:vAlign w:val="bottom"/>
            <w:tcBorders>
              <w:bottom w:val="single" w:sz="8" w:color="4C4C4C"/>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Guyana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60"/>
              <w:spacing w:after="0" w:line="187" w:lineRule="exact"/>
              <w:rPr>
                <w:sz w:val="20"/>
                <w:szCs w:val="20"/>
                <w:color w:val="auto"/>
              </w:rPr>
            </w:pPr>
            <w:r>
              <w:rPr>
                <w:rFonts w:ascii="Times New Roman" w:cs="Times New Roman" w:eastAsia="Times New Roman" w:hAnsi="Times New Roman"/>
                <w:sz w:val="20"/>
                <w:szCs w:val="20"/>
                <w:color w:val="auto"/>
              </w:rPr>
              <w:t>Whiptail</w:t>
            </w: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178</w:t>
            </w: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2019 - 2022</w:t>
            </w:r>
          </w:p>
        </w:tc>
        <w:tc>
          <w:tcPr>
            <w:tcW w:w="5180" w:type="dxa"/>
            <w:vAlign w:val="bottom"/>
          </w:tcPr>
          <w:p>
            <w:pPr>
              <w:ind w:left="40"/>
              <w:spacing w:after="0" w:line="187" w:lineRule="exact"/>
              <w:rPr>
                <w:sz w:val="20"/>
                <w:szCs w:val="20"/>
                <w:color w:val="auto"/>
              </w:rPr>
            </w:pPr>
            <w:r>
              <w:rPr>
                <w:rFonts w:ascii="Times New Roman" w:cs="Times New Roman" w:eastAsia="Times New Roman" w:hAnsi="Times New Roman"/>
                <w:sz w:val="20"/>
                <w:szCs w:val="20"/>
                <w:color w:val="auto"/>
              </w:rPr>
              <w:t>Continuing discussions with the government regarding</w:t>
            </w:r>
          </w:p>
        </w:tc>
        <w:tc>
          <w:tcPr>
            <w:tcW w:w="0" w:type="dxa"/>
            <w:vAlign w:val="bottom"/>
          </w:tcPr>
          <w:p>
            <w:pPr>
              <w:spacing w:after="0"/>
              <w:rPr>
                <w:sz w:val="1"/>
                <w:szCs w:val="1"/>
                <w:color w:val="auto"/>
              </w:rPr>
            </w:pPr>
          </w:p>
        </w:tc>
      </w:tr>
      <w:tr>
        <w:trPr>
          <w:trHeight w:val="260"/>
        </w:trPr>
        <w:tc>
          <w:tcPr>
            <w:tcW w:w="2580" w:type="dxa"/>
            <w:vAlign w:val="bottom"/>
            <w:tcBorders>
              <w:bottom w:val="single" w:sz="8" w:color="4C4C4C"/>
            </w:tcBorders>
          </w:tcPr>
          <w:p>
            <w:pPr>
              <w:spacing w:after="0"/>
              <w:rPr>
                <w:sz w:val="22"/>
                <w:szCs w:val="22"/>
                <w:color w:val="auto"/>
              </w:rPr>
            </w:pPr>
          </w:p>
        </w:tc>
        <w:tc>
          <w:tcPr>
            <w:tcW w:w="1460" w:type="dxa"/>
            <w:vAlign w:val="bottom"/>
            <w:tcBorders>
              <w:bottom w:val="single" w:sz="8" w:color="4C4C4C"/>
            </w:tcBorders>
          </w:tcPr>
          <w:p>
            <w:pPr>
              <w:spacing w:after="0"/>
              <w:rPr>
                <w:sz w:val="22"/>
                <w:szCs w:val="22"/>
                <w:color w:val="auto"/>
              </w:rPr>
            </w:pPr>
          </w:p>
        </w:tc>
        <w:tc>
          <w:tcPr>
            <w:tcW w:w="1260" w:type="dxa"/>
            <w:vAlign w:val="bottom"/>
            <w:tcBorders>
              <w:bottom w:val="single" w:sz="8" w:color="4C4C4C"/>
            </w:tcBorders>
          </w:tcPr>
          <w:p>
            <w:pPr>
              <w:spacing w:after="0"/>
              <w:rPr>
                <w:sz w:val="22"/>
                <w:szCs w:val="22"/>
                <w:color w:val="auto"/>
              </w:rPr>
            </w:pPr>
          </w:p>
        </w:tc>
        <w:tc>
          <w:tcPr>
            <w:tcW w:w="51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development plan.</w:t>
            </w:r>
          </w:p>
        </w:tc>
        <w:tc>
          <w:tcPr>
            <w:tcW w:w="0" w:type="dxa"/>
            <w:vAlign w:val="bottom"/>
          </w:tcPr>
          <w:p>
            <w:pPr>
              <w:spacing w:after="0"/>
              <w:rPr>
                <w:sz w:val="1"/>
                <w:szCs w:val="1"/>
                <w:color w:val="auto"/>
              </w:rPr>
            </w:pPr>
          </w:p>
        </w:tc>
      </w:tr>
      <w:tr>
        <w:trPr>
          <w:trHeight w:val="91"/>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Kazakhstan</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60"/>
              <w:spacing w:after="0" w:line="187" w:lineRule="exact"/>
              <w:rPr>
                <w:sz w:val="20"/>
                <w:szCs w:val="20"/>
                <w:color w:val="auto"/>
              </w:rPr>
            </w:pPr>
            <w:r>
              <w:rPr>
                <w:rFonts w:ascii="Times New Roman" w:cs="Times New Roman" w:eastAsia="Times New Roman" w:hAnsi="Times New Roman"/>
                <w:sz w:val="20"/>
                <w:szCs w:val="20"/>
                <w:color w:val="auto"/>
              </w:rPr>
              <w:t>Kairan</w:t>
            </w: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53</w:t>
            </w: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2004 - 2007</w:t>
            </w:r>
          </w:p>
        </w:tc>
        <w:tc>
          <w:tcPr>
            <w:tcW w:w="5180" w:type="dxa"/>
            <w:vAlign w:val="bottom"/>
          </w:tcPr>
          <w:p>
            <w:pPr>
              <w:ind w:left="40"/>
              <w:spacing w:after="0" w:line="187" w:lineRule="exact"/>
              <w:rPr>
                <w:sz w:val="20"/>
                <w:szCs w:val="20"/>
                <w:color w:val="auto"/>
              </w:rPr>
            </w:pPr>
            <w:r>
              <w:rPr>
                <w:rFonts w:ascii="Times New Roman" w:cs="Times New Roman" w:eastAsia="Times New Roman" w:hAnsi="Times New Roman"/>
                <w:sz w:val="20"/>
                <w:szCs w:val="20"/>
                <w:color w:val="auto"/>
              </w:rPr>
              <w:t>Evaluating commercialization and field development</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180" w:type="dxa"/>
            <w:vAlign w:val="bottom"/>
          </w:tcPr>
          <w:p>
            <w:pPr>
              <w:ind w:left="40"/>
              <w:spacing w:after="0" w:line="196" w:lineRule="exact"/>
              <w:rPr>
                <w:sz w:val="20"/>
                <w:szCs w:val="20"/>
                <w:color w:val="auto"/>
              </w:rPr>
            </w:pPr>
            <w:r>
              <w:rPr>
                <w:rFonts w:ascii="Times New Roman" w:cs="Times New Roman" w:eastAsia="Times New Roman" w:hAnsi="Times New Roman"/>
                <w:sz w:val="20"/>
                <w:szCs w:val="20"/>
                <w:color w:val="auto"/>
              </w:rPr>
              <w:t>alternatives, while continuing discussions with the government</w:t>
            </w:r>
          </w:p>
        </w:tc>
        <w:tc>
          <w:tcPr>
            <w:tcW w:w="0" w:type="dxa"/>
            <w:vAlign w:val="bottom"/>
          </w:tcPr>
          <w:p>
            <w:pPr>
              <w:spacing w:after="0"/>
              <w:rPr>
                <w:sz w:val="1"/>
                <w:szCs w:val="1"/>
                <w:color w:val="auto"/>
              </w:rPr>
            </w:pPr>
          </w:p>
        </w:tc>
      </w:tr>
      <w:tr>
        <w:trPr>
          <w:trHeight w:val="265"/>
        </w:trPr>
        <w:tc>
          <w:tcPr>
            <w:tcW w:w="2580" w:type="dxa"/>
            <w:vAlign w:val="bottom"/>
            <w:tcBorders>
              <w:bottom w:val="single" w:sz="8" w:color="4C4C4C"/>
            </w:tcBorders>
          </w:tcPr>
          <w:p>
            <w:pPr>
              <w:spacing w:after="0"/>
              <w:rPr>
                <w:sz w:val="23"/>
                <w:szCs w:val="23"/>
                <w:color w:val="auto"/>
              </w:rPr>
            </w:pPr>
          </w:p>
        </w:tc>
        <w:tc>
          <w:tcPr>
            <w:tcW w:w="1460" w:type="dxa"/>
            <w:vAlign w:val="bottom"/>
            <w:tcBorders>
              <w:bottom w:val="single" w:sz="8" w:color="4C4C4C"/>
            </w:tcBorders>
          </w:tcPr>
          <w:p>
            <w:pPr>
              <w:spacing w:after="0"/>
              <w:rPr>
                <w:sz w:val="23"/>
                <w:szCs w:val="23"/>
                <w:color w:val="auto"/>
              </w:rPr>
            </w:pPr>
          </w:p>
        </w:tc>
        <w:tc>
          <w:tcPr>
            <w:tcW w:w="1260" w:type="dxa"/>
            <w:vAlign w:val="bottom"/>
            <w:tcBorders>
              <w:bottom w:val="single" w:sz="8" w:color="4C4C4C"/>
            </w:tcBorders>
          </w:tcPr>
          <w:p>
            <w:pPr>
              <w:spacing w:after="0"/>
              <w:rPr>
                <w:sz w:val="23"/>
                <w:szCs w:val="23"/>
                <w:color w:val="auto"/>
              </w:rPr>
            </w:pPr>
          </w:p>
        </w:tc>
        <w:tc>
          <w:tcPr>
            <w:tcW w:w="51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regarding the development plan.</w:t>
            </w:r>
          </w:p>
        </w:tc>
        <w:tc>
          <w:tcPr>
            <w:tcW w:w="0" w:type="dxa"/>
            <w:vAlign w:val="bottom"/>
          </w:tcPr>
          <w:p>
            <w:pPr>
              <w:spacing w:after="0"/>
              <w:rPr>
                <w:sz w:val="1"/>
                <w:szCs w:val="1"/>
                <w:color w:val="auto"/>
              </w:rPr>
            </w:pPr>
          </w:p>
        </w:tc>
      </w:tr>
      <w:tr>
        <w:trPr>
          <w:trHeight w:val="96"/>
        </w:trPr>
        <w:tc>
          <w:tcPr>
            <w:tcW w:w="2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Mozambique</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Rovuma LNG Phase 1</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2017</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Progressing development plan to tie into planned LNG facilities.</w:t>
            </w:r>
          </w:p>
        </w:tc>
        <w:tc>
          <w:tcPr>
            <w:tcW w:w="0" w:type="dxa"/>
            <w:vAlign w:val="bottom"/>
          </w:tcPr>
          <w:p>
            <w:pPr>
              <w:spacing w:after="0"/>
              <w:rPr>
                <w:sz w:val="1"/>
                <w:szCs w:val="1"/>
                <w:color w:val="auto"/>
              </w:rPr>
            </w:pPr>
          </w:p>
        </w:tc>
      </w:tr>
      <w:tr>
        <w:trPr>
          <w:trHeight w:val="210"/>
        </w:trPr>
        <w:tc>
          <w:tcPr>
            <w:tcW w:w="2580" w:type="dxa"/>
            <w:vAlign w:val="bottom"/>
          </w:tcPr>
          <w:p>
            <w:pPr>
              <w:ind w:left="60"/>
              <w:spacing w:after="0" w:line="210" w:lineRule="exact"/>
              <w:rPr>
                <w:sz w:val="20"/>
                <w:szCs w:val="20"/>
                <w:color w:val="auto"/>
              </w:rPr>
            </w:pPr>
            <w:r>
              <w:rPr>
                <w:rFonts w:ascii="Times New Roman" w:cs="Times New Roman" w:eastAsia="Times New Roman" w:hAnsi="Times New Roman"/>
                <w:sz w:val="20"/>
                <w:szCs w:val="20"/>
                <w:color w:val="auto"/>
              </w:rPr>
              <w:t>Rovuma LNG Future Non-</w:t>
            </w:r>
          </w:p>
        </w:tc>
        <w:tc>
          <w:tcPr>
            <w:tcW w:w="14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120</w:t>
            </w:r>
          </w:p>
        </w:tc>
        <w:tc>
          <w:tcPr>
            <w:tcW w:w="12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4"/>
              </w:rPr>
              <w:t>2017</w:t>
            </w:r>
          </w:p>
        </w:tc>
        <w:tc>
          <w:tcPr>
            <w:tcW w:w="5180" w:type="dxa"/>
            <w:vAlign w:val="bottom"/>
          </w:tcPr>
          <w:p>
            <w:pPr>
              <w:ind w:left="40"/>
              <w:spacing w:after="0" w:line="210" w:lineRule="exact"/>
              <w:rPr>
                <w:sz w:val="20"/>
                <w:szCs w:val="20"/>
                <w:color w:val="auto"/>
              </w:rPr>
            </w:pPr>
            <w:r>
              <w:rPr>
                <w:rFonts w:ascii="Times New Roman" w:cs="Times New Roman" w:eastAsia="Times New Roman" w:hAnsi="Times New Roman"/>
                <w:sz w:val="20"/>
                <w:szCs w:val="20"/>
                <w:color w:val="auto"/>
              </w:rPr>
              <w:t>Evaluating/progressing development plan to tie into planned</w:t>
            </w: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Straddling Train</w:t>
            </w: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LNG facilities.</w:t>
            </w:r>
          </w:p>
        </w:tc>
        <w:tc>
          <w:tcPr>
            <w:tcW w:w="0" w:type="dxa"/>
            <w:vAlign w:val="bottom"/>
          </w:tcPr>
          <w:p>
            <w:pPr>
              <w:spacing w:after="0"/>
              <w:rPr>
                <w:sz w:val="1"/>
                <w:szCs w:val="1"/>
                <w:color w:val="auto"/>
              </w:rPr>
            </w:pPr>
          </w:p>
        </w:tc>
      </w:tr>
      <w:tr>
        <w:trPr>
          <w:trHeight w:val="199"/>
        </w:trPr>
        <w:tc>
          <w:tcPr>
            <w:tcW w:w="258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Rovuma LNG Unitized Trains</w:t>
            </w:r>
          </w:p>
        </w:tc>
        <w:tc>
          <w:tcPr>
            <w:tcW w:w="146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35</w:t>
            </w:r>
          </w:p>
        </w:tc>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w w:val="94"/>
              </w:rPr>
              <w:t>2017</w:t>
            </w:r>
          </w:p>
        </w:tc>
        <w:tc>
          <w:tcPr>
            <w:tcW w:w="5180" w:type="dxa"/>
            <w:vAlign w:val="bottom"/>
          </w:tcPr>
          <w:p>
            <w:pPr>
              <w:ind w:left="40"/>
              <w:spacing w:after="0" w:line="199" w:lineRule="exact"/>
              <w:rPr>
                <w:sz w:val="20"/>
                <w:szCs w:val="20"/>
                <w:color w:val="auto"/>
              </w:rPr>
            </w:pPr>
            <w:r>
              <w:rPr>
                <w:rFonts w:ascii="Times New Roman" w:cs="Times New Roman" w:eastAsia="Times New Roman" w:hAnsi="Times New Roman"/>
                <w:sz w:val="20"/>
                <w:szCs w:val="20"/>
                <w:color w:val="auto"/>
              </w:rPr>
              <w:t>Evaluating/progressing development plan to tie into planned</w:t>
            </w:r>
          </w:p>
        </w:tc>
        <w:tc>
          <w:tcPr>
            <w:tcW w:w="0" w:type="dxa"/>
            <w:vAlign w:val="bottom"/>
          </w:tcPr>
          <w:p>
            <w:pPr>
              <w:spacing w:after="0"/>
              <w:rPr>
                <w:sz w:val="1"/>
                <w:szCs w:val="1"/>
                <w:color w:val="auto"/>
              </w:rPr>
            </w:pPr>
          </w:p>
        </w:tc>
      </w:tr>
      <w:tr>
        <w:trPr>
          <w:trHeight w:val="260"/>
        </w:trPr>
        <w:tc>
          <w:tcPr>
            <w:tcW w:w="2580" w:type="dxa"/>
            <w:vAlign w:val="bottom"/>
            <w:tcBorders>
              <w:bottom w:val="single" w:sz="8" w:color="4C4C4C"/>
            </w:tcBorders>
          </w:tcPr>
          <w:p>
            <w:pPr>
              <w:spacing w:after="0"/>
              <w:rPr>
                <w:sz w:val="22"/>
                <w:szCs w:val="22"/>
                <w:color w:val="auto"/>
              </w:rPr>
            </w:pPr>
          </w:p>
        </w:tc>
        <w:tc>
          <w:tcPr>
            <w:tcW w:w="1460" w:type="dxa"/>
            <w:vAlign w:val="bottom"/>
            <w:tcBorders>
              <w:bottom w:val="single" w:sz="8" w:color="4C4C4C"/>
            </w:tcBorders>
          </w:tcPr>
          <w:p>
            <w:pPr>
              <w:spacing w:after="0"/>
              <w:rPr>
                <w:sz w:val="22"/>
                <w:szCs w:val="22"/>
                <w:color w:val="auto"/>
              </w:rPr>
            </w:pPr>
          </w:p>
        </w:tc>
        <w:tc>
          <w:tcPr>
            <w:tcW w:w="1260" w:type="dxa"/>
            <w:vAlign w:val="bottom"/>
            <w:tcBorders>
              <w:bottom w:val="single" w:sz="8" w:color="4C4C4C"/>
            </w:tcBorders>
          </w:tcPr>
          <w:p>
            <w:pPr>
              <w:spacing w:after="0"/>
              <w:rPr>
                <w:sz w:val="22"/>
                <w:szCs w:val="22"/>
                <w:color w:val="auto"/>
              </w:rPr>
            </w:pPr>
          </w:p>
        </w:tc>
        <w:tc>
          <w:tcPr>
            <w:tcW w:w="51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LNG facilities.</w:t>
            </w:r>
          </w:p>
        </w:tc>
        <w:tc>
          <w:tcPr>
            <w:tcW w:w="0" w:type="dxa"/>
            <w:vAlign w:val="bottom"/>
          </w:tcPr>
          <w:p>
            <w:pPr>
              <w:spacing w:after="0"/>
              <w:rPr>
                <w:sz w:val="1"/>
                <w:szCs w:val="1"/>
                <w:color w:val="auto"/>
              </w:rPr>
            </w:pPr>
          </w:p>
        </w:tc>
      </w:tr>
      <w:tr>
        <w:trPr>
          <w:trHeight w:val="91"/>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Nigeria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60"/>
              <w:spacing w:after="0" w:line="187" w:lineRule="exact"/>
              <w:rPr>
                <w:sz w:val="20"/>
                <w:szCs w:val="20"/>
                <w:color w:val="auto"/>
              </w:rPr>
            </w:pPr>
            <w:r>
              <w:rPr>
                <w:rFonts w:ascii="Times New Roman" w:cs="Times New Roman" w:eastAsia="Times New Roman" w:hAnsi="Times New Roman"/>
                <w:sz w:val="20"/>
                <w:szCs w:val="20"/>
                <w:color w:val="auto"/>
              </w:rPr>
              <w:t>Bonga North</w:t>
            </w: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34</w:t>
            </w: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2004 - 2009</w:t>
            </w:r>
          </w:p>
        </w:tc>
        <w:tc>
          <w:tcPr>
            <w:tcW w:w="5180" w:type="dxa"/>
            <w:vAlign w:val="bottom"/>
          </w:tcPr>
          <w:p>
            <w:pPr>
              <w:ind w:left="40"/>
              <w:spacing w:after="0" w:line="187" w:lineRule="exact"/>
              <w:rPr>
                <w:sz w:val="20"/>
                <w:szCs w:val="20"/>
                <w:color w:val="auto"/>
              </w:rPr>
            </w:pPr>
            <w:r>
              <w:rPr>
                <w:rFonts w:ascii="Times New Roman" w:cs="Times New Roman" w:eastAsia="Times New Roman" w:hAnsi="Times New Roman"/>
                <w:sz w:val="20"/>
                <w:szCs w:val="20"/>
                <w:color w:val="auto"/>
              </w:rPr>
              <w:t>Progressing development plan to tie into existing/planned</w:t>
            </w:r>
          </w:p>
        </w:tc>
        <w:tc>
          <w:tcPr>
            <w:tcW w:w="0" w:type="dxa"/>
            <w:vAlign w:val="bottom"/>
          </w:tcPr>
          <w:p>
            <w:pPr>
              <w:spacing w:after="0"/>
              <w:rPr>
                <w:sz w:val="1"/>
                <w:szCs w:val="1"/>
                <w:color w:val="auto"/>
              </w:rPr>
            </w:pPr>
          </w:p>
        </w:tc>
      </w:tr>
      <w:tr>
        <w:trPr>
          <w:trHeight w:val="260"/>
        </w:trPr>
        <w:tc>
          <w:tcPr>
            <w:tcW w:w="2580" w:type="dxa"/>
            <w:vAlign w:val="bottom"/>
            <w:tcBorders>
              <w:bottom w:val="single" w:sz="8" w:color="4C4C4C"/>
            </w:tcBorders>
          </w:tcPr>
          <w:p>
            <w:pPr>
              <w:spacing w:after="0"/>
              <w:rPr>
                <w:sz w:val="22"/>
                <w:szCs w:val="22"/>
                <w:color w:val="auto"/>
              </w:rPr>
            </w:pPr>
          </w:p>
        </w:tc>
        <w:tc>
          <w:tcPr>
            <w:tcW w:w="1460" w:type="dxa"/>
            <w:vAlign w:val="bottom"/>
            <w:tcBorders>
              <w:bottom w:val="single" w:sz="8" w:color="4C4C4C"/>
            </w:tcBorders>
          </w:tcPr>
          <w:p>
            <w:pPr>
              <w:spacing w:after="0"/>
              <w:rPr>
                <w:sz w:val="22"/>
                <w:szCs w:val="22"/>
                <w:color w:val="auto"/>
              </w:rPr>
            </w:pPr>
          </w:p>
        </w:tc>
        <w:tc>
          <w:tcPr>
            <w:tcW w:w="1260" w:type="dxa"/>
            <w:vAlign w:val="bottom"/>
            <w:tcBorders>
              <w:bottom w:val="single" w:sz="8" w:color="4C4C4C"/>
            </w:tcBorders>
          </w:tcPr>
          <w:p>
            <w:pPr>
              <w:spacing w:after="0"/>
              <w:rPr>
                <w:sz w:val="22"/>
                <w:szCs w:val="22"/>
                <w:color w:val="auto"/>
              </w:rPr>
            </w:pPr>
          </w:p>
        </w:tc>
        <w:tc>
          <w:tcPr>
            <w:tcW w:w="51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infrastructure.</w:t>
            </w:r>
          </w:p>
        </w:tc>
        <w:tc>
          <w:tcPr>
            <w:tcW w:w="0" w:type="dxa"/>
            <w:vAlign w:val="bottom"/>
          </w:tcPr>
          <w:p>
            <w:pPr>
              <w:spacing w:after="0"/>
              <w:rPr>
                <w:sz w:val="1"/>
                <w:szCs w:val="1"/>
                <w:color w:val="auto"/>
              </w:rPr>
            </w:pPr>
          </w:p>
        </w:tc>
      </w:tr>
      <w:tr>
        <w:trPr>
          <w:trHeight w:val="91"/>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Papua New Guinea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Papua LNG</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246</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2017</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Evaluating/progressing development plans.</w:t>
            </w:r>
          </w:p>
        </w:tc>
        <w:tc>
          <w:tcPr>
            <w:tcW w:w="0" w:type="dxa"/>
            <w:vAlign w:val="bottom"/>
          </w:tcPr>
          <w:p>
            <w:pPr>
              <w:spacing w:after="0"/>
              <w:rPr>
                <w:sz w:val="1"/>
                <w:szCs w:val="1"/>
                <w:color w:val="auto"/>
              </w:rPr>
            </w:pPr>
          </w:p>
        </w:tc>
      </w:tr>
      <w:tr>
        <w:trPr>
          <w:trHeight w:val="285"/>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Muruk</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165</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2017 - 2019</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Evaluating/progressing development plans.</w:t>
            </w:r>
          </w:p>
        </w:tc>
        <w:tc>
          <w:tcPr>
            <w:tcW w:w="0" w:type="dxa"/>
            <w:vAlign w:val="bottom"/>
          </w:tcPr>
          <w:p>
            <w:pPr>
              <w:spacing w:after="0"/>
              <w:rPr>
                <w:sz w:val="1"/>
                <w:szCs w:val="1"/>
                <w:color w:val="auto"/>
              </w:rPr>
            </w:pPr>
          </w:p>
        </w:tc>
      </w:tr>
      <w:tr>
        <w:trPr>
          <w:trHeight w:val="294"/>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P'nyang</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116</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2012 - 2018</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Evaluating/progressing development plans.</w:t>
            </w:r>
          </w:p>
        </w:tc>
        <w:tc>
          <w:tcPr>
            <w:tcW w:w="0" w:type="dxa"/>
            <w:vAlign w:val="bottom"/>
          </w:tcPr>
          <w:p>
            <w:pPr>
              <w:spacing w:after="0"/>
              <w:rPr>
                <w:sz w:val="1"/>
                <w:szCs w:val="1"/>
                <w:color w:val="auto"/>
              </w:rPr>
            </w:pPr>
          </w:p>
        </w:tc>
      </w:tr>
      <w:tr>
        <w:trPr>
          <w:trHeight w:val="42"/>
        </w:trPr>
        <w:tc>
          <w:tcPr>
            <w:tcW w:w="2580" w:type="dxa"/>
            <w:vAlign w:val="bottom"/>
            <w:tcBorders>
              <w:bottom w:val="single" w:sz="8" w:color="4C4C4C"/>
            </w:tcBorders>
          </w:tcPr>
          <w:p>
            <w:pPr>
              <w:spacing w:after="0"/>
              <w:rPr>
                <w:sz w:val="3"/>
                <w:szCs w:val="3"/>
                <w:color w:val="auto"/>
              </w:rPr>
            </w:pPr>
          </w:p>
        </w:tc>
        <w:tc>
          <w:tcPr>
            <w:tcW w:w="1460" w:type="dxa"/>
            <w:vAlign w:val="bottom"/>
            <w:tcBorders>
              <w:bottom w:val="single" w:sz="8" w:color="4C4C4C"/>
            </w:tcBorders>
          </w:tcPr>
          <w:p>
            <w:pPr>
              <w:spacing w:after="0"/>
              <w:rPr>
                <w:sz w:val="3"/>
                <w:szCs w:val="3"/>
                <w:color w:val="auto"/>
              </w:rPr>
            </w:pPr>
          </w:p>
        </w:tc>
        <w:tc>
          <w:tcPr>
            <w:tcW w:w="1260" w:type="dxa"/>
            <w:vAlign w:val="bottom"/>
            <w:tcBorders>
              <w:bottom w:val="single" w:sz="8" w:color="4C4C4C"/>
            </w:tcBorders>
          </w:tcPr>
          <w:p>
            <w:pPr>
              <w:spacing w:after="0"/>
              <w:rPr>
                <w:sz w:val="3"/>
                <w:szCs w:val="3"/>
                <w:color w:val="auto"/>
              </w:rPr>
            </w:pPr>
          </w:p>
        </w:tc>
        <w:tc>
          <w:tcPr>
            <w:tcW w:w="518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Tanzania</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60"/>
              <w:spacing w:after="0" w:line="187" w:lineRule="exact"/>
              <w:rPr>
                <w:sz w:val="20"/>
                <w:szCs w:val="20"/>
                <w:color w:val="auto"/>
              </w:rPr>
            </w:pPr>
            <w:r>
              <w:rPr>
                <w:rFonts w:ascii="Times New Roman" w:cs="Times New Roman" w:eastAsia="Times New Roman" w:hAnsi="Times New Roman"/>
                <w:sz w:val="20"/>
                <w:szCs w:val="20"/>
                <w:color w:val="auto"/>
              </w:rPr>
              <w:t>Block 2</w:t>
            </w: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525</w:t>
            </w: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color w:val="auto"/>
                <w:w w:val="99"/>
              </w:rPr>
              <w:t>2012 - 2015</w:t>
            </w:r>
          </w:p>
        </w:tc>
        <w:tc>
          <w:tcPr>
            <w:tcW w:w="5180" w:type="dxa"/>
            <w:vAlign w:val="bottom"/>
          </w:tcPr>
          <w:p>
            <w:pPr>
              <w:ind w:left="40"/>
              <w:spacing w:after="0" w:line="187" w:lineRule="exact"/>
              <w:rPr>
                <w:sz w:val="20"/>
                <w:szCs w:val="20"/>
                <w:color w:val="auto"/>
              </w:rPr>
            </w:pPr>
            <w:r>
              <w:rPr>
                <w:rFonts w:ascii="Times New Roman" w:cs="Times New Roman" w:eastAsia="Times New Roman" w:hAnsi="Times New Roman"/>
                <w:sz w:val="20"/>
                <w:szCs w:val="20"/>
                <w:color w:val="auto"/>
              </w:rPr>
              <w:t>Evaluating development alternatives, while continuing</w:t>
            </w:r>
          </w:p>
        </w:tc>
        <w:tc>
          <w:tcPr>
            <w:tcW w:w="0" w:type="dxa"/>
            <w:vAlign w:val="bottom"/>
          </w:tcPr>
          <w:p>
            <w:pPr>
              <w:spacing w:after="0"/>
              <w:rPr>
                <w:sz w:val="1"/>
                <w:szCs w:val="1"/>
                <w:color w:val="auto"/>
              </w:rPr>
            </w:pPr>
          </w:p>
        </w:tc>
      </w:tr>
      <w:tr>
        <w:trPr>
          <w:trHeight w:val="260"/>
        </w:trPr>
        <w:tc>
          <w:tcPr>
            <w:tcW w:w="2580" w:type="dxa"/>
            <w:vAlign w:val="bottom"/>
            <w:tcBorders>
              <w:bottom w:val="single" w:sz="8" w:color="4C4C4C"/>
            </w:tcBorders>
          </w:tcPr>
          <w:p>
            <w:pPr>
              <w:spacing w:after="0"/>
              <w:rPr>
                <w:sz w:val="22"/>
                <w:szCs w:val="22"/>
                <w:color w:val="auto"/>
              </w:rPr>
            </w:pPr>
          </w:p>
        </w:tc>
        <w:tc>
          <w:tcPr>
            <w:tcW w:w="1460" w:type="dxa"/>
            <w:vAlign w:val="bottom"/>
            <w:tcBorders>
              <w:bottom w:val="single" w:sz="8" w:color="4C4C4C"/>
            </w:tcBorders>
          </w:tcPr>
          <w:p>
            <w:pPr>
              <w:spacing w:after="0"/>
              <w:rPr>
                <w:sz w:val="22"/>
                <w:szCs w:val="22"/>
                <w:color w:val="auto"/>
              </w:rPr>
            </w:pPr>
          </w:p>
        </w:tc>
        <w:tc>
          <w:tcPr>
            <w:tcW w:w="1260" w:type="dxa"/>
            <w:vAlign w:val="bottom"/>
            <w:tcBorders>
              <w:bottom w:val="single" w:sz="8" w:color="4C4C4C"/>
            </w:tcBorders>
          </w:tcPr>
          <w:p>
            <w:pPr>
              <w:spacing w:after="0"/>
              <w:rPr>
                <w:sz w:val="22"/>
                <w:szCs w:val="22"/>
                <w:color w:val="auto"/>
              </w:rPr>
            </w:pPr>
          </w:p>
        </w:tc>
        <w:tc>
          <w:tcPr>
            <w:tcW w:w="51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discussions with the government regarding development plan.</w:t>
            </w:r>
          </w:p>
        </w:tc>
        <w:tc>
          <w:tcPr>
            <w:tcW w:w="0" w:type="dxa"/>
            <w:vAlign w:val="bottom"/>
          </w:tcPr>
          <w:p>
            <w:pPr>
              <w:spacing w:after="0"/>
              <w:rPr>
                <w:sz w:val="1"/>
                <w:szCs w:val="1"/>
                <w:color w:val="auto"/>
              </w:rPr>
            </w:pPr>
          </w:p>
        </w:tc>
      </w:tr>
      <w:tr>
        <w:trPr>
          <w:trHeight w:val="91"/>
        </w:trPr>
        <w:tc>
          <w:tcPr>
            <w:tcW w:w="2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F0F0F0"/>
            </w:tcBorders>
            <w:shd w:val="clear" w:color="auto" w:fill="F0F0F0"/>
          </w:tcPr>
          <w:p>
            <w:pPr>
              <w:ind w:left="60"/>
              <w:spacing w:after="0"/>
              <w:rPr>
                <w:sz w:val="20"/>
                <w:szCs w:val="20"/>
                <w:color w:val="auto"/>
              </w:rPr>
            </w:pPr>
            <w:r>
              <w:rPr>
                <w:rFonts w:ascii="Times New Roman" w:cs="Times New Roman" w:eastAsia="Times New Roman" w:hAnsi="Times New Roman"/>
                <w:sz w:val="20"/>
                <w:szCs w:val="20"/>
                <w:b w:val="1"/>
                <w:bCs w:val="1"/>
                <w:color w:val="auto"/>
              </w:rPr>
              <w:t>Vietnam</w:t>
            </w:r>
          </w:p>
        </w:tc>
        <w:tc>
          <w:tcPr>
            <w:tcW w:w="1460" w:type="dxa"/>
            <w:vAlign w:val="bottom"/>
            <w:tcBorders>
              <w:bottom w:val="single" w:sz="8" w:color="F0F0F0"/>
            </w:tcBorders>
            <w:shd w:val="clear" w:color="auto" w:fill="F0F0F0"/>
          </w:tcPr>
          <w:p>
            <w:pPr>
              <w:spacing w:after="0"/>
              <w:rPr>
                <w:sz w:val="23"/>
                <w:szCs w:val="23"/>
                <w:color w:val="auto"/>
              </w:rPr>
            </w:pPr>
          </w:p>
        </w:tc>
        <w:tc>
          <w:tcPr>
            <w:tcW w:w="1260" w:type="dxa"/>
            <w:vAlign w:val="bottom"/>
            <w:tcBorders>
              <w:bottom w:val="single" w:sz="8" w:color="F0F0F0"/>
            </w:tcBorders>
            <w:shd w:val="clear" w:color="auto" w:fill="F0F0F0"/>
          </w:tcPr>
          <w:p>
            <w:pPr>
              <w:spacing w:after="0"/>
              <w:rPr>
                <w:sz w:val="23"/>
                <w:szCs w:val="23"/>
                <w:color w:val="auto"/>
              </w:rPr>
            </w:pPr>
          </w:p>
        </w:tc>
        <w:tc>
          <w:tcPr>
            <w:tcW w:w="5180" w:type="dxa"/>
            <w:vAlign w:val="bottom"/>
            <w:tcBorders>
              <w:bottom w:val="single" w:sz="8" w:color="F0F0F0"/>
            </w:tcBorders>
            <w:shd w:val="clear" w:color="auto" w:fill="F0F0F0"/>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Blue Whale</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296</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2011  2015</w:t>
            </w: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Evaluating/progressing development plans.</w:t>
            </w:r>
          </w:p>
        </w:tc>
        <w:tc>
          <w:tcPr>
            <w:tcW w:w="0" w:type="dxa"/>
            <w:vAlign w:val="bottom"/>
          </w:tcPr>
          <w:p>
            <w:pPr>
              <w:spacing w:after="0"/>
              <w:rPr>
                <w:sz w:val="1"/>
                <w:szCs w:val="1"/>
                <w:color w:val="auto"/>
              </w:rPr>
            </w:pPr>
          </w:p>
        </w:tc>
      </w:tr>
      <w:tr>
        <w:trPr>
          <w:trHeight w:val="32"/>
        </w:trPr>
        <w:tc>
          <w:tcPr>
            <w:tcW w:w="2580" w:type="dxa"/>
            <w:vAlign w:val="bottom"/>
            <w:tcBorders>
              <w:bottom w:val="single" w:sz="8" w:color="4C4C4C"/>
            </w:tcBorders>
          </w:tcPr>
          <w:p>
            <w:pPr>
              <w:spacing w:after="0"/>
              <w:rPr>
                <w:sz w:val="2"/>
                <w:szCs w:val="2"/>
                <w:color w:val="auto"/>
              </w:rPr>
            </w:pPr>
          </w:p>
        </w:tc>
        <w:tc>
          <w:tcPr>
            <w:tcW w:w="1460" w:type="dxa"/>
            <w:vAlign w:val="bottom"/>
            <w:tcBorders>
              <w:bottom w:val="single" w:sz="8" w:color="4C4C4C"/>
            </w:tcBorders>
          </w:tcPr>
          <w:p>
            <w:pPr>
              <w:spacing w:after="0"/>
              <w:rPr>
                <w:sz w:val="2"/>
                <w:szCs w:val="2"/>
                <w:color w:val="auto"/>
              </w:rPr>
            </w:pPr>
          </w:p>
        </w:tc>
        <w:tc>
          <w:tcPr>
            <w:tcW w:w="1260" w:type="dxa"/>
            <w:vAlign w:val="bottom"/>
            <w:tcBorders>
              <w:bottom w:val="single" w:sz="8" w:color="4C4C4C"/>
            </w:tcBorders>
          </w:tcPr>
          <w:p>
            <w:pPr>
              <w:spacing w:after="0"/>
              <w:rPr>
                <w:sz w:val="2"/>
                <w:szCs w:val="2"/>
                <w:color w:val="auto"/>
              </w:rPr>
            </w:pPr>
          </w:p>
        </w:tc>
        <w:tc>
          <w:tcPr>
            <w:tcW w:w="5180" w:type="dxa"/>
            <w:vAlign w:val="bottom"/>
            <w:tcBorders>
              <w:bottom w:val="single" w:sz="8" w:color="4C4C4C"/>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580" w:type="dxa"/>
            <w:vAlign w:val="bottom"/>
            <w:tcBorders>
              <w:bottom w:val="single" w:sz="8" w:color="4C4C4C"/>
            </w:tcBorders>
          </w:tcPr>
          <w:p>
            <w:pPr>
              <w:spacing w:after="0"/>
              <w:rPr>
                <w:sz w:val="7"/>
                <w:szCs w:val="7"/>
                <w:color w:val="auto"/>
              </w:rPr>
            </w:pPr>
          </w:p>
        </w:tc>
        <w:tc>
          <w:tcPr>
            <w:tcW w:w="1460" w:type="dxa"/>
            <w:vAlign w:val="bottom"/>
            <w:tcBorders>
              <w:bottom w:val="single" w:sz="8" w:color="4C4C4C"/>
            </w:tcBorders>
          </w:tcPr>
          <w:p>
            <w:pPr>
              <w:spacing w:after="0"/>
              <w:rPr>
                <w:sz w:val="7"/>
                <w:szCs w:val="7"/>
                <w:color w:val="auto"/>
              </w:rPr>
            </w:pPr>
          </w:p>
        </w:tc>
        <w:tc>
          <w:tcPr>
            <w:tcW w:w="1260" w:type="dxa"/>
            <w:vAlign w:val="bottom"/>
            <w:tcBorders>
              <w:bottom w:val="single" w:sz="8" w:color="4C4C4C"/>
            </w:tcBorders>
          </w:tcPr>
          <w:p>
            <w:pPr>
              <w:spacing w:after="0"/>
              <w:rPr>
                <w:sz w:val="7"/>
                <w:szCs w:val="7"/>
                <w:color w:val="auto"/>
              </w:rPr>
            </w:pPr>
          </w:p>
        </w:tc>
        <w:tc>
          <w:tcPr>
            <w:tcW w:w="518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2023 (15 projects)</w:t>
            </w:r>
          </w:p>
        </w:tc>
        <w:tc>
          <w:tcPr>
            <w:tcW w:w="146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2,389</w:t>
            </w:r>
          </w:p>
        </w:tc>
        <w:tc>
          <w:tcPr>
            <w:tcW w:w="1260" w:type="dxa"/>
            <w:vAlign w:val="bottom"/>
            <w:tcBorders>
              <w:bottom w:val="single" w:sz="8" w:color="4C4C4C"/>
            </w:tcBorders>
          </w:tcPr>
          <w:p>
            <w:pPr>
              <w:spacing w:after="0"/>
              <w:rPr>
                <w:sz w:val="23"/>
                <w:szCs w:val="23"/>
                <w:color w:val="auto"/>
              </w:rPr>
            </w:pPr>
          </w:p>
        </w:tc>
        <w:tc>
          <w:tcPr>
            <w:tcW w:w="5180" w:type="dxa"/>
            <w:vAlign w:val="bottom"/>
            <w:tcBorders>
              <w:bottom w:val="single" w:sz="8" w:color="4C4C4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540"/>
          </w:cols>
          <w:pgMar w:left="640" w:top="27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540"/>
          </w:cols>
          <w:pgMar w:left="640" w:top="270" w:right="700" w:bottom="0" w:gutter="0" w:footer="0" w:header="0"/>
          <w:type w:val="continuous"/>
        </w:sectPr>
      </w:pPr>
    </w:p>
    <w:bookmarkStart w:id="106" w:name="page107"/>
    <w:bookmarkEnd w:id="106"/>
    <w:p>
      <w:pPr>
        <w:ind w:right="4380"/>
        <w:spacing w:after="0" w:line="365"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11. Leases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Corporation and its consolidated affiliates generally purchase the property, plant and equipment used in operations, but there are situations where assets are leased, primarily for drilling equipment, tankers, office buildings, railcars,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The portion of the fixed payment related to service costs for drilling equipment, tankers, and finance leases is excluded from the calculation of right of use assets and lease liabilities. Generally, assets are leased only for a portion of their useful lives and are accounted for as operating leases. In limited situations, assets are leased for nearly all of their useful lives and are accounted for as finance leases.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Variable payments under these lease agreements are not significant. Residual value guarantees, restrictions, or covenants related to leases, and transactions with related parties are also not significant. In general, leases are capitalized using the incremental borrowing rate of the leasing affiliate. The Corporation’s activities as a lessor are not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100965</wp:posOffset>
            </wp:positionV>
            <wp:extent cx="6718300" cy="13881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0">
                      <a:extLst>
                        <a:ext uri="{28A0092B-C50C-407E-A947-70E740481C1C}"/>
                      </a:extLst>
                    </a:blip>
                    <a:srcRect/>
                    <a:stretch>
                      <a:fillRect/>
                    </a:stretch>
                  </pic:blipFill>
                  <pic:spPr bwMode="auto">
                    <a:xfrm>
                      <a:off x="0" y="0"/>
                      <a:ext cx="6718300" cy="1388110"/>
                    </a:xfrm>
                    <a:prstGeom prst="rect">
                      <a:avLst/>
                    </a:prstGeom>
                    <a:noFill/>
                  </pic:spPr>
                </pic:pic>
              </a:graphicData>
            </a:graphic>
          </wp:anchor>
        </w:drawing>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FFFFFF"/>
              </w:rPr>
              <w:t>Lease Cost</w:t>
            </w:r>
          </w:p>
        </w:tc>
        <w:tc>
          <w:tcPr>
            <w:tcW w:w="210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b w:val="1"/>
                <w:bCs w:val="1"/>
                <w:color w:val="FFFFFF"/>
              </w:rPr>
              <w:t>Operating Leases</w:t>
            </w: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FFFFFF"/>
              </w:rPr>
              <w:t>Finance Leases</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2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88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2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4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FFFFFF"/>
                <w:w w:val="99"/>
              </w:rPr>
              <w:t>2023</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86"/>
        </w:trPr>
        <w:tc>
          <w:tcPr>
            <w:tcW w:w="4920" w:type="dxa"/>
            <w:vAlign w:val="bottom"/>
          </w:tcPr>
          <w:p>
            <w:pPr>
              <w:spacing w:after="0"/>
              <w:rPr>
                <w:sz w:val="7"/>
                <w:szCs w:val="7"/>
                <w:color w:val="auto"/>
              </w:rPr>
            </w:pPr>
          </w:p>
        </w:tc>
        <w:tc>
          <w:tcPr>
            <w:tcW w:w="880" w:type="dxa"/>
            <w:vAlign w:val="bottom"/>
            <w:vMerge w:val="continue"/>
            <w:shd w:val="clear" w:color="auto" w:fill="4C4C4C"/>
          </w:tcPr>
          <w:p>
            <w:pPr>
              <w:spacing w:after="0"/>
              <w:rPr>
                <w:sz w:val="7"/>
                <w:szCs w:val="7"/>
                <w:color w:val="auto"/>
              </w:rPr>
            </w:pPr>
          </w:p>
        </w:tc>
        <w:tc>
          <w:tcPr>
            <w:tcW w:w="12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lease cost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w:t>
            </w:r>
          </w:p>
        </w:tc>
        <w:tc>
          <w:tcPr>
            <w:tcW w:w="12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1,776</w:t>
            </w:r>
          </w:p>
        </w:tc>
        <w:tc>
          <w:tcPr>
            <w:tcW w:w="94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1,542</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Short-term and other (net of sublease rental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w:t>
            </w:r>
          </w:p>
        </w:tc>
        <w:tc>
          <w:tcPr>
            <w:tcW w:w="12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1,389</w:t>
            </w:r>
          </w:p>
        </w:tc>
        <w:tc>
          <w:tcPr>
            <w:tcW w:w="94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1,351</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Amortization of right of use assets</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107</w:t>
            </w:r>
          </w:p>
        </w:tc>
        <w:tc>
          <w:tcPr>
            <w:tcW w:w="12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243</w:t>
            </w:r>
          </w:p>
        </w:tc>
        <w:tc>
          <w:tcPr>
            <w:tcW w:w="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880" w:type="dxa"/>
            <w:vAlign w:val="bottom"/>
            <w:tcBorders>
              <w:bottom w:val="single" w:sz="8" w:color="4C4C4C"/>
            </w:tcBorders>
          </w:tcPr>
          <w:p>
            <w:pPr>
              <w:spacing w:after="0"/>
              <w:rPr>
                <w:sz w:val="24"/>
                <w:szCs w:val="24"/>
                <w:color w:val="auto"/>
              </w:rPr>
            </w:pPr>
          </w:p>
        </w:tc>
        <w:tc>
          <w:tcPr>
            <w:tcW w:w="1220" w:type="dxa"/>
            <w:vAlign w:val="bottom"/>
            <w:tcBorders>
              <w:bottom w:val="single" w:sz="8" w:color="4C4C4C"/>
            </w:tcBorders>
          </w:tcPr>
          <w:p>
            <w:pPr>
              <w:spacing w:after="0"/>
              <w:rPr>
                <w:sz w:val="24"/>
                <w:szCs w:val="24"/>
                <w:color w:val="auto"/>
              </w:rPr>
            </w:pPr>
          </w:p>
        </w:tc>
        <w:tc>
          <w:tcPr>
            <w:tcW w:w="940" w:type="dxa"/>
            <w:vAlign w:val="bottom"/>
            <w:tcBorders>
              <w:bottom w:val="single" w:sz="8" w:color="4C4C4C"/>
            </w:tcBorders>
          </w:tcPr>
          <w:p>
            <w:pPr>
              <w:spacing w:after="0"/>
              <w:rPr>
                <w:sz w:val="24"/>
                <w:szCs w:val="24"/>
                <w:color w:val="auto"/>
              </w:rPr>
            </w:pPr>
          </w:p>
        </w:tc>
        <w:tc>
          <w:tcPr>
            <w:tcW w:w="680" w:type="dxa"/>
            <w:vAlign w:val="bottom"/>
            <w:tcBorders>
              <w:bottom w:val="single" w:sz="8" w:color="4C4C4C"/>
            </w:tcBorders>
          </w:tcPr>
          <w:p>
            <w:pPr>
              <w:ind w:left="340"/>
              <w:spacing w:after="0"/>
              <w:rPr>
                <w:sz w:val="20"/>
                <w:szCs w:val="20"/>
                <w:color w:val="auto"/>
              </w:rPr>
            </w:pPr>
            <w:r>
              <w:rPr>
                <w:rFonts w:ascii="Times New Roman" w:cs="Times New Roman" w:eastAsia="Times New Roman" w:hAnsi="Times New Roman"/>
                <w:sz w:val="20"/>
                <w:szCs w:val="20"/>
                <w:color w:val="auto"/>
              </w:rPr>
              <w:t>140</w:t>
            </w:r>
          </w:p>
        </w:tc>
        <w:tc>
          <w:tcPr>
            <w:tcW w:w="1280" w:type="dxa"/>
            <w:vAlign w:val="bottom"/>
            <w:tcBorders>
              <w:bottom w:val="single" w:sz="8" w:color="4C4C4C"/>
            </w:tcBorders>
          </w:tcPr>
          <w:p>
            <w:pPr>
              <w:ind w:left="600"/>
              <w:spacing w:after="0"/>
              <w:rPr>
                <w:sz w:val="20"/>
                <w:szCs w:val="20"/>
                <w:color w:val="auto"/>
              </w:rPr>
            </w:pPr>
            <w:r>
              <w:rPr>
                <w:rFonts w:ascii="Times New Roman" w:cs="Times New Roman" w:eastAsia="Times New Roman" w:hAnsi="Times New Roman"/>
                <w:sz w:val="20"/>
                <w:szCs w:val="20"/>
                <w:color w:val="auto"/>
              </w:rPr>
              <w:t>210</w:t>
            </w:r>
          </w:p>
        </w:tc>
        <w:tc>
          <w:tcPr>
            <w:tcW w:w="62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77"/>
        </w:trPr>
        <w:tc>
          <w:tcPr>
            <w:tcW w:w="492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10"/>
                <w:szCs w:val="10"/>
                <w:i w:val="1"/>
                <w:iCs w:val="1"/>
                <w:color w:val="auto"/>
              </w:rPr>
              <w:t>(1)</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3,539</w:t>
            </w:r>
          </w:p>
        </w:tc>
        <w:tc>
          <w:tcPr>
            <w:tcW w:w="1220" w:type="dxa"/>
            <w:vAlign w:val="bottom"/>
            <w:tcBorders>
              <w:bottom w:val="single" w:sz="8" w:color="4C4C4C"/>
            </w:tcBorders>
          </w:tcPr>
          <w:p>
            <w:pPr>
              <w:jc w:val="right"/>
              <w:ind w:right="267"/>
              <w:spacing w:after="0"/>
              <w:rPr>
                <w:sz w:val="20"/>
                <w:szCs w:val="20"/>
                <w:color w:val="auto"/>
              </w:rPr>
            </w:pPr>
            <w:r>
              <w:rPr>
                <w:rFonts w:ascii="Times New Roman" w:cs="Times New Roman" w:eastAsia="Times New Roman" w:hAnsi="Times New Roman"/>
                <w:sz w:val="20"/>
                <w:szCs w:val="20"/>
                <w:b w:val="1"/>
                <w:bCs w:val="1"/>
                <w:color w:val="auto"/>
              </w:rPr>
              <w:t>3,165</w:t>
            </w:r>
          </w:p>
        </w:tc>
        <w:tc>
          <w:tcPr>
            <w:tcW w:w="940" w:type="dxa"/>
            <w:vAlign w:val="bottom"/>
            <w:tcBorders>
              <w:bottom w:val="single" w:sz="8" w:color="4C4C4C"/>
            </w:tcBorders>
          </w:tcPr>
          <w:p>
            <w:pPr>
              <w:jc w:val="right"/>
              <w:ind w:right="267"/>
              <w:spacing w:after="0"/>
              <w:rPr>
                <w:sz w:val="20"/>
                <w:szCs w:val="20"/>
                <w:color w:val="auto"/>
              </w:rPr>
            </w:pPr>
            <w:r>
              <w:rPr>
                <w:rFonts w:ascii="Times New Roman" w:cs="Times New Roman" w:eastAsia="Times New Roman" w:hAnsi="Times New Roman"/>
                <w:sz w:val="20"/>
                <w:szCs w:val="20"/>
                <w:b w:val="1"/>
                <w:bCs w:val="1"/>
                <w:color w:val="auto"/>
              </w:rPr>
              <w:t>2,893</w:t>
            </w:r>
          </w:p>
        </w:tc>
        <w:tc>
          <w:tcPr>
            <w:tcW w:w="680" w:type="dxa"/>
            <w:vAlign w:val="bottom"/>
            <w:tcBorders>
              <w:bottom w:val="single" w:sz="8" w:color="4C4C4C"/>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247</w:t>
            </w:r>
          </w:p>
        </w:tc>
        <w:tc>
          <w:tcPr>
            <w:tcW w:w="1280" w:type="dxa"/>
            <w:vAlign w:val="bottom"/>
            <w:tcBorders>
              <w:bottom w:val="single" w:sz="8" w:color="4C4C4C"/>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453</w:t>
            </w:r>
          </w:p>
        </w:tc>
        <w:tc>
          <w:tcPr>
            <w:tcW w:w="62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291</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40" w:hanging="158"/>
        <w:spacing w:after="0"/>
        <w:tabs>
          <w:tab w:leader="none" w:pos="240" w:val="left"/>
        </w:tabs>
        <w:numPr>
          <w:ilvl w:val="0"/>
          <w:numId w:val="41"/>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Includes $999 million, $908 million, and $681 million for drilling rigs and related equipment operating leases in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338455</wp:posOffset>
            </wp:positionV>
            <wp:extent cx="6767195" cy="3313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1">
                      <a:extLst>
                        <a:ext uri="{28A0092B-C50C-407E-A947-70E740481C1C}"/>
                      </a:extLst>
                    </a:blip>
                    <a:srcRect/>
                    <a:stretch>
                      <a:fillRect/>
                    </a:stretch>
                  </pic:blipFill>
                  <pic:spPr bwMode="auto">
                    <a:xfrm>
                      <a:off x="0" y="0"/>
                      <a:ext cx="6767195" cy="331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FFFFFF"/>
              </w:rPr>
              <w:t>Balance Sheet</w:t>
            </w:r>
          </w:p>
        </w:tc>
        <w:tc>
          <w:tcPr>
            <w:tcW w:w="3080" w:type="dxa"/>
            <w:vAlign w:val="bottom"/>
            <w:gridSpan w:val="2"/>
          </w:tcPr>
          <w:p>
            <w:pPr>
              <w:jc w:val="right"/>
              <w:ind w:right="866"/>
              <w:spacing w:after="0"/>
              <w:rPr>
                <w:sz w:val="20"/>
                <w:szCs w:val="20"/>
                <w:color w:val="auto"/>
              </w:rPr>
            </w:pPr>
            <w:r>
              <w:rPr>
                <w:rFonts w:ascii="Times New Roman" w:cs="Times New Roman" w:eastAsia="Times New Roman" w:hAnsi="Times New Roman"/>
                <w:sz w:val="16"/>
                <w:szCs w:val="16"/>
                <w:b w:val="1"/>
                <w:bCs w:val="1"/>
                <w:color w:val="FFFFFF"/>
              </w:rPr>
              <w:t>Operating Leases</w:t>
            </w:r>
          </w:p>
        </w:tc>
        <w:tc>
          <w:tcPr>
            <w:tcW w:w="2700" w:type="dxa"/>
            <w:vAlign w:val="bottom"/>
            <w:gridSpan w:val="2"/>
          </w:tcPr>
          <w:p>
            <w:pPr>
              <w:jc w:val="right"/>
              <w:ind w:right="766"/>
              <w:spacing w:after="0"/>
              <w:rPr>
                <w:sz w:val="20"/>
                <w:szCs w:val="20"/>
                <w:color w:val="auto"/>
              </w:rPr>
            </w:pPr>
            <w:r>
              <w:rPr>
                <w:rFonts w:ascii="Times New Roman" w:cs="Times New Roman" w:eastAsia="Times New Roman" w:hAnsi="Times New Roman"/>
                <w:sz w:val="16"/>
                <w:szCs w:val="16"/>
                <w:b w:val="1"/>
                <w:bCs w:val="1"/>
                <w:color w:val="FFFFFF"/>
              </w:rPr>
              <w:t>Finance Leases</w:t>
            </w:r>
          </w:p>
        </w:tc>
      </w:tr>
      <w:tr>
        <w:trPr>
          <w:trHeight w:val="160"/>
        </w:trPr>
        <w:tc>
          <w:tcPr>
            <w:tcW w:w="476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580" w:type="dxa"/>
            <w:vAlign w:val="bottom"/>
            <w:tcBorders>
              <w:right w:val="single" w:sz="8" w:color="4C4C4C"/>
            </w:tcBorders>
          </w:tcPr>
          <w:p>
            <w:pPr>
              <w:jc w:val="right"/>
              <w:ind w:right="188"/>
              <w:spacing w:after="0" w:line="160" w:lineRule="exact"/>
              <w:rPr>
                <w:sz w:val="20"/>
                <w:szCs w:val="20"/>
                <w:color w:val="auto"/>
              </w:rPr>
            </w:pPr>
            <w:r>
              <w:rPr>
                <w:rFonts w:ascii="Times New Roman" w:cs="Times New Roman" w:eastAsia="Times New Roman" w:hAnsi="Times New Roman"/>
                <w:sz w:val="16"/>
                <w:szCs w:val="16"/>
                <w:b w:val="1"/>
                <w:bCs w:val="1"/>
                <w:color w:val="FFFFFF"/>
              </w:rPr>
              <w:t>December 31,</w:t>
            </w:r>
          </w:p>
        </w:tc>
        <w:tc>
          <w:tcPr>
            <w:tcW w:w="1500" w:type="dxa"/>
            <w:vAlign w:val="bottom"/>
          </w:tcPr>
          <w:p>
            <w:pPr>
              <w:jc w:val="right"/>
              <w:ind w:right="286"/>
              <w:spacing w:after="0" w:line="160" w:lineRule="exact"/>
              <w:rPr>
                <w:sz w:val="20"/>
                <w:szCs w:val="20"/>
                <w:color w:val="auto"/>
              </w:rPr>
            </w:pPr>
            <w:r>
              <w:rPr>
                <w:rFonts w:ascii="Times New Roman" w:cs="Times New Roman" w:eastAsia="Times New Roman" w:hAnsi="Times New Roman"/>
                <w:sz w:val="16"/>
                <w:szCs w:val="16"/>
                <w:b w:val="1"/>
                <w:bCs w:val="1"/>
                <w:color w:val="FFFFFF"/>
              </w:rPr>
              <w:t>December 31,</w:t>
            </w:r>
          </w:p>
        </w:tc>
        <w:tc>
          <w:tcPr>
            <w:tcW w:w="1300" w:type="dxa"/>
            <w:vAlign w:val="bottom"/>
          </w:tcPr>
          <w:p>
            <w:pPr>
              <w:jc w:val="right"/>
              <w:ind w:right="127"/>
              <w:spacing w:after="0" w:line="160" w:lineRule="exact"/>
              <w:rPr>
                <w:sz w:val="20"/>
                <w:szCs w:val="20"/>
                <w:color w:val="auto"/>
              </w:rPr>
            </w:pPr>
            <w:r>
              <w:rPr>
                <w:rFonts w:ascii="Times New Roman" w:cs="Times New Roman" w:eastAsia="Times New Roman" w:hAnsi="Times New Roman"/>
                <w:sz w:val="16"/>
                <w:szCs w:val="16"/>
                <w:b w:val="1"/>
                <w:bCs w:val="1"/>
                <w:color w:val="FFFFFF"/>
              </w:rPr>
              <w:t>December 31,</w:t>
            </w:r>
          </w:p>
        </w:tc>
        <w:tc>
          <w:tcPr>
            <w:tcW w:w="1400" w:type="dxa"/>
            <w:vAlign w:val="bottom"/>
            <w:tcBorders>
              <w:top w:val="single" w:sz="8" w:color="4C4C4C"/>
            </w:tcBorders>
            <w:shd w:val="clear" w:color="auto" w:fill="4C4C4C"/>
          </w:tcPr>
          <w:p>
            <w:pPr>
              <w:jc w:val="right"/>
              <w:ind w:right="106"/>
              <w:spacing w:after="0" w:line="160" w:lineRule="exact"/>
              <w:rPr>
                <w:sz w:val="20"/>
                <w:szCs w:val="20"/>
                <w:color w:val="auto"/>
              </w:rPr>
            </w:pPr>
            <w:r>
              <w:rPr>
                <w:rFonts w:ascii="Times New Roman" w:cs="Times New Roman" w:eastAsia="Times New Roman" w:hAnsi="Times New Roman"/>
                <w:sz w:val="16"/>
                <w:szCs w:val="16"/>
                <w:b w:val="1"/>
                <w:bCs w:val="1"/>
                <w:color w:val="FFFFFF"/>
              </w:rPr>
              <w:t>December 31,</w:t>
            </w:r>
          </w:p>
        </w:tc>
      </w:tr>
      <w:tr>
        <w:trPr>
          <w:trHeight w:val="199"/>
        </w:trPr>
        <w:tc>
          <w:tcPr>
            <w:tcW w:w="4760" w:type="dxa"/>
            <w:vAlign w:val="bottom"/>
          </w:tcPr>
          <w:p>
            <w:pPr>
              <w:spacing w:after="0"/>
              <w:rPr>
                <w:sz w:val="17"/>
                <w:szCs w:val="17"/>
                <w:color w:val="auto"/>
              </w:rPr>
            </w:pPr>
          </w:p>
        </w:tc>
        <w:tc>
          <w:tcPr>
            <w:tcW w:w="1580" w:type="dxa"/>
            <w:vAlign w:val="bottom"/>
            <w:tcBorders>
              <w:right w:val="single" w:sz="8" w:color="4C4C4C"/>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500" w:type="dxa"/>
            <w:vAlign w:val="bottom"/>
          </w:tcPr>
          <w:p>
            <w:pPr>
              <w:jc w:val="right"/>
              <w:ind w:right="58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130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400" w:type="dxa"/>
            <w:vAlign w:val="bottom"/>
            <w:shd w:val="clear" w:color="auto" w:fill="4C4C4C"/>
          </w:tcPr>
          <w:p>
            <w:pPr>
              <w:jc w:val="right"/>
              <w:ind w:right="406"/>
              <w:spacing w:after="0"/>
              <w:rPr>
                <w:sz w:val="20"/>
                <w:szCs w:val="20"/>
                <w:color w:val="auto"/>
              </w:rPr>
            </w:pPr>
            <w:r>
              <w:rPr>
                <w:rFonts w:ascii="Times New Roman" w:cs="Times New Roman" w:eastAsia="Times New Roman" w:hAnsi="Times New Roman"/>
                <w:sz w:val="16"/>
                <w:szCs w:val="16"/>
                <w:b w:val="1"/>
                <w:bCs w:val="1"/>
                <w:color w:val="FFFFFF"/>
              </w:rPr>
              <w:t>2022</w:t>
            </w:r>
          </w:p>
        </w:tc>
      </w:tr>
      <w:tr>
        <w:trPr>
          <w:trHeight w:val="385"/>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Right of use assets</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Included in Other assets, including intangibles - net</w:t>
            </w: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20"/>
                <w:szCs w:val="20"/>
                <w:color w:val="auto"/>
              </w:rPr>
              <w:t>6,849</w:t>
            </w:r>
          </w:p>
        </w:tc>
        <w:tc>
          <w:tcPr>
            <w:tcW w:w="1500" w:type="dxa"/>
            <w:vAlign w:val="bottom"/>
          </w:tcPr>
          <w:p>
            <w:pPr>
              <w:jc w:val="right"/>
              <w:ind w:right="306"/>
              <w:spacing w:after="0"/>
              <w:rPr>
                <w:sz w:val="20"/>
                <w:szCs w:val="20"/>
                <w:color w:val="auto"/>
              </w:rPr>
            </w:pPr>
            <w:r>
              <w:rPr>
                <w:rFonts w:ascii="Times New Roman" w:cs="Times New Roman" w:eastAsia="Times New Roman" w:hAnsi="Times New Roman"/>
                <w:sz w:val="20"/>
                <w:szCs w:val="20"/>
                <w:color w:val="auto"/>
              </w:rPr>
              <w:t>6,451</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7"/>
        </w:trPr>
        <w:tc>
          <w:tcPr>
            <w:tcW w:w="47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Included in Property, plant and equipment - net</w:t>
            </w:r>
          </w:p>
        </w:tc>
        <w:tc>
          <w:tcPr>
            <w:tcW w:w="1580" w:type="dxa"/>
            <w:vAlign w:val="bottom"/>
            <w:tcBorders>
              <w:bottom w:val="single" w:sz="8" w:color="4C4C4C"/>
            </w:tcBorders>
          </w:tcPr>
          <w:p>
            <w:pPr>
              <w:spacing w:after="0"/>
              <w:rPr>
                <w:sz w:val="24"/>
                <w:szCs w:val="24"/>
                <w:color w:val="auto"/>
              </w:rPr>
            </w:pPr>
          </w:p>
        </w:tc>
        <w:tc>
          <w:tcPr>
            <w:tcW w:w="1500" w:type="dxa"/>
            <w:vAlign w:val="bottom"/>
            <w:tcBorders>
              <w:bottom w:val="single" w:sz="8" w:color="4C4C4C"/>
            </w:tcBorders>
          </w:tcPr>
          <w:p>
            <w:pPr>
              <w:spacing w:after="0"/>
              <w:rPr>
                <w:sz w:val="24"/>
                <w:szCs w:val="24"/>
                <w:color w:val="auto"/>
              </w:rPr>
            </w:pPr>
          </w:p>
        </w:tc>
        <w:tc>
          <w:tcPr>
            <w:tcW w:w="130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color w:val="auto"/>
              </w:rPr>
              <w:t>2,712</w:t>
            </w:r>
          </w:p>
        </w:tc>
        <w:tc>
          <w:tcPr>
            <w:tcW w:w="1400" w:type="dxa"/>
            <w:vAlign w:val="bottom"/>
            <w:tcBorders>
              <w:bottom w:val="single" w:sz="8" w:color="4C4C4C"/>
            </w:tcBorders>
          </w:tcPr>
          <w:p>
            <w:pPr>
              <w:jc w:val="right"/>
              <w:ind w:right="146"/>
              <w:spacing w:after="0"/>
              <w:rPr>
                <w:sz w:val="20"/>
                <w:szCs w:val="20"/>
                <w:color w:val="auto"/>
              </w:rPr>
            </w:pPr>
            <w:r>
              <w:rPr>
                <w:rFonts w:ascii="Times New Roman" w:cs="Times New Roman" w:eastAsia="Times New Roman" w:hAnsi="Times New Roman"/>
                <w:sz w:val="20"/>
                <w:szCs w:val="20"/>
                <w:color w:val="auto"/>
              </w:rPr>
              <w:t>2,090</w:t>
            </w:r>
          </w:p>
        </w:tc>
      </w:tr>
      <w:tr>
        <w:trPr>
          <w:trHeight w:val="274"/>
        </w:trPr>
        <w:tc>
          <w:tcPr>
            <w:tcW w:w="476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 right of use assets</w:t>
            </w:r>
          </w:p>
        </w:tc>
        <w:tc>
          <w:tcPr>
            <w:tcW w:w="1580" w:type="dxa"/>
            <w:vAlign w:val="bottom"/>
            <w:tcBorders>
              <w:bottom w:val="single" w:sz="8" w:color="4C4C4C"/>
            </w:tcBorders>
          </w:tcPr>
          <w:p>
            <w:pPr>
              <w:jc w:val="right"/>
              <w:ind w:right="228"/>
              <w:spacing w:after="0"/>
              <w:rPr>
                <w:sz w:val="20"/>
                <w:szCs w:val="20"/>
                <w:color w:val="auto"/>
              </w:rPr>
            </w:pPr>
            <w:r>
              <w:rPr>
                <w:rFonts w:ascii="Times New Roman" w:cs="Times New Roman" w:eastAsia="Times New Roman" w:hAnsi="Times New Roman"/>
                <w:sz w:val="20"/>
                <w:szCs w:val="20"/>
                <w:b w:val="1"/>
                <w:bCs w:val="1"/>
                <w:color w:val="auto"/>
              </w:rPr>
              <w:t>6,849</w:t>
            </w:r>
          </w:p>
        </w:tc>
        <w:tc>
          <w:tcPr>
            <w:tcW w:w="1500" w:type="dxa"/>
            <w:vAlign w:val="bottom"/>
            <w:tcBorders>
              <w:bottom w:val="single" w:sz="8" w:color="4C4C4C"/>
            </w:tcBorders>
          </w:tcPr>
          <w:p>
            <w:pPr>
              <w:jc w:val="right"/>
              <w:ind w:right="306"/>
              <w:spacing w:after="0"/>
              <w:rPr>
                <w:sz w:val="20"/>
                <w:szCs w:val="20"/>
                <w:color w:val="auto"/>
              </w:rPr>
            </w:pPr>
            <w:r>
              <w:rPr>
                <w:rFonts w:ascii="Times New Roman" w:cs="Times New Roman" w:eastAsia="Times New Roman" w:hAnsi="Times New Roman"/>
                <w:sz w:val="20"/>
                <w:szCs w:val="20"/>
                <w:b w:val="1"/>
                <w:bCs w:val="1"/>
                <w:color w:val="auto"/>
              </w:rPr>
              <w:t>6,451</w:t>
            </w:r>
          </w:p>
        </w:tc>
        <w:tc>
          <w:tcPr>
            <w:tcW w:w="130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b w:val="1"/>
                <w:bCs w:val="1"/>
                <w:color w:val="auto"/>
              </w:rPr>
              <w:t>2,712</w:t>
            </w:r>
          </w:p>
        </w:tc>
        <w:tc>
          <w:tcPr>
            <w:tcW w:w="1400" w:type="dxa"/>
            <w:vAlign w:val="bottom"/>
            <w:tcBorders>
              <w:bottom w:val="single" w:sz="8" w:color="4C4C4C"/>
            </w:tcBorders>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2,090</w:t>
            </w:r>
          </w:p>
        </w:tc>
      </w:tr>
      <w:tr>
        <w:trPr>
          <w:trHeight w:val="37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Lease liability due within one year</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Included in Accounts payable and accrued liabilities</w:t>
            </w: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20"/>
                <w:szCs w:val="20"/>
                <w:color w:val="auto"/>
              </w:rPr>
              <w:t>1,617</w:t>
            </w:r>
          </w:p>
        </w:tc>
        <w:tc>
          <w:tcPr>
            <w:tcW w:w="1500" w:type="dxa"/>
            <w:vAlign w:val="bottom"/>
          </w:tcPr>
          <w:p>
            <w:pPr>
              <w:jc w:val="right"/>
              <w:ind w:right="306"/>
              <w:spacing w:after="0"/>
              <w:rPr>
                <w:sz w:val="20"/>
                <w:szCs w:val="20"/>
                <w:color w:val="auto"/>
              </w:rPr>
            </w:pPr>
            <w:r>
              <w:rPr>
                <w:rFonts w:ascii="Times New Roman" w:cs="Times New Roman" w:eastAsia="Times New Roman" w:hAnsi="Times New Roman"/>
                <w:sz w:val="20"/>
                <w:szCs w:val="20"/>
                <w:color w:val="auto"/>
              </w:rPr>
              <w:t>1,527</w:t>
            </w:r>
          </w:p>
        </w:tc>
        <w:tc>
          <w:tcPr>
            <w:tcW w:w="130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5</w:t>
            </w:r>
          </w:p>
        </w:tc>
        <w:tc>
          <w:tcPr>
            <w:tcW w:w="140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5</w:t>
            </w:r>
          </w:p>
        </w:tc>
      </w:tr>
      <w:tr>
        <w:trPr>
          <w:trHeight w:val="29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Included in Notes and loans payable</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95</w:t>
            </w:r>
          </w:p>
        </w:tc>
        <w:tc>
          <w:tcPr>
            <w:tcW w:w="140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69</w:t>
            </w:r>
          </w:p>
        </w:tc>
      </w:tr>
      <w:tr>
        <w:trPr>
          <w:trHeight w:val="29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Long-term lease liability</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Included in Other long-term obligations</w:t>
            </w: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20"/>
                <w:szCs w:val="20"/>
                <w:color w:val="auto"/>
              </w:rPr>
              <w:t>4,393</w:t>
            </w:r>
          </w:p>
        </w:tc>
        <w:tc>
          <w:tcPr>
            <w:tcW w:w="1500" w:type="dxa"/>
            <w:vAlign w:val="bottom"/>
          </w:tcPr>
          <w:p>
            <w:pPr>
              <w:jc w:val="right"/>
              <w:ind w:right="306"/>
              <w:spacing w:after="0"/>
              <w:rPr>
                <w:sz w:val="20"/>
                <w:szCs w:val="20"/>
                <w:color w:val="auto"/>
              </w:rPr>
            </w:pPr>
            <w:r>
              <w:rPr>
                <w:rFonts w:ascii="Times New Roman" w:cs="Times New Roman" w:eastAsia="Times New Roman" w:hAnsi="Times New Roman"/>
                <w:sz w:val="20"/>
                <w:szCs w:val="20"/>
                <w:color w:val="auto"/>
              </w:rPr>
              <w:t>4,067</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Included in Long-term debt</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1,821</w:t>
            </w:r>
          </w:p>
        </w:tc>
        <w:tc>
          <w:tcPr>
            <w:tcW w:w="140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1,389</w:t>
            </w:r>
          </w:p>
        </w:tc>
      </w:tr>
      <w:tr>
        <w:trPr>
          <w:trHeight w:val="297"/>
        </w:trPr>
        <w:tc>
          <w:tcPr>
            <w:tcW w:w="47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Included in Long-term obligations to equity companies</w:t>
            </w:r>
          </w:p>
        </w:tc>
        <w:tc>
          <w:tcPr>
            <w:tcW w:w="1580" w:type="dxa"/>
            <w:vAlign w:val="bottom"/>
            <w:tcBorders>
              <w:bottom w:val="single" w:sz="8" w:color="4C4C4C"/>
            </w:tcBorders>
          </w:tcPr>
          <w:p>
            <w:pPr>
              <w:spacing w:after="0"/>
              <w:rPr>
                <w:sz w:val="24"/>
                <w:szCs w:val="24"/>
                <w:color w:val="auto"/>
              </w:rPr>
            </w:pPr>
          </w:p>
        </w:tc>
        <w:tc>
          <w:tcPr>
            <w:tcW w:w="1500" w:type="dxa"/>
            <w:vAlign w:val="bottom"/>
            <w:tcBorders>
              <w:bottom w:val="single" w:sz="8" w:color="4C4C4C"/>
            </w:tcBorders>
          </w:tcPr>
          <w:p>
            <w:pPr>
              <w:spacing w:after="0"/>
              <w:rPr>
                <w:sz w:val="24"/>
                <w:szCs w:val="24"/>
                <w:color w:val="auto"/>
              </w:rPr>
            </w:pPr>
          </w:p>
        </w:tc>
        <w:tc>
          <w:tcPr>
            <w:tcW w:w="130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color w:val="auto"/>
              </w:rPr>
              <w:t>121</w:t>
            </w:r>
          </w:p>
        </w:tc>
        <w:tc>
          <w:tcPr>
            <w:tcW w:w="1400" w:type="dxa"/>
            <w:vAlign w:val="bottom"/>
            <w:tcBorders>
              <w:bottom w:val="single" w:sz="8" w:color="4C4C4C"/>
            </w:tcBorders>
          </w:tcPr>
          <w:p>
            <w:pPr>
              <w:jc w:val="right"/>
              <w:ind w:right="146"/>
              <w:spacing w:after="0"/>
              <w:rPr>
                <w:sz w:val="20"/>
                <w:szCs w:val="20"/>
                <w:color w:val="auto"/>
              </w:rPr>
            </w:pPr>
            <w:r>
              <w:rPr>
                <w:rFonts w:ascii="Times New Roman" w:cs="Times New Roman" w:eastAsia="Times New Roman" w:hAnsi="Times New Roman"/>
                <w:sz w:val="20"/>
                <w:szCs w:val="20"/>
                <w:color w:val="auto"/>
              </w:rPr>
              <w:t>126</w:t>
            </w:r>
          </w:p>
        </w:tc>
      </w:tr>
      <w:tr>
        <w:trPr>
          <w:trHeight w:val="274"/>
        </w:trPr>
        <w:tc>
          <w:tcPr>
            <w:tcW w:w="476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 xml:space="preserve">Total lease liability </w:t>
            </w:r>
            <w:r>
              <w:rPr>
                <w:rFonts w:ascii="Times New Roman" w:cs="Times New Roman" w:eastAsia="Times New Roman" w:hAnsi="Times New Roman"/>
                <w:sz w:val="10"/>
                <w:szCs w:val="10"/>
                <w:i w:val="1"/>
                <w:iCs w:val="1"/>
                <w:color w:val="auto"/>
              </w:rPr>
              <w:t>(2)</w:t>
            </w:r>
          </w:p>
        </w:tc>
        <w:tc>
          <w:tcPr>
            <w:tcW w:w="1580" w:type="dxa"/>
            <w:vAlign w:val="bottom"/>
            <w:tcBorders>
              <w:bottom w:val="single" w:sz="8" w:color="4C4C4C"/>
            </w:tcBorders>
          </w:tcPr>
          <w:p>
            <w:pPr>
              <w:jc w:val="right"/>
              <w:ind w:right="228"/>
              <w:spacing w:after="0"/>
              <w:rPr>
                <w:sz w:val="20"/>
                <w:szCs w:val="20"/>
                <w:color w:val="auto"/>
              </w:rPr>
            </w:pPr>
            <w:r>
              <w:rPr>
                <w:rFonts w:ascii="Times New Roman" w:cs="Times New Roman" w:eastAsia="Times New Roman" w:hAnsi="Times New Roman"/>
                <w:sz w:val="20"/>
                <w:szCs w:val="20"/>
                <w:b w:val="1"/>
                <w:bCs w:val="1"/>
                <w:color w:val="auto"/>
              </w:rPr>
              <w:t>6,010</w:t>
            </w:r>
          </w:p>
        </w:tc>
        <w:tc>
          <w:tcPr>
            <w:tcW w:w="1500" w:type="dxa"/>
            <w:vAlign w:val="bottom"/>
            <w:tcBorders>
              <w:bottom w:val="single" w:sz="8" w:color="4C4C4C"/>
            </w:tcBorders>
          </w:tcPr>
          <w:p>
            <w:pPr>
              <w:jc w:val="right"/>
              <w:ind w:right="306"/>
              <w:spacing w:after="0"/>
              <w:rPr>
                <w:sz w:val="20"/>
                <w:szCs w:val="20"/>
                <w:color w:val="auto"/>
              </w:rPr>
            </w:pPr>
            <w:r>
              <w:rPr>
                <w:rFonts w:ascii="Times New Roman" w:cs="Times New Roman" w:eastAsia="Times New Roman" w:hAnsi="Times New Roman"/>
                <w:sz w:val="20"/>
                <w:szCs w:val="20"/>
                <w:b w:val="1"/>
                <w:bCs w:val="1"/>
                <w:color w:val="auto"/>
              </w:rPr>
              <w:t>5,594</w:t>
            </w:r>
          </w:p>
        </w:tc>
        <w:tc>
          <w:tcPr>
            <w:tcW w:w="130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b w:val="1"/>
                <w:bCs w:val="1"/>
                <w:color w:val="auto"/>
              </w:rPr>
              <w:t>2,042</w:t>
            </w:r>
          </w:p>
        </w:tc>
        <w:tc>
          <w:tcPr>
            <w:tcW w:w="1400" w:type="dxa"/>
            <w:vAlign w:val="bottom"/>
            <w:tcBorders>
              <w:bottom w:val="single" w:sz="8" w:color="4C4C4C"/>
            </w:tcBorders>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1,589</w:t>
            </w:r>
          </w:p>
        </w:tc>
      </w:tr>
      <w:tr>
        <w:trPr>
          <w:trHeight w:val="374"/>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remaining lease term (years)</w:t>
            </w:r>
          </w:p>
        </w:tc>
        <w:tc>
          <w:tcPr>
            <w:tcW w:w="1580" w:type="dxa"/>
            <w:vAlign w:val="bottom"/>
          </w:tcPr>
          <w:p>
            <w:pPr>
              <w:jc w:val="right"/>
              <w:ind w:right="388"/>
              <w:spacing w:after="0"/>
              <w:rPr>
                <w:sz w:val="20"/>
                <w:szCs w:val="20"/>
                <w:color w:val="auto"/>
              </w:rPr>
            </w:pPr>
            <w:r>
              <w:rPr>
                <w:rFonts w:ascii="Times New Roman" w:cs="Times New Roman" w:eastAsia="Times New Roman" w:hAnsi="Times New Roman"/>
                <w:sz w:val="20"/>
                <w:szCs w:val="20"/>
                <w:color w:val="auto"/>
              </w:rPr>
              <w:t>8</w:t>
            </w:r>
          </w:p>
        </w:tc>
        <w:tc>
          <w:tcPr>
            <w:tcW w:w="1500" w:type="dxa"/>
            <w:vAlign w:val="bottom"/>
          </w:tcPr>
          <w:p>
            <w:pPr>
              <w:jc w:val="right"/>
              <w:ind w:right="466"/>
              <w:spacing w:after="0"/>
              <w:rPr>
                <w:sz w:val="20"/>
                <w:szCs w:val="20"/>
                <w:color w:val="auto"/>
              </w:rPr>
            </w:pPr>
            <w:r>
              <w:rPr>
                <w:rFonts w:ascii="Times New Roman" w:cs="Times New Roman" w:eastAsia="Times New Roman" w:hAnsi="Times New Roman"/>
                <w:sz w:val="20"/>
                <w:szCs w:val="20"/>
                <w:color w:val="auto"/>
              </w:rPr>
              <w:t>9</w:t>
            </w:r>
          </w:p>
        </w:tc>
        <w:tc>
          <w:tcPr>
            <w:tcW w:w="1300" w:type="dxa"/>
            <w:vAlign w:val="bottom"/>
          </w:tcPr>
          <w:p>
            <w:pPr>
              <w:jc w:val="right"/>
              <w:ind w:right="307"/>
              <w:spacing w:after="0"/>
              <w:rPr>
                <w:sz w:val="20"/>
                <w:szCs w:val="20"/>
                <w:color w:val="auto"/>
              </w:rPr>
            </w:pPr>
            <w:r>
              <w:rPr>
                <w:rFonts w:ascii="Times New Roman" w:cs="Times New Roman" w:eastAsia="Times New Roman" w:hAnsi="Times New Roman"/>
                <w:sz w:val="20"/>
                <w:szCs w:val="20"/>
                <w:color w:val="auto"/>
              </w:rPr>
              <w:t>26</w:t>
            </w:r>
          </w:p>
        </w:tc>
        <w:tc>
          <w:tcPr>
            <w:tcW w:w="1400" w:type="dxa"/>
            <w:vAlign w:val="bottom"/>
          </w:tcPr>
          <w:p>
            <w:pPr>
              <w:jc w:val="right"/>
              <w:ind w:right="306"/>
              <w:spacing w:after="0"/>
              <w:rPr>
                <w:sz w:val="20"/>
                <w:szCs w:val="20"/>
                <w:color w:val="auto"/>
              </w:rPr>
            </w:pPr>
            <w:r>
              <w:rPr>
                <w:rFonts w:ascii="Times New Roman" w:cs="Times New Roman" w:eastAsia="Times New Roman" w:hAnsi="Times New Roman"/>
                <w:sz w:val="20"/>
                <w:szCs w:val="20"/>
                <w:color w:val="auto"/>
              </w:rPr>
              <w:t>22</w:t>
            </w:r>
          </w:p>
        </w:tc>
      </w:tr>
      <w:tr>
        <w:trPr>
          <w:trHeight w:val="300"/>
        </w:trPr>
        <w:tc>
          <w:tcPr>
            <w:tcW w:w="47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 (percent)</w:t>
            </w:r>
          </w:p>
        </w:tc>
        <w:tc>
          <w:tcPr>
            <w:tcW w:w="15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1500" w:type="dxa"/>
            <w:vAlign w:val="bottom"/>
            <w:tcBorders>
              <w:bottom w:val="single" w:sz="8" w:color="4C4C4C"/>
            </w:tcBorders>
          </w:tcPr>
          <w:p>
            <w:pPr>
              <w:jc w:val="right"/>
              <w:ind w:right="86"/>
              <w:spacing w:after="0"/>
              <w:rPr>
                <w:sz w:val="20"/>
                <w:szCs w:val="20"/>
                <w:color w:val="auto"/>
              </w:rPr>
            </w:pPr>
            <w:r>
              <w:rPr>
                <w:rFonts w:ascii="Times New Roman" w:cs="Times New Roman" w:eastAsia="Times New Roman" w:hAnsi="Times New Roman"/>
                <w:sz w:val="20"/>
                <w:szCs w:val="20"/>
                <w:color w:val="auto"/>
              </w:rPr>
              <w:t>2.4 %</w:t>
            </w:r>
          </w:p>
        </w:tc>
        <w:tc>
          <w:tcPr>
            <w:tcW w:w="13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7.2 %</w:t>
            </w:r>
          </w:p>
        </w:tc>
        <w:tc>
          <w:tcPr>
            <w:tcW w:w="14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8.0 %</w:t>
            </w:r>
          </w:p>
        </w:tc>
      </w:tr>
    </w:tbl>
    <w:p>
      <w:pPr>
        <w:spacing w:after="0" w:line="78" w:lineRule="exact"/>
        <w:rPr>
          <w:sz w:val="20"/>
          <w:szCs w:val="20"/>
          <w:color w:val="auto"/>
        </w:rPr>
      </w:pPr>
    </w:p>
    <w:p>
      <w:pPr>
        <w:ind w:left="240" w:hanging="158"/>
        <w:spacing w:after="0"/>
        <w:tabs>
          <w:tab w:leader="none" w:pos="240" w:val="left"/>
        </w:tabs>
        <w:numPr>
          <w:ilvl w:val="0"/>
          <w:numId w:val="4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Includes $2,032 million and $1,646 million for drilling rigs and related equipment operating leases in 2023 and 2022, respectively.</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600"/>
          </w:cols>
          <w:pgMar w:left="640" w:top="270" w:right="64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44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Maturity Analysis of Lease Liabilities</w:t>
            </w:r>
          </w:p>
        </w:tc>
        <w:tc>
          <w:tcPr>
            <w:tcW w:w="3680" w:type="dxa"/>
            <w:vAlign w:val="bottom"/>
            <w:shd w:val="clear" w:color="auto" w:fill="4C4C4C"/>
          </w:tcPr>
          <w:p>
            <w:pPr>
              <w:jc w:val="right"/>
              <w:ind w:right="186"/>
              <w:spacing w:after="0"/>
              <w:rPr>
                <w:sz w:val="20"/>
                <w:szCs w:val="20"/>
                <w:color w:val="auto"/>
              </w:rPr>
            </w:pPr>
            <w:r>
              <w:rPr>
                <w:rFonts w:ascii="Times New Roman" w:cs="Times New Roman" w:eastAsia="Times New Roman" w:hAnsi="Times New Roman"/>
                <w:sz w:val="16"/>
                <w:szCs w:val="16"/>
                <w:b w:val="1"/>
                <w:bCs w:val="1"/>
                <w:color w:val="FFFFFF"/>
              </w:rPr>
              <w:t>Operating Leases</w:t>
            </w:r>
          </w:p>
        </w:tc>
        <w:tc>
          <w:tcPr>
            <w:tcW w:w="1400" w:type="dxa"/>
            <w:vAlign w:val="bottom"/>
            <w:shd w:val="clear" w:color="auto" w:fill="4C4C4C"/>
          </w:tcPr>
          <w:p>
            <w:pPr>
              <w:jc w:val="right"/>
              <w:ind w:right="144"/>
              <w:spacing w:after="0"/>
              <w:rPr>
                <w:sz w:val="20"/>
                <w:szCs w:val="20"/>
                <w:color w:val="auto"/>
              </w:rPr>
            </w:pPr>
            <w:r>
              <w:rPr>
                <w:rFonts w:ascii="Times New Roman" w:cs="Times New Roman" w:eastAsia="Times New Roman" w:hAnsi="Times New Roman"/>
                <w:sz w:val="16"/>
                <w:szCs w:val="16"/>
                <w:b w:val="1"/>
                <w:bCs w:val="1"/>
                <w:color w:val="FFFFFF"/>
              </w:rPr>
              <w:t>Finance Leases</w:t>
            </w:r>
          </w:p>
        </w:tc>
        <w:tc>
          <w:tcPr>
            <w:tcW w:w="0" w:type="dxa"/>
            <w:vAlign w:val="bottom"/>
          </w:tcPr>
          <w:p>
            <w:pPr>
              <w:spacing w:after="0"/>
              <w:rPr>
                <w:sz w:val="1"/>
                <w:szCs w:val="1"/>
                <w:color w:val="auto"/>
              </w:rPr>
            </w:pPr>
          </w:p>
        </w:tc>
      </w:tr>
      <w:tr>
        <w:trPr>
          <w:trHeight w:val="208"/>
        </w:trPr>
        <w:tc>
          <w:tcPr>
            <w:tcW w:w="5440" w:type="dxa"/>
            <w:vAlign w:val="bottom"/>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5080" w:type="dxa"/>
            <w:vAlign w:val="bottom"/>
            <w:gridSpan w:val="2"/>
            <w:vMerge w:val="restart"/>
            <w:shd w:val="clear" w:color="auto" w:fill="4C4C4C"/>
          </w:tcPr>
          <w:p>
            <w:pPr>
              <w:jc w:val="right"/>
              <w:ind w:right="784"/>
              <w:spacing w:after="0"/>
              <w:rPr>
                <w:sz w:val="20"/>
                <w:szCs w:val="20"/>
                <w:color w:val="auto"/>
              </w:rPr>
            </w:pPr>
            <w:r>
              <w:rPr>
                <w:rFonts w:ascii="Times New Roman" w:cs="Times New Roman" w:eastAsia="Times New Roman" w:hAnsi="Times New Roman"/>
                <w:sz w:val="16"/>
                <w:szCs w:val="16"/>
                <w:b w:val="1"/>
                <w:bCs w:val="1"/>
                <w:color w:val="FFFFFF"/>
              </w:rPr>
              <w:t>December 31, 2023</w:t>
            </w:r>
          </w:p>
        </w:tc>
        <w:tc>
          <w:tcPr>
            <w:tcW w:w="0" w:type="dxa"/>
            <w:vAlign w:val="bottom"/>
          </w:tcPr>
          <w:p>
            <w:pPr>
              <w:spacing w:after="0"/>
              <w:rPr>
                <w:sz w:val="1"/>
                <w:szCs w:val="1"/>
                <w:color w:val="auto"/>
              </w:rPr>
            </w:pPr>
          </w:p>
        </w:tc>
      </w:tr>
      <w:tr>
        <w:trPr>
          <w:trHeight w:val="99"/>
        </w:trPr>
        <w:tc>
          <w:tcPr>
            <w:tcW w:w="5440" w:type="dxa"/>
            <w:vAlign w:val="bottom"/>
            <w:shd w:val="clear" w:color="auto" w:fill="4C4C4C"/>
          </w:tcPr>
          <w:p>
            <w:pPr>
              <w:spacing w:after="0"/>
              <w:rPr>
                <w:sz w:val="8"/>
                <w:szCs w:val="8"/>
                <w:color w:val="auto"/>
              </w:rPr>
            </w:pPr>
          </w:p>
        </w:tc>
        <w:tc>
          <w:tcPr>
            <w:tcW w:w="5080" w:type="dxa"/>
            <w:vAlign w:val="bottom"/>
            <w:gridSpan w:val="2"/>
            <w:vMerge w:val="continue"/>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5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3680" w:type="dxa"/>
            <w:vAlign w:val="bottom"/>
          </w:tcPr>
          <w:p>
            <w:pPr>
              <w:jc w:val="right"/>
              <w:ind w:right="126"/>
              <w:spacing w:after="0"/>
              <w:rPr>
                <w:sz w:val="20"/>
                <w:szCs w:val="20"/>
                <w:color w:val="auto"/>
              </w:rPr>
            </w:pPr>
            <w:r>
              <w:rPr>
                <w:rFonts w:ascii="Times New Roman" w:cs="Times New Roman" w:eastAsia="Times New Roman" w:hAnsi="Times New Roman"/>
                <w:sz w:val="20"/>
                <w:szCs w:val="20"/>
                <w:color w:val="auto"/>
              </w:rPr>
              <w:t>1,807</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0" w:type="dxa"/>
            <w:vAlign w:val="bottom"/>
          </w:tcPr>
          <w:p>
            <w:pPr>
              <w:spacing w:after="0"/>
              <w:rPr>
                <w:sz w:val="1"/>
                <w:szCs w:val="1"/>
                <w:color w:val="auto"/>
              </w:rPr>
            </w:pPr>
          </w:p>
        </w:tc>
      </w:tr>
      <w:tr>
        <w:trPr>
          <w:trHeight w:val="294"/>
        </w:trPr>
        <w:tc>
          <w:tcPr>
            <w:tcW w:w="5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3680" w:type="dxa"/>
            <w:vAlign w:val="bottom"/>
          </w:tcPr>
          <w:p>
            <w:pPr>
              <w:jc w:val="right"/>
              <w:ind w:right="126"/>
              <w:spacing w:after="0"/>
              <w:rPr>
                <w:sz w:val="20"/>
                <w:szCs w:val="20"/>
                <w:color w:val="auto"/>
              </w:rPr>
            </w:pPr>
            <w:r>
              <w:rPr>
                <w:rFonts w:ascii="Times New Roman" w:cs="Times New Roman" w:eastAsia="Times New Roman" w:hAnsi="Times New Roman"/>
                <w:sz w:val="20"/>
                <w:szCs w:val="20"/>
                <w:color w:val="auto"/>
              </w:rPr>
              <w:t>1,464</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0" w:type="dxa"/>
            <w:vAlign w:val="bottom"/>
          </w:tcPr>
          <w:p>
            <w:pPr>
              <w:spacing w:after="0"/>
              <w:rPr>
                <w:sz w:val="1"/>
                <w:szCs w:val="1"/>
                <w:color w:val="auto"/>
              </w:rPr>
            </w:pPr>
          </w:p>
        </w:tc>
      </w:tr>
      <w:tr>
        <w:trPr>
          <w:trHeight w:val="294"/>
        </w:trPr>
        <w:tc>
          <w:tcPr>
            <w:tcW w:w="5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3680" w:type="dxa"/>
            <w:vAlign w:val="bottom"/>
          </w:tcPr>
          <w:p>
            <w:pPr>
              <w:jc w:val="right"/>
              <w:ind w:right="126"/>
              <w:spacing w:after="0"/>
              <w:rPr>
                <w:sz w:val="20"/>
                <w:szCs w:val="20"/>
                <w:color w:val="auto"/>
              </w:rPr>
            </w:pPr>
            <w:r>
              <w:rPr>
                <w:rFonts w:ascii="Times New Roman" w:cs="Times New Roman" w:eastAsia="Times New Roman" w:hAnsi="Times New Roman"/>
                <w:sz w:val="20"/>
                <w:szCs w:val="20"/>
                <w:color w:val="auto"/>
              </w:rPr>
              <w:t>1,046</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0" w:type="dxa"/>
            <w:vAlign w:val="bottom"/>
          </w:tcPr>
          <w:p>
            <w:pPr>
              <w:spacing w:after="0"/>
              <w:rPr>
                <w:sz w:val="1"/>
                <w:szCs w:val="1"/>
                <w:color w:val="auto"/>
              </w:rPr>
            </w:pPr>
          </w:p>
        </w:tc>
      </w:tr>
      <w:tr>
        <w:trPr>
          <w:trHeight w:val="294"/>
        </w:trPr>
        <w:tc>
          <w:tcPr>
            <w:tcW w:w="5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3680" w:type="dxa"/>
            <w:vAlign w:val="bottom"/>
          </w:tcPr>
          <w:p>
            <w:pPr>
              <w:jc w:val="right"/>
              <w:ind w:right="126"/>
              <w:spacing w:after="0"/>
              <w:rPr>
                <w:sz w:val="20"/>
                <w:szCs w:val="20"/>
                <w:color w:val="auto"/>
              </w:rPr>
            </w:pPr>
            <w:r>
              <w:rPr>
                <w:rFonts w:ascii="Times New Roman" w:cs="Times New Roman" w:eastAsia="Times New Roman" w:hAnsi="Times New Roman"/>
                <w:sz w:val="20"/>
                <w:szCs w:val="20"/>
                <w:color w:val="auto"/>
              </w:rPr>
              <w:t>577</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294"/>
        </w:trPr>
        <w:tc>
          <w:tcPr>
            <w:tcW w:w="5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3680" w:type="dxa"/>
            <w:vAlign w:val="bottom"/>
          </w:tcPr>
          <w:p>
            <w:pPr>
              <w:jc w:val="right"/>
              <w:ind w:right="126"/>
              <w:spacing w:after="0"/>
              <w:rPr>
                <w:sz w:val="20"/>
                <w:szCs w:val="20"/>
                <w:color w:val="auto"/>
              </w:rPr>
            </w:pPr>
            <w:r>
              <w:rPr>
                <w:rFonts w:ascii="Times New Roman" w:cs="Times New Roman" w:eastAsia="Times New Roman" w:hAnsi="Times New Roman"/>
                <w:sz w:val="20"/>
                <w:szCs w:val="20"/>
                <w:color w:val="auto"/>
              </w:rPr>
              <w:t>307</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2029 and beyond</w:t>
            </w:r>
          </w:p>
        </w:tc>
        <w:tc>
          <w:tcPr>
            <w:tcW w:w="3680" w:type="dxa"/>
            <w:vAlign w:val="bottom"/>
            <w:tcBorders>
              <w:bottom w:val="single" w:sz="8" w:color="4C4C4C"/>
            </w:tcBorders>
          </w:tcPr>
          <w:p>
            <w:pPr>
              <w:jc w:val="right"/>
              <w:ind w:right="126"/>
              <w:spacing w:after="0"/>
              <w:rPr>
                <w:sz w:val="20"/>
                <w:szCs w:val="20"/>
                <w:color w:val="auto"/>
              </w:rPr>
            </w:pPr>
            <w:r>
              <w:rPr>
                <w:rFonts w:ascii="Times New Roman" w:cs="Times New Roman" w:eastAsia="Times New Roman" w:hAnsi="Times New Roman"/>
                <w:sz w:val="20"/>
                <w:szCs w:val="20"/>
                <w:color w:val="auto"/>
              </w:rPr>
              <w:t>1,781</w:t>
            </w:r>
          </w:p>
        </w:tc>
        <w:tc>
          <w:tcPr>
            <w:tcW w:w="14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2,256</w:t>
            </w:r>
          </w:p>
        </w:tc>
        <w:tc>
          <w:tcPr>
            <w:tcW w:w="0" w:type="dxa"/>
            <w:vAlign w:val="bottom"/>
          </w:tcPr>
          <w:p>
            <w:pPr>
              <w:spacing w:after="0"/>
              <w:rPr>
                <w:sz w:val="1"/>
                <w:szCs w:val="1"/>
                <w:color w:val="auto"/>
              </w:rPr>
            </w:pPr>
          </w:p>
        </w:tc>
      </w:tr>
      <w:tr>
        <w:trPr>
          <w:trHeight w:val="274"/>
        </w:trPr>
        <w:tc>
          <w:tcPr>
            <w:tcW w:w="5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payments</w:t>
            </w:r>
          </w:p>
        </w:tc>
        <w:tc>
          <w:tcPr>
            <w:tcW w:w="3680" w:type="dxa"/>
            <w:vAlign w:val="bottom"/>
            <w:tcBorders>
              <w:bottom w:val="single" w:sz="8" w:color="4C4C4C"/>
            </w:tcBorders>
          </w:tcPr>
          <w:p>
            <w:pPr>
              <w:jc w:val="right"/>
              <w:ind w:right="126"/>
              <w:spacing w:after="0"/>
              <w:rPr>
                <w:sz w:val="20"/>
                <w:szCs w:val="20"/>
                <w:color w:val="auto"/>
              </w:rPr>
            </w:pPr>
            <w:r>
              <w:rPr>
                <w:rFonts w:ascii="Times New Roman" w:cs="Times New Roman" w:eastAsia="Times New Roman" w:hAnsi="Times New Roman"/>
                <w:sz w:val="20"/>
                <w:szCs w:val="20"/>
                <w:b w:val="1"/>
                <w:bCs w:val="1"/>
                <w:color w:val="auto"/>
              </w:rPr>
              <w:t>6,982</w:t>
            </w:r>
          </w:p>
        </w:tc>
        <w:tc>
          <w:tcPr>
            <w:tcW w:w="14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3,435</w:t>
            </w:r>
          </w:p>
        </w:tc>
        <w:tc>
          <w:tcPr>
            <w:tcW w:w="0" w:type="dxa"/>
            <w:vAlign w:val="bottom"/>
          </w:tcPr>
          <w:p>
            <w:pPr>
              <w:spacing w:after="0"/>
              <w:rPr>
                <w:sz w:val="1"/>
                <w:szCs w:val="1"/>
                <w:color w:val="auto"/>
              </w:rPr>
            </w:pPr>
          </w:p>
        </w:tc>
      </w:tr>
      <w:tr>
        <w:trPr>
          <w:trHeight w:val="274"/>
        </w:trPr>
        <w:tc>
          <w:tcPr>
            <w:tcW w:w="5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Discount to present value</w:t>
            </w:r>
          </w:p>
        </w:tc>
        <w:tc>
          <w:tcPr>
            <w:tcW w:w="3680" w:type="dxa"/>
            <w:vAlign w:val="bottom"/>
            <w:tcBorders>
              <w:bottom w:val="single" w:sz="8" w:color="4C4C4C"/>
            </w:tcBorders>
          </w:tcPr>
          <w:p>
            <w:pPr>
              <w:jc w:val="right"/>
              <w:ind w:right="46"/>
              <w:spacing w:after="0"/>
              <w:rPr>
                <w:sz w:val="20"/>
                <w:szCs w:val="20"/>
                <w:color w:val="auto"/>
              </w:rPr>
            </w:pPr>
            <w:r>
              <w:rPr>
                <w:rFonts w:ascii="Times New Roman" w:cs="Times New Roman" w:eastAsia="Times New Roman" w:hAnsi="Times New Roman"/>
                <w:sz w:val="20"/>
                <w:szCs w:val="20"/>
                <w:color w:val="auto"/>
              </w:rPr>
              <w:t>(972)</w:t>
            </w:r>
          </w:p>
        </w:tc>
        <w:tc>
          <w:tcPr>
            <w:tcW w:w="14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0" w:type="dxa"/>
            <w:vAlign w:val="bottom"/>
          </w:tcPr>
          <w:p>
            <w:pPr>
              <w:spacing w:after="0"/>
              <w:rPr>
                <w:sz w:val="1"/>
                <w:szCs w:val="1"/>
                <w:color w:val="auto"/>
              </w:rPr>
            </w:pPr>
          </w:p>
        </w:tc>
      </w:tr>
      <w:tr>
        <w:trPr>
          <w:trHeight w:val="277"/>
        </w:trPr>
        <w:tc>
          <w:tcPr>
            <w:tcW w:w="5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liability</w:t>
            </w:r>
          </w:p>
        </w:tc>
        <w:tc>
          <w:tcPr>
            <w:tcW w:w="3680" w:type="dxa"/>
            <w:vAlign w:val="bottom"/>
            <w:tcBorders>
              <w:bottom w:val="single" w:sz="8" w:color="4C4C4C"/>
            </w:tcBorders>
          </w:tcPr>
          <w:p>
            <w:pPr>
              <w:jc w:val="right"/>
              <w:ind w:right="126"/>
              <w:spacing w:after="0"/>
              <w:rPr>
                <w:sz w:val="20"/>
                <w:szCs w:val="20"/>
                <w:color w:val="auto"/>
              </w:rPr>
            </w:pPr>
            <w:r>
              <w:rPr>
                <w:rFonts w:ascii="Times New Roman" w:cs="Times New Roman" w:eastAsia="Times New Roman" w:hAnsi="Times New Roman"/>
                <w:sz w:val="20"/>
                <w:szCs w:val="20"/>
                <w:b w:val="1"/>
                <w:bCs w:val="1"/>
                <w:color w:val="auto"/>
              </w:rPr>
              <w:t>6,010</w:t>
            </w:r>
          </w:p>
        </w:tc>
        <w:tc>
          <w:tcPr>
            <w:tcW w:w="14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to the lease liabilities in the table immediately above, at December 31, 2023, undiscounted commitments for leases not yet commenced totaled $4,063 million for operating leases and $2,256 million for finance leases. Estimated cash payments for operating and finance leases not yet commenced are $267 million and $331 million for 2024 and 2025 respectively. Not yet commenced finance leases primarily relate to a CO2 transportation and service agreement, and a long-term hydrogen purchase agreement. The underlying assets are primarily designed by, and are being constructed by, the lessors.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80645</wp:posOffset>
            </wp:positionV>
            <wp:extent cx="6776720" cy="1791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2">
                      <a:extLst>
                        <a:ext uri="{28A0092B-C50C-407E-A947-70E740481C1C}"/>
                      </a:extLst>
                    </a:blip>
                    <a:srcRect/>
                    <a:stretch>
                      <a:fillRect/>
                    </a:stretch>
                  </pic:blipFill>
                  <pic:spPr bwMode="auto">
                    <a:xfrm>
                      <a:off x="0" y="0"/>
                      <a:ext cx="6776720" cy="1791970"/>
                    </a:xfrm>
                    <a:prstGeom prst="rect">
                      <a:avLst/>
                    </a:prstGeom>
                    <a:noFill/>
                  </pic:spPr>
                </pic:pic>
              </a:graphicData>
            </a:graphic>
          </wp:anchor>
        </w:drawing>
      </w:r>
    </w:p>
    <w:p>
      <w:pPr>
        <w:sectPr>
          <w:pgSz w:w="11880" w:h="15480" w:orient="portrait"/>
          <w:cols w:equalWidth="0" w:num="1">
            <w:col w:w="10600"/>
          </w:cols>
          <w:pgMar w:left="640" w:top="270" w:right="640" w:bottom="0" w:gutter="0" w:footer="0" w:header="0"/>
        </w:sectPr>
      </w:pP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FFFFFF"/>
        </w:rPr>
        <w:t>Other Information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FFFFFF"/>
        </w:rPr>
        <w:t>(millions of dollars)</w:t>
      </w:r>
    </w:p>
    <w:p>
      <w:pPr>
        <w:spacing w:after="0" w:line="194" w:lineRule="exact"/>
        <w:rPr>
          <w:sz w:val="20"/>
          <w:szCs w:val="20"/>
          <w:color w:val="auto"/>
        </w:rPr>
      </w:pPr>
    </w:p>
    <w:p>
      <w:pPr>
        <w:ind w:left="80" w:right="20"/>
        <w:spacing w:after="0" w:line="238" w:lineRule="auto"/>
        <w:rPr>
          <w:sz w:val="20"/>
          <w:szCs w:val="20"/>
          <w:color w:val="auto"/>
        </w:rPr>
      </w:pPr>
      <w:r>
        <w:rPr>
          <w:rFonts w:ascii="Times New Roman" w:cs="Times New Roman" w:eastAsia="Times New Roman" w:hAnsi="Times New Roman"/>
          <w:sz w:val="20"/>
          <w:szCs w:val="20"/>
          <w:b w:val="1"/>
          <w:bCs w:val="1"/>
          <w:color w:val="4C4C4C"/>
        </w:rPr>
        <w:t>Cash paid for amounts included in the measurement of lease liabilities</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Cash flows from operating activities</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Cash flows from investing activities</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Cash flows from financing activities</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4C4C4C"/>
        </w:rPr>
        <w:t>Noncash right of use assets recorded for lease liabilities</w:t>
      </w:r>
    </w:p>
    <w:p>
      <w:pPr>
        <w:spacing w:after="0" w:line="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 exchange for lease liabilities during the period</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8"/>
        </w:trPr>
        <w:tc>
          <w:tcPr>
            <w:tcW w:w="16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b w:val="1"/>
                <w:bCs w:val="1"/>
                <w:color w:val="FFFFFF"/>
              </w:rPr>
              <w:t>Operating Leases</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FFFFFF"/>
                <w:w w:val="98"/>
              </w:rPr>
              <w:t>Finance Leases</w:t>
            </w:r>
          </w:p>
        </w:tc>
        <w:tc>
          <w:tcPr>
            <w:tcW w:w="560" w:type="dxa"/>
            <w:vAlign w:val="bottom"/>
          </w:tcPr>
          <w:p>
            <w:pPr>
              <w:spacing w:after="0"/>
              <w:rPr>
                <w:sz w:val="18"/>
                <w:szCs w:val="18"/>
                <w:color w:val="auto"/>
              </w:rPr>
            </w:pPr>
          </w:p>
        </w:tc>
      </w:tr>
      <w:tr>
        <w:trPr>
          <w:trHeight w:val="294"/>
        </w:trPr>
        <w:tc>
          <w:tcPr>
            <w:tcW w:w="6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FFFFFF"/>
                <w:w w:val="93"/>
              </w:rPr>
              <w:t>2023</w:t>
            </w:r>
          </w:p>
        </w:tc>
        <w:tc>
          <w:tcPr>
            <w:tcW w:w="104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bl>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w w:val="93"/>
              </w:rPr>
              <w:t>1,135</w:t>
            </w: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1,119</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1,135</w:t>
            </w:r>
          </w:p>
        </w:tc>
        <w:tc>
          <w:tcPr>
            <w:tcW w:w="96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20</w:t>
            </w:r>
          </w:p>
        </w:tc>
        <w:tc>
          <w:tcPr>
            <w:tcW w:w="94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20</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94"/>
        </w:trPr>
        <w:tc>
          <w:tcPr>
            <w:tcW w:w="70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758</w:t>
            </w: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500</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291</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94"/>
        </w:trPr>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86</w:t>
            </w:r>
          </w:p>
        </w:tc>
        <w:tc>
          <w:tcPr>
            <w:tcW w:w="94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149</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691"/>
        </w:trPr>
        <w:tc>
          <w:tcPr>
            <w:tcW w:w="70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w w:val="93"/>
              </w:rPr>
              <w:t>2,161</w:t>
            </w: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1,997</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1,405</w:t>
            </w:r>
          </w:p>
        </w:tc>
        <w:tc>
          <w:tcPr>
            <w:tcW w:w="96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529</w:t>
            </w:r>
          </w:p>
        </w:tc>
        <w:tc>
          <w:tcPr>
            <w:tcW w:w="94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73</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r>
    </w:tbl>
    <w:p>
      <w:pPr>
        <w:spacing w:after="0" w:line="200" w:lineRule="exact"/>
        <w:rPr>
          <w:sz w:val="20"/>
          <w:szCs w:val="20"/>
          <w:color w:val="auto"/>
        </w:rPr>
      </w:pPr>
    </w:p>
    <w:p>
      <w:pPr>
        <w:sectPr>
          <w:pgSz w:w="11880" w:h="15480" w:orient="portrait"/>
          <w:cols w:equalWidth="0" w:num="2">
            <w:col w:w="4680" w:space="620"/>
            <w:col w:w="5300"/>
          </w:cols>
          <w:pgMar w:left="640" w:top="270"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600"/>
          </w:cols>
          <w:pgMar w:left="640" w:top="270" w:right="640" w:bottom="0" w:gutter="0" w:footer="0" w:header="0"/>
          <w:type w:val="continuous"/>
        </w:sectPr>
      </w:pPr>
    </w:p>
    <w:bookmarkStart w:id="108" w:name="page109"/>
    <w:bookmarkEnd w:id="108"/>
    <w:p>
      <w:pPr>
        <w:ind w:right="4300"/>
        <w:spacing w:after="0" w:line="414"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12. Earnings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5080</wp:posOffset>
                </wp:positionV>
                <wp:extent cx="6701790" cy="18669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1790" cy="186690"/>
                        </a:xfrm>
                        <a:prstGeom prst="rect">
                          <a:avLst/>
                        </a:prstGeom>
                        <a:solidFill>
                          <a:srgbClr val="4C4C4C"/>
                        </a:solidFill>
                      </wps:spPr>
                      <wps:bodyPr/>
                    </wps:wsp>
                  </a:graphicData>
                </a:graphic>
              </wp:anchor>
            </w:drawing>
          </mc:Choice>
          <mc:Fallback>
            <w:pict>
              <v:rect id="Shape 165" o:spid="_x0000_s1190" style="position:absolute;margin-left:1.15pt;margin-top:0.4pt;width:527.7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sectPr>
          <w:pgSz w:w="11880" w:h="15480" w:orient="portrait"/>
          <w:cols w:equalWidth="0" w:num="1">
            <w:col w:w="10520"/>
          </w:cols>
          <w:pgMar w:left="640" w:top="270" w:right="720" w:bottom="0" w:gutter="0" w:footer="0" w:header="0"/>
        </w:sectPr>
      </w:pP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FFFFFF"/>
        </w:rPr>
        <w:t>Earnings per common share</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Net income (loss) attributable to ExxonMobil </w:t>
      </w:r>
      <w:r>
        <w:rPr>
          <w:rFonts w:ascii="Times New Roman" w:cs="Times New Roman" w:eastAsia="Times New Roman" w:hAnsi="Times New Roman"/>
          <w:sz w:val="20"/>
          <w:szCs w:val="20"/>
          <w:i w:val="1"/>
          <w:iCs w:val="1"/>
          <w:color w:val="auto"/>
        </w:rPr>
        <w:t>(millions of dollars)</w:t>
      </w:r>
    </w:p>
    <w:p>
      <w:pPr>
        <w:spacing w:after="0" w:line="1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Weighted-average number of common shares outstanding </w:t>
      </w:r>
      <w:r>
        <w:rPr>
          <w:rFonts w:ascii="Times New Roman" w:cs="Times New Roman" w:eastAsia="Times New Roman" w:hAnsi="Times New Roman"/>
          <w:sz w:val="18"/>
          <w:szCs w:val="18"/>
          <w:i w:val="1"/>
          <w:iCs w:val="1"/>
          <w:color w:val="auto"/>
        </w:rPr>
        <w:t>(millions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i w:val="1"/>
          <w:iCs w:val="1"/>
          <w:color w:val="auto"/>
        </w:rPr>
        <w:t>(1)</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Earnings (loss) per common share </w:t>
      </w:r>
      <w:r>
        <w:rPr>
          <w:rFonts w:ascii="Times New Roman" w:cs="Times New Roman" w:eastAsia="Times New Roman" w:hAnsi="Times New Roman"/>
          <w:sz w:val="20"/>
          <w:szCs w:val="20"/>
          <w:i w:val="1"/>
          <w:iCs w:val="1"/>
          <w:color w:val="auto"/>
        </w:rPr>
        <w:t>(dollars)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0"/>
          <w:szCs w:val="10"/>
          <w:i w:val="1"/>
          <w:iCs w:val="1"/>
          <w:color w:val="auto"/>
        </w:rPr>
        <w:t>(2)</w:t>
      </w:r>
    </w:p>
    <w:p>
      <w:pPr>
        <w:spacing w:after="0" w:line="1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Dividends paid per common share </w:t>
      </w:r>
      <w:r>
        <w:rPr>
          <w:rFonts w:ascii="Times New Roman" w:cs="Times New Roman" w:eastAsia="Times New Roman" w:hAnsi="Times New Roman"/>
          <w:sz w:val="20"/>
          <w:szCs w:val="20"/>
          <w:i w:val="1"/>
          <w:iCs w:val="1"/>
          <w:color w:val="auto"/>
        </w:rPr>
        <w:t>(dollars)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240"/>
        <w:spacing w:after="0"/>
        <w:tabs>
          <w:tab w:leader="none" w:pos="1260" w:val="left"/>
          <w:tab w:leader="none" w:pos="2320" w:val="left"/>
        </w:tabs>
        <w:rPr>
          <w:sz w:val="20"/>
          <w:szCs w:val="20"/>
          <w:color w:val="auto"/>
        </w:rPr>
      </w:pPr>
      <w:r>
        <w:rPr>
          <w:rFonts w:ascii="Times New Roman" w:cs="Times New Roman" w:eastAsia="Times New Roman" w:hAnsi="Times New Roman"/>
          <w:sz w:val="16"/>
          <w:szCs w:val="16"/>
          <w:b w:val="1"/>
          <w:bCs w:val="1"/>
          <w:color w:val="FFFFFF"/>
        </w:rPr>
        <w:t>2023</w:t>
      </w:r>
      <w:r>
        <w:rPr>
          <w:sz w:val="20"/>
          <w:szCs w:val="20"/>
          <w:color w:val="auto"/>
        </w:rPr>
        <w:tab/>
      </w:r>
      <w:r>
        <w:rPr>
          <w:rFonts w:ascii="Times New Roman" w:cs="Times New Roman" w:eastAsia="Times New Roman" w:hAnsi="Times New Roman"/>
          <w:sz w:val="16"/>
          <w:szCs w:val="16"/>
          <w:b w:val="1"/>
          <w:bCs w:val="1"/>
          <w:color w:val="FFFFFF"/>
        </w:rPr>
        <w:t>2022</w:t>
      </w:r>
      <w:r>
        <w:rPr>
          <w:sz w:val="20"/>
          <w:szCs w:val="20"/>
          <w:color w:val="auto"/>
        </w:rPr>
        <w:tab/>
      </w:r>
      <w:r>
        <w:rPr>
          <w:rFonts w:ascii="Times New Roman" w:cs="Times New Roman" w:eastAsia="Times New Roman" w:hAnsi="Times New Roman"/>
          <w:sz w:val="15"/>
          <w:szCs w:val="15"/>
          <w:b w:val="1"/>
          <w:bCs w:val="1"/>
          <w:color w:val="FFFFFF"/>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-237490</wp:posOffset>
                </wp:positionH>
                <wp:positionV relativeFrom="paragraph">
                  <wp:posOffset>47625</wp:posOffset>
                </wp:positionV>
                <wp:extent cx="624840" cy="93345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 cy="933450"/>
                        </a:xfrm>
                        <a:prstGeom prst="rect">
                          <a:avLst/>
                        </a:prstGeom>
                        <a:solidFill>
                          <a:srgbClr val="F0F0F0"/>
                        </a:solidFill>
                      </wps:spPr>
                      <wps:bodyPr/>
                    </wps:wsp>
                  </a:graphicData>
                </a:graphic>
              </wp:anchor>
            </w:drawing>
          </mc:Choice>
          <mc:Fallback>
            <w:pict>
              <v:rect id="Shape 166" o:spid="_x0000_s1191" style="position:absolute;margin-left:-18.6999pt;margin-top:3.75pt;width:49.2pt;height: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0F0F0" stroked="f"/>
            </w:pict>
          </mc:Fallback>
        </mc:AlternateContent>
      </w:r>
    </w:p>
    <w:p>
      <w:pPr>
        <w:spacing w:after="0" w:line="81" w:lineRule="exact"/>
        <w:rPr>
          <w:sz w:val="20"/>
          <w:szCs w:val="20"/>
          <w:color w:val="auto"/>
        </w:rPr>
      </w:pPr>
    </w:p>
    <w:p>
      <w:pPr>
        <w:spacing w:after="0"/>
        <w:tabs>
          <w:tab w:leader="none" w:pos="1020" w:val="left"/>
          <w:tab w:leader="none" w:pos="2060" w:val="left"/>
        </w:tabs>
        <w:rPr>
          <w:sz w:val="20"/>
          <w:szCs w:val="20"/>
          <w:color w:val="auto"/>
        </w:rPr>
      </w:pPr>
      <w:r>
        <w:rPr>
          <w:rFonts w:ascii="Times New Roman" w:cs="Times New Roman" w:eastAsia="Times New Roman" w:hAnsi="Times New Roman"/>
          <w:sz w:val="20"/>
          <w:szCs w:val="20"/>
          <w:color w:val="auto"/>
        </w:rPr>
        <w:t>36,010</w:t>
      </w:r>
      <w:r>
        <w:rPr>
          <w:sz w:val="20"/>
          <w:szCs w:val="20"/>
          <w:color w:val="auto"/>
        </w:rPr>
        <w:tab/>
      </w:r>
      <w:r>
        <w:rPr>
          <w:rFonts w:ascii="Times New Roman" w:cs="Times New Roman" w:eastAsia="Times New Roman" w:hAnsi="Times New Roman"/>
          <w:sz w:val="20"/>
          <w:szCs w:val="20"/>
          <w:color w:val="auto"/>
        </w:rPr>
        <w:t>55,740</w:t>
      </w:r>
      <w:r>
        <w:rPr>
          <w:sz w:val="20"/>
          <w:szCs w:val="20"/>
          <w:color w:val="auto"/>
        </w:rPr>
        <w:tab/>
      </w:r>
      <w:r>
        <w:rPr>
          <w:rFonts w:ascii="Times New Roman" w:cs="Times New Roman" w:eastAsia="Times New Roman" w:hAnsi="Times New Roman"/>
          <w:sz w:val="19"/>
          <w:szCs w:val="19"/>
          <w:color w:val="auto"/>
        </w:rPr>
        <w:t>23,040</w:t>
      </w:r>
    </w:p>
    <w:p>
      <w:pPr>
        <w:spacing w:after="0" w:line="167" w:lineRule="exact"/>
        <w:rPr>
          <w:sz w:val="20"/>
          <w:szCs w:val="20"/>
          <w:color w:val="auto"/>
        </w:rPr>
      </w:pPr>
    </w:p>
    <w:p>
      <w:pPr>
        <w:ind w:left="80"/>
        <w:spacing w:after="0"/>
        <w:tabs>
          <w:tab w:leader="none" w:pos="1120" w:val="left"/>
          <w:tab w:leader="none" w:pos="2160" w:val="left"/>
        </w:tabs>
        <w:rPr>
          <w:sz w:val="20"/>
          <w:szCs w:val="20"/>
          <w:color w:val="auto"/>
        </w:rPr>
      </w:pPr>
      <w:r>
        <w:rPr>
          <w:rFonts w:ascii="Times New Roman" w:cs="Times New Roman" w:eastAsia="Times New Roman" w:hAnsi="Times New Roman"/>
          <w:sz w:val="20"/>
          <w:szCs w:val="20"/>
          <w:color w:val="auto"/>
        </w:rPr>
        <w:t>4,052</w:t>
      </w:r>
      <w:r>
        <w:rPr>
          <w:sz w:val="20"/>
          <w:szCs w:val="20"/>
          <w:color w:val="auto"/>
        </w:rPr>
        <w:tab/>
      </w:r>
      <w:r>
        <w:rPr>
          <w:rFonts w:ascii="Times New Roman" w:cs="Times New Roman" w:eastAsia="Times New Roman" w:hAnsi="Times New Roman"/>
          <w:sz w:val="20"/>
          <w:szCs w:val="20"/>
          <w:color w:val="auto"/>
        </w:rPr>
        <w:t>4,205</w:t>
      </w:r>
      <w:r>
        <w:rPr>
          <w:sz w:val="20"/>
          <w:szCs w:val="20"/>
          <w:color w:val="auto"/>
        </w:rPr>
        <w:tab/>
      </w:r>
      <w:r>
        <w:rPr>
          <w:rFonts w:ascii="Times New Roman" w:cs="Times New Roman" w:eastAsia="Times New Roman" w:hAnsi="Times New Roman"/>
          <w:sz w:val="19"/>
          <w:szCs w:val="19"/>
          <w:color w:val="auto"/>
        </w:rPr>
        <w:t>4,275</w:t>
      </w:r>
    </w:p>
    <w:p>
      <w:pPr>
        <w:spacing w:after="0" w:line="167" w:lineRule="exact"/>
        <w:rPr>
          <w:sz w:val="20"/>
          <w:szCs w:val="20"/>
          <w:color w:val="auto"/>
        </w:rPr>
      </w:pPr>
    </w:p>
    <w:p>
      <w:pPr>
        <w:ind w:left="180"/>
        <w:spacing w:after="0"/>
        <w:tabs>
          <w:tab w:leader="none" w:pos="1120" w:val="left"/>
          <w:tab w:leader="none" w:pos="2260" w:val="left"/>
        </w:tabs>
        <w:rPr>
          <w:sz w:val="20"/>
          <w:szCs w:val="20"/>
          <w:color w:val="auto"/>
        </w:rPr>
      </w:pPr>
      <w:r>
        <w:rPr>
          <w:rFonts w:ascii="Times New Roman" w:cs="Times New Roman" w:eastAsia="Times New Roman" w:hAnsi="Times New Roman"/>
          <w:sz w:val="20"/>
          <w:szCs w:val="20"/>
          <w:color w:val="auto"/>
        </w:rPr>
        <w:t>8.89</w:t>
      </w:r>
      <w:r>
        <w:rPr>
          <w:sz w:val="20"/>
          <w:szCs w:val="20"/>
          <w:color w:val="auto"/>
        </w:rPr>
        <w:tab/>
      </w:r>
      <w:r>
        <w:rPr>
          <w:rFonts w:ascii="Times New Roman" w:cs="Times New Roman" w:eastAsia="Times New Roman" w:hAnsi="Times New Roman"/>
          <w:sz w:val="20"/>
          <w:szCs w:val="20"/>
          <w:color w:val="auto"/>
        </w:rPr>
        <w:t>13.26</w:t>
      </w:r>
      <w:r>
        <w:rPr>
          <w:sz w:val="20"/>
          <w:szCs w:val="20"/>
          <w:color w:val="auto"/>
        </w:rPr>
        <w:tab/>
      </w:r>
      <w:r>
        <w:rPr>
          <w:rFonts w:ascii="Times New Roman" w:cs="Times New Roman" w:eastAsia="Times New Roman" w:hAnsi="Times New Roman"/>
          <w:sz w:val="19"/>
          <w:szCs w:val="19"/>
          <w:color w:val="auto"/>
        </w:rPr>
        <w:t>5.39</w:t>
      </w:r>
    </w:p>
    <w:p>
      <w:pPr>
        <w:spacing w:after="0" w:line="167" w:lineRule="exact"/>
        <w:rPr>
          <w:sz w:val="20"/>
          <w:szCs w:val="20"/>
          <w:color w:val="auto"/>
        </w:rPr>
      </w:pPr>
    </w:p>
    <w:p>
      <w:pPr>
        <w:ind w:left="180"/>
        <w:spacing w:after="0"/>
        <w:tabs>
          <w:tab w:leader="none" w:pos="1220" w:val="left"/>
          <w:tab w:leader="none" w:pos="2260" w:val="left"/>
        </w:tabs>
        <w:rPr>
          <w:sz w:val="20"/>
          <w:szCs w:val="20"/>
          <w:color w:val="auto"/>
        </w:rPr>
      </w:pPr>
      <w:r>
        <w:rPr>
          <w:rFonts w:ascii="Times New Roman" w:cs="Times New Roman" w:eastAsia="Times New Roman" w:hAnsi="Times New Roman"/>
          <w:sz w:val="20"/>
          <w:szCs w:val="20"/>
          <w:color w:val="auto"/>
        </w:rPr>
        <w:t>3.68</w:t>
      </w:r>
      <w:r>
        <w:rPr>
          <w:sz w:val="20"/>
          <w:szCs w:val="20"/>
          <w:color w:val="auto"/>
        </w:rPr>
        <w:tab/>
      </w:r>
      <w:r>
        <w:rPr>
          <w:rFonts w:ascii="Times New Roman" w:cs="Times New Roman" w:eastAsia="Times New Roman" w:hAnsi="Times New Roman"/>
          <w:sz w:val="20"/>
          <w:szCs w:val="20"/>
          <w:color w:val="auto"/>
        </w:rPr>
        <w:t>3.55</w:t>
      </w:r>
      <w:r>
        <w:rPr>
          <w:sz w:val="20"/>
          <w:szCs w:val="20"/>
          <w:color w:val="auto"/>
        </w:rPr>
        <w:tab/>
      </w:r>
      <w:r>
        <w:rPr>
          <w:rFonts w:ascii="Times New Roman" w:cs="Times New Roman" w:eastAsia="Times New Roman" w:hAnsi="Times New Roman"/>
          <w:sz w:val="19"/>
          <w:szCs w:val="19"/>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14605</wp:posOffset>
            </wp:positionV>
            <wp:extent cx="662940"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3">
                      <a:extLst>
                        <a:ext uri="{28A0092B-C50C-407E-A947-70E740481C1C}"/>
                      </a:extLst>
                    </a:blip>
                    <a:srcRect/>
                    <a:stretch>
                      <a:fillRect/>
                    </a:stretch>
                  </pic:blipFill>
                  <pic:spPr bwMode="auto">
                    <a:xfrm>
                      <a:off x="0" y="0"/>
                      <a:ext cx="662940" cy="18415"/>
                    </a:xfrm>
                    <a:prstGeom prst="rect">
                      <a:avLst/>
                    </a:prstGeom>
                    <a:noFill/>
                  </pic:spPr>
                </pic:pic>
              </a:graphicData>
            </a:graphic>
          </wp:anchor>
        </w:drawing>
      </w:r>
    </w:p>
    <w:p>
      <w:pPr>
        <w:spacing w:after="0" w:line="125" w:lineRule="exact"/>
        <w:rPr>
          <w:sz w:val="20"/>
          <w:szCs w:val="20"/>
          <w:color w:val="auto"/>
        </w:rPr>
      </w:pPr>
    </w:p>
    <w:p>
      <w:pPr>
        <w:sectPr>
          <w:pgSz w:w="11880" w:h="15480" w:orient="portrait"/>
          <w:cols w:equalWidth="0" w:num="2">
            <w:col w:w="7160" w:space="720"/>
            <w:col w:w="2640"/>
          </w:cols>
          <w:pgMar w:left="640" w:top="270" w:right="720" w:bottom="0" w:gutter="0" w:footer="0" w:header="0"/>
          <w:type w:val="continuous"/>
        </w:sectPr>
      </w:pPr>
    </w:p>
    <w:p>
      <w:pPr>
        <w:ind w:left="240" w:hanging="166"/>
        <w:spacing w:after="0"/>
        <w:tabs>
          <w:tab w:leader="none" w:pos="240" w:val="left"/>
        </w:tabs>
        <w:numPr>
          <w:ilvl w:val="0"/>
          <w:numId w:val="43"/>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Includes restricted shares not vested.</w:t>
      </w:r>
    </w:p>
    <w:p>
      <w:pPr>
        <w:spacing w:after="0" w:line="47" w:lineRule="exact"/>
        <w:rPr>
          <w:rFonts w:ascii="Times New Roman" w:cs="Times New Roman" w:eastAsia="Times New Roman" w:hAnsi="Times New Roman"/>
          <w:sz w:val="20"/>
          <w:szCs w:val="20"/>
          <w:i w:val="1"/>
          <w:iCs w:val="1"/>
          <w:color w:val="auto"/>
          <w:vertAlign w:val="superscript"/>
        </w:rPr>
      </w:pPr>
    </w:p>
    <w:p>
      <w:pPr>
        <w:ind w:left="240" w:hanging="166"/>
        <w:spacing w:after="0" w:line="206" w:lineRule="auto"/>
        <w:tabs>
          <w:tab w:leader="none" w:pos="240" w:val="left"/>
        </w:tabs>
        <w:numPr>
          <w:ilvl w:val="0"/>
          <w:numId w:val="4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The earnings (loss) per common share and earnings (loss) per common share - assuming dilution are the same in each period shown.</w:t>
      </w:r>
    </w:p>
    <w:p>
      <w:pPr>
        <w:sectPr>
          <w:pgSz w:w="11880" w:h="15480" w:orient="portrait"/>
          <w:cols w:equalWidth="0" w:num="1">
            <w:col w:w="10520"/>
          </w:cols>
          <w:pgMar w:left="640" w:top="270"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520"/>
          </w:cols>
          <w:pgMar w:left="640" w:top="270" w:right="720" w:bottom="0" w:gutter="0" w:footer="0" w:header="0"/>
          <w:type w:val="continuous"/>
        </w:sectPr>
      </w:pPr>
    </w:p>
    <w:bookmarkStart w:id="109" w:name="page110"/>
    <w:bookmarkEnd w:id="109"/>
    <w:p>
      <w:pPr>
        <w:ind w:right="4380"/>
        <w:spacing w:after="0" w:line="365"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13. Financial Instruments and Derivatives</w:t>
      </w:r>
    </w:p>
    <w:p>
      <w:pPr>
        <w:spacing w:after="0" w:line="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The estimated fair value of financial instruments and derivatives at December 31, 2023, and December 31, 2022, and the related hierarchy level for the fair value measurement was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b w:val="1"/>
                <w:bCs w:val="1"/>
                <w:color w:val="4C4C4C"/>
              </w:rPr>
              <w:t>December 31, 2023</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80" w:type="dxa"/>
            <w:vAlign w:val="bottom"/>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1660" w:type="dxa"/>
            <w:vAlign w:val="bottom"/>
            <w:tcBorders>
              <w:bottom w:val="single" w:sz="8" w:color="4C4C4C"/>
            </w:tcBorders>
            <w:gridSpan w:val="2"/>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1200" w:type="dxa"/>
            <w:vAlign w:val="bottom"/>
            <w:tcBorders>
              <w:bottom w:val="single" w:sz="8" w:color="4C4C4C"/>
            </w:tcBorders>
          </w:tcPr>
          <w:p>
            <w:pPr>
              <w:spacing w:after="0"/>
              <w:rPr>
                <w:sz w:val="4"/>
                <w:szCs w:val="4"/>
                <w:color w:val="auto"/>
              </w:rPr>
            </w:pPr>
          </w:p>
        </w:tc>
        <w:tc>
          <w:tcPr>
            <w:tcW w:w="88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78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4C4C4C"/>
          </w:tcPr>
          <w:p>
            <w:pPr>
              <w:spacing w:after="0"/>
              <w:rPr>
                <w:sz w:val="19"/>
                <w:szCs w:val="19"/>
                <w:color w:val="auto"/>
              </w:rPr>
            </w:pPr>
          </w:p>
        </w:tc>
        <w:tc>
          <w:tcPr>
            <w:tcW w:w="840" w:type="dxa"/>
            <w:vAlign w:val="bottom"/>
            <w:shd w:val="clear" w:color="auto" w:fill="4C4C4C"/>
          </w:tcPr>
          <w:p>
            <w:pPr>
              <w:spacing w:after="0"/>
              <w:rPr>
                <w:sz w:val="19"/>
                <w:szCs w:val="19"/>
                <w:color w:val="auto"/>
              </w:rPr>
            </w:pPr>
          </w:p>
        </w:tc>
        <w:tc>
          <w:tcPr>
            <w:tcW w:w="1660" w:type="dxa"/>
            <w:vAlign w:val="bottom"/>
            <w:gridSpan w:val="2"/>
            <w:shd w:val="clear" w:color="auto" w:fill="4C4C4C"/>
          </w:tcPr>
          <w:p>
            <w:pPr>
              <w:jc w:val="right"/>
              <w:ind w:right="322"/>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980" w:type="dxa"/>
            <w:vAlign w:val="bottom"/>
            <w:shd w:val="clear" w:color="auto" w:fill="4C4C4C"/>
          </w:tcPr>
          <w:p>
            <w:pPr>
              <w:spacing w:after="0"/>
              <w:rPr>
                <w:sz w:val="19"/>
                <w:szCs w:val="19"/>
                <w:color w:val="auto"/>
              </w:rPr>
            </w:pPr>
          </w:p>
        </w:tc>
        <w:tc>
          <w:tcPr>
            <w:tcW w:w="1200" w:type="dxa"/>
            <w:vAlign w:val="bottom"/>
            <w:shd w:val="clear" w:color="auto" w:fill="4C4C4C"/>
          </w:tcPr>
          <w:p>
            <w:pPr>
              <w:spacing w:after="0"/>
              <w:rPr>
                <w:sz w:val="19"/>
                <w:szCs w:val="19"/>
                <w:color w:val="auto"/>
              </w:rPr>
            </w:pPr>
          </w:p>
        </w:tc>
        <w:tc>
          <w:tcPr>
            <w:tcW w:w="880" w:type="dxa"/>
            <w:vAlign w:val="bottom"/>
            <w:shd w:val="clear" w:color="auto" w:fill="4C4C4C"/>
          </w:tcPr>
          <w:p>
            <w:pPr>
              <w:spacing w:after="0"/>
              <w:rPr>
                <w:sz w:val="19"/>
                <w:szCs w:val="19"/>
                <w:color w:val="auto"/>
              </w:rPr>
            </w:pPr>
          </w:p>
        </w:tc>
        <w:tc>
          <w:tcPr>
            <w:tcW w:w="1040" w:type="dxa"/>
            <w:vAlign w:val="bottom"/>
            <w:shd w:val="clear" w:color="auto" w:fill="4C4C4C"/>
          </w:tcPr>
          <w:p>
            <w:pPr>
              <w:spacing w:after="0"/>
              <w:rPr>
                <w:sz w:val="19"/>
                <w:szCs w:val="19"/>
                <w:color w:val="auto"/>
              </w:rPr>
            </w:pPr>
          </w:p>
        </w:tc>
        <w:tc>
          <w:tcPr>
            <w:tcW w:w="780" w:type="dxa"/>
            <w:vAlign w:val="bottom"/>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4C4C4C"/>
          </w:tcPr>
          <w:p>
            <w:pPr>
              <w:spacing w:after="0"/>
              <w:rPr>
                <w:sz w:val="18"/>
                <w:szCs w:val="18"/>
                <w:color w:val="auto"/>
              </w:rPr>
            </w:pPr>
          </w:p>
        </w:tc>
        <w:tc>
          <w:tcPr>
            <w:tcW w:w="840" w:type="dxa"/>
            <w:vAlign w:val="bottom"/>
            <w:shd w:val="clear" w:color="auto" w:fill="4C4C4C"/>
          </w:tcPr>
          <w:p>
            <w:pPr>
              <w:spacing w:after="0"/>
              <w:rPr>
                <w:sz w:val="18"/>
                <w:szCs w:val="18"/>
                <w:color w:val="auto"/>
              </w:rPr>
            </w:pPr>
          </w:p>
        </w:tc>
        <w:tc>
          <w:tcPr>
            <w:tcW w:w="840" w:type="dxa"/>
            <w:vAlign w:val="bottom"/>
            <w:shd w:val="clear" w:color="auto" w:fill="4C4C4C"/>
          </w:tcPr>
          <w:p>
            <w:pPr>
              <w:spacing w:after="0"/>
              <w:rPr>
                <w:sz w:val="18"/>
                <w:szCs w:val="18"/>
                <w:color w:val="auto"/>
              </w:rPr>
            </w:pPr>
          </w:p>
        </w:tc>
        <w:tc>
          <w:tcPr>
            <w:tcW w:w="820" w:type="dxa"/>
            <w:vAlign w:val="bottom"/>
            <w:shd w:val="clear" w:color="auto" w:fill="4C4C4C"/>
          </w:tcPr>
          <w:p>
            <w:pPr>
              <w:spacing w:after="0"/>
              <w:rPr>
                <w:sz w:val="18"/>
                <w:szCs w:val="18"/>
                <w:color w:val="auto"/>
              </w:rPr>
            </w:pPr>
          </w:p>
        </w:tc>
        <w:tc>
          <w:tcPr>
            <w:tcW w:w="9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Total Gross</w:t>
            </w:r>
          </w:p>
        </w:tc>
        <w:tc>
          <w:tcPr>
            <w:tcW w:w="12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Effect of</w:t>
            </w:r>
          </w:p>
        </w:tc>
        <w:tc>
          <w:tcPr>
            <w:tcW w:w="880" w:type="dxa"/>
            <w:vAlign w:val="bottom"/>
            <w:vMerge w:val="restart"/>
            <w:shd w:val="clear" w:color="auto" w:fill="4C4C4C"/>
          </w:tcPr>
          <w:p>
            <w:pPr>
              <w:jc w:val="center"/>
              <w:ind w:right="2"/>
              <w:spacing w:after="0"/>
              <w:rPr>
                <w:sz w:val="20"/>
                <w:szCs w:val="20"/>
                <w:color w:val="auto"/>
              </w:rPr>
            </w:pPr>
            <w:r>
              <w:rPr>
                <w:rFonts w:ascii="Times New Roman" w:cs="Times New Roman" w:eastAsia="Times New Roman" w:hAnsi="Times New Roman"/>
                <w:sz w:val="16"/>
                <w:szCs w:val="16"/>
                <w:b w:val="1"/>
                <w:bCs w:val="1"/>
                <w:color w:val="FFFFFF"/>
                <w:w w:val="96"/>
              </w:rPr>
              <w:t>Effect of</w:t>
            </w:r>
          </w:p>
        </w:tc>
        <w:tc>
          <w:tcPr>
            <w:tcW w:w="10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Difference in</w:t>
            </w:r>
          </w:p>
        </w:tc>
        <w:tc>
          <w:tcPr>
            <w:tcW w:w="7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Net</w:t>
            </w:r>
          </w:p>
        </w:tc>
        <w:tc>
          <w:tcPr>
            <w:tcW w:w="0" w:type="dxa"/>
            <w:vAlign w:val="bottom"/>
          </w:tcPr>
          <w:p>
            <w:pPr>
              <w:spacing w:after="0"/>
              <w:rPr>
                <w:sz w:val="1"/>
                <w:szCs w:val="1"/>
                <w:color w:val="auto"/>
              </w:rPr>
            </w:pPr>
          </w:p>
        </w:tc>
      </w:tr>
      <w:tr>
        <w:trPr>
          <w:trHeight w:val="157"/>
        </w:trPr>
        <w:tc>
          <w:tcPr>
            <w:tcW w:w="3180" w:type="dxa"/>
            <w:vAlign w:val="bottom"/>
            <w:shd w:val="clear" w:color="auto" w:fill="4C4C4C"/>
          </w:tcPr>
          <w:p>
            <w:pPr>
              <w:spacing w:after="0"/>
              <w:rPr>
                <w:sz w:val="13"/>
                <w:szCs w:val="13"/>
                <w:color w:val="auto"/>
              </w:rPr>
            </w:pPr>
          </w:p>
        </w:tc>
        <w:tc>
          <w:tcPr>
            <w:tcW w:w="840" w:type="dxa"/>
            <w:vAlign w:val="bottom"/>
            <w:shd w:val="clear" w:color="auto" w:fill="4C4C4C"/>
          </w:tcPr>
          <w:p>
            <w:pPr>
              <w:spacing w:after="0"/>
              <w:rPr>
                <w:sz w:val="13"/>
                <w:szCs w:val="13"/>
                <w:color w:val="auto"/>
              </w:rPr>
            </w:pPr>
          </w:p>
        </w:tc>
        <w:tc>
          <w:tcPr>
            <w:tcW w:w="840" w:type="dxa"/>
            <w:vAlign w:val="bottom"/>
            <w:shd w:val="clear" w:color="auto" w:fill="4C4C4C"/>
          </w:tcPr>
          <w:p>
            <w:pPr>
              <w:spacing w:after="0"/>
              <w:rPr>
                <w:sz w:val="13"/>
                <w:szCs w:val="13"/>
                <w:color w:val="auto"/>
              </w:rPr>
            </w:pPr>
          </w:p>
        </w:tc>
        <w:tc>
          <w:tcPr>
            <w:tcW w:w="820" w:type="dxa"/>
            <w:vAlign w:val="bottom"/>
            <w:shd w:val="clear" w:color="auto" w:fill="4C4C4C"/>
          </w:tcPr>
          <w:p>
            <w:pPr>
              <w:spacing w:after="0"/>
              <w:rPr>
                <w:sz w:val="13"/>
                <w:szCs w:val="13"/>
                <w:color w:val="auto"/>
              </w:rPr>
            </w:pPr>
          </w:p>
        </w:tc>
        <w:tc>
          <w:tcPr>
            <w:tcW w:w="980" w:type="dxa"/>
            <w:vAlign w:val="bottom"/>
            <w:vMerge w:val="continue"/>
            <w:shd w:val="clear" w:color="auto" w:fill="4C4C4C"/>
          </w:tcPr>
          <w:p>
            <w:pPr>
              <w:spacing w:after="0"/>
              <w:rPr>
                <w:sz w:val="13"/>
                <w:szCs w:val="13"/>
                <w:color w:val="auto"/>
              </w:rPr>
            </w:pPr>
          </w:p>
        </w:tc>
        <w:tc>
          <w:tcPr>
            <w:tcW w:w="1200" w:type="dxa"/>
            <w:vAlign w:val="bottom"/>
            <w:vMerge w:val="continue"/>
            <w:shd w:val="clear" w:color="auto" w:fill="4C4C4C"/>
          </w:tcPr>
          <w:p>
            <w:pPr>
              <w:spacing w:after="0"/>
              <w:rPr>
                <w:sz w:val="13"/>
                <w:szCs w:val="13"/>
                <w:color w:val="auto"/>
              </w:rPr>
            </w:pPr>
          </w:p>
        </w:tc>
        <w:tc>
          <w:tcPr>
            <w:tcW w:w="880" w:type="dxa"/>
            <w:vAlign w:val="bottom"/>
            <w:vMerge w:val="continue"/>
            <w:shd w:val="clear" w:color="auto" w:fill="4C4C4C"/>
          </w:tcPr>
          <w:p>
            <w:pPr>
              <w:spacing w:after="0"/>
              <w:rPr>
                <w:sz w:val="13"/>
                <w:szCs w:val="13"/>
                <w:color w:val="auto"/>
              </w:rPr>
            </w:pPr>
          </w:p>
        </w:tc>
        <w:tc>
          <w:tcPr>
            <w:tcW w:w="104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Carrying</w:t>
            </w:r>
          </w:p>
        </w:tc>
        <w:tc>
          <w:tcPr>
            <w:tcW w:w="78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8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b w:val="1"/>
                <w:bCs w:val="1"/>
                <w:i w:val="1"/>
                <w:iCs w:val="1"/>
                <w:color w:val="FFFFFF"/>
              </w:rPr>
              <w:t>(millions of dollars)</w:t>
            </w:r>
          </w:p>
        </w:tc>
        <w:tc>
          <w:tcPr>
            <w:tcW w:w="840" w:type="dxa"/>
            <w:vAlign w:val="bottom"/>
            <w:vMerge w:val="restart"/>
            <w:shd w:val="clear" w:color="auto" w:fill="4C4C4C"/>
          </w:tcPr>
          <w:p>
            <w:pPr>
              <w:jc w:val="right"/>
              <w:ind w:right="142"/>
              <w:spacing w:after="0"/>
              <w:rPr>
                <w:sz w:val="20"/>
                <w:szCs w:val="20"/>
                <w:color w:val="auto"/>
              </w:rPr>
            </w:pPr>
            <w:r>
              <w:rPr>
                <w:rFonts w:ascii="Times New Roman" w:cs="Times New Roman" w:eastAsia="Times New Roman" w:hAnsi="Times New Roman"/>
                <w:sz w:val="16"/>
                <w:szCs w:val="16"/>
                <w:b w:val="1"/>
                <w:bCs w:val="1"/>
                <w:color w:val="FFFFFF"/>
              </w:rPr>
              <w:t>Level 1</w:t>
            </w:r>
          </w:p>
        </w:tc>
        <w:tc>
          <w:tcPr>
            <w:tcW w:w="840" w:type="dxa"/>
            <w:vAlign w:val="bottom"/>
            <w:vMerge w:val="restart"/>
            <w:shd w:val="clear" w:color="auto" w:fill="4C4C4C"/>
          </w:tcPr>
          <w:p>
            <w:pPr>
              <w:jc w:val="right"/>
              <w:ind w:right="142"/>
              <w:spacing w:after="0"/>
              <w:rPr>
                <w:sz w:val="20"/>
                <w:szCs w:val="20"/>
                <w:color w:val="auto"/>
              </w:rPr>
            </w:pPr>
            <w:r>
              <w:rPr>
                <w:rFonts w:ascii="Times New Roman" w:cs="Times New Roman" w:eastAsia="Times New Roman" w:hAnsi="Times New Roman"/>
                <w:sz w:val="16"/>
                <w:szCs w:val="16"/>
                <w:b w:val="1"/>
                <w:bCs w:val="1"/>
                <w:color w:val="FFFFFF"/>
              </w:rPr>
              <w:t>Level 2</w:t>
            </w:r>
          </w:p>
        </w:tc>
        <w:tc>
          <w:tcPr>
            <w:tcW w:w="820" w:type="dxa"/>
            <w:vAlign w:val="bottom"/>
            <w:vMerge w:val="restart"/>
            <w:shd w:val="clear" w:color="auto" w:fill="4C4C4C"/>
          </w:tcPr>
          <w:p>
            <w:pPr>
              <w:jc w:val="right"/>
              <w:ind w:right="122"/>
              <w:spacing w:after="0"/>
              <w:rPr>
                <w:sz w:val="20"/>
                <w:szCs w:val="20"/>
                <w:color w:val="auto"/>
              </w:rPr>
            </w:pPr>
            <w:r>
              <w:rPr>
                <w:rFonts w:ascii="Times New Roman" w:cs="Times New Roman" w:eastAsia="Times New Roman" w:hAnsi="Times New Roman"/>
                <w:sz w:val="16"/>
                <w:szCs w:val="16"/>
                <w:b w:val="1"/>
                <w:bCs w:val="1"/>
                <w:color w:val="FFFFFF"/>
              </w:rPr>
              <w:t>Level 3</w:t>
            </w:r>
          </w:p>
        </w:tc>
        <w:tc>
          <w:tcPr>
            <w:tcW w:w="9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9"/>
              </w:rPr>
              <w:t>Assets &amp;</w:t>
            </w:r>
          </w:p>
        </w:tc>
        <w:tc>
          <w:tcPr>
            <w:tcW w:w="120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Counterparty</w:t>
            </w:r>
          </w:p>
        </w:tc>
        <w:tc>
          <w:tcPr>
            <w:tcW w:w="880" w:type="dxa"/>
            <w:vAlign w:val="bottom"/>
            <w:shd w:val="clear" w:color="auto" w:fill="4C4C4C"/>
          </w:tcPr>
          <w:p>
            <w:pPr>
              <w:jc w:val="center"/>
              <w:ind w:right="2"/>
              <w:spacing w:after="0" w:line="157" w:lineRule="exact"/>
              <w:rPr>
                <w:sz w:val="20"/>
                <w:szCs w:val="20"/>
                <w:color w:val="auto"/>
              </w:rPr>
            </w:pPr>
            <w:r>
              <w:rPr>
                <w:rFonts w:ascii="Times New Roman" w:cs="Times New Roman" w:eastAsia="Times New Roman" w:hAnsi="Times New Roman"/>
                <w:sz w:val="16"/>
                <w:szCs w:val="16"/>
                <w:b w:val="1"/>
                <w:bCs w:val="1"/>
                <w:color w:val="FFFFFF"/>
                <w:w w:val="99"/>
              </w:rPr>
              <w:t>Collateral</w:t>
            </w:r>
          </w:p>
        </w:tc>
        <w:tc>
          <w:tcPr>
            <w:tcW w:w="104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Value and</w:t>
            </w:r>
          </w:p>
        </w:tc>
        <w:tc>
          <w:tcPr>
            <w:tcW w:w="7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Carrying</w:t>
            </w:r>
          </w:p>
        </w:tc>
        <w:tc>
          <w:tcPr>
            <w:tcW w:w="0" w:type="dxa"/>
            <w:vAlign w:val="bottom"/>
          </w:tcPr>
          <w:p>
            <w:pPr>
              <w:spacing w:after="0"/>
              <w:rPr>
                <w:sz w:val="1"/>
                <w:szCs w:val="1"/>
                <w:color w:val="auto"/>
              </w:rPr>
            </w:pPr>
          </w:p>
        </w:tc>
      </w:tr>
      <w:tr>
        <w:trPr>
          <w:trHeight w:val="220"/>
        </w:trPr>
        <w:tc>
          <w:tcPr>
            <w:tcW w:w="3180" w:type="dxa"/>
            <w:vAlign w:val="bottom"/>
            <w:vMerge w:val="continue"/>
            <w:shd w:val="clear" w:color="auto" w:fill="4C4C4C"/>
          </w:tcPr>
          <w:p>
            <w:pPr>
              <w:spacing w:after="0"/>
              <w:rPr>
                <w:sz w:val="19"/>
                <w:szCs w:val="19"/>
                <w:color w:val="auto"/>
              </w:rPr>
            </w:pPr>
          </w:p>
        </w:tc>
        <w:tc>
          <w:tcPr>
            <w:tcW w:w="840" w:type="dxa"/>
            <w:vAlign w:val="bottom"/>
            <w:vMerge w:val="continue"/>
            <w:shd w:val="clear" w:color="auto" w:fill="4C4C4C"/>
          </w:tcPr>
          <w:p>
            <w:pPr>
              <w:spacing w:after="0"/>
              <w:rPr>
                <w:sz w:val="19"/>
                <w:szCs w:val="19"/>
                <w:color w:val="auto"/>
              </w:rPr>
            </w:pPr>
          </w:p>
        </w:tc>
        <w:tc>
          <w:tcPr>
            <w:tcW w:w="840" w:type="dxa"/>
            <w:vAlign w:val="bottom"/>
            <w:vMerge w:val="continue"/>
            <w:shd w:val="clear" w:color="auto" w:fill="4C4C4C"/>
          </w:tcPr>
          <w:p>
            <w:pPr>
              <w:spacing w:after="0"/>
              <w:rPr>
                <w:sz w:val="19"/>
                <w:szCs w:val="19"/>
                <w:color w:val="auto"/>
              </w:rPr>
            </w:pPr>
          </w:p>
        </w:tc>
        <w:tc>
          <w:tcPr>
            <w:tcW w:w="820" w:type="dxa"/>
            <w:vAlign w:val="bottom"/>
            <w:vMerge w:val="continue"/>
            <w:shd w:val="clear" w:color="auto" w:fill="4C4C4C"/>
          </w:tcPr>
          <w:p>
            <w:pPr>
              <w:spacing w:after="0"/>
              <w:rPr>
                <w:sz w:val="19"/>
                <w:szCs w:val="19"/>
                <w:color w:val="auto"/>
              </w:rPr>
            </w:pPr>
          </w:p>
        </w:tc>
        <w:tc>
          <w:tcPr>
            <w:tcW w:w="9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Liabilities</w:t>
            </w:r>
          </w:p>
        </w:tc>
        <w:tc>
          <w:tcPr>
            <w:tcW w:w="12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Netting</w:t>
            </w:r>
          </w:p>
        </w:tc>
        <w:tc>
          <w:tcPr>
            <w:tcW w:w="8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Netting</w:t>
            </w:r>
          </w:p>
        </w:tc>
        <w:tc>
          <w:tcPr>
            <w:tcW w:w="10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7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Value</w:t>
            </w:r>
          </w:p>
        </w:tc>
        <w:tc>
          <w:tcPr>
            <w:tcW w:w="0" w:type="dxa"/>
            <w:vAlign w:val="bottom"/>
          </w:tcPr>
          <w:p>
            <w:pPr>
              <w:spacing w:after="0"/>
              <w:rPr>
                <w:sz w:val="1"/>
                <w:szCs w:val="1"/>
                <w:color w:val="auto"/>
              </w:rPr>
            </w:pPr>
          </w:p>
        </w:tc>
      </w:tr>
      <w:tr>
        <w:trPr>
          <w:trHeight w:val="261"/>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Assets</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3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Derivative assets </w:t>
            </w:r>
            <w:r>
              <w:rPr>
                <w:rFonts w:ascii="Times New Roman" w:cs="Times New Roman" w:eastAsia="Times New Roman" w:hAnsi="Times New Roman"/>
                <w:sz w:val="20"/>
                <w:szCs w:val="20"/>
                <w:i w:val="1"/>
                <w:iCs w:val="1"/>
                <w:color w:val="auto"/>
                <w:vertAlign w:val="superscript"/>
              </w:rPr>
              <w:t>(1)</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4,544</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1,731</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(5,177)</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(528)</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169"/>
        </w:trPr>
        <w:tc>
          <w:tcPr>
            <w:tcW w:w="3180" w:type="dxa"/>
            <w:vAlign w:val="bottom"/>
          </w:tcPr>
          <w:p>
            <w:pPr>
              <w:ind w:left="40"/>
              <w:spacing w:after="0" w:line="169" w:lineRule="exact"/>
              <w:rPr>
                <w:sz w:val="20"/>
                <w:szCs w:val="20"/>
                <w:color w:val="auto"/>
              </w:rPr>
            </w:pPr>
            <w:r>
              <w:rPr>
                <w:rFonts w:ascii="Times New Roman" w:cs="Times New Roman" w:eastAsia="Times New Roman" w:hAnsi="Times New Roman"/>
                <w:sz w:val="16"/>
                <w:szCs w:val="16"/>
                <w:color w:val="auto"/>
              </w:rPr>
              <w:t>Advances to/receivables from equity</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20"/>
                <w:szCs w:val="20"/>
                <w:i w:val="1"/>
                <w:iCs w:val="1"/>
                <w:color w:val="auto"/>
                <w:vertAlign w:val="superscript"/>
              </w:rPr>
              <w:t>(2)(6)</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2,517</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4,491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7,527</w:t>
            </w:r>
          </w:p>
        </w:tc>
        <w:tc>
          <w:tcPr>
            <w:tcW w:w="0" w:type="dxa"/>
            <w:vAlign w:val="bottom"/>
          </w:tcPr>
          <w:p>
            <w:pPr>
              <w:spacing w:after="0"/>
              <w:rPr>
                <w:sz w:val="1"/>
                <w:szCs w:val="1"/>
                <w:color w:val="auto"/>
              </w:rPr>
            </w:pPr>
          </w:p>
        </w:tc>
      </w:tr>
      <w:tr>
        <w:trPr>
          <w:trHeight w:val="279"/>
        </w:trPr>
        <w:tc>
          <w:tcPr>
            <w:tcW w:w="3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Other long-term financial assets </w:t>
            </w:r>
            <w:r>
              <w:rPr>
                <w:rFonts w:ascii="Times New Roman" w:cs="Times New Roman" w:eastAsia="Times New Roman" w:hAnsi="Times New Roman"/>
                <w:sz w:val="20"/>
                <w:szCs w:val="20"/>
                <w:i w:val="1"/>
                <w:iCs w:val="1"/>
                <w:color w:val="auto"/>
                <w:vertAlign w:val="superscript"/>
              </w:rPr>
              <w:t>(3)</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1,389</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944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0" w:type="dxa"/>
            <w:vAlign w:val="bottom"/>
          </w:tcPr>
          <w:p>
            <w:pPr>
              <w:spacing w:after="0"/>
              <w:rPr>
                <w:sz w:val="1"/>
                <w:szCs w:val="1"/>
                <w:color w:val="auto"/>
              </w:rPr>
            </w:pPr>
          </w:p>
        </w:tc>
      </w:tr>
      <w:tr>
        <w:trPr>
          <w:trHeight w:val="334"/>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Liabilities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Derivative liabilities </w:t>
            </w:r>
            <w:r>
              <w:rPr>
                <w:rFonts w:ascii="Times New Roman" w:cs="Times New Roman" w:eastAsia="Times New Roman" w:hAnsi="Times New Roman"/>
                <w:sz w:val="20"/>
                <w:szCs w:val="20"/>
                <w:i w:val="1"/>
                <w:iCs w:val="1"/>
                <w:color w:val="auto"/>
                <w:vertAlign w:val="superscript"/>
              </w:rPr>
              <w:t>(4)</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4,056</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1,608</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(5,177)</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79"/>
        </w:trPr>
        <w:tc>
          <w:tcPr>
            <w:tcW w:w="3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0"/>
                <w:szCs w:val="20"/>
                <w:i w:val="1"/>
                <w:iCs w:val="1"/>
                <w:color w:val="auto"/>
                <w:vertAlign w:val="superscript"/>
              </w:rPr>
              <w:t>(5)</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30,556</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2,004</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32,560</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3,102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35,662</w:t>
            </w:r>
          </w:p>
        </w:tc>
        <w:tc>
          <w:tcPr>
            <w:tcW w:w="0" w:type="dxa"/>
            <w:vAlign w:val="bottom"/>
          </w:tcPr>
          <w:p>
            <w:pPr>
              <w:spacing w:after="0"/>
              <w:rPr>
                <w:sz w:val="1"/>
                <w:szCs w:val="1"/>
                <w:color w:val="auto"/>
              </w:rPr>
            </w:pPr>
          </w:p>
        </w:tc>
      </w:tr>
      <w:tr>
        <w:trPr>
          <w:trHeight w:val="279"/>
        </w:trPr>
        <w:tc>
          <w:tcPr>
            <w:tcW w:w="3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Long-term obligations to equity companies </w:t>
            </w:r>
            <w:r>
              <w:rPr>
                <w:rFonts w:ascii="Times New Roman" w:cs="Times New Roman" w:eastAsia="Times New Roman" w:hAnsi="Times New Roman"/>
                <w:sz w:val="20"/>
                <w:szCs w:val="20"/>
                <w:i w:val="1"/>
                <w:iCs w:val="1"/>
                <w:color w:val="auto"/>
                <w:vertAlign w:val="superscript"/>
              </w:rPr>
              <w:t>(6)</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1,896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0" w:type="dxa"/>
            <w:vAlign w:val="bottom"/>
          </w:tcPr>
          <w:p>
            <w:pPr>
              <w:spacing w:after="0"/>
              <w:rPr>
                <w:sz w:val="1"/>
                <w:szCs w:val="1"/>
                <w:color w:val="auto"/>
              </w:rPr>
            </w:pPr>
          </w:p>
        </w:tc>
      </w:tr>
      <w:tr>
        <w:trPr>
          <w:trHeight w:val="249"/>
        </w:trPr>
        <w:tc>
          <w:tcPr>
            <w:tcW w:w="31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6"/>
                <w:szCs w:val="16"/>
                <w:color w:val="auto"/>
              </w:rPr>
              <w:t xml:space="preserve">Other long-term financial liabilities </w:t>
            </w:r>
            <w:r>
              <w:rPr>
                <w:rFonts w:ascii="Times New Roman" w:cs="Times New Roman" w:eastAsia="Times New Roman" w:hAnsi="Times New Roman"/>
                <w:sz w:val="20"/>
                <w:szCs w:val="20"/>
                <w:i w:val="1"/>
                <w:iCs w:val="1"/>
                <w:color w:val="auto"/>
                <w:vertAlign w:val="superscript"/>
              </w:rPr>
              <w:t>(7)</w:t>
            </w:r>
          </w:p>
        </w:tc>
        <w:tc>
          <w:tcPr>
            <w:tcW w:w="84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16"/>
                <w:szCs w:val="16"/>
                <w:color w:val="auto"/>
              </w:rPr>
              <w:t>697</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16"/>
                <w:szCs w:val="16"/>
                <w:color w:val="auto"/>
              </w:rPr>
              <w:t>45</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424"/>
        </w:trPr>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b w:val="1"/>
                <w:bCs w:val="1"/>
                <w:color w:val="4C4C4C"/>
              </w:rPr>
              <w:t>December 31, 2022</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180" w:type="dxa"/>
            <w:vAlign w:val="bottom"/>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1660" w:type="dxa"/>
            <w:vAlign w:val="bottom"/>
            <w:tcBorders>
              <w:bottom w:val="single" w:sz="8" w:color="4C4C4C"/>
            </w:tcBorders>
            <w:gridSpan w:val="2"/>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1200" w:type="dxa"/>
            <w:vAlign w:val="bottom"/>
            <w:tcBorders>
              <w:bottom w:val="single" w:sz="8" w:color="4C4C4C"/>
            </w:tcBorders>
          </w:tcPr>
          <w:p>
            <w:pPr>
              <w:spacing w:after="0"/>
              <w:rPr>
                <w:sz w:val="4"/>
                <w:szCs w:val="4"/>
                <w:color w:val="auto"/>
              </w:rPr>
            </w:pPr>
          </w:p>
        </w:tc>
        <w:tc>
          <w:tcPr>
            <w:tcW w:w="88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78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180" w:type="dxa"/>
            <w:vAlign w:val="bottom"/>
            <w:shd w:val="clear" w:color="auto" w:fill="4C4C4C"/>
          </w:tcPr>
          <w:p>
            <w:pPr>
              <w:spacing w:after="0"/>
              <w:rPr>
                <w:sz w:val="20"/>
                <w:szCs w:val="20"/>
                <w:color w:val="auto"/>
              </w:rPr>
            </w:pPr>
          </w:p>
        </w:tc>
        <w:tc>
          <w:tcPr>
            <w:tcW w:w="840" w:type="dxa"/>
            <w:vAlign w:val="bottom"/>
            <w:shd w:val="clear" w:color="auto" w:fill="4C4C4C"/>
          </w:tcPr>
          <w:p>
            <w:pPr>
              <w:spacing w:after="0"/>
              <w:rPr>
                <w:sz w:val="20"/>
                <w:szCs w:val="20"/>
                <w:color w:val="auto"/>
              </w:rPr>
            </w:pPr>
          </w:p>
        </w:tc>
        <w:tc>
          <w:tcPr>
            <w:tcW w:w="1660" w:type="dxa"/>
            <w:vAlign w:val="bottom"/>
            <w:gridSpan w:val="2"/>
            <w:shd w:val="clear" w:color="auto" w:fill="4C4C4C"/>
          </w:tcPr>
          <w:p>
            <w:pPr>
              <w:jc w:val="right"/>
              <w:ind w:right="322"/>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980" w:type="dxa"/>
            <w:vAlign w:val="bottom"/>
            <w:shd w:val="clear" w:color="auto" w:fill="4C4C4C"/>
          </w:tcPr>
          <w:p>
            <w:pPr>
              <w:spacing w:after="0"/>
              <w:rPr>
                <w:sz w:val="20"/>
                <w:szCs w:val="20"/>
                <w:color w:val="auto"/>
              </w:rPr>
            </w:pPr>
          </w:p>
        </w:tc>
        <w:tc>
          <w:tcPr>
            <w:tcW w:w="1200" w:type="dxa"/>
            <w:vAlign w:val="bottom"/>
            <w:shd w:val="clear" w:color="auto" w:fill="4C4C4C"/>
          </w:tcPr>
          <w:p>
            <w:pPr>
              <w:spacing w:after="0"/>
              <w:rPr>
                <w:sz w:val="20"/>
                <w:szCs w:val="20"/>
                <w:color w:val="auto"/>
              </w:rPr>
            </w:pPr>
          </w:p>
        </w:tc>
        <w:tc>
          <w:tcPr>
            <w:tcW w:w="880" w:type="dxa"/>
            <w:vAlign w:val="bottom"/>
            <w:shd w:val="clear" w:color="auto" w:fill="4C4C4C"/>
          </w:tcPr>
          <w:p>
            <w:pPr>
              <w:spacing w:after="0"/>
              <w:rPr>
                <w:sz w:val="20"/>
                <w:szCs w:val="20"/>
                <w:color w:val="auto"/>
              </w:rPr>
            </w:pPr>
          </w:p>
        </w:tc>
        <w:tc>
          <w:tcPr>
            <w:tcW w:w="1040" w:type="dxa"/>
            <w:vAlign w:val="bottom"/>
            <w:shd w:val="clear" w:color="auto" w:fill="4C4C4C"/>
          </w:tcPr>
          <w:p>
            <w:pPr>
              <w:spacing w:after="0"/>
              <w:rPr>
                <w:sz w:val="20"/>
                <w:szCs w:val="20"/>
                <w:color w:val="auto"/>
              </w:rPr>
            </w:pPr>
          </w:p>
        </w:tc>
        <w:tc>
          <w:tcPr>
            <w:tcW w:w="780" w:type="dxa"/>
            <w:vAlign w:val="bottom"/>
            <w:shd w:val="clear" w:color="auto" w:fill="4C4C4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4C4C4C"/>
          </w:tcPr>
          <w:p>
            <w:pPr>
              <w:spacing w:after="0"/>
              <w:rPr>
                <w:sz w:val="17"/>
                <w:szCs w:val="17"/>
                <w:color w:val="auto"/>
              </w:rPr>
            </w:pPr>
          </w:p>
        </w:tc>
        <w:tc>
          <w:tcPr>
            <w:tcW w:w="840" w:type="dxa"/>
            <w:vAlign w:val="bottom"/>
            <w:shd w:val="clear" w:color="auto" w:fill="4C4C4C"/>
          </w:tcPr>
          <w:p>
            <w:pPr>
              <w:spacing w:after="0"/>
              <w:rPr>
                <w:sz w:val="17"/>
                <w:szCs w:val="17"/>
                <w:color w:val="auto"/>
              </w:rPr>
            </w:pPr>
          </w:p>
        </w:tc>
        <w:tc>
          <w:tcPr>
            <w:tcW w:w="840" w:type="dxa"/>
            <w:vAlign w:val="bottom"/>
            <w:shd w:val="clear" w:color="auto" w:fill="4C4C4C"/>
          </w:tcPr>
          <w:p>
            <w:pPr>
              <w:spacing w:after="0"/>
              <w:rPr>
                <w:sz w:val="17"/>
                <w:szCs w:val="17"/>
                <w:color w:val="auto"/>
              </w:rPr>
            </w:pPr>
          </w:p>
        </w:tc>
        <w:tc>
          <w:tcPr>
            <w:tcW w:w="820" w:type="dxa"/>
            <w:vAlign w:val="bottom"/>
            <w:shd w:val="clear" w:color="auto" w:fill="4C4C4C"/>
          </w:tcPr>
          <w:p>
            <w:pPr>
              <w:spacing w:after="0"/>
              <w:rPr>
                <w:sz w:val="17"/>
                <w:szCs w:val="17"/>
                <w:color w:val="auto"/>
              </w:rPr>
            </w:pPr>
          </w:p>
        </w:tc>
        <w:tc>
          <w:tcPr>
            <w:tcW w:w="9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Total Gross</w:t>
            </w:r>
          </w:p>
        </w:tc>
        <w:tc>
          <w:tcPr>
            <w:tcW w:w="12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Effect of</w:t>
            </w:r>
          </w:p>
        </w:tc>
        <w:tc>
          <w:tcPr>
            <w:tcW w:w="8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Effect of</w:t>
            </w:r>
          </w:p>
        </w:tc>
        <w:tc>
          <w:tcPr>
            <w:tcW w:w="10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Difference in</w:t>
            </w:r>
          </w:p>
        </w:tc>
        <w:tc>
          <w:tcPr>
            <w:tcW w:w="7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1"/>
              </w:rPr>
              <w:t>Net</w:t>
            </w:r>
          </w:p>
        </w:tc>
        <w:tc>
          <w:tcPr>
            <w:tcW w:w="0" w:type="dxa"/>
            <w:vAlign w:val="bottom"/>
          </w:tcPr>
          <w:p>
            <w:pPr>
              <w:spacing w:after="0"/>
              <w:rPr>
                <w:sz w:val="1"/>
                <w:szCs w:val="1"/>
                <w:color w:val="auto"/>
              </w:rPr>
            </w:pPr>
          </w:p>
        </w:tc>
      </w:tr>
      <w:tr>
        <w:trPr>
          <w:trHeight w:val="157"/>
        </w:trPr>
        <w:tc>
          <w:tcPr>
            <w:tcW w:w="3180" w:type="dxa"/>
            <w:vAlign w:val="bottom"/>
            <w:shd w:val="clear" w:color="auto" w:fill="4C4C4C"/>
          </w:tcPr>
          <w:p>
            <w:pPr>
              <w:spacing w:after="0"/>
              <w:rPr>
                <w:sz w:val="13"/>
                <w:szCs w:val="13"/>
                <w:color w:val="auto"/>
              </w:rPr>
            </w:pPr>
          </w:p>
        </w:tc>
        <w:tc>
          <w:tcPr>
            <w:tcW w:w="840" w:type="dxa"/>
            <w:vAlign w:val="bottom"/>
            <w:shd w:val="clear" w:color="auto" w:fill="4C4C4C"/>
          </w:tcPr>
          <w:p>
            <w:pPr>
              <w:spacing w:after="0"/>
              <w:rPr>
                <w:sz w:val="13"/>
                <w:szCs w:val="13"/>
                <w:color w:val="auto"/>
              </w:rPr>
            </w:pPr>
          </w:p>
        </w:tc>
        <w:tc>
          <w:tcPr>
            <w:tcW w:w="840" w:type="dxa"/>
            <w:vAlign w:val="bottom"/>
            <w:shd w:val="clear" w:color="auto" w:fill="4C4C4C"/>
          </w:tcPr>
          <w:p>
            <w:pPr>
              <w:spacing w:after="0"/>
              <w:rPr>
                <w:sz w:val="13"/>
                <w:szCs w:val="13"/>
                <w:color w:val="auto"/>
              </w:rPr>
            </w:pPr>
          </w:p>
        </w:tc>
        <w:tc>
          <w:tcPr>
            <w:tcW w:w="820" w:type="dxa"/>
            <w:vAlign w:val="bottom"/>
            <w:shd w:val="clear" w:color="auto" w:fill="4C4C4C"/>
          </w:tcPr>
          <w:p>
            <w:pPr>
              <w:spacing w:after="0"/>
              <w:rPr>
                <w:sz w:val="13"/>
                <w:szCs w:val="13"/>
                <w:color w:val="auto"/>
              </w:rPr>
            </w:pPr>
          </w:p>
        </w:tc>
        <w:tc>
          <w:tcPr>
            <w:tcW w:w="980" w:type="dxa"/>
            <w:vAlign w:val="bottom"/>
            <w:vMerge w:val="continue"/>
            <w:shd w:val="clear" w:color="auto" w:fill="4C4C4C"/>
          </w:tcPr>
          <w:p>
            <w:pPr>
              <w:spacing w:after="0"/>
              <w:rPr>
                <w:sz w:val="13"/>
                <w:szCs w:val="13"/>
                <w:color w:val="auto"/>
              </w:rPr>
            </w:pPr>
          </w:p>
        </w:tc>
        <w:tc>
          <w:tcPr>
            <w:tcW w:w="1200" w:type="dxa"/>
            <w:vAlign w:val="bottom"/>
            <w:vMerge w:val="continue"/>
            <w:shd w:val="clear" w:color="auto" w:fill="4C4C4C"/>
          </w:tcPr>
          <w:p>
            <w:pPr>
              <w:spacing w:after="0"/>
              <w:rPr>
                <w:sz w:val="13"/>
                <w:szCs w:val="13"/>
                <w:color w:val="auto"/>
              </w:rPr>
            </w:pPr>
          </w:p>
        </w:tc>
        <w:tc>
          <w:tcPr>
            <w:tcW w:w="880" w:type="dxa"/>
            <w:vAlign w:val="bottom"/>
            <w:vMerge w:val="continue"/>
            <w:shd w:val="clear" w:color="auto" w:fill="4C4C4C"/>
          </w:tcPr>
          <w:p>
            <w:pPr>
              <w:spacing w:after="0"/>
              <w:rPr>
                <w:sz w:val="13"/>
                <w:szCs w:val="13"/>
                <w:color w:val="auto"/>
              </w:rPr>
            </w:pPr>
          </w:p>
        </w:tc>
        <w:tc>
          <w:tcPr>
            <w:tcW w:w="104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Carrying</w:t>
            </w:r>
          </w:p>
        </w:tc>
        <w:tc>
          <w:tcPr>
            <w:tcW w:w="78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8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b w:val="1"/>
                <w:bCs w:val="1"/>
                <w:i w:val="1"/>
                <w:iCs w:val="1"/>
                <w:color w:val="FFFFFF"/>
              </w:rPr>
              <w:t>(millions of dollars)</w:t>
            </w:r>
          </w:p>
        </w:tc>
        <w:tc>
          <w:tcPr>
            <w:tcW w:w="840" w:type="dxa"/>
            <w:vAlign w:val="bottom"/>
            <w:vMerge w:val="restart"/>
            <w:shd w:val="clear" w:color="auto" w:fill="4C4C4C"/>
          </w:tcPr>
          <w:p>
            <w:pPr>
              <w:jc w:val="right"/>
              <w:ind w:right="142"/>
              <w:spacing w:after="0"/>
              <w:rPr>
                <w:sz w:val="20"/>
                <w:szCs w:val="20"/>
                <w:color w:val="auto"/>
              </w:rPr>
            </w:pPr>
            <w:r>
              <w:rPr>
                <w:rFonts w:ascii="Times New Roman" w:cs="Times New Roman" w:eastAsia="Times New Roman" w:hAnsi="Times New Roman"/>
                <w:sz w:val="16"/>
                <w:szCs w:val="16"/>
                <w:b w:val="1"/>
                <w:bCs w:val="1"/>
                <w:color w:val="FFFFFF"/>
              </w:rPr>
              <w:t>Level 1</w:t>
            </w:r>
          </w:p>
        </w:tc>
        <w:tc>
          <w:tcPr>
            <w:tcW w:w="840" w:type="dxa"/>
            <w:vAlign w:val="bottom"/>
            <w:vMerge w:val="restart"/>
            <w:shd w:val="clear" w:color="auto" w:fill="4C4C4C"/>
          </w:tcPr>
          <w:p>
            <w:pPr>
              <w:jc w:val="right"/>
              <w:ind w:right="142"/>
              <w:spacing w:after="0"/>
              <w:rPr>
                <w:sz w:val="20"/>
                <w:szCs w:val="20"/>
                <w:color w:val="auto"/>
              </w:rPr>
            </w:pPr>
            <w:r>
              <w:rPr>
                <w:rFonts w:ascii="Times New Roman" w:cs="Times New Roman" w:eastAsia="Times New Roman" w:hAnsi="Times New Roman"/>
                <w:sz w:val="16"/>
                <w:szCs w:val="16"/>
                <w:b w:val="1"/>
                <w:bCs w:val="1"/>
                <w:color w:val="FFFFFF"/>
              </w:rPr>
              <w:t>Level 2</w:t>
            </w:r>
          </w:p>
        </w:tc>
        <w:tc>
          <w:tcPr>
            <w:tcW w:w="820" w:type="dxa"/>
            <w:vAlign w:val="bottom"/>
            <w:vMerge w:val="restart"/>
            <w:shd w:val="clear" w:color="auto" w:fill="4C4C4C"/>
          </w:tcPr>
          <w:p>
            <w:pPr>
              <w:jc w:val="right"/>
              <w:ind w:right="122"/>
              <w:spacing w:after="0"/>
              <w:rPr>
                <w:sz w:val="20"/>
                <w:szCs w:val="20"/>
                <w:color w:val="auto"/>
              </w:rPr>
            </w:pPr>
            <w:r>
              <w:rPr>
                <w:rFonts w:ascii="Times New Roman" w:cs="Times New Roman" w:eastAsia="Times New Roman" w:hAnsi="Times New Roman"/>
                <w:sz w:val="16"/>
                <w:szCs w:val="16"/>
                <w:b w:val="1"/>
                <w:bCs w:val="1"/>
                <w:color w:val="FFFFFF"/>
              </w:rPr>
              <w:t>Level 3</w:t>
            </w:r>
          </w:p>
        </w:tc>
        <w:tc>
          <w:tcPr>
            <w:tcW w:w="9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6"/>
              </w:rPr>
              <w:t>Assets &amp;</w:t>
            </w:r>
          </w:p>
        </w:tc>
        <w:tc>
          <w:tcPr>
            <w:tcW w:w="120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Counterparty</w:t>
            </w:r>
          </w:p>
        </w:tc>
        <w:tc>
          <w:tcPr>
            <w:tcW w:w="8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6"/>
              </w:rPr>
              <w:t>Collateral</w:t>
            </w:r>
          </w:p>
        </w:tc>
        <w:tc>
          <w:tcPr>
            <w:tcW w:w="104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Value and</w:t>
            </w:r>
          </w:p>
        </w:tc>
        <w:tc>
          <w:tcPr>
            <w:tcW w:w="7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Carrying</w:t>
            </w:r>
          </w:p>
        </w:tc>
        <w:tc>
          <w:tcPr>
            <w:tcW w:w="0" w:type="dxa"/>
            <w:vAlign w:val="bottom"/>
          </w:tcPr>
          <w:p>
            <w:pPr>
              <w:spacing w:after="0"/>
              <w:rPr>
                <w:sz w:val="1"/>
                <w:szCs w:val="1"/>
                <w:color w:val="auto"/>
              </w:rPr>
            </w:pPr>
          </w:p>
        </w:tc>
      </w:tr>
      <w:tr>
        <w:trPr>
          <w:trHeight w:val="220"/>
        </w:trPr>
        <w:tc>
          <w:tcPr>
            <w:tcW w:w="3180" w:type="dxa"/>
            <w:vAlign w:val="bottom"/>
            <w:vMerge w:val="continue"/>
            <w:shd w:val="clear" w:color="auto" w:fill="4C4C4C"/>
          </w:tcPr>
          <w:p>
            <w:pPr>
              <w:spacing w:after="0"/>
              <w:rPr>
                <w:sz w:val="19"/>
                <w:szCs w:val="19"/>
                <w:color w:val="auto"/>
              </w:rPr>
            </w:pPr>
          </w:p>
        </w:tc>
        <w:tc>
          <w:tcPr>
            <w:tcW w:w="840" w:type="dxa"/>
            <w:vAlign w:val="bottom"/>
            <w:vMerge w:val="continue"/>
            <w:shd w:val="clear" w:color="auto" w:fill="4C4C4C"/>
          </w:tcPr>
          <w:p>
            <w:pPr>
              <w:spacing w:after="0"/>
              <w:rPr>
                <w:sz w:val="19"/>
                <w:szCs w:val="19"/>
                <w:color w:val="auto"/>
              </w:rPr>
            </w:pPr>
          </w:p>
        </w:tc>
        <w:tc>
          <w:tcPr>
            <w:tcW w:w="840" w:type="dxa"/>
            <w:vAlign w:val="bottom"/>
            <w:vMerge w:val="continue"/>
            <w:shd w:val="clear" w:color="auto" w:fill="4C4C4C"/>
          </w:tcPr>
          <w:p>
            <w:pPr>
              <w:spacing w:after="0"/>
              <w:rPr>
                <w:sz w:val="19"/>
                <w:szCs w:val="19"/>
                <w:color w:val="auto"/>
              </w:rPr>
            </w:pPr>
          </w:p>
        </w:tc>
        <w:tc>
          <w:tcPr>
            <w:tcW w:w="820" w:type="dxa"/>
            <w:vAlign w:val="bottom"/>
            <w:vMerge w:val="continue"/>
            <w:shd w:val="clear" w:color="auto" w:fill="4C4C4C"/>
          </w:tcPr>
          <w:p>
            <w:pPr>
              <w:spacing w:after="0"/>
              <w:rPr>
                <w:sz w:val="19"/>
                <w:szCs w:val="19"/>
                <w:color w:val="auto"/>
              </w:rPr>
            </w:pPr>
          </w:p>
        </w:tc>
        <w:tc>
          <w:tcPr>
            <w:tcW w:w="9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Liabilities</w:t>
            </w:r>
          </w:p>
        </w:tc>
        <w:tc>
          <w:tcPr>
            <w:tcW w:w="12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Netting</w:t>
            </w:r>
          </w:p>
        </w:tc>
        <w:tc>
          <w:tcPr>
            <w:tcW w:w="8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Netting</w:t>
            </w:r>
          </w:p>
        </w:tc>
        <w:tc>
          <w:tcPr>
            <w:tcW w:w="104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7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Value</w:t>
            </w:r>
          </w:p>
        </w:tc>
        <w:tc>
          <w:tcPr>
            <w:tcW w:w="0" w:type="dxa"/>
            <w:vAlign w:val="bottom"/>
          </w:tcPr>
          <w:p>
            <w:pPr>
              <w:spacing w:after="0"/>
              <w:rPr>
                <w:sz w:val="1"/>
                <w:szCs w:val="1"/>
                <w:color w:val="auto"/>
              </w:rPr>
            </w:pPr>
          </w:p>
        </w:tc>
      </w:tr>
      <w:tr>
        <w:trPr>
          <w:trHeight w:val="261"/>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Assets</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Derivative assets </w:t>
            </w:r>
            <w:r>
              <w:rPr>
                <w:rFonts w:ascii="Times New Roman" w:cs="Times New Roman" w:eastAsia="Times New Roman" w:hAnsi="Times New Roman"/>
                <w:sz w:val="20"/>
                <w:szCs w:val="20"/>
                <w:i w:val="1"/>
                <w:iCs w:val="1"/>
                <w:color w:val="auto"/>
                <w:vertAlign w:val="superscript"/>
              </w:rPr>
              <w:t>(1)</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4,309</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3,455</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(5,778)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169"/>
        </w:trPr>
        <w:tc>
          <w:tcPr>
            <w:tcW w:w="3180" w:type="dxa"/>
            <w:vAlign w:val="bottom"/>
          </w:tcPr>
          <w:p>
            <w:pPr>
              <w:ind w:left="60"/>
              <w:spacing w:after="0" w:line="169" w:lineRule="exact"/>
              <w:rPr>
                <w:sz w:val="20"/>
                <w:szCs w:val="20"/>
                <w:color w:val="auto"/>
              </w:rPr>
            </w:pPr>
            <w:r>
              <w:rPr>
                <w:rFonts w:ascii="Times New Roman" w:cs="Times New Roman" w:eastAsia="Times New Roman" w:hAnsi="Times New Roman"/>
                <w:sz w:val="16"/>
                <w:szCs w:val="16"/>
                <w:color w:val="auto"/>
              </w:rPr>
              <w:t>Advances to/receivables from equity</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20"/>
                <w:szCs w:val="20"/>
                <w:i w:val="1"/>
                <w:iCs w:val="1"/>
                <w:color w:val="auto"/>
                <w:vertAlign w:val="superscript"/>
              </w:rPr>
              <w:t>(2)(6)</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2,406</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4,958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685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8,049</w:t>
            </w:r>
          </w:p>
        </w:tc>
        <w:tc>
          <w:tcPr>
            <w:tcW w:w="0" w:type="dxa"/>
            <w:vAlign w:val="bottom"/>
          </w:tcPr>
          <w:p>
            <w:pPr>
              <w:spacing w:after="0"/>
              <w:rPr>
                <w:sz w:val="1"/>
                <w:szCs w:val="1"/>
                <w:color w:val="auto"/>
              </w:rPr>
            </w:pPr>
          </w:p>
        </w:tc>
      </w:tr>
      <w:tr>
        <w:trPr>
          <w:trHeight w:val="288"/>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Other long-term financial assets </w:t>
            </w:r>
            <w:r>
              <w:rPr>
                <w:rFonts w:ascii="Times New Roman" w:cs="Times New Roman" w:eastAsia="Times New Roman" w:hAnsi="Times New Roman"/>
                <w:sz w:val="20"/>
                <w:szCs w:val="20"/>
                <w:i w:val="1"/>
                <w:iCs w:val="1"/>
                <w:color w:val="auto"/>
                <w:vertAlign w:val="superscript"/>
              </w:rPr>
              <w:t>(3)</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1,208</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1,413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0" w:type="dxa"/>
            <w:vAlign w:val="bottom"/>
          </w:tcPr>
          <w:p>
            <w:pPr>
              <w:spacing w:after="0"/>
              <w:rPr>
                <w:sz w:val="1"/>
                <w:szCs w:val="1"/>
                <w:color w:val="auto"/>
              </w:rPr>
            </w:pPr>
          </w:p>
        </w:tc>
      </w:tr>
      <w:tr>
        <w:trPr>
          <w:trHeight w:val="326"/>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Liabilities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Derivative liabilities </w:t>
            </w:r>
            <w:r>
              <w:rPr>
                <w:rFonts w:ascii="Times New Roman" w:cs="Times New Roman" w:eastAsia="Times New Roman" w:hAnsi="Times New Roman"/>
                <w:sz w:val="20"/>
                <w:szCs w:val="20"/>
                <w:i w:val="1"/>
                <w:iCs w:val="1"/>
                <w:color w:val="auto"/>
                <w:vertAlign w:val="superscript"/>
              </w:rPr>
              <w:t>(4)</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3,417</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3,264</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(5,778)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79"/>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0"/>
                <w:szCs w:val="20"/>
                <w:i w:val="1"/>
                <w:iCs w:val="1"/>
                <w:color w:val="auto"/>
                <w:vertAlign w:val="superscript"/>
              </w:rPr>
              <w:t>(5)</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33,112</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1,880</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34,998</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4,173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39,171</w:t>
            </w:r>
          </w:p>
        </w:tc>
        <w:tc>
          <w:tcPr>
            <w:tcW w:w="0" w:type="dxa"/>
            <w:vAlign w:val="bottom"/>
          </w:tcPr>
          <w:p>
            <w:pPr>
              <w:spacing w:after="0"/>
              <w:rPr>
                <w:sz w:val="1"/>
                <w:szCs w:val="1"/>
                <w:color w:val="auto"/>
              </w:rPr>
            </w:pPr>
          </w:p>
        </w:tc>
      </w:tr>
      <w:tr>
        <w:trPr>
          <w:trHeight w:val="288"/>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Long-term obligations to equity companies </w:t>
            </w:r>
            <w:r>
              <w:rPr>
                <w:rFonts w:ascii="Times New Roman" w:cs="Times New Roman" w:eastAsia="Times New Roman" w:hAnsi="Times New Roman"/>
                <w:sz w:val="20"/>
                <w:szCs w:val="20"/>
                <w:i w:val="1"/>
                <w:iCs w:val="1"/>
                <w:color w:val="auto"/>
                <w:vertAlign w:val="superscript"/>
              </w:rPr>
              <w:t>(6)</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2,467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41"/>
        </w:trPr>
        <w:tc>
          <w:tcPr>
            <w:tcW w:w="31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6"/>
                <w:szCs w:val="16"/>
                <w:color w:val="auto"/>
              </w:rPr>
              <w:t xml:space="preserve">Other long-term financial liabilities </w:t>
            </w:r>
            <w:r>
              <w:rPr>
                <w:rFonts w:ascii="Times New Roman" w:cs="Times New Roman" w:eastAsia="Times New Roman" w:hAnsi="Times New Roman"/>
                <w:sz w:val="20"/>
                <w:szCs w:val="20"/>
                <w:i w:val="1"/>
                <w:iCs w:val="1"/>
                <w:color w:val="auto"/>
                <w:vertAlign w:val="superscript"/>
              </w:rPr>
              <w:t>(7)</w:t>
            </w:r>
          </w:p>
        </w:tc>
        <w:tc>
          <w:tcPr>
            <w:tcW w:w="84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16"/>
                <w:szCs w:val="16"/>
                <w:color w:val="auto"/>
              </w:rPr>
              <w:t>679</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0" w:type="dxa"/>
            <w:vAlign w:val="bottom"/>
            <w:tcBorders>
              <w:bottom w:val="single" w:sz="8" w:color="4C4C4C"/>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16"/>
                <w:szCs w:val="16"/>
                <w:color w:val="auto"/>
              </w:rPr>
              <w:t>38</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2025650</wp:posOffset>
                </wp:positionH>
                <wp:positionV relativeFrom="paragraph">
                  <wp:posOffset>-4940935</wp:posOffset>
                </wp:positionV>
                <wp:extent cx="222186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1865" cy="4763"/>
                        </a:xfrm>
                        <a:prstGeom prst="line">
                          <a:avLst/>
                        </a:prstGeom>
                        <a:solidFill>
                          <a:srgbClr val="FFFFFF"/>
                        </a:solidFill>
                        <a:ln w="12446">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5pt,-389.0499pt" to="334.45pt,-389.0499pt" o:allowincell="f" strokecolor="#FFFFFF" strokeweight="0.98pt"/>
            </w:pict>
          </mc:Fallback>
        </mc:AlternateContent>
        <mc:AlternateContent>
          <mc:Choice Requires="wps">
            <w:drawing>
              <wp:anchor simplePos="0" relativeHeight="251657728" behindDoc="1" locked="0" layoutInCell="0" allowOverlap="1">
                <wp:simplePos x="0" y="0"/>
                <wp:positionH relativeFrom="column">
                  <wp:posOffset>2030095</wp:posOffset>
                </wp:positionH>
                <wp:positionV relativeFrom="paragraph">
                  <wp:posOffset>-2221230</wp:posOffset>
                </wp:positionV>
                <wp:extent cx="222186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1865" cy="4763"/>
                        </a:xfrm>
                        <a:prstGeom prst="line">
                          <a:avLst/>
                        </a:prstGeom>
                        <a:solidFill>
                          <a:srgbClr val="FFFFFF"/>
                        </a:solidFill>
                        <a:ln w="12446">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85pt,-174.8999pt" to="334.8pt,-174.8999pt" o:allowincell="f" strokecolor="#FFFFFF" strokeweight="0.98pt"/>
            </w:pict>
          </mc:Fallback>
        </mc:AlternateContent>
      </w:r>
    </w:p>
    <w:p>
      <w:pPr>
        <w:spacing w:after="0" w:line="58" w:lineRule="exact"/>
        <w:rPr>
          <w:sz w:val="20"/>
          <w:szCs w:val="20"/>
          <w:color w:val="auto"/>
        </w:rPr>
      </w:pPr>
    </w:p>
    <w:p>
      <w:pPr>
        <w:ind w:left="240" w:hanging="166"/>
        <w:spacing w:after="0"/>
        <w:tabs>
          <w:tab w:leader="none" w:pos="240" w:val="left"/>
        </w:tabs>
        <w:numPr>
          <w:ilvl w:val="0"/>
          <w:numId w:val="4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Included in the Balance Sheet lines: Notes and accounts receivable - net and Other assets, including intangibles - net.</w:t>
      </w:r>
    </w:p>
    <w:p>
      <w:pPr>
        <w:spacing w:after="0" w:line="47" w:lineRule="exact"/>
        <w:rPr>
          <w:rFonts w:ascii="Times New Roman" w:cs="Times New Roman" w:eastAsia="Times New Roman" w:hAnsi="Times New Roman"/>
          <w:sz w:val="20"/>
          <w:szCs w:val="20"/>
          <w:i w:val="1"/>
          <w:iCs w:val="1"/>
          <w:color w:val="auto"/>
          <w:vertAlign w:val="superscript"/>
        </w:rPr>
      </w:pPr>
    </w:p>
    <w:p>
      <w:pPr>
        <w:ind w:left="220" w:hanging="146"/>
        <w:spacing w:after="0" w:line="217" w:lineRule="auto"/>
        <w:tabs>
          <w:tab w:leader="none" w:pos="220" w:val="left"/>
        </w:tabs>
        <w:numPr>
          <w:ilvl w:val="0"/>
          <w:numId w:val="44"/>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Included in the Balance Sheet line: Investments, advances and long-term receivables.</w:t>
      </w:r>
    </w:p>
    <w:p>
      <w:pPr>
        <w:spacing w:after="0" w:line="48" w:lineRule="exact"/>
        <w:rPr>
          <w:rFonts w:ascii="Times New Roman" w:cs="Times New Roman" w:eastAsia="Times New Roman" w:hAnsi="Times New Roman"/>
          <w:sz w:val="18"/>
          <w:szCs w:val="18"/>
          <w:i w:val="1"/>
          <w:iCs w:val="1"/>
          <w:color w:val="auto"/>
          <w:vertAlign w:val="superscript"/>
        </w:rPr>
      </w:pPr>
    </w:p>
    <w:p>
      <w:pPr>
        <w:ind w:left="240" w:hanging="166"/>
        <w:spacing w:after="0" w:line="195" w:lineRule="auto"/>
        <w:tabs>
          <w:tab w:leader="none" w:pos="240" w:val="left"/>
        </w:tabs>
        <w:numPr>
          <w:ilvl w:val="0"/>
          <w:numId w:val="4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Included in the Balance Sheet lines: Investments, advances and long-term receivables and Other assets, including intangibles - net.</w:t>
      </w:r>
    </w:p>
    <w:p>
      <w:pPr>
        <w:spacing w:after="0" w:line="48" w:lineRule="exact"/>
        <w:rPr>
          <w:rFonts w:ascii="Times New Roman" w:cs="Times New Roman" w:eastAsia="Times New Roman" w:hAnsi="Times New Roman"/>
          <w:sz w:val="20"/>
          <w:szCs w:val="20"/>
          <w:i w:val="1"/>
          <w:iCs w:val="1"/>
          <w:color w:val="auto"/>
          <w:vertAlign w:val="superscript"/>
        </w:rPr>
      </w:pPr>
    </w:p>
    <w:p>
      <w:pPr>
        <w:ind w:left="240" w:hanging="166"/>
        <w:spacing w:after="0" w:line="195" w:lineRule="auto"/>
        <w:tabs>
          <w:tab w:leader="none" w:pos="240" w:val="left"/>
        </w:tabs>
        <w:numPr>
          <w:ilvl w:val="0"/>
          <w:numId w:val="4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Included in the Balance Sheet lines: Accounts payable and accrued liabilities and Other long-term obligations.</w:t>
      </w:r>
    </w:p>
    <w:p>
      <w:pPr>
        <w:spacing w:after="0" w:line="48" w:lineRule="exact"/>
        <w:rPr>
          <w:rFonts w:ascii="Times New Roman" w:cs="Times New Roman" w:eastAsia="Times New Roman" w:hAnsi="Times New Roman"/>
          <w:sz w:val="20"/>
          <w:szCs w:val="20"/>
          <w:i w:val="1"/>
          <w:iCs w:val="1"/>
          <w:color w:val="auto"/>
          <w:vertAlign w:val="superscript"/>
        </w:rPr>
      </w:pPr>
    </w:p>
    <w:p>
      <w:pPr>
        <w:ind w:left="240" w:hanging="166"/>
        <w:spacing w:after="0" w:line="195" w:lineRule="auto"/>
        <w:tabs>
          <w:tab w:leader="none" w:pos="240" w:val="left"/>
        </w:tabs>
        <w:numPr>
          <w:ilvl w:val="0"/>
          <w:numId w:val="4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Excluding finance lease obligations.</w:t>
      </w:r>
    </w:p>
    <w:p>
      <w:pPr>
        <w:spacing w:after="0" w:line="49" w:lineRule="exact"/>
        <w:rPr>
          <w:rFonts w:ascii="Times New Roman" w:cs="Times New Roman" w:eastAsia="Times New Roman" w:hAnsi="Times New Roman"/>
          <w:sz w:val="20"/>
          <w:szCs w:val="20"/>
          <w:i w:val="1"/>
          <w:iCs w:val="1"/>
          <w:color w:val="auto"/>
          <w:vertAlign w:val="superscript"/>
        </w:rPr>
      </w:pPr>
    </w:p>
    <w:p>
      <w:pPr>
        <w:ind w:left="80" w:right="80" w:hanging="6"/>
        <w:spacing w:after="0" w:line="232" w:lineRule="auto"/>
        <w:tabs>
          <w:tab w:leader="none" w:pos="229" w:val="left"/>
        </w:tabs>
        <w:numPr>
          <w:ilvl w:val="0"/>
          <w:numId w:val="4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Advances to/receivables from equity companies and long-term obligations to equity companies are mainly designated as hierarchy level 3 inputs. The fair value is calculated by discounting the remaining obligations by a rate consistent with the credit quality and industry of the company.</w:t>
      </w:r>
    </w:p>
    <w:p>
      <w:pPr>
        <w:spacing w:after="0" w:line="30" w:lineRule="exact"/>
        <w:rPr>
          <w:rFonts w:ascii="Times New Roman" w:cs="Times New Roman" w:eastAsia="Times New Roman" w:hAnsi="Times New Roman"/>
          <w:sz w:val="19"/>
          <w:szCs w:val="19"/>
          <w:i w:val="1"/>
          <w:iCs w:val="1"/>
          <w:color w:val="auto"/>
          <w:vertAlign w:val="superscript"/>
        </w:rPr>
      </w:pPr>
    </w:p>
    <w:p>
      <w:pPr>
        <w:ind w:left="80" w:right="80" w:hanging="6"/>
        <w:spacing w:after="0" w:line="229" w:lineRule="auto"/>
        <w:tabs>
          <w:tab w:leader="none" w:pos="242" w:val="left"/>
        </w:tabs>
        <w:numPr>
          <w:ilvl w:val="0"/>
          <w:numId w:val="4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Included in the Balance Sheet line: Other long-term obligations. Includes contingent consideration related to a prior year acquisition where fair value is based on expected drilling activities and discount rates.</w:t>
      </w:r>
    </w:p>
    <w:p>
      <w:pPr>
        <w:spacing w:after="0" w:line="3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At December 31, 2023, and December 31, 2022, respectively, the Corporation had $800 million and $1,494 million of collateral under master netting arrangements not offset against the derivatives on the Consolidated Balance Sheet, primarily related to initial margin requirements.</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880" w:h="15480" w:orient="portrait"/>
          <w:cols w:equalWidth="0" w:num="1">
            <w:col w:w="10600"/>
          </w:cols>
          <w:pgMar w:left="640" w:top="270" w:right="64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Derivative Instruments. </w:t>
      </w:r>
      <w:r>
        <w:rPr>
          <w:rFonts w:ascii="Times New Roman" w:cs="Times New Roman" w:eastAsia="Times New Roman" w:hAnsi="Times New Roman"/>
          <w:sz w:val="20"/>
          <w:szCs w:val="20"/>
          <w:color w:val="auto"/>
        </w:rPr>
        <w:t>The Corporation’s size, strong capital structure, geographic diversity, and the complementary nature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segments reduce the Corporation’s enterprise-wide risk from changes in commodity prices, currency rates, and interest rates. In addition, the Corporation uses commodity-based contracts, including derivatives, to manage commodity price risk and to generate returns from trading. Commodity contracts held for trading purposes are presented in the Consolidated Statement of Income on a net basis in the line “Sales and other operating revenue” and in the Consolidated Statement of Cash Flows in “Cash Flows from Operating Activities”. The Corporation’s commodity derivatives are not accounted for under hedge accounting. At times, the Corporation also enters into currency and interest rate derivatives, none of which are material to the Corporation’s financial position as of December 31, 2023 and 2022, or results of operations for 2023, 2022, and 2021.</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Credit risk associated with the Corporation’s derivative position is mitigated by several factors, including the use of derivative clearing exchanges and the quality of and financial limits placed on derivative counterparties. The Corporation maintains a system of controls that includes the authorization, reporting, and monitoring of derivative activity.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net notional long/(short) position of derivative instruments at December 31, 2023, and December 31, 2022, was as follows:</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94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w:t>
            </w:r>
          </w:p>
        </w:tc>
        <w:tc>
          <w:tcPr>
            <w:tcW w:w="1280" w:type="dxa"/>
            <w:vAlign w:val="bottom"/>
            <w:shd w:val="clear" w:color="auto" w:fill="4C4C4C"/>
          </w:tcPr>
          <w:p>
            <w:pPr>
              <w:jc w:val="right"/>
              <w:ind w:right="90"/>
              <w:spacing w:after="0"/>
              <w:rPr>
                <w:sz w:val="20"/>
                <w:szCs w:val="20"/>
                <w:color w:val="auto"/>
              </w:rPr>
            </w:pPr>
            <w:r>
              <w:rPr>
                <w:rFonts w:ascii="Times New Roman" w:cs="Times New Roman" w:eastAsia="Times New Roman" w:hAnsi="Times New Roman"/>
                <w:sz w:val="16"/>
                <w:szCs w:val="16"/>
                <w:b w:val="1"/>
                <w:bCs w:val="1"/>
                <w:color w:val="FFFFFF"/>
              </w:rPr>
              <w:t>December 31,</w:t>
            </w:r>
          </w:p>
        </w:tc>
        <w:tc>
          <w:tcPr>
            <w:tcW w:w="1340" w:type="dxa"/>
            <w:vAlign w:val="bottom"/>
            <w:shd w:val="clear" w:color="auto" w:fill="4C4C4C"/>
          </w:tcPr>
          <w:p>
            <w:pPr>
              <w:jc w:val="right"/>
              <w:ind w:right="90"/>
              <w:spacing w:after="0"/>
              <w:rPr>
                <w:sz w:val="20"/>
                <w:szCs w:val="20"/>
                <w:color w:val="auto"/>
              </w:rPr>
            </w:pPr>
            <w:r>
              <w:rPr>
                <w:rFonts w:ascii="Times New Roman" w:cs="Times New Roman" w:eastAsia="Times New Roman" w:hAnsi="Times New Roman"/>
                <w:sz w:val="16"/>
                <w:szCs w:val="16"/>
                <w:b w:val="1"/>
                <w:bCs w:val="1"/>
                <w:color w:val="FFFFFF"/>
              </w:rPr>
              <w:t>December 31,</w:t>
            </w:r>
          </w:p>
        </w:tc>
        <w:tc>
          <w:tcPr>
            <w:tcW w:w="0" w:type="dxa"/>
            <w:vAlign w:val="bottom"/>
          </w:tcPr>
          <w:p>
            <w:pPr>
              <w:spacing w:after="0"/>
              <w:rPr>
                <w:sz w:val="1"/>
                <w:szCs w:val="1"/>
                <w:color w:val="auto"/>
              </w:rPr>
            </w:pPr>
          </w:p>
        </w:tc>
      </w:tr>
      <w:tr>
        <w:trPr>
          <w:trHeight w:val="112"/>
        </w:trPr>
        <w:tc>
          <w:tcPr>
            <w:tcW w:w="7940" w:type="dxa"/>
            <w:vAlign w:val="bottom"/>
            <w:vMerge w:val="continue"/>
            <w:shd w:val="clear" w:color="auto" w:fill="4C4C4C"/>
          </w:tcPr>
          <w:p>
            <w:pPr>
              <w:spacing w:after="0"/>
              <w:rPr>
                <w:sz w:val="9"/>
                <w:szCs w:val="9"/>
                <w:color w:val="auto"/>
              </w:rPr>
            </w:pPr>
          </w:p>
        </w:tc>
        <w:tc>
          <w:tcPr>
            <w:tcW w:w="1280" w:type="dxa"/>
            <w:vAlign w:val="bottom"/>
            <w:vMerge w:val="restart"/>
            <w:shd w:val="clear" w:color="auto" w:fill="4C4C4C"/>
          </w:tcPr>
          <w:p>
            <w:pPr>
              <w:jc w:val="right"/>
              <w:ind w:right="390"/>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40" w:type="dxa"/>
            <w:vAlign w:val="bottom"/>
            <w:vMerge w:val="restart"/>
            <w:shd w:val="clear" w:color="auto" w:fill="4C4C4C"/>
          </w:tcPr>
          <w:p>
            <w:pPr>
              <w:jc w:val="right"/>
              <w:ind w:right="390"/>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0" w:type="dxa"/>
            <w:vAlign w:val="bottom"/>
          </w:tcPr>
          <w:p>
            <w:pPr>
              <w:spacing w:after="0"/>
              <w:rPr>
                <w:sz w:val="1"/>
                <w:szCs w:val="1"/>
                <w:color w:val="auto"/>
              </w:rPr>
            </w:pPr>
          </w:p>
        </w:tc>
      </w:tr>
      <w:tr>
        <w:trPr>
          <w:trHeight w:val="197"/>
        </w:trPr>
        <w:tc>
          <w:tcPr>
            <w:tcW w:w="7940" w:type="dxa"/>
            <w:vAlign w:val="bottom"/>
            <w:shd w:val="clear" w:color="auto" w:fill="4C4C4C"/>
          </w:tcPr>
          <w:p>
            <w:pPr>
              <w:spacing w:after="0"/>
              <w:rPr>
                <w:sz w:val="17"/>
                <w:szCs w:val="17"/>
                <w:color w:val="auto"/>
              </w:rPr>
            </w:pPr>
          </w:p>
        </w:tc>
        <w:tc>
          <w:tcPr>
            <w:tcW w:w="1280" w:type="dxa"/>
            <w:vAlign w:val="bottom"/>
            <w:vMerge w:val="continue"/>
            <w:shd w:val="clear" w:color="auto" w:fill="4C4C4C"/>
          </w:tcPr>
          <w:p>
            <w:pPr>
              <w:spacing w:after="0"/>
              <w:rPr>
                <w:sz w:val="17"/>
                <w:szCs w:val="17"/>
                <w:color w:val="auto"/>
              </w:rPr>
            </w:pPr>
          </w:p>
        </w:tc>
        <w:tc>
          <w:tcPr>
            <w:tcW w:w="1340" w:type="dxa"/>
            <w:vAlign w:val="bottom"/>
            <w:vMerge w:val="continue"/>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Crude oil (barrels)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Petroleum products (barrels)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300"/>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Natural gas (MMBTUs)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Realized and unrealized gains/(losses) on derivative instruments that were recognized in the Consolidated Statement of Income are included in the following lines on a before-tax basis:</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480" w:type="dxa"/>
            <w:vAlign w:val="bottom"/>
            <w:tcBorders>
              <w:bottom w:val="single" w:sz="8" w:color="4C4C4C"/>
            </w:tcBorders>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80" w:type="dxa"/>
            <w:vAlign w:val="bottom"/>
            <w:tcBorders>
              <w:bottom w:val="single" w:sz="8" w:color="4C4C4C"/>
            </w:tcBorders>
            <w:shd w:val="clear" w:color="auto" w:fill="4C4C4C"/>
          </w:tcPr>
          <w:p>
            <w:pPr>
              <w:jc w:val="right"/>
              <w:ind w:right="187"/>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2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85"/>
        </w:trPr>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Sales and other operating revenue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986</w:t>
            </w:r>
          </w:p>
        </w:tc>
        <w:tc>
          <w:tcPr>
            <w:tcW w:w="128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(1,763)</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(3,818)</w:t>
            </w:r>
          </w:p>
        </w:tc>
      </w:tr>
      <w:tr>
        <w:trPr>
          <w:trHeight w:val="297"/>
        </w:trPr>
        <w:tc>
          <w:tcPr>
            <w:tcW w:w="74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Crude oil and product purchases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280" w:type="dxa"/>
            <w:vAlign w:val="bottom"/>
            <w:tcBorders>
              <w:bottom w:val="single" w:sz="8" w:color="4C4C4C"/>
            </w:tcBorders>
          </w:tcPr>
          <w:p>
            <w:pPr>
              <w:jc w:val="right"/>
              <w:ind w:right="207"/>
              <w:spacing w:after="0"/>
              <w:rPr>
                <w:sz w:val="20"/>
                <w:szCs w:val="20"/>
                <w:color w:val="auto"/>
              </w:rPr>
            </w:pPr>
            <w:r>
              <w:rPr>
                <w:rFonts w:ascii="Times New Roman" w:cs="Times New Roman" w:eastAsia="Times New Roman" w:hAnsi="Times New Roman"/>
                <w:sz w:val="20"/>
                <w:szCs w:val="20"/>
                <w:color w:val="auto"/>
              </w:rPr>
              <w:t>314</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77"/>
        </w:trPr>
        <w:tc>
          <w:tcPr>
            <w:tcW w:w="74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1,065</w:t>
            </w:r>
          </w:p>
        </w:tc>
        <w:tc>
          <w:tcPr>
            <w:tcW w:w="1280" w:type="dxa"/>
            <w:vAlign w:val="bottom"/>
            <w:tcBorders>
              <w:bottom w:val="single" w:sz="8" w:color="4C4C4C"/>
            </w:tcBorders>
          </w:tcPr>
          <w:p>
            <w:pPr>
              <w:jc w:val="right"/>
              <w:ind w:right="147"/>
              <w:spacing w:after="0"/>
              <w:rPr>
                <w:sz w:val="20"/>
                <w:szCs w:val="20"/>
                <w:color w:val="auto"/>
              </w:rPr>
            </w:pPr>
            <w:r>
              <w:rPr>
                <w:rFonts w:ascii="Times New Roman" w:cs="Times New Roman" w:eastAsia="Times New Roman" w:hAnsi="Times New Roman"/>
                <w:sz w:val="20"/>
                <w:szCs w:val="20"/>
                <w:b w:val="1"/>
                <w:bCs w:val="1"/>
                <w:color w:val="auto"/>
              </w:rPr>
              <w:t>(1,449)</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(3,770)</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14. Long-Term Debt</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At December 31, 2023, long-term debt consisted of $32,510 million due in U.S. dollars and $4,973 million representing the U.S. dollar equivalent at year-end exchange rates of amounts payable in foreign currencies. These amounts exclude that portion of long-term debt, totaling $4,009 million, which matures within one year and is included in current liabilities.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December 22, 2022, the Company irrevocably deposited sufficient cash with the Trustee to fund (i) the redemption of its 2.726% notes due 2023 and (ii) the redemption of its 1.571% notes due 2023. After the deposit of the funds, the Corporation was released from its obligation and the debt was extinguished.</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amounts of long-term debt, excluding finance lease obligations, maturing in each of the four years after December 31, 2024, in millions of dollars, are: 2025 – $5,371; 2026 – $3,651; 2027 – $1,098; and 2028 – $1,207. At December 31, 2023, the Corporation's unused long-term lines of credit were $1.3 billion.</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 may use non-derivative financial instruments, such as its foreign currency-denominated debt, as hedges of its net investments in certain foreign subsidiaries. Under this method, the change in the carrying value of the financial instruments due to foreign exchange fluctuations is reported in accumulated other comprehensive income. As of December 31, 2023, the Corporation has designated its $5.0 billion of Euro-denominated debt and related accrued interest as a net investment hedge of its European business. The net investment hedge is deemed to be perfectly effective.</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880" w:h="15480" w:orient="portrait"/>
          <w:cols w:equalWidth="0" w:num="1">
            <w:col w:w="10600"/>
          </w:cols>
          <w:pgMar w:left="640" w:top="270" w:right="64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Summarized long-term debt at year-end 2023 and 2022 are shown in the table below:</w:t>
      </w:r>
    </w:p>
    <w:p>
      <w:pPr>
        <w:spacing w:after="0" w:line="164" w:lineRule="exact"/>
        <w:rPr>
          <w:sz w:val="20"/>
          <w:szCs w:val="20"/>
          <w:color w:val="auto"/>
        </w:rPr>
      </w:pPr>
    </w:p>
    <w:tbl>
      <w:tblPr>
        <w:tblLayout w:type="fixed"/>
        <w:tblInd w:w="1120" w:type="dxa"/>
        <w:tblCellMar>
          <w:top w:w="0" w:type="dxa"/>
          <w:left w:w="0" w:type="dxa"/>
          <w:bottom w:w="0" w:type="dxa"/>
          <w:right w:w="0" w:type="dxa"/>
        </w:tblCellMar>
      </w:tblPr>
      <w:tr>
        <w:trPr>
          <w:trHeight w:val="227"/>
        </w:trPr>
        <w:tc>
          <w:tcPr>
            <w:tcW w:w="436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 except where stated otherwise)</w:t>
            </w:r>
          </w:p>
        </w:tc>
        <w:tc>
          <w:tcPr>
            <w:tcW w:w="13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Average</w:t>
            </w:r>
          </w:p>
        </w:tc>
        <w:tc>
          <w:tcPr>
            <w:tcW w:w="1280" w:type="dxa"/>
            <w:vAlign w:val="bottom"/>
            <w:vMerge w:val="restart"/>
            <w:shd w:val="clear" w:color="auto" w:fill="4C4C4C"/>
          </w:tcPr>
          <w:p>
            <w:pPr>
              <w:jc w:val="right"/>
              <w:ind w:right="123"/>
              <w:spacing w:after="0"/>
              <w:rPr>
                <w:sz w:val="20"/>
                <w:szCs w:val="20"/>
                <w:color w:val="auto"/>
              </w:rPr>
            </w:pPr>
            <w:r>
              <w:rPr>
                <w:rFonts w:ascii="Times New Roman" w:cs="Times New Roman" w:eastAsia="Times New Roman" w:hAnsi="Times New Roman"/>
                <w:sz w:val="16"/>
                <w:szCs w:val="16"/>
                <w:b w:val="1"/>
                <w:bCs w:val="1"/>
                <w:color w:val="FFFFFF"/>
              </w:rPr>
              <w:t>Dec 31, 2023</w:t>
            </w:r>
          </w:p>
        </w:tc>
        <w:tc>
          <w:tcPr>
            <w:tcW w:w="1340" w:type="dxa"/>
            <w:vAlign w:val="bottom"/>
            <w:vMerge w:val="restart"/>
            <w:shd w:val="clear" w:color="auto" w:fill="4C4C4C"/>
          </w:tcPr>
          <w:p>
            <w:pPr>
              <w:jc w:val="right"/>
              <w:ind w:right="123"/>
              <w:spacing w:after="0"/>
              <w:rPr>
                <w:sz w:val="20"/>
                <w:szCs w:val="20"/>
                <w:color w:val="auto"/>
              </w:rPr>
            </w:pPr>
            <w:r>
              <w:rPr>
                <w:rFonts w:ascii="Times New Roman" w:cs="Times New Roman" w:eastAsia="Times New Roman" w:hAnsi="Times New Roman"/>
                <w:sz w:val="16"/>
                <w:szCs w:val="16"/>
                <w:b w:val="1"/>
                <w:bCs w:val="1"/>
                <w:color w:val="FFFFFF"/>
              </w:rPr>
              <w:t>Dec 31, 2022</w:t>
            </w:r>
          </w:p>
        </w:tc>
        <w:tc>
          <w:tcPr>
            <w:tcW w:w="0" w:type="dxa"/>
            <w:vAlign w:val="bottom"/>
          </w:tcPr>
          <w:p>
            <w:pPr>
              <w:spacing w:after="0"/>
              <w:rPr>
                <w:sz w:val="1"/>
                <w:szCs w:val="1"/>
                <w:color w:val="auto"/>
              </w:rPr>
            </w:pPr>
          </w:p>
        </w:tc>
      </w:tr>
      <w:tr>
        <w:trPr>
          <w:trHeight w:val="287"/>
        </w:trPr>
        <w:tc>
          <w:tcPr>
            <w:tcW w:w="4360" w:type="dxa"/>
            <w:vAlign w:val="bottom"/>
            <w:vMerge w:val="continue"/>
            <w:shd w:val="clear" w:color="auto" w:fill="4C4C4C"/>
          </w:tcPr>
          <w:p>
            <w:pPr>
              <w:spacing w:after="0"/>
              <w:rPr>
                <w:sz w:val="24"/>
                <w:szCs w:val="24"/>
                <w:color w:val="auto"/>
              </w:rPr>
            </w:pPr>
          </w:p>
        </w:tc>
        <w:tc>
          <w:tcPr>
            <w:tcW w:w="13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89"/>
              </w:rPr>
              <w:t xml:space="preserve">Rate </w:t>
            </w:r>
            <w:r>
              <w:rPr>
                <w:rFonts w:ascii="Times New Roman" w:cs="Times New Roman" w:eastAsia="Times New Roman" w:hAnsi="Times New Roman"/>
                <w:sz w:val="20"/>
                <w:szCs w:val="20"/>
                <w:i w:val="1"/>
                <w:iCs w:val="1"/>
                <w:color w:val="FFFFFF"/>
                <w:w w:val="89"/>
                <w:vertAlign w:val="superscript"/>
              </w:rPr>
              <w:t>(1)</w:t>
            </w:r>
          </w:p>
        </w:tc>
        <w:tc>
          <w:tcPr>
            <w:tcW w:w="1280" w:type="dxa"/>
            <w:vAlign w:val="bottom"/>
            <w:vMerge w:val="continue"/>
            <w:shd w:val="clear" w:color="auto" w:fill="4C4C4C"/>
          </w:tcPr>
          <w:p>
            <w:pPr>
              <w:spacing w:after="0"/>
              <w:rPr>
                <w:sz w:val="24"/>
                <w:szCs w:val="24"/>
                <w:color w:val="auto"/>
              </w:rPr>
            </w:pPr>
          </w:p>
        </w:tc>
        <w:tc>
          <w:tcPr>
            <w:tcW w:w="1340" w:type="dxa"/>
            <w:vAlign w:val="bottom"/>
            <w:vMerge w:val="continue"/>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Exxon Mobil Corporation </w:t>
            </w:r>
            <w:r>
              <w:rPr>
                <w:rFonts w:ascii="Times New Roman" w:cs="Times New Roman" w:eastAsia="Times New Roman" w:hAnsi="Times New Roman"/>
                <w:sz w:val="10"/>
                <w:szCs w:val="10"/>
                <w:i w:val="1"/>
                <w:iCs w:val="1"/>
                <w:color w:val="4C4C4C"/>
              </w:rPr>
              <w:t>(2)</w:t>
            </w:r>
          </w:p>
        </w:tc>
        <w:tc>
          <w:tcPr>
            <w:tcW w:w="1380" w:type="dxa"/>
            <w:vAlign w:val="bottom"/>
          </w:tcPr>
          <w:p>
            <w:pPr>
              <w:spacing w:after="0"/>
              <w:rPr>
                <w:sz w:val="24"/>
                <w:szCs w:val="24"/>
                <w:color w:val="auto"/>
              </w:rPr>
            </w:pPr>
          </w:p>
        </w:tc>
        <w:tc>
          <w:tcPr>
            <w:tcW w:w="128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3.176% notes due 2024</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2.019% notes due 2024</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2.709% notes due 2025</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2.992% notes due 2025</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2,767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3.043% notes due 2026</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2.275% notes due 2026</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3.294% notes due 2027</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2.440% notes due 2029</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3.482% notes due 2030</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2.610% notes due 2030</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2.995% notes due 2039</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4.227% notes due 2040</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2,080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3.567% notes due 2045</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4.114% notes due 2046</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3.095% notes due 2049</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4.327% notes due 2050</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2,750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3.452% notes due 2051</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2,750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Exxon Mobil Corporation - Euro-denominated</w:t>
            </w:r>
          </w:p>
        </w:tc>
        <w:tc>
          <w:tcPr>
            <w:tcW w:w="1380" w:type="dxa"/>
            <w:vAlign w:val="bottom"/>
          </w:tcPr>
          <w:p>
            <w:pPr>
              <w:spacing w:after="0"/>
              <w:rPr>
                <w:sz w:val="24"/>
                <w:szCs w:val="24"/>
                <w:color w:val="auto"/>
              </w:rPr>
            </w:pPr>
          </w:p>
        </w:tc>
        <w:tc>
          <w:tcPr>
            <w:tcW w:w="128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0.142% notes due 2024</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0.524% notes due 2028</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1,105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0.835% notes due 2032</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1,105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1.408% notes due 2039</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1,105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XTO Energy Inc. </w:t>
            </w:r>
            <w:r>
              <w:rPr>
                <w:rFonts w:ascii="Times New Roman" w:cs="Times New Roman" w:eastAsia="Times New Roman" w:hAnsi="Times New Roman"/>
                <w:sz w:val="10"/>
                <w:szCs w:val="10"/>
                <w:i w:val="1"/>
                <w:iCs w:val="1"/>
                <w:color w:val="4C4C4C"/>
              </w:rPr>
              <w:t>(3)</w:t>
            </w:r>
          </w:p>
        </w:tc>
        <w:tc>
          <w:tcPr>
            <w:tcW w:w="1380" w:type="dxa"/>
            <w:vAlign w:val="bottom"/>
          </w:tcPr>
          <w:p>
            <w:pPr>
              <w:spacing w:after="0"/>
              <w:rPr>
                <w:sz w:val="24"/>
                <w:szCs w:val="24"/>
                <w:color w:val="auto"/>
              </w:rPr>
            </w:pPr>
          </w:p>
        </w:tc>
        <w:tc>
          <w:tcPr>
            <w:tcW w:w="128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6.100% senior notes due 2036</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6.750% senior notes due 2037</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6.375% senior notes due 2038</w:t>
            </w:r>
          </w:p>
        </w:tc>
        <w:tc>
          <w:tcPr>
            <w:tcW w:w="1380" w:type="dxa"/>
            <w:vAlign w:val="bottom"/>
          </w:tcPr>
          <w:p>
            <w:pPr>
              <w:spacing w:after="0"/>
              <w:rPr>
                <w:sz w:val="24"/>
                <w:szCs w:val="24"/>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588"/>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Industrial revenue bonds due 2022-2051</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3.080%</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2,123</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w:t>
            </w:r>
          </w:p>
        </w:tc>
        <w:tc>
          <w:tcPr>
            <w:tcW w:w="0" w:type="dxa"/>
            <w:vAlign w:val="bottom"/>
          </w:tcPr>
          <w:p>
            <w:pPr>
              <w:spacing w:after="0"/>
              <w:rPr>
                <w:sz w:val="1"/>
                <w:szCs w:val="1"/>
                <w:color w:val="auto"/>
              </w:rPr>
            </w:pPr>
          </w:p>
        </w:tc>
      </w:tr>
      <w:tr>
        <w:trPr>
          <w:trHeight w:val="294"/>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Finance leases &amp; other obligations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5.985%</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3,838</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Debt issuance costs</w:t>
            </w:r>
          </w:p>
        </w:tc>
        <w:tc>
          <w:tcPr>
            <w:tcW w:w="1380" w:type="dxa"/>
            <w:vAlign w:val="bottom"/>
            <w:tcBorders>
              <w:bottom w:val="single" w:sz="8" w:color="4C4C4C"/>
            </w:tcBorders>
          </w:tcPr>
          <w:p>
            <w:pPr>
              <w:spacing w:after="0"/>
              <w:rPr>
                <w:sz w:val="24"/>
                <w:szCs w:val="24"/>
                <w:color w:val="auto"/>
              </w:rPr>
            </w:pP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77"/>
        </w:trPr>
        <w:tc>
          <w:tcPr>
            <w:tcW w:w="43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long-term debt</w:t>
            </w:r>
          </w:p>
        </w:tc>
        <w:tc>
          <w:tcPr>
            <w:tcW w:w="1380" w:type="dxa"/>
            <w:vAlign w:val="bottom"/>
            <w:tcBorders>
              <w:bottom w:val="single" w:sz="8" w:color="4C4C4C"/>
            </w:tcBorders>
          </w:tcPr>
          <w:p>
            <w:pPr>
              <w:spacing w:after="0"/>
              <w:rPr>
                <w:sz w:val="24"/>
                <w:szCs w:val="24"/>
                <w:color w:val="auto"/>
              </w:rPr>
            </w:pP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37,483</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40,559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20" w:hanging="151"/>
        <w:spacing w:after="0"/>
        <w:tabs>
          <w:tab w:leader="none" w:pos="1320" w:val="left"/>
        </w:tabs>
        <w:numPr>
          <w:ilvl w:val="0"/>
          <w:numId w:val="4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Average effective or imputed interest rates at December 31, 2023.</w:t>
      </w:r>
    </w:p>
    <w:p>
      <w:pPr>
        <w:spacing w:after="0" w:line="47" w:lineRule="exact"/>
        <w:rPr>
          <w:rFonts w:ascii="Times New Roman" w:cs="Times New Roman" w:eastAsia="Times New Roman" w:hAnsi="Times New Roman"/>
          <w:sz w:val="19"/>
          <w:szCs w:val="19"/>
          <w:i w:val="1"/>
          <w:iCs w:val="1"/>
          <w:color w:val="auto"/>
          <w:vertAlign w:val="superscript"/>
        </w:rPr>
      </w:pPr>
    </w:p>
    <w:p>
      <w:pPr>
        <w:ind w:left="1320" w:hanging="151"/>
        <w:spacing w:after="0" w:line="206" w:lineRule="auto"/>
        <w:tabs>
          <w:tab w:leader="none" w:pos="1320" w:val="left"/>
        </w:tabs>
        <w:numPr>
          <w:ilvl w:val="0"/>
          <w:numId w:val="4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Includes premiums of $97 million in 2023 and $115 million in 2022.</w:t>
      </w:r>
    </w:p>
    <w:p>
      <w:pPr>
        <w:spacing w:after="0" w:line="47" w:lineRule="exact"/>
        <w:rPr>
          <w:rFonts w:ascii="Times New Roman" w:cs="Times New Roman" w:eastAsia="Times New Roman" w:hAnsi="Times New Roman"/>
          <w:sz w:val="19"/>
          <w:szCs w:val="19"/>
          <w:i w:val="1"/>
          <w:iCs w:val="1"/>
          <w:color w:val="auto"/>
          <w:vertAlign w:val="superscript"/>
        </w:rPr>
      </w:pPr>
    </w:p>
    <w:p>
      <w:pPr>
        <w:ind w:left="1320" w:hanging="151"/>
        <w:spacing w:after="0" w:line="206" w:lineRule="auto"/>
        <w:tabs>
          <w:tab w:leader="none" w:pos="1320" w:val="left"/>
        </w:tabs>
        <w:numPr>
          <w:ilvl w:val="0"/>
          <w:numId w:val="4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Includes premiums of $71 million in 2023 and $76 million in 2022.</w:t>
      </w:r>
    </w:p>
    <w:p>
      <w:pPr>
        <w:sectPr>
          <w:pgSz w:w="11880" w:h="15480" w:orient="portrait"/>
          <w:cols w:equalWidth="0" w:num="1">
            <w:col w:w="9800"/>
          </w:cols>
          <w:pgMar w:left="640" w:top="2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102</w:t>
      </w:r>
    </w:p>
    <w:p>
      <w:pPr>
        <w:sectPr>
          <w:pgSz w:w="11880" w:h="15480" w:orient="portrait"/>
          <w:cols w:equalWidth="0" w:num="1">
            <w:col w:w="9800"/>
          </w:cols>
          <w:pgMar w:left="640" w:top="270" w:right="1440" w:bottom="0" w:gutter="0" w:footer="0" w:header="0"/>
          <w:type w:val="continuous"/>
        </w:sectPr>
      </w:pPr>
    </w:p>
    <w:bookmarkStart w:id="112" w:name="page113"/>
    <w:bookmarkEnd w:id="112"/>
    <w:p>
      <w:pPr>
        <w:ind w:right="4380"/>
        <w:spacing w:after="0" w:line="365"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15. Incentive Program</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2003 Incentive Program provides for grants of stock options, stock appreciation rights (SARs), restricted stock, and other forms of awards. Awards may be granted to eligible employees of the Corporation and those affiliates at least 50 percent owned. Outstanding awards are subject to certain forfeiture provisions contained in the program or award instrument. Options and SARs may be granted at prices not less than 100 percent of market value on the date of grant and have a maximum life of 10 years. The maximum number of shares of stock that may be issued under the 2003 Incentive Program is 220 million. Awards that are forfeited, expire, or are settled in cash, do not count against this maximum limit. The 2003 Incentive Program does not have a specified term. New awards may be made until the available shares are depleted, unless the Board terminates the plan early. At the end of 2023, remaining shares available for award under the 2003 Incentive Program were 54 million.</w:t>
      </w:r>
    </w:p>
    <w:p>
      <w:pPr>
        <w:spacing w:after="0" w:line="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Restricted Stock and Restricted Stock Units. </w:t>
      </w:r>
      <w:r>
        <w:rPr>
          <w:rFonts w:ascii="Times New Roman" w:cs="Times New Roman" w:eastAsia="Times New Roman" w:hAnsi="Times New Roman"/>
          <w:sz w:val="19"/>
          <w:szCs w:val="19"/>
          <w:color w:val="auto"/>
        </w:rPr>
        <w:t>Awards totaling 9,701 thousand, 9,392 thousand, and 8,133 thousand of restricted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(nonvested) common stock units were granted in 2023, 2022, and 2021, respectively. Compensation expense for these awards is based on the price of the stock at the date of grant and is recognized in income over the requisite service period. Shares for these awards are issued to employees from treasury stock. The units that are settled in cash are recorded as liabilities, and their changes in fair value are recognized over the vesting period. During the applicable restricted periods, the shares and units may not be sold or transferred and are subject to forfeiture. The majority of the awards have graded vesting periods, with 50 percent of the shares and units in each award vesting after three years, and the remaining 50 percent vesting after seven years. Some management, professional, and technical participants will receive awards that vest in full after three years. Awards granted to a small number of senior executives have vesting periods of five years for 50 percent of the award and of 10 years for the remaining 50 percent of the award, except that for awards granted prior to 2020 the vesting of the 10-year portion of the award is delayed until retirement if later than 10 years.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information about restricted stock and restricted stock units for the year ended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104140</wp:posOffset>
                </wp:positionV>
                <wp:extent cx="6720840" cy="60706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607060"/>
                        </a:xfrm>
                        <a:prstGeom prst="rect">
                          <a:avLst/>
                        </a:prstGeom>
                        <a:solidFill>
                          <a:srgbClr val="4C4C4C"/>
                        </a:solidFill>
                      </wps:spPr>
                      <wps:bodyPr/>
                    </wps:wsp>
                  </a:graphicData>
                </a:graphic>
              </wp:anchor>
            </w:drawing>
          </mc:Choice>
          <mc:Fallback>
            <w:pict>
              <v:rect id="Shape 170" o:spid="_x0000_s1195" style="position:absolute;margin-left:0.4pt;margin-top:8.2pt;width:529.2pt;height:4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spacing w:after="0" w:line="21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FFFFFF"/>
        </w:rPr>
        <w:t>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FFFFFF"/>
              </w:rPr>
              <w:t>Restricted stock and units outstanding</w:t>
            </w:r>
          </w:p>
        </w:tc>
        <w:tc>
          <w:tcPr>
            <w:tcW w:w="2180" w:type="dxa"/>
            <w:vAlign w:val="bottom"/>
          </w:tcPr>
          <w:p>
            <w:pPr>
              <w:spacing w:after="0"/>
              <w:rPr>
                <w:sz w:val="19"/>
                <w:szCs w:val="19"/>
                <w:color w:val="auto"/>
              </w:rPr>
            </w:pPr>
          </w:p>
        </w:tc>
        <w:tc>
          <w:tcPr>
            <w:tcW w:w="12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6"/>
                <w:szCs w:val="16"/>
                <w:b w:val="1"/>
                <w:bCs w:val="1"/>
                <w:color w:val="FFFFFF"/>
                <w:w w:val="99"/>
              </w:rPr>
              <w:t>Shares</w:t>
            </w: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Weighted-Average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900" w:type="dxa"/>
            <w:vAlign w:val="bottom"/>
            <w:gridSpan w:val="3"/>
          </w:tcPr>
          <w:p>
            <w:pPr>
              <w:jc w:val="center"/>
              <w:spacing w:after="0" w:line="138" w:lineRule="exact"/>
              <w:rPr>
                <w:sz w:val="20"/>
                <w:szCs w:val="20"/>
                <w:color w:val="auto"/>
              </w:rPr>
            </w:pPr>
            <w:r>
              <w:rPr>
                <w:rFonts w:ascii="Times New Roman" w:cs="Times New Roman" w:eastAsia="Times New Roman" w:hAnsi="Times New Roman"/>
                <w:sz w:val="15"/>
                <w:szCs w:val="15"/>
                <w:b w:val="1"/>
                <w:bCs w:val="1"/>
                <w:color w:val="FFFFFF"/>
              </w:rPr>
              <w:t>Grant-Date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 per Share</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3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i w:val="1"/>
                <w:iCs w:val="1"/>
                <w:color w:val="4C4C4C"/>
              </w:rPr>
              <w:t>(thousands)</w:t>
            </w:r>
          </w:p>
        </w:tc>
        <w:tc>
          <w:tcPr>
            <w:tcW w:w="1240" w:type="dxa"/>
            <w:vAlign w:val="bottom"/>
          </w:tcPr>
          <w:p>
            <w:pPr>
              <w:jc w:val="center"/>
              <w:ind w:left="554"/>
              <w:spacing w:after="0"/>
              <w:rPr>
                <w:sz w:val="20"/>
                <w:szCs w:val="20"/>
                <w:color w:val="auto"/>
              </w:rPr>
            </w:pPr>
            <w:r>
              <w:rPr>
                <w:rFonts w:ascii="Times New Roman" w:cs="Times New Roman" w:eastAsia="Times New Roman" w:hAnsi="Times New Roman"/>
                <w:sz w:val="16"/>
                <w:szCs w:val="16"/>
                <w:i w:val="1"/>
                <w:iCs w:val="1"/>
                <w:color w:val="4C4C4C"/>
                <w:w w:val="99"/>
              </w:rPr>
              <w:t>(dollars)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Issued and outstanding at January 1</w:t>
            </w:r>
          </w:p>
        </w:tc>
        <w:tc>
          <w:tcPr>
            <w:tcW w:w="3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37,573</w:t>
            </w:r>
          </w:p>
        </w:tc>
        <w:tc>
          <w:tcPr>
            <w:tcW w:w="1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Awards issued in 2023</w:t>
            </w:r>
          </w:p>
        </w:tc>
        <w:tc>
          <w:tcPr>
            <w:tcW w:w="3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9,247</w:t>
            </w:r>
          </w:p>
        </w:tc>
        <w:tc>
          <w:tcPr>
            <w:tcW w:w="1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33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(8,572)</w:t>
            </w:r>
          </w:p>
        </w:tc>
        <w:tc>
          <w:tcPr>
            <w:tcW w:w="1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4C4C4C"/>
            </w:tcBorders>
          </w:tcPr>
          <w:p>
            <w:pPr>
              <w:spacing w:after="0"/>
              <w:rPr>
                <w:sz w:val="24"/>
                <w:szCs w:val="24"/>
                <w:color w:val="auto"/>
              </w:rPr>
            </w:pPr>
          </w:p>
        </w:tc>
        <w:tc>
          <w:tcPr>
            <w:tcW w:w="53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Forfeited</w:t>
            </w:r>
          </w:p>
        </w:tc>
        <w:tc>
          <w:tcPr>
            <w:tcW w:w="3380" w:type="dxa"/>
            <w:vAlign w:val="bottom"/>
            <w:tcBorders>
              <w:bottom w:val="single" w:sz="8" w:color="4C4C4C"/>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(436)</w:t>
            </w:r>
          </w:p>
        </w:tc>
        <w:tc>
          <w:tcPr>
            <w:tcW w:w="1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4C4C4C"/>
            </w:tcBorders>
          </w:tcPr>
          <w:p>
            <w:pPr>
              <w:spacing w:after="0"/>
              <w:rPr>
                <w:sz w:val="24"/>
                <w:szCs w:val="24"/>
                <w:color w:val="auto"/>
              </w:rPr>
            </w:pPr>
          </w:p>
        </w:tc>
        <w:tc>
          <w:tcPr>
            <w:tcW w:w="53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Issued and outstanding at December 31</w:t>
            </w:r>
          </w:p>
        </w:tc>
        <w:tc>
          <w:tcPr>
            <w:tcW w:w="3380" w:type="dxa"/>
            <w:vAlign w:val="bottom"/>
            <w:tcBorders>
              <w:bottom w:val="single" w:sz="8" w:color="4C4C4C"/>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37,812</w:t>
            </w:r>
          </w:p>
        </w:tc>
        <w:tc>
          <w:tcPr>
            <w:tcW w:w="1240" w:type="dxa"/>
            <w:vAlign w:val="bottom"/>
            <w:tcBorders>
              <w:bottom w:val="single" w:sz="8" w:color="4C4C4C"/>
            </w:tcBorders>
          </w:tcPr>
          <w:p>
            <w:pPr>
              <w:spacing w:after="0"/>
              <w:rPr>
                <w:sz w:val="24"/>
                <w:szCs w:val="24"/>
                <w:color w:val="auto"/>
              </w:rPr>
            </w:pP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77.94</w:t>
            </w:r>
          </w:p>
        </w:tc>
        <w:tc>
          <w:tcPr>
            <w:tcW w:w="40" w:type="dxa"/>
            <w:vAlign w:val="bottom"/>
            <w:tcBorders>
              <w:bottom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30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Value of restricted stock units</w:t>
            </w:r>
          </w:p>
        </w:tc>
        <w:tc>
          <w:tcPr>
            <w:tcW w:w="3160" w:type="dxa"/>
            <w:vAlign w:val="bottom"/>
            <w:gridSpan w:val="2"/>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220" w:type="dxa"/>
            <w:vAlign w:val="bottom"/>
            <w:shd w:val="clear" w:color="auto" w:fill="4C4C4C"/>
          </w:tcPr>
          <w:p>
            <w:pPr>
              <w:spacing w:after="0"/>
              <w:rPr>
                <w:sz w:val="24"/>
                <w:szCs w:val="24"/>
                <w:color w:val="auto"/>
              </w:rPr>
            </w:pPr>
          </w:p>
        </w:tc>
        <w:tc>
          <w:tcPr>
            <w:tcW w:w="1240" w:type="dxa"/>
            <w:vAlign w:val="bottom"/>
            <w:shd w:val="clear" w:color="auto" w:fill="4C4C4C"/>
          </w:tcPr>
          <w:p>
            <w:pPr>
              <w:jc w:val="right"/>
              <w:ind w:right="37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2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Grant price </w:t>
            </w:r>
            <w:r>
              <w:rPr>
                <w:rFonts w:ascii="Times New Roman" w:cs="Times New Roman" w:eastAsia="Times New Roman" w:hAnsi="Times New Roman"/>
                <w:sz w:val="20"/>
                <w:szCs w:val="20"/>
                <w:i w:val="1"/>
                <w:iCs w:val="1"/>
                <w:color w:val="auto"/>
              </w:rPr>
              <w:t>(dollars)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103.16</w:t>
            </w:r>
          </w:p>
        </w:tc>
        <w:tc>
          <w:tcPr>
            <w:tcW w:w="220" w:type="dxa"/>
            <w:vAlign w:val="bottom"/>
          </w:tcPr>
          <w:p>
            <w:pPr>
              <w:spacing w:after="0"/>
              <w:rPr>
                <w:sz w:val="24"/>
                <w:szCs w:val="24"/>
                <w:color w:val="auto"/>
              </w:rPr>
            </w:pP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20"/>
                <w:szCs w:val="20"/>
                <w:color w:val="auto"/>
              </w:rPr>
              <w:t>110.46</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Value at date of grant:</w:t>
            </w:r>
          </w:p>
        </w:tc>
        <w:tc>
          <w:tcPr>
            <w:tcW w:w="2180" w:type="dxa"/>
            <w:vAlign w:val="bottom"/>
          </w:tcPr>
          <w:p>
            <w:pPr>
              <w:spacing w:after="0"/>
              <w:rPr>
                <w:sz w:val="24"/>
                <w:szCs w:val="24"/>
                <w:color w:val="auto"/>
              </w:rPr>
            </w:pPr>
          </w:p>
        </w:tc>
        <w:tc>
          <w:tcPr>
            <w:tcW w:w="2440" w:type="dxa"/>
            <w:vAlign w:val="bottom"/>
            <w:gridSpan w:val="3"/>
          </w:tcPr>
          <w:p>
            <w:pPr>
              <w:jc w:val="right"/>
              <w:ind w:right="194"/>
              <w:spacing w:after="0"/>
              <w:rPr>
                <w:sz w:val="20"/>
                <w:szCs w:val="20"/>
                <w:color w:val="auto"/>
              </w:rPr>
            </w:pPr>
            <w:r>
              <w:rPr>
                <w:rFonts w:ascii="Times New Roman" w:cs="Times New Roman" w:eastAsia="Times New Roman" w:hAnsi="Times New Roman"/>
                <w:sz w:val="16"/>
                <w:szCs w:val="16"/>
                <w:i w:val="1"/>
                <w:iCs w:val="1"/>
                <w:color w:val="4C4C4C"/>
              </w:rPr>
              <w:t>(millions of dollars)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Units settled in stock</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220" w:type="dxa"/>
            <w:vAlign w:val="bottom"/>
          </w:tcPr>
          <w:p>
            <w:pPr>
              <w:spacing w:after="0"/>
              <w:rPr>
                <w:sz w:val="24"/>
                <w:szCs w:val="24"/>
                <w:color w:val="auto"/>
              </w:rPr>
            </w:pP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20"/>
                <w:szCs w:val="20"/>
                <w:color w:val="auto"/>
              </w:rPr>
              <w:t>931</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Units settled in cash</w:t>
            </w:r>
          </w:p>
        </w:tc>
        <w:tc>
          <w:tcPr>
            <w:tcW w:w="316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tcBorders>
          </w:tcPr>
          <w:p>
            <w:pPr>
              <w:jc w:val="right"/>
              <w:ind w:right="414"/>
              <w:spacing w:after="0"/>
              <w:rPr>
                <w:sz w:val="20"/>
                <w:szCs w:val="20"/>
                <w:color w:val="auto"/>
              </w:rPr>
            </w:pPr>
            <w:r>
              <w:rPr>
                <w:rFonts w:ascii="Times New Roman" w:cs="Times New Roman" w:eastAsia="Times New Roman" w:hAnsi="Times New Roman"/>
                <w:sz w:val="20"/>
                <w:szCs w:val="20"/>
                <w:color w:val="auto"/>
              </w:rPr>
              <w:t>106</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3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value</w:t>
            </w:r>
          </w:p>
        </w:tc>
        <w:tc>
          <w:tcPr>
            <w:tcW w:w="2180" w:type="dxa"/>
            <w:vAlign w:val="bottom"/>
            <w:tcBorders>
              <w:bottom w:val="single" w:sz="8" w:color="4C4C4C"/>
            </w:tcBorders>
          </w:tcPr>
          <w:p>
            <w:pPr>
              <w:spacing w:after="0"/>
              <w:rPr>
                <w:sz w:val="24"/>
                <w:szCs w:val="24"/>
                <w:color w:val="auto"/>
              </w:rPr>
            </w:pP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1,001</w:t>
            </w:r>
          </w:p>
        </w:tc>
        <w:tc>
          <w:tcPr>
            <w:tcW w:w="22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tcBorders>
          </w:tcPr>
          <w:p>
            <w:pPr>
              <w:jc w:val="right"/>
              <w:ind w:right="414"/>
              <w:spacing w:after="0"/>
              <w:rPr>
                <w:sz w:val="20"/>
                <w:szCs w:val="20"/>
                <w:color w:val="auto"/>
              </w:rPr>
            </w:pPr>
            <w:r>
              <w:rPr>
                <w:rFonts w:ascii="Times New Roman" w:cs="Times New Roman" w:eastAsia="Times New Roman" w:hAnsi="Times New Roman"/>
                <w:sz w:val="20"/>
                <w:szCs w:val="20"/>
                <w:b w:val="1"/>
                <w:bCs w:val="1"/>
                <w:color w:val="auto"/>
              </w:rPr>
              <w:t>1,037</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-1166495</wp:posOffset>
            </wp:positionV>
            <wp:extent cx="700405" cy="10052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4">
                      <a:extLst>
                        <a:ext uri="{28A0092B-C50C-407E-A947-70E740481C1C}"/>
                      </a:extLst>
                    </a:blip>
                    <a:srcRect/>
                    <a:stretch>
                      <a:fillRect/>
                    </a:stretch>
                  </pic:blipFill>
                  <pic:spPr bwMode="auto">
                    <a:xfrm>
                      <a:off x="0" y="0"/>
                      <a:ext cx="700405" cy="10052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of December 31, 2023, there was $2,120 million of unrecognized compensation cost related to the nonvested restricted awards. This cost is expected to be recognized over a weighted-average period of 4.7 years. The compensation cost charged against income for the restricted stock and restricted stock units was $611 million, $648 million, and $612 million for 2023, 2022, and 2021, respectively. The income tax benefit recognized in income related to this compensation expense was $50 million, $52 million, and $49 million for the same periods, respectively. The fair value of shares and units vested in 2023, 2022, and 2021 was $892 million, $1,027 million, and $562 million, respectively. Cash payments of $79 million, $89 million, and $48 million for vested restricted stock units settled in cash were made in 2023, 2022, and 2021, respectively.</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880" w:h="15480" w:orient="portrait"/>
          <w:cols w:equalWidth="0" w:num="1">
            <w:col w:w="10600"/>
          </w:cols>
          <w:pgMar w:left="640" w:top="270" w:right="640" w:bottom="0" w:gutter="0" w:footer="0" w:header="0"/>
          <w:type w:val="continuous"/>
        </w:sectPr>
      </w:pPr>
    </w:p>
    <w:bookmarkStart w:id="113" w:name="page114"/>
    <w:bookmarkEnd w:id="113"/>
    <w:p>
      <w:pPr>
        <w:ind w:right="4380"/>
        <w:spacing w:after="0" w:line="363"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16. Litigation and Other Contingencies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Litigation. </w:t>
      </w:r>
      <w:r>
        <w:rPr>
          <w:rFonts w:ascii="Times New Roman" w:cs="Times New Roman" w:eastAsia="Times New Roman" w:hAnsi="Times New Roman"/>
          <w:sz w:val="19"/>
          <w:szCs w:val="19"/>
          <w:color w:val="auto"/>
        </w:rPr>
        <w:t>A variety of claims have been made against ExxonMobil and certain of its consolidated subsidiaries in a number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pending lawsuits. 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 State and local governments and other entities in various jurisdictions across the United States and its territories have filed a number of legal proceedings against several oil and gas companies, including ExxonMobil, requesting unprecedented legal and equitable relief for various alleged injuries purportedly connected to climate change. These lawsuits assert a variety of novel, untested claims under statutory and common law. Additional such lawsuits may be filed. We believe the legal and factual theories set forth in these proceedings are meritless and represent an inappropriate attempt to use the court system to usurp the proper role of policymakers in addressing the societal challenges of climate change.</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Local governments in Louisiana have filed unprecedented legal proceedings against a number of oil and gas companies, including ExxonMobil, requesting compensation for the restoration of coastal marsh erosion in the state. We believe the factual and legal theories set forth in these proceedings are meritless.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While the outcome of any litigation can be unpredictable, we believe the likelihood is remote that the ultimate outcomes of these lawsuits will have a material adverse effect on the Corporation’s operations, financial condition, or financial statements taken as a whole. We will continue to defend vigorously against these claims.</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Other Contingencies. </w:t>
      </w:r>
      <w:r>
        <w:rPr>
          <w:rFonts w:ascii="Times New Roman" w:cs="Times New Roman" w:eastAsia="Times New Roman" w:hAnsi="Times New Roman"/>
          <w:sz w:val="20"/>
          <w:szCs w:val="20"/>
          <w:color w:val="auto"/>
        </w:rPr>
        <w:t>The Corporation and certain of its consolidated subsidiaries were contingently liable at December 31, 2023,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guarantees relating to notes, loans and performance under contracts. Where guarantees for environmental remediation and other similar matters do not include a stated cap, the amounts reflect management’s estimate of the maximum potential exposure. Where it is not possible to make a reasonable estimation of the maximum potential amount of future payments, future performance is expected to be either immaterial or have only a remote chance of occurrence.</w:t>
      </w:r>
    </w:p>
    <w:p>
      <w:pPr>
        <w:spacing w:after="0" w:line="200" w:lineRule="exact"/>
        <w:rPr>
          <w:sz w:val="20"/>
          <w:szCs w:val="20"/>
          <w:color w:val="auto"/>
        </w:rPr>
      </w:pPr>
    </w:p>
    <w:p>
      <w:pPr>
        <w:spacing w:after="0" w:line="33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b w:val="1"/>
          <w:bCs w:val="1"/>
          <w:color w:val="4C4C4C"/>
        </w:rPr>
        <w:t>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3832225</wp:posOffset>
                </wp:positionH>
                <wp:positionV relativeFrom="paragraph">
                  <wp:posOffset>24130</wp:posOffset>
                </wp:positionV>
                <wp:extent cx="289369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3695"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75pt,1.9pt" to="529.6pt,1.9pt" o:allowincell="f" strokecolor="#4C4C4C" strokeweight="0.49pt"/>
            </w:pict>
          </mc:Fallback>
        </mc:AlternateConten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3800" w:type="dxa"/>
            <w:vAlign w:val="bottom"/>
            <w:shd w:val="clear" w:color="auto" w:fill="4C4C4C"/>
          </w:tcPr>
          <w:p>
            <w:pPr>
              <w:jc w:val="right"/>
              <w:ind w:right="130"/>
              <w:spacing w:after="0"/>
              <w:rPr>
                <w:sz w:val="20"/>
                <w:szCs w:val="20"/>
                <w:color w:val="auto"/>
              </w:rPr>
            </w:pPr>
            <w:r>
              <w:rPr>
                <w:rFonts w:ascii="Times New Roman" w:cs="Times New Roman" w:eastAsia="Times New Roman" w:hAnsi="Times New Roman"/>
                <w:sz w:val="16"/>
                <w:szCs w:val="16"/>
                <w:b w:val="1"/>
                <w:bCs w:val="1"/>
                <w:color w:val="FFFFFF"/>
              </w:rPr>
              <w:t>Equity Company</w:t>
            </w:r>
          </w:p>
        </w:tc>
        <w:tc>
          <w:tcPr>
            <w:tcW w:w="1760" w:type="dxa"/>
            <w:vAlign w:val="bottom"/>
            <w:shd w:val="clear" w:color="auto" w:fill="4C4C4C"/>
          </w:tcPr>
          <w:p>
            <w:pPr>
              <w:jc w:val="right"/>
              <w:ind w:right="290"/>
              <w:spacing w:after="0"/>
              <w:rPr>
                <w:sz w:val="20"/>
                <w:szCs w:val="20"/>
                <w:color w:val="auto"/>
              </w:rPr>
            </w:pPr>
            <w:r>
              <w:rPr>
                <w:rFonts w:ascii="Times New Roman" w:cs="Times New Roman" w:eastAsia="Times New Roman" w:hAnsi="Times New Roman"/>
                <w:sz w:val="16"/>
                <w:szCs w:val="16"/>
                <w:b w:val="1"/>
                <w:bCs w:val="1"/>
                <w:color w:val="FFFFFF"/>
              </w:rPr>
              <w:t>Other Third-Party</w:t>
            </w:r>
          </w:p>
        </w:tc>
        <w:tc>
          <w:tcPr>
            <w:tcW w:w="1280" w:type="dxa"/>
            <w:vAlign w:val="bottom"/>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3760" w:type="dxa"/>
            <w:vAlign w:val="bottom"/>
            <w:vMerge w:val="continue"/>
            <w:shd w:val="clear" w:color="auto" w:fill="4C4C4C"/>
          </w:tcPr>
          <w:p>
            <w:pPr>
              <w:spacing w:after="0"/>
              <w:rPr>
                <w:sz w:val="9"/>
                <w:szCs w:val="9"/>
                <w:color w:val="auto"/>
              </w:rPr>
            </w:pPr>
          </w:p>
        </w:tc>
        <w:tc>
          <w:tcPr>
            <w:tcW w:w="3800" w:type="dxa"/>
            <w:vAlign w:val="bottom"/>
            <w:vMerge w:val="restart"/>
            <w:shd w:val="clear" w:color="auto" w:fill="4C4C4C"/>
          </w:tcPr>
          <w:p>
            <w:pPr>
              <w:jc w:val="right"/>
              <w:ind w:right="250"/>
              <w:spacing w:after="0"/>
              <w:rPr>
                <w:sz w:val="20"/>
                <w:szCs w:val="20"/>
                <w:color w:val="auto"/>
              </w:rPr>
            </w:pPr>
            <w:r>
              <w:rPr>
                <w:rFonts w:ascii="Times New Roman" w:cs="Times New Roman" w:eastAsia="Times New Roman" w:hAnsi="Times New Roman"/>
                <w:sz w:val="16"/>
                <w:szCs w:val="16"/>
                <w:b w:val="1"/>
                <w:bCs w:val="1"/>
                <w:color w:val="FFFFFF"/>
              </w:rPr>
              <w:t xml:space="preserve">Obligations </w:t>
            </w:r>
            <w:r>
              <w:rPr>
                <w:rFonts w:ascii="Times New Roman" w:cs="Times New Roman" w:eastAsia="Times New Roman" w:hAnsi="Times New Roman"/>
                <w:sz w:val="20"/>
                <w:szCs w:val="20"/>
                <w:i w:val="1"/>
                <w:iCs w:val="1"/>
                <w:color w:val="FFFFFF"/>
                <w:vertAlign w:val="superscript"/>
              </w:rPr>
              <w:t>(1)</w:t>
            </w:r>
          </w:p>
        </w:tc>
        <w:tc>
          <w:tcPr>
            <w:tcW w:w="1760" w:type="dxa"/>
            <w:vAlign w:val="bottom"/>
            <w:vMerge w:val="restart"/>
            <w:shd w:val="clear" w:color="auto" w:fill="4C4C4C"/>
          </w:tcPr>
          <w:p>
            <w:pPr>
              <w:jc w:val="right"/>
              <w:ind w:right="530"/>
              <w:spacing w:after="0"/>
              <w:rPr>
                <w:sz w:val="20"/>
                <w:szCs w:val="20"/>
                <w:color w:val="auto"/>
              </w:rPr>
            </w:pPr>
            <w:r>
              <w:rPr>
                <w:rFonts w:ascii="Times New Roman" w:cs="Times New Roman" w:eastAsia="Times New Roman" w:hAnsi="Times New Roman"/>
                <w:sz w:val="16"/>
                <w:szCs w:val="16"/>
                <w:b w:val="1"/>
                <w:bCs w:val="1"/>
                <w:color w:val="FFFFFF"/>
              </w:rPr>
              <w:t>Obligations</w:t>
            </w:r>
          </w:p>
        </w:tc>
        <w:tc>
          <w:tcPr>
            <w:tcW w:w="1280" w:type="dxa"/>
            <w:vAlign w:val="bottom"/>
            <w:vMerge w:val="restart"/>
            <w:shd w:val="clear" w:color="auto" w:fill="4C4C4C"/>
          </w:tcPr>
          <w:p>
            <w:pPr>
              <w:jc w:val="right"/>
              <w:ind w:right="467"/>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31"/>
        </w:trPr>
        <w:tc>
          <w:tcPr>
            <w:tcW w:w="3760" w:type="dxa"/>
            <w:vAlign w:val="bottom"/>
            <w:shd w:val="clear" w:color="auto" w:fill="4C4C4C"/>
          </w:tcPr>
          <w:p>
            <w:pPr>
              <w:spacing w:after="0"/>
              <w:rPr>
                <w:sz w:val="11"/>
                <w:szCs w:val="11"/>
                <w:color w:val="auto"/>
              </w:rPr>
            </w:pPr>
          </w:p>
        </w:tc>
        <w:tc>
          <w:tcPr>
            <w:tcW w:w="3800" w:type="dxa"/>
            <w:vAlign w:val="bottom"/>
            <w:vMerge w:val="continue"/>
            <w:shd w:val="clear" w:color="auto" w:fill="4C4C4C"/>
          </w:tcPr>
          <w:p>
            <w:pPr>
              <w:spacing w:after="0"/>
              <w:rPr>
                <w:sz w:val="11"/>
                <w:szCs w:val="11"/>
                <w:color w:val="auto"/>
              </w:rPr>
            </w:pPr>
          </w:p>
        </w:tc>
        <w:tc>
          <w:tcPr>
            <w:tcW w:w="1760" w:type="dxa"/>
            <w:vAlign w:val="bottom"/>
            <w:vMerge w:val="continue"/>
            <w:shd w:val="clear" w:color="auto" w:fill="4C4C4C"/>
          </w:tcPr>
          <w:p>
            <w:pPr>
              <w:spacing w:after="0"/>
              <w:rPr>
                <w:sz w:val="11"/>
                <w:szCs w:val="11"/>
                <w:color w:val="auto"/>
              </w:rPr>
            </w:pPr>
          </w:p>
        </w:tc>
        <w:tc>
          <w:tcPr>
            <w:tcW w:w="1280" w:type="dxa"/>
            <w:vAlign w:val="bottom"/>
            <w:vMerge w:val="continue"/>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366"/>
        </w:trPr>
        <w:tc>
          <w:tcPr>
            <w:tcW w:w="3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Guarantees</w:t>
            </w:r>
          </w:p>
        </w:tc>
        <w:tc>
          <w:tcPr>
            <w:tcW w:w="3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Debt-related</w:t>
            </w:r>
          </w:p>
        </w:tc>
        <w:tc>
          <w:tcPr>
            <w:tcW w:w="38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1,151</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20"/>
                <w:szCs w:val="20"/>
                <w:color w:val="auto"/>
              </w:rPr>
              <w:t>149</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0" w:type="dxa"/>
            <w:vAlign w:val="bottom"/>
          </w:tcPr>
          <w:p>
            <w:pPr>
              <w:spacing w:after="0"/>
              <w:rPr>
                <w:sz w:val="1"/>
                <w:szCs w:val="1"/>
                <w:color w:val="auto"/>
              </w:rPr>
            </w:pPr>
          </w:p>
        </w:tc>
      </w:tr>
      <w:tr>
        <w:trPr>
          <w:trHeight w:val="297"/>
        </w:trPr>
        <w:tc>
          <w:tcPr>
            <w:tcW w:w="37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800" w:type="dxa"/>
            <w:vAlign w:val="bottom"/>
            <w:tcBorders>
              <w:bottom w:val="single" w:sz="8" w:color="4C4C4C"/>
            </w:tcBorders>
          </w:tcPr>
          <w:p>
            <w:pPr>
              <w:jc w:val="right"/>
              <w:ind w:right="50"/>
              <w:spacing w:after="0"/>
              <w:rPr>
                <w:sz w:val="20"/>
                <w:szCs w:val="20"/>
                <w:color w:val="auto"/>
              </w:rPr>
            </w:pPr>
            <w:r>
              <w:rPr>
                <w:rFonts w:ascii="Times New Roman" w:cs="Times New Roman" w:eastAsia="Times New Roman" w:hAnsi="Times New Roman"/>
                <w:sz w:val="20"/>
                <w:szCs w:val="20"/>
                <w:color w:val="auto"/>
              </w:rPr>
              <w:t>711</w:t>
            </w:r>
          </w:p>
        </w:tc>
        <w:tc>
          <w:tcPr>
            <w:tcW w:w="1760" w:type="dxa"/>
            <w:vAlign w:val="bottom"/>
            <w:tcBorders>
              <w:bottom w:val="single" w:sz="8" w:color="4C4C4C"/>
            </w:tcBorders>
          </w:tcPr>
          <w:p>
            <w:pPr>
              <w:jc w:val="right"/>
              <w:ind w:right="270"/>
              <w:spacing w:after="0"/>
              <w:rPr>
                <w:sz w:val="20"/>
                <w:szCs w:val="20"/>
                <w:color w:val="auto"/>
              </w:rPr>
            </w:pPr>
            <w:r>
              <w:rPr>
                <w:rFonts w:ascii="Times New Roman" w:cs="Times New Roman" w:eastAsia="Times New Roman" w:hAnsi="Times New Roman"/>
                <w:sz w:val="20"/>
                <w:szCs w:val="20"/>
                <w:color w:val="auto"/>
              </w:rPr>
              <w:t>5,796</w:t>
            </w:r>
          </w:p>
        </w:tc>
        <w:tc>
          <w:tcPr>
            <w:tcW w:w="12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6,507</w:t>
            </w:r>
          </w:p>
        </w:tc>
        <w:tc>
          <w:tcPr>
            <w:tcW w:w="0" w:type="dxa"/>
            <w:vAlign w:val="bottom"/>
          </w:tcPr>
          <w:p>
            <w:pPr>
              <w:spacing w:after="0"/>
              <w:rPr>
                <w:sz w:val="1"/>
                <w:szCs w:val="1"/>
                <w:color w:val="auto"/>
              </w:rPr>
            </w:pPr>
          </w:p>
        </w:tc>
      </w:tr>
      <w:tr>
        <w:trPr>
          <w:trHeight w:val="277"/>
        </w:trPr>
        <w:tc>
          <w:tcPr>
            <w:tcW w:w="37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800" w:type="dxa"/>
            <w:vAlign w:val="bottom"/>
            <w:tcBorders>
              <w:bottom w:val="single" w:sz="8" w:color="4C4C4C"/>
            </w:tcBorders>
          </w:tcPr>
          <w:p>
            <w:pPr>
              <w:jc w:val="right"/>
              <w:ind w:right="50"/>
              <w:spacing w:after="0"/>
              <w:rPr>
                <w:sz w:val="20"/>
                <w:szCs w:val="20"/>
                <w:color w:val="auto"/>
              </w:rPr>
            </w:pPr>
            <w:r>
              <w:rPr>
                <w:rFonts w:ascii="Times New Roman" w:cs="Times New Roman" w:eastAsia="Times New Roman" w:hAnsi="Times New Roman"/>
                <w:sz w:val="20"/>
                <w:szCs w:val="20"/>
                <w:b w:val="1"/>
                <w:bCs w:val="1"/>
                <w:color w:val="auto"/>
              </w:rPr>
              <w:t>1,862</w:t>
            </w:r>
          </w:p>
        </w:tc>
        <w:tc>
          <w:tcPr>
            <w:tcW w:w="1760" w:type="dxa"/>
            <w:vAlign w:val="bottom"/>
            <w:tcBorders>
              <w:bottom w:val="single" w:sz="8" w:color="4C4C4C"/>
            </w:tcBorders>
          </w:tcPr>
          <w:p>
            <w:pPr>
              <w:jc w:val="right"/>
              <w:ind w:right="270"/>
              <w:spacing w:after="0"/>
              <w:rPr>
                <w:sz w:val="20"/>
                <w:szCs w:val="20"/>
                <w:color w:val="auto"/>
              </w:rPr>
            </w:pPr>
            <w:r>
              <w:rPr>
                <w:rFonts w:ascii="Times New Roman" w:cs="Times New Roman" w:eastAsia="Times New Roman" w:hAnsi="Times New Roman"/>
                <w:sz w:val="20"/>
                <w:szCs w:val="20"/>
                <w:b w:val="1"/>
                <w:bCs w:val="1"/>
                <w:color w:val="auto"/>
              </w:rPr>
              <w:t>5,945</w:t>
            </w:r>
          </w:p>
        </w:tc>
        <w:tc>
          <w:tcPr>
            <w:tcW w:w="12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7,807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160"/>
        <w:spacing w:after="0"/>
        <w:tabs>
          <w:tab w:leader="none" w:pos="220" w:val="left"/>
        </w:tabs>
        <w:numPr>
          <w:ilvl w:val="0"/>
          <w:numId w:val="46"/>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ExxonMobil share.</w:t>
      </w: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880" w:h="15480" w:orient="portrait"/>
          <w:cols w:equalWidth="0" w:num="1">
            <w:col w:w="10600"/>
          </w:cols>
          <w:pgMar w:left="640" w:top="270" w:right="640" w:bottom="0" w:gutter="0" w:footer="0" w:header="0"/>
          <w:type w:val="continuous"/>
        </w:sectPr>
      </w:pPr>
    </w:p>
    <w:bookmarkStart w:id="114" w:name="page115"/>
    <w:bookmarkEnd w:id="114"/>
    <w:p>
      <w:pPr>
        <w:ind w:right="4380"/>
        <w:spacing w:after="0" w:line="398" w:lineRule="auto"/>
        <w:rPr>
          <w:sz w:val="20"/>
          <w:szCs w:val="20"/>
          <w:color w:val="auto"/>
        </w:rPr>
      </w:pPr>
      <w:r>
        <w:rPr>
          <w:rFonts w:ascii="Times New Roman" w:cs="Times New Roman" w:eastAsia="Times New Roman" w:hAnsi="Times New Roman"/>
          <w:sz w:val="22"/>
          <w:szCs w:val="22"/>
          <w:b w:val="1"/>
          <w:bCs w:val="1"/>
          <w:color w:val="4C4C4C"/>
        </w:rPr>
        <w:t>NOTES TO CONSOLIDATED FINANCIAL STATEMENTS 17. Pension and Other Postretirement Benefits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benefit obligations and plan assets associated with the Corporation’s principal benefit plans are measured on December 31.</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4C4C4C"/>
              </w:rPr>
              <w:t>Pension Benefits</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C4C4C"/>
                <w:w w:val="97"/>
              </w:rPr>
              <w:t>Other Postretirement</w:t>
            </w:r>
          </w:p>
        </w:tc>
        <w:tc>
          <w:tcPr>
            <w:tcW w:w="0" w:type="dxa"/>
            <w:vAlign w:val="bottom"/>
          </w:tcPr>
          <w:p>
            <w:pPr>
              <w:spacing w:after="0"/>
              <w:rPr>
                <w:sz w:val="1"/>
                <w:szCs w:val="1"/>
                <w:color w:val="auto"/>
              </w:rPr>
            </w:pPr>
          </w:p>
        </w:tc>
      </w:tr>
      <w:tr>
        <w:trPr>
          <w:trHeight w:val="126"/>
        </w:trPr>
        <w:tc>
          <w:tcPr>
            <w:tcW w:w="4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vMerge w:val="restart"/>
          </w:tcPr>
          <w:p>
            <w:pPr>
              <w:jc w:val="center"/>
              <w:ind w:right="542"/>
              <w:spacing w:after="0"/>
              <w:rPr>
                <w:sz w:val="20"/>
                <w:szCs w:val="20"/>
                <w:color w:val="auto"/>
              </w:rPr>
            </w:pPr>
            <w:r>
              <w:rPr>
                <w:rFonts w:ascii="Times New Roman" w:cs="Times New Roman" w:eastAsia="Times New Roman" w:hAnsi="Times New Roman"/>
                <w:sz w:val="16"/>
                <w:szCs w:val="16"/>
                <w:b w:val="1"/>
                <w:bCs w:val="1"/>
                <w:color w:val="4C4C4C"/>
                <w:w w:val="97"/>
              </w:rPr>
              <w:t>Benefits</w:t>
            </w:r>
          </w:p>
        </w:tc>
        <w:tc>
          <w:tcPr>
            <w:tcW w:w="0" w:type="dxa"/>
            <w:vAlign w:val="bottom"/>
          </w:tcPr>
          <w:p>
            <w:pPr>
              <w:spacing w:after="0"/>
              <w:rPr>
                <w:sz w:val="1"/>
                <w:szCs w:val="1"/>
                <w:color w:val="auto"/>
              </w:rPr>
            </w:pPr>
          </w:p>
        </w:tc>
      </w:tr>
      <w:tr>
        <w:trPr>
          <w:trHeight w:val="90"/>
        </w:trPr>
        <w:tc>
          <w:tcPr>
            <w:tcW w:w="4980" w:type="dxa"/>
            <w:vAlign w:val="bottom"/>
          </w:tcPr>
          <w:p>
            <w:pPr>
              <w:spacing w:after="0"/>
              <w:rPr>
                <w:sz w:val="7"/>
                <w:szCs w:val="7"/>
                <w:color w:val="auto"/>
              </w:rPr>
            </w:pPr>
          </w:p>
        </w:tc>
        <w:tc>
          <w:tcPr>
            <w:tcW w:w="1120" w:type="dxa"/>
            <w:vAlign w:val="bottom"/>
            <w:tcBorders>
              <w:bottom w:val="single" w:sz="8" w:color="4C4C4C"/>
            </w:tcBorders>
          </w:tcPr>
          <w:p>
            <w:pPr>
              <w:spacing w:after="0"/>
              <w:rPr>
                <w:sz w:val="7"/>
                <w:szCs w:val="7"/>
                <w:color w:val="auto"/>
              </w:rPr>
            </w:pPr>
          </w:p>
        </w:tc>
        <w:tc>
          <w:tcPr>
            <w:tcW w:w="720" w:type="dxa"/>
            <w:vAlign w:val="bottom"/>
            <w:tcBorders>
              <w:bottom w:val="single" w:sz="8" w:color="4C4C4C"/>
            </w:tcBorders>
          </w:tcPr>
          <w:p>
            <w:pPr>
              <w:spacing w:after="0"/>
              <w:rPr>
                <w:sz w:val="7"/>
                <w:szCs w:val="7"/>
                <w:color w:val="auto"/>
              </w:rPr>
            </w:pPr>
          </w:p>
        </w:tc>
        <w:tc>
          <w:tcPr>
            <w:tcW w:w="640" w:type="dxa"/>
            <w:vAlign w:val="bottom"/>
            <w:tcBorders>
              <w:bottom w:val="single" w:sz="8" w:color="4C4C4C"/>
            </w:tcBorders>
          </w:tcPr>
          <w:p>
            <w:pPr>
              <w:spacing w:after="0"/>
              <w:rPr>
                <w:sz w:val="7"/>
                <w:szCs w:val="7"/>
                <w:color w:val="auto"/>
              </w:rPr>
            </w:pPr>
          </w:p>
        </w:tc>
        <w:tc>
          <w:tcPr>
            <w:tcW w:w="1220" w:type="dxa"/>
            <w:vAlign w:val="bottom"/>
            <w:tcBorders>
              <w:bottom w:val="single" w:sz="8" w:color="4C4C4C"/>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4C4C4C"/>
            </w:tcBorders>
          </w:tcPr>
          <w:p>
            <w:pPr>
              <w:spacing w:after="0"/>
              <w:rPr>
                <w:sz w:val="7"/>
                <w:szCs w:val="7"/>
                <w:color w:val="auto"/>
              </w:rPr>
            </w:pPr>
          </w:p>
        </w:tc>
        <w:tc>
          <w:tcPr>
            <w:tcW w:w="1200" w:type="dxa"/>
            <w:vAlign w:val="bottom"/>
            <w:tcBorders>
              <w:bottom w:val="single" w:sz="8" w:color="4C4C4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980" w:type="dxa"/>
            <w:vAlign w:val="bottom"/>
          </w:tcPr>
          <w:p>
            <w:pPr>
              <w:spacing w:after="0"/>
              <w:rPr>
                <w:sz w:val="8"/>
                <w:szCs w:val="8"/>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FFFFFF"/>
              </w:rPr>
              <w:t>U.S.</w:t>
            </w: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vMerge w:val="restart"/>
          </w:tcPr>
          <w:p>
            <w:pPr>
              <w:jc w:val="right"/>
              <w:ind w:right="542"/>
              <w:spacing w:after="0"/>
              <w:rPr>
                <w:sz w:val="20"/>
                <w:szCs w:val="20"/>
                <w:color w:val="auto"/>
              </w:rPr>
            </w:pPr>
            <w:r>
              <w:rPr>
                <w:rFonts w:ascii="Times New Roman" w:cs="Times New Roman" w:eastAsia="Times New Roman" w:hAnsi="Times New Roman"/>
                <w:sz w:val="16"/>
                <w:szCs w:val="16"/>
                <w:b w:val="1"/>
                <w:bCs w:val="1"/>
                <w:color w:val="FFFFFF"/>
                <w:w w:val="93"/>
              </w:rPr>
              <w:t>Non-U.S.</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498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 except where stated otherwise)</w:t>
            </w:r>
          </w:p>
        </w:tc>
        <w:tc>
          <w:tcPr>
            <w:tcW w:w="112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980" w:type="dxa"/>
            <w:vAlign w:val="bottom"/>
            <w:vMerge w:val="continue"/>
            <w:shd w:val="clear" w:color="auto" w:fill="4C4C4C"/>
          </w:tcPr>
          <w:p>
            <w:pPr>
              <w:spacing w:after="0"/>
              <w:rPr>
                <w:sz w:val="12"/>
                <w:szCs w:val="12"/>
                <w:color w:val="auto"/>
              </w:rPr>
            </w:pPr>
          </w:p>
        </w:tc>
        <w:tc>
          <w:tcPr>
            <w:tcW w:w="1120" w:type="dxa"/>
            <w:vAlign w:val="bottom"/>
            <w:vMerge w:val="restart"/>
          </w:tcPr>
          <w:p>
            <w:pPr>
              <w:jc w:val="right"/>
              <w:ind w:right="46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2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0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0" w:type="dxa"/>
            <w:vAlign w:val="bottom"/>
          </w:tcPr>
          <w:p>
            <w:pPr>
              <w:spacing w:after="0"/>
              <w:rPr>
                <w:sz w:val="1"/>
                <w:szCs w:val="1"/>
                <w:color w:val="auto"/>
              </w:rPr>
            </w:pPr>
          </w:p>
        </w:tc>
      </w:tr>
      <w:tr>
        <w:trPr>
          <w:trHeight w:val="197"/>
        </w:trPr>
        <w:tc>
          <w:tcPr>
            <w:tcW w:w="4980" w:type="dxa"/>
            <w:vAlign w:val="bottom"/>
            <w:shd w:val="clear" w:color="auto" w:fill="4C4C4C"/>
          </w:tcPr>
          <w:p>
            <w:pPr>
              <w:spacing w:after="0"/>
              <w:rPr>
                <w:sz w:val="17"/>
                <w:szCs w:val="17"/>
                <w:color w:val="auto"/>
              </w:rPr>
            </w:pPr>
          </w:p>
        </w:tc>
        <w:tc>
          <w:tcPr>
            <w:tcW w:w="1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-385445</wp:posOffset>
            </wp:positionV>
            <wp:extent cx="6715125" cy="3102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5">
                      <a:extLst>
                        <a:ext uri="{28A0092B-C50C-407E-A947-70E740481C1C}"/>
                      </a:extLst>
                    </a:blip>
                    <a:srcRect/>
                    <a:stretch>
                      <a:fillRect/>
                    </a:stretch>
                  </pic:blipFill>
                  <pic:spPr bwMode="auto">
                    <a:xfrm>
                      <a:off x="0" y="0"/>
                      <a:ext cx="6715125" cy="3102610"/>
                    </a:xfrm>
                    <a:prstGeom prst="rect">
                      <a:avLst/>
                    </a:prstGeom>
                    <a:noFill/>
                  </pic:spPr>
                </pic:pic>
              </a:graphicData>
            </a:graphic>
          </wp:anchor>
        </w:drawing>
      </w:r>
    </w:p>
    <w:p>
      <w:pPr>
        <w:sectPr>
          <w:pgSz w:w="11880" w:h="15480" w:orient="portrait"/>
          <w:cols w:equalWidth="0" w:num="1">
            <w:col w:w="10600"/>
          </w:cols>
          <w:pgMar w:left="640" w:top="270" w:right="640" w:bottom="0" w:gutter="0" w:footer="0" w:header="0"/>
        </w:sectPr>
      </w:pPr>
    </w:p>
    <w:p>
      <w:pPr>
        <w:spacing w:after="0" w:line="103" w:lineRule="exact"/>
        <w:rPr>
          <w:sz w:val="20"/>
          <w:szCs w:val="20"/>
          <w:color w:val="auto"/>
        </w:rPr>
      </w:pPr>
    </w:p>
    <w:p>
      <w:pPr>
        <w:ind w:left="80"/>
        <w:spacing w:after="0" w:line="238" w:lineRule="auto"/>
        <w:rPr>
          <w:sz w:val="20"/>
          <w:szCs w:val="20"/>
          <w:color w:val="auto"/>
        </w:rPr>
      </w:pPr>
      <w:r>
        <w:rPr>
          <w:rFonts w:ascii="Times New Roman" w:cs="Times New Roman" w:eastAsia="Times New Roman" w:hAnsi="Times New Roman"/>
          <w:sz w:val="20"/>
          <w:szCs w:val="20"/>
          <w:b w:val="1"/>
          <w:bCs w:val="1"/>
          <w:color w:val="4C4C4C"/>
        </w:rPr>
        <w:t>Weighted-average assumptions used to determine benefit obligations at December 31</w:t>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Discount rate </w:t>
      </w:r>
      <w:r>
        <w:rPr>
          <w:rFonts w:ascii="Times New Roman" w:cs="Times New Roman" w:eastAsia="Times New Roman" w:hAnsi="Times New Roman"/>
          <w:sz w:val="20"/>
          <w:szCs w:val="20"/>
          <w:i w:val="1"/>
          <w:iCs w:val="1"/>
          <w:color w:val="auto"/>
        </w:rPr>
        <w:t>(percent)</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Long-term rate of compensation increase </w:t>
      </w:r>
      <w:r>
        <w:rPr>
          <w:rFonts w:ascii="Times New Roman" w:cs="Times New Roman" w:eastAsia="Times New Roman" w:hAnsi="Times New Roman"/>
          <w:sz w:val="20"/>
          <w:szCs w:val="20"/>
          <w:i w:val="1"/>
          <w:iCs w:val="1"/>
          <w:color w:val="auto"/>
        </w:rPr>
        <w:t>(percent)</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4C4C4C"/>
        </w:rPr>
        <w:t>Change in benefit obligation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1"/>
              </w:rPr>
              <w:t>5.30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5.60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4.30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4.90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5.30</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w:t>
            </w:r>
          </w:p>
        </w:tc>
      </w:tr>
      <w:tr>
        <w:trPr>
          <w:trHeight w:val="294"/>
        </w:trPr>
        <w:tc>
          <w:tcPr>
            <w:tcW w:w="6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1"/>
              </w:rPr>
              <w:t>4.50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4.50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4.50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5.20</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4.50</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r>
    </w:tbl>
    <w:p>
      <w:pPr>
        <w:spacing w:after="0" w:line="411" w:lineRule="exact"/>
        <w:rPr>
          <w:sz w:val="20"/>
          <w:szCs w:val="20"/>
          <w:color w:val="auto"/>
        </w:rPr>
      </w:pPr>
    </w:p>
    <w:p>
      <w:pPr>
        <w:sectPr>
          <w:pgSz w:w="11880" w:h="15480" w:orient="portrait"/>
          <w:cols w:equalWidth="0" w:num="2">
            <w:col w:w="4840" w:space="620"/>
            <w:col w:w="5140"/>
          </w:cols>
          <w:pgMar w:left="640" w:top="270" w:right="640" w:bottom="0" w:gutter="0" w:footer="0" w:header="0"/>
          <w:type w:val="continuous"/>
        </w:sectPr>
      </w:pPr>
    </w:p>
    <w:tbl>
      <w:tblPr>
        <w:tblLayout w:type="fixed"/>
        <w:tblInd w:w="20" w:type="dxa"/>
        <w:tblCellMar>
          <w:top w:w="0" w:type="dxa"/>
          <w:left w:w="0" w:type="dxa"/>
          <w:bottom w:w="0" w:type="dxa"/>
          <w:right w:w="0" w:type="dxa"/>
        </w:tblCellMar>
      </w:tblPr>
      <w:tr>
        <w:trPr>
          <w:trHeight w:val="280"/>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Benefit obligation at January 1</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12,350</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18,511</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19,342</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29,492</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5,211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7,265</w:t>
            </w:r>
          </w:p>
        </w:tc>
      </w:tr>
      <w:tr>
        <w:trPr>
          <w:trHeight w:val="294"/>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Service cost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712</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570</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94"/>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cost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518</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614</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r>
      <w:tr>
        <w:trPr>
          <w:trHeight w:val="294"/>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Actuarial loss/(gain) </w:t>
            </w:r>
            <w:r>
              <w:rPr>
                <w:rFonts w:ascii="Times New Roman" w:cs="Times New Roman" w:eastAsia="Times New Roman" w:hAnsi="Times New Roman"/>
                <w:sz w:val="10"/>
                <w:szCs w:val="10"/>
                <w:i w:val="1"/>
                <w:iCs w:val="1"/>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(4,432)</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(7,742)</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w:t>
            </w:r>
          </w:p>
        </w:tc>
      </w:tr>
      <w:tr>
        <w:trPr>
          <w:trHeight w:val="294"/>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Benefits paid </w:t>
            </w:r>
            <w:r>
              <w:rPr>
                <w:rFonts w:ascii="Times New Roman" w:cs="Times New Roman" w:eastAsia="Times New Roman" w:hAnsi="Times New Roman"/>
                <w:sz w:val="10"/>
                <w:szCs w:val="10"/>
                <w:i w:val="1"/>
                <w:iCs w:val="1"/>
                <w:color w:val="auto"/>
              </w:rPr>
              <w:t>(2)(3)</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(2,959)</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r>
      <w:tr>
        <w:trPr>
          <w:trHeight w:val="294"/>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 exchange rate changes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97"/>
        </w:trPr>
        <w:tc>
          <w:tcPr>
            <w:tcW w:w="49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Amendments, divestments and other</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20"/>
                <w:szCs w:val="20"/>
                <w:color w:val="auto"/>
              </w:rPr>
              <w:t>81</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74"/>
        </w:trPr>
        <w:tc>
          <w:tcPr>
            <w:tcW w:w="49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Benefit obligation at December 31</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13,143</w:t>
            </w:r>
          </w:p>
        </w:tc>
        <w:tc>
          <w:tcPr>
            <w:tcW w:w="100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12,350</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21,327</w:t>
            </w:r>
          </w:p>
        </w:tc>
        <w:tc>
          <w:tcPr>
            <w:tcW w:w="100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19,342</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5,014</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5,211</w:t>
            </w:r>
          </w:p>
        </w:tc>
      </w:tr>
      <w:tr>
        <w:trPr>
          <w:trHeight w:val="277"/>
        </w:trPr>
        <w:tc>
          <w:tcPr>
            <w:tcW w:w="49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Accumulated benefit obligation at December 31</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11,033</w:t>
            </w:r>
          </w:p>
        </w:tc>
        <w:tc>
          <w:tcPr>
            <w:tcW w:w="100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20"/>
                <w:szCs w:val="20"/>
                <w:color w:val="auto"/>
              </w:rPr>
              <w:t>10,367</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19,769</w:t>
            </w:r>
          </w:p>
        </w:tc>
        <w:tc>
          <w:tcPr>
            <w:tcW w:w="1000" w:type="dxa"/>
            <w:vAlign w:val="bottom"/>
            <w:tcBorders>
              <w:bottom w:val="single" w:sz="8" w:color="4C4C4C"/>
            </w:tcBorders>
          </w:tcPr>
          <w:p>
            <w:pPr>
              <w:jc w:val="right"/>
              <w:ind w:right="42"/>
              <w:spacing w:after="0"/>
              <w:rPr>
                <w:sz w:val="20"/>
                <w:szCs w:val="20"/>
                <w:color w:val="auto"/>
              </w:rPr>
            </w:pPr>
            <w:r>
              <w:rPr>
                <w:rFonts w:ascii="Times New Roman" w:cs="Times New Roman" w:eastAsia="Times New Roman" w:hAnsi="Times New Roman"/>
                <w:sz w:val="20"/>
                <w:szCs w:val="20"/>
                <w:color w:val="auto"/>
              </w:rPr>
              <w:t>18,047</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72" w:lineRule="exact"/>
        <w:rPr>
          <w:sz w:val="20"/>
          <w:szCs w:val="20"/>
          <w:color w:val="auto"/>
        </w:rPr>
      </w:pPr>
    </w:p>
    <w:p>
      <w:pPr>
        <w:ind w:left="240" w:hanging="166"/>
        <w:spacing w:after="0"/>
        <w:tabs>
          <w:tab w:leader="none" w:pos="240" w:val="left"/>
        </w:tabs>
        <w:numPr>
          <w:ilvl w:val="0"/>
          <w:numId w:val="4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Actuarial loss/(gain) primarily reflects lower discount rates.</w:t>
      </w:r>
    </w:p>
    <w:p>
      <w:pPr>
        <w:spacing w:after="0" w:line="47" w:lineRule="exact"/>
        <w:rPr>
          <w:rFonts w:ascii="Times New Roman" w:cs="Times New Roman" w:eastAsia="Times New Roman" w:hAnsi="Times New Roman"/>
          <w:sz w:val="20"/>
          <w:szCs w:val="20"/>
          <w:i w:val="1"/>
          <w:iCs w:val="1"/>
          <w:color w:val="auto"/>
          <w:vertAlign w:val="superscript"/>
        </w:rPr>
      </w:pPr>
    </w:p>
    <w:p>
      <w:pPr>
        <w:ind w:left="240" w:hanging="166"/>
        <w:spacing w:after="0" w:line="195" w:lineRule="auto"/>
        <w:tabs>
          <w:tab w:leader="none" w:pos="240" w:val="left"/>
        </w:tabs>
        <w:numPr>
          <w:ilvl w:val="0"/>
          <w:numId w:val="4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Benefit payments for funded and unfunded plans.</w:t>
      </w:r>
    </w:p>
    <w:p>
      <w:pPr>
        <w:spacing w:after="0" w:line="48" w:lineRule="exact"/>
        <w:rPr>
          <w:rFonts w:ascii="Times New Roman" w:cs="Times New Roman" w:eastAsia="Times New Roman" w:hAnsi="Times New Roman"/>
          <w:sz w:val="20"/>
          <w:szCs w:val="20"/>
          <w:i w:val="1"/>
          <w:iCs w:val="1"/>
          <w:color w:val="auto"/>
          <w:vertAlign w:val="superscript"/>
        </w:rPr>
      </w:pPr>
    </w:p>
    <w:p>
      <w:pPr>
        <w:ind w:left="240" w:hanging="166"/>
        <w:spacing w:after="0" w:line="195" w:lineRule="auto"/>
        <w:tabs>
          <w:tab w:leader="none" w:pos="240" w:val="left"/>
        </w:tabs>
        <w:numPr>
          <w:ilvl w:val="0"/>
          <w:numId w:val="4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For 2023 and 2022, other postretirement benefits paid are net of $19 million and $24 million of Medicare subsidy receipts, respectively.</w:t>
      </w:r>
    </w:p>
    <w:p>
      <w:pPr>
        <w:spacing w:after="0" w:line="200" w:lineRule="exact"/>
        <w:rPr>
          <w:sz w:val="20"/>
          <w:szCs w:val="20"/>
          <w:color w:val="auto"/>
        </w:rPr>
      </w:pPr>
    </w:p>
    <w:p>
      <w:pPr>
        <w:spacing w:after="0" w:line="2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selection of the discount rate for U.S. plans, several sources of information are considered, including interest rate market indicators and the effective discount rate determined by use of a yield curve based on high-quality, noncallable bonds applied to the estimated cash outflows for benefit payments. For major non-U.S. plans, the discount rate is determined by using a spot yield curve of high-quality, local-currency-denominated bonds at an average maturity approximating that of the liabilities.</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measurement of the accumulated postretirement benefit obligation assumes a health care cost trend rate of 4.0 percent in 2025 and subsequent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gridSpan w:val="2"/>
            <w:vMerge w:val="restart"/>
          </w:tcPr>
          <w:p>
            <w:pPr>
              <w:jc w:val="right"/>
              <w:ind w:right="426"/>
              <w:spacing w:after="0"/>
              <w:rPr>
                <w:sz w:val="20"/>
                <w:szCs w:val="20"/>
                <w:color w:val="auto"/>
              </w:rPr>
            </w:pPr>
            <w:r>
              <w:rPr>
                <w:rFonts w:ascii="Times New Roman" w:cs="Times New Roman" w:eastAsia="Times New Roman" w:hAnsi="Times New Roman"/>
                <w:sz w:val="16"/>
                <w:szCs w:val="16"/>
                <w:b w:val="1"/>
                <w:bCs w:val="1"/>
                <w:color w:val="4C4C4C"/>
              </w:rPr>
              <w:t>Pension Benefits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b w:val="1"/>
                <w:bCs w:val="1"/>
                <w:color w:val="4C4C4C"/>
              </w:rPr>
              <w:t>Other Postretirement</w:t>
            </w: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C4C4C"/>
              </w:rPr>
              <w:t>Benefits</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940" w:type="dxa"/>
            <w:vAlign w:val="bottom"/>
          </w:tcPr>
          <w:p>
            <w:pPr>
              <w:spacing w:after="0"/>
              <w:rPr>
                <w:sz w:val="7"/>
                <w:szCs w:val="7"/>
                <w:color w:val="auto"/>
              </w:rPr>
            </w:pPr>
          </w:p>
        </w:tc>
        <w:tc>
          <w:tcPr>
            <w:tcW w:w="1140" w:type="dxa"/>
            <w:vAlign w:val="bottom"/>
            <w:tcBorders>
              <w:bottom w:val="single" w:sz="8" w:color="4C4C4C"/>
            </w:tcBorders>
          </w:tcPr>
          <w:p>
            <w:pPr>
              <w:spacing w:after="0"/>
              <w:rPr>
                <w:sz w:val="7"/>
                <w:szCs w:val="7"/>
                <w:color w:val="auto"/>
              </w:rPr>
            </w:pPr>
          </w:p>
        </w:tc>
        <w:tc>
          <w:tcPr>
            <w:tcW w:w="860" w:type="dxa"/>
            <w:vAlign w:val="bottom"/>
            <w:tcBorders>
              <w:bottom w:val="single" w:sz="8" w:color="4C4C4C"/>
            </w:tcBorders>
          </w:tcPr>
          <w:p>
            <w:pPr>
              <w:spacing w:after="0"/>
              <w:rPr>
                <w:sz w:val="7"/>
                <w:szCs w:val="7"/>
                <w:color w:val="auto"/>
              </w:rPr>
            </w:pPr>
          </w:p>
        </w:tc>
        <w:tc>
          <w:tcPr>
            <w:tcW w:w="940" w:type="dxa"/>
            <w:vAlign w:val="bottom"/>
            <w:tcBorders>
              <w:bottom w:val="single" w:sz="8" w:color="4C4C4C"/>
            </w:tcBorders>
          </w:tcPr>
          <w:p>
            <w:pPr>
              <w:spacing w:after="0"/>
              <w:rPr>
                <w:sz w:val="7"/>
                <w:szCs w:val="7"/>
                <w:color w:val="auto"/>
              </w:rPr>
            </w:pPr>
          </w:p>
        </w:tc>
        <w:tc>
          <w:tcPr>
            <w:tcW w:w="800" w:type="dxa"/>
            <w:vAlign w:val="bottom"/>
            <w:tcBorders>
              <w:bottom w:val="single" w:sz="8" w:color="4C4C4C"/>
            </w:tcBorders>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Borders>
              <w:bottom w:val="single" w:sz="8" w:color="4C4C4C"/>
            </w:tcBorders>
            <w:vMerge w:val="continue"/>
          </w:tcPr>
          <w:p>
            <w:pPr>
              <w:spacing w:after="0"/>
              <w:rPr>
                <w:sz w:val="7"/>
                <w:szCs w:val="7"/>
                <w:color w:val="auto"/>
              </w:rPr>
            </w:pPr>
          </w:p>
        </w:tc>
        <w:tc>
          <w:tcPr>
            <w:tcW w:w="64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94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FFFFFF"/>
              </w:rPr>
              <w:t>U.S.</w:t>
            </w:r>
          </w:p>
        </w:tc>
        <w:tc>
          <w:tcPr>
            <w:tcW w:w="860" w:type="dxa"/>
            <w:vAlign w:val="bottom"/>
          </w:tcPr>
          <w:p>
            <w:pPr>
              <w:spacing w:after="0"/>
              <w:rPr>
                <w:sz w:val="8"/>
                <w:szCs w:val="8"/>
                <w:color w:val="auto"/>
              </w:rPr>
            </w:pPr>
          </w:p>
        </w:tc>
        <w:tc>
          <w:tcPr>
            <w:tcW w:w="1740" w:type="dxa"/>
            <w:vAlign w:val="bottom"/>
            <w:gridSpan w:val="2"/>
            <w:vMerge w:val="restart"/>
          </w:tcPr>
          <w:p>
            <w:pPr>
              <w:jc w:val="right"/>
              <w:ind w:right="524"/>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4940" w:type="dxa"/>
            <w:vAlign w:val="bottom"/>
            <w:vMerge w:val="restart"/>
            <w:shd w:val="clear" w:color="auto" w:fill="4C4C4C"/>
          </w:tcPr>
          <w:p>
            <w:pPr>
              <w:ind w:left="10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14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940" w:type="dxa"/>
            <w:vAlign w:val="bottom"/>
            <w:vMerge w:val="continue"/>
            <w:shd w:val="clear" w:color="auto" w:fill="4C4C4C"/>
          </w:tcPr>
          <w:p>
            <w:pPr>
              <w:spacing w:after="0"/>
              <w:rPr>
                <w:sz w:val="12"/>
                <w:szCs w:val="12"/>
                <w:color w:val="auto"/>
              </w:rPr>
            </w:pPr>
          </w:p>
        </w:tc>
        <w:tc>
          <w:tcPr>
            <w:tcW w:w="1140" w:type="dxa"/>
            <w:vAlign w:val="bottom"/>
            <w:vMerge w:val="restart"/>
          </w:tcPr>
          <w:p>
            <w:pPr>
              <w:jc w:val="right"/>
              <w:ind w:right="446"/>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60" w:type="dxa"/>
            <w:vAlign w:val="bottom"/>
            <w:vMerge w:val="restart"/>
          </w:tcPr>
          <w:p>
            <w:pPr>
              <w:jc w:val="right"/>
              <w:ind w:right="36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40" w:type="dxa"/>
            <w:vAlign w:val="bottom"/>
            <w:vMerge w:val="restart"/>
          </w:tcPr>
          <w:p>
            <w:pPr>
              <w:jc w:val="right"/>
              <w:ind w:right="346"/>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0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1280" w:type="dxa"/>
            <w:vAlign w:val="bottom"/>
            <w:gridSpan w:val="2"/>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40" w:type="dxa"/>
            <w:vAlign w:val="bottom"/>
            <w:vMerge w:val="restart"/>
          </w:tcPr>
          <w:p>
            <w:pPr>
              <w:jc w:val="right"/>
              <w:ind w:right="204"/>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0" w:type="dxa"/>
            <w:vAlign w:val="bottom"/>
          </w:tcPr>
          <w:p>
            <w:pPr>
              <w:spacing w:after="0"/>
              <w:rPr>
                <w:sz w:val="1"/>
                <w:szCs w:val="1"/>
                <w:color w:val="auto"/>
              </w:rPr>
            </w:pPr>
          </w:p>
        </w:tc>
      </w:tr>
      <w:tr>
        <w:trPr>
          <w:trHeight w:val="197"/>
        </w:trPr>
        <w:tc>
          <w:tcPr>
            <w:tcW w:w="4940" w:type="dxa"/>
            <w:vAlign w:val="bottom"/>
            <w:shd w:val="clear" w:color="auto" w:fill="4C4C4C"/>
          </w:tcPr>
          <w:p>
            <w:pPr>
              <w:spacing w:after="0"/>
              <w:rPr>
                <w:sz w:val="17"/>
                <w:szCs w:val="17"/>
                <w:color w:val="auto"/>
              </w:rPr>
            </w:pPr>
          </w:p>
        </w:tc>
        <w:tc>
          <w:tcPr>
            <w:tcW w:w="1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Change in plan assets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Fair value at January 1</w:t>
            </w: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20"/>
                <w:szCs w:val="20"/>
                <w:b w:val="1"/>
                <w:bCs w:val="1"/>
                <w:color w:val="auto"/>
              </w:rPr>
              <w:t>10,989</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13,266</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16,757</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24,880</w:t>
            </w:r>
          </w:p>
        </w:tc>
        <w:tc>
          <w:tcPr>
            <w:tcW w:w="1280" w:type="dxa"/>
            <w:vAlign w:val="bottom"/>
            <w:gridSpan w:val="2"/>
          </w:tcPr>
          <w:p>
            <w:pPr>
              <w:jc w:val="right"/>
              <w:ind w:right="312"/>
              <w:spacing w:after="0"/>
              <w:rPr>
                <w:sz w:val="20"/>
                <w:szCs w:val="20"/>
                <w:color w:val="auto"/>
              </w:rPr>
            </w:pPr>
            <w:r>
              <w:rPr>
                <w:rFonts w:ascii="Times New Roman" w:cs="Times New Roman" w:eastAsia="Times New Roman" w:hAnsi="Times New Roman"/>
                <w:sz w:val="20"/>
                <w:szCs w:val="20"/>
                <w:b w:val="1"/>
                <w:bCs w:val="1"/>
                <w:color w:val="auto"/>
              </w:rPr>
              <w:t>348</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440</w:t>
            </w:r>
          </w:p>
        </w:tc>
        <w:tc>
          <w:tcPr>
            <w:tcW w:w="0" w:type="dxa"/>
            <w:vAlign w:val="bottom"/>
          </w:tcPr>
          <w:p>
            <w:pPr>
              <w:spacing w:after="0"/>
              <w:rPr>
                <w:sz w:val="1"/>
                <w:szCs w:val="1"/>
                <w:color w:val="auto"/>
              </w:rPr>
            </w:pPr>
          </w:p>
        </w:tc>
      </w:tr>
      <w:tr>
        <w:trPr>
          <w:trHeight w:val="29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20"/>
                <w:szCs w:val="20"/>
                <w:color w:val="auto"/>
              </w:rPr>
              <w:t>1,121</w:t>
            </w: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20"/>
                <w:szCs w:val="20"/>
                <w:color w:val="auto"/>
              </w:rPr>
              <w:t>(3,265)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1,484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(5,287)</w:t>
            </w:r>
          </w:p>
        </w:tc>
        <w:tc>
          <w:tcPr>
            <w:tcW w:w="1280" w:type="dxa"/>
            <w:vAlign w:val="bottom"/>
            <w:gridSpan w:val="2"/>
          </w:tcPr>
          <w:p>
            <w:pPr>
              <w:jc w:val="right"/>
              <w:ind w:right="312"/>
              <w:spacing w:after="0"/>
              <w:rPr>
                <w:sz w:val="20"/>
                <w:szCs w:val="20"/>
                <w:color w:val="auto"/>
              </w:rPr>
            </w:pPr>
            <w:r>
              <w:rPr>
                <w:rFonts w:ascii="Times New Roman" w:cs="Times New Roman" w:eastAsia="Times New Roman" w:hAnsi="Times New Roman"/>
                <w:sz w:val="20"/>
                <w:szCs w:val="20"/>
                <w:color w:val="auto"/>
              </w:rPr>
              <w:t>36</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9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 exchange rate changes</w:t>
            </w: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492</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80" w:type="dxa"/>
            <w:vAlign w:val="bottom"/>
          </w:tcPr>
          <w:p>
            <w:pPr>
              <w:spacing w:after="0"/>
              <w:rPr>
                <w:sz w:val="24"/>
                <w:szCs w:val="24"/>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Company contribution</w:t>
            </w: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3,596</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615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1280" w:type="dxa"/>
            <w:vAlign w:val="bottom"/>
            <w:gridSpan w:val="2"/>
          </w:tcPr>
          <w:p>
            <w:pPr>
              <w:jc w:val="right"/>
              <w:ind w:right="312"/>
              <w:spacing w:after="0"/>
              <w:rPr>
                <w:sz w:val="20"/>
                <w:szCs w:val="20"/>
                <w:color w:val="auto"/>
              </w:rPr>
            </w:pPr>
            <w:r>
              <w:rPr>
                <w:rFonts w:ascii="Times New Roman" w:cs="Times New Roman" w:eastAsia="Times New Roman" w:hAnsi="Times New Roman"/>
                <w:sz w:val="20"/>
                <w:szCs w:val="20"/>
                <w:color w:val="auto"/>
              </w:rPr>
              <w:t>38</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9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Benefits paid </w:t>
            </w:r>
            <w:r>
              <w:rPr>
                <w:rFonts w:ascii="Times New Roman" w:cs="Times New Roman" w:eastAsia="Times New Roman" w:hAnsi="Times New Roman"/>
                <w:sz w:val="10"/>
                <w:szCs w:val="10"/>
                <w:i w:val="1"/>
                <w:iCs w:val="1"/>
                <w:color w:val="auto"/>
              </w:rPr>
              <w:t>(1)</w:t>
            </w:r>
          </w:p>
        </w:tc>
        <w:tc>
          <w:tcPr>
            <w:tcW w:w="114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(743)</w:t>
            </w: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20"/>
                <w:szCs w:val="20"/>
                <w:color w:val="auto"/>
              </w:rPr>
              <w:t>(2,608)</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rPr>
              <w:t>(878)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1280" w:type="dxa"/>
            <w:vAlign w:val="bottom"/>
            <w:gridSpan w:val="2"/>
          </w:tcPr>
          <w:p>
            <w:pPr>
              <w:jc w:val="right"/>
              <w:ind w:right="252"/>
              <w:spacing w:after="0"/>
              <w:rPr>
                <w:sz w:val="20"/>
                <w:szCs w:val="20"/>
                <w:color w:val="auto"/>
              </w:rPr>
            </w:pPr>
            <w:r>
              <w:rPr>
                <w:rFonts w:ascii="Times New Roman" w:cs="Times New Roman" w:eastAsia="Times New Roman" w:hAnsi="Times New Roman"/>
                <w:sz w:val="20"/>
                <w:szCs w:val="20"/>
                <w:color w:val="auto"/>
              </w:rPr>
              <w:t>(51)</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97"/>
        </w:trPr>
        <w:tc>
          <w:tcPr>
            <w:tcW w:w="49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1140" w:type="dxa"/>
            <w:vAlign w:val="bottom"/>
            <w:tcBorders>
              <w:bottom w:val="single" w:sz="8" w:color="4C4C4C"/>
            </w:tcBorders>
          </w:tcPr>
          <w:p>
            <w:pPr>
              <w:jc w:val="right"/>
              <w:ind w:right="246"/>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4C4C4C"/>
            </w:tcBorders>
          </w:tcPr>
          <w:p>
            <w:pPr>
              <w:jc w:val="right"/>
              <w:ind w:right="146"/>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4C4C4C"/>
            </w:tcBorders>
          </w:tcPr>
          <w:p>
            <w:pPr>
              <w:jc w:val="right"/>
              <w:ind w:right="66"/>
              <w:spacing w:after="0"/>
              <w:rPr>
                <w:sz w:val="20"/>
                <w:szCs w:val="20"/>
                <w:color w:val="auto"/>
              </w:rPr>
            </w:pPr>
            <w:r>
              <w:rPr>
                <w:rFonts w:ascii="Times New Roman" w:cs="Times New Roman" w:eastAsia="Times New Roman" w:hAnsi="Times New Roman"/>
                <w:sz w:val="20"/>
                <w:szCs w:val="20"/>
                <w:color w:val="auto"/>
              </w:rPr>
              <w:t>(39)</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80" w:type="dxa"/>
            <w:vAlign w:val="bottom"/>
            <w:tcBorders>
              <w:bottom w:val="single" w:sz="8" w:color="4C4C4C"/>
            </w:tcBorders>
          </w:tcPr>
          <w:p>
            <w:pPr>
              <w:spacing w:after="0"/>
              <w:rPr>
                <w:sz w:val="24"/>
                <w:szCs w:val="24"/>
                <w:color w:val="auto"/>
              </w:rPr>
            </w:pPr>
          </w:p>
        </w:tc>
        <w:tc>
          <w:tcPr>
            <w:tcW w:w="1200" w:type="dxa"/>
            <w:vAlign w:val="bottom"/>
            <w:tcBorders>
              <w:bottom w:val="single" w:sz="8" w:color="4C4C4C"/>
            </w:tcBorders>
          </w:tcPr>
          <w:p>
            <w:pPr>
              <w:jc w:val="right"/>
              <w:ind w:right="312"/>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49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Fair value at December 31</w:t>
            </w:r>
          </w:p>
        </w:tc>
        <w:tc>
          <w:tcPr>
            <w:tcW w:w="1140" w:type="dxa"/>
            <w:vAlign w:val="bottom"/>
            <w:tcBorders>
              <w:bottom w:val="single" w:sz="8" w:color="4C4C4C"/>
            </w:tcBorders>
          </w:tcPr>
          <w:p>
            <w:pPr>
              <w:jc w:val="right"/>
              <w:ind w:right="246"/>
              <w:spacing w:after="0"/>
              <w:rPr>
                <w:sz w:val="20"/>
                <w:szCs w:val="20"/>
                <w:color w:val="auto"/>
              </w:rPr>
            </w:pPr>
            <w:r>
              <w:rPr>
                <w:rFonts w:ascii="Times New Roman" w:cs="Times New Roman" w:eastAsia="Times New Roman" w:hAnsi="Times New Roman"/>
                <w:sz w:val="20"/>
                <w:szCs w:val="20"/>
                <w:b w:val="1"/>
                <w:bCs w:val="1"/>
                <w:color w:val="auto"/>
              </w:rPr>
              <w:t>11,367</w:t>
            </w:r>
          </w:p>
        </w:tc>
        <w:tc>
          <w:tcPr>
            <w:tcW w:w="860" w:type="dxa"/>
            <w:vAlign w:val="bottom"/>
            <w:tcBorders>
              <w:bottom w:val="single" w:sz="8" w:color="4C4C4C"/>
            </w:tcBorders>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10,989</w:t>
            </w:r>
          </w:p>
        </w:tc>
        <w:tc>
          <w:tcPr>
            <w:tcW w:w="940" w:type="dxa"/>
            <w:vAlign w:val="bottom"/>
            <w:tcBorders>
              <w:bottom w:val="single" w:sz="8" w:color="4C4C4C"/>
            </w:tcBorders>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18,431</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16,757</w:t>
            </w:r>
          </w:p>
        </w:tc>
        <w:tc>
          <w:tcPr>
            <w:tcW w:w="1280" w:type="dxa"/>
            <w:vAlign w:val="bottom"/>
            <w:tcBorders>
              <w:bottom w:val="single" w:sz="8" w:color="4C4C4C"/>
            </w:tcBorders>
            <w:gridSpan w:val="2"/>
          </w:tcPr>
          <w:p>
            <w:pPr>
              <w:jc w:val="right"/>
              <w:ind w:right="312"/>
              <w:spacing w:after="0"/>
              <w:rPr>
                <w:sz w:val="20"/>
                <w:szCs w:val="20"/>
                <w:color w:val="auto"/>
              </w:rPr>
            </w:pPr>
            <w:r>
              <w:rPr>
                <w:rFonts w:ascii="Times New Roman" w:cs="Times New Roman" w:eastAsia="Times New Roman" w:hAnsi="Times New Roman"/>
                <w:sz w:val="20"/>
                <w:szCs w:val="20"/>
                <w:b w:val="1"/>
                <w:bCs w:val="1"/>
                <w:color w:val="auto"/>
              </w:rPr>
              <w:t>371</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-1972310</wp:posOffset>
            </wp:positionV>
            <wp:extent cx="3668395" cy="2004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6">
                      <a:extLst>
                        <a:ext uri="{28A0092B-C50C-407E-A947-70E740481C1C}"/>
                      </a:extLst>
                    </a:blip>
                    <a:srcRect/>
                    <a:stretch>
                      <a:fillRect/>
                    </a:stretch>
                  </pic:blipFill>
                  <pic:spPr bwMode="auto">
                    <a:xfrm>
                      <a:off x="0" y="0"/>
                      <a:ext cx="3668395" cy="2004060"/>
                    </a:xfrm>
                    <a:prstGeom prst="rect">
                      <a:avLst/>
                    </a:prstGeom>
                    <a:noFill/>
                  </pic:spPr>
                </pic:pic>
              </a:graphicData>
            </a:graphic>
          </wp:anchor>
        </w:drawing>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vertAlign w:val="superscript"/>
        </w:rPr>
        <w:t>(1)</w:t>
      </w:r>
      <w:r>
        <w:rPr>
          <w:rFonts w:ascii="Times New Roman" w:cs="Times New Roman" w:eastAsia="Times New Roman" w:hAnsi="Times New Roman"/>
          <w:sz w:val="16"/>
          <w:szCs w:val="16"/>
          <w:i w:val="1"/>
          <w:iCs w:val="1"/>
          <w:color w:val="auto"/>
        </w:rPr>
        <w:t xml:space="preserve"> Benefit payments for funded plans.</w:t>
      </w:r>
    </w:p>
    <w:p>
      <w:pPr>
        <w:sectPr>
          <w:pgSz w:w="11880" w:h="15480" w:orient="portrait"/>
          <w:cols w:equalWidth="0" w:num="1">
            <w:col w:w="10600"/>
          </w:cols>
          <w:pgMar w:left="640" w:top="270"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880" w:h="15480" w:orient="portrait"/>
          <w:cols w:equalWidth="0" w:num="1">
            <w:col w:w="10600"/>
          </w:cols>
          <w:pgMar w:left="640" w:top="270" w:right="64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funding levels of all qualified pension plans are in compliance with standards set by applicable law or regulation. As shown in the table below, certain smaller U.S. pension plans and a number of non-U.S. pension plans are not funded because local applicable tax rules and regulatory practices do not encourage funding of these plans. All defined benefit pension obligations, regardless of the funding status of the underlying plans, are fully supported by the financial strength of the Corporation or the respective sponsoring affiliate.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gridSpan w:val="2"/>
          </w:tcPr>
          <w:p>
            <w:pPr>
              <w:jc w:val="right"/>
              <w:ind w:right="610"/>
              <w:spacing w:after="0"/>
              <w:rPr>
                <w:sz w:val="20"/>
                <w:szCs w:val="20"/>
                <w:color w:val="auto"/>
              </w:rPr>
            </w:pPr>
            <w:r>
              <w:rPr>
                <w:rFonts w:ascii="Times New Roman" w:cs="Times New Roman" w:eastAsia="Times New Roman" w:hAnsi="Times New Roman"/>
                <w:sz w:val="16"/>
                <w:szCs w:val="16"/>
                <w:b w:val="1"/>
                <w:bCs w:val="1"/>
                <w:color w:val="4C4C4C"/>
              </w:rPr>
              <w:t>Pension Benefits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1120" w:type="dxa"/>
            <w:vAlign w:val="bottom"/>
            <w:tcBorders>
              <w:bottom w:val="single" w:sz="8" w:color="4C4C4C"/>
            </w:tcBorders>
          </w:tcPr>
          <w:p>
            <w:pPr>
              <w:spacing w:after="0"/>
              <w:rPr>
                <w:sz w:val="4"/>
                <w:szCs w:val="4"/>
                <w:color w:val="auto"/>
              </w:rPr>
            </w:pPr>
          </w:p>
        </w:tc>
        <w:tc>
          <w:tcPr>
            <w:tcW w:w="60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6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686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14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U.S.</w:t>
            </w:r>
          </w:p>
        </w:tc>
        <w:tc>
          <w:tcPr>
            <w:tcW w:w="840" w:type="dxa"/>
            <w:vAlign w:val="bottom"/>
            <w:shd w:val="clear" w:color="auto" w:fill="4C4C4C"/>
          </w:tcPr>
          <w:p>
            <w:pPr>
              <w:spacing w:after="0"/>
              <w:rPr>
                <w:sz w:val="21"/>
                <w:szCs w:val="21"/>
                <w:color w:val="auto"/>
              </w:rPr>
            </w:pPr>
          </w:p>
        </w:tc>
        <w:tc>
          <w:tcPr>
            <w:tcW w:w="112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600" w:type="dxa"/>
            <w:vAlign w:val="bottom"/>
            <w:shd w:val="clear" w:color="auto" w:fill="4C4C4C"/>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860" w:type="dxa"/>
            <w:vAlign w:val="bottom"/>
            <w:vMerge w:val="continue"/>
            <w:shd w:val="clear" w:color="auto" w:fill="4C4C4C"/>
          </w:tcPr>
          <w:p>
            <w:pPr>
              <w:spacing w:after="0"/>
              <w:rPr>
                <w:sz w:val="12"/>
                <w:szCs w:val="12"/>
                <w:color w:val="auto"/>
              </w:rPr>
            </w:pPr>
          </w:p>
        </w:tc>
        <w:tc>
          <w:tcPr>
            <w:tcW w:w="1140" w:type="dxa"/>
            <w:vAlign w:val="bottom"/>
            <w:vMerge w:val="restart"/>
            <w:shd w:val="clear" w:color="auto" w:fill="4C4C4C"/>
          </w:tcPr>
          <w:p>
            <w:pPr>
              <w:jc w:val="right"/>
              <w:ind w:right="450"/>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40" w:type="dxa"/>
            <w:vAlign w:val="bottom"/>
            <w:vMerge w:val="restart"/>
            <w:shd w:val="clear" w:color="auto" w:fill="4C4C4C"/>
          </w:tcPr>
          <w:p>
            <w:pPr>
              <w:jc w:val="right"/>
              <w:ind w:right="350"/>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1120" w:type="dxa"/>
            <w:vAlign w:val="bottom"/>
            <w:vMerge w:val="restart"/>
            <w:shd w:val="clear" w:color="auto" w:fill="4C4C4C"/>
          </w:tcPr>
          <w:p>
            <w:pPr>
              <w:jc w:val="right"/>
              <w:ind w:right="530"/>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00" w:type="dxa"/>
            <w:vAlign w:val="bottom"/>
            <w:vMerge w:val="restart"/>
            <w:shd w:val="clear" w:color="auto" w:fill="4C4C4C"/>
          </w:tcPr>
          <w:p>
            <w:pPr>
              <w:jc w:val="right"/>
              <w:ind w:right="187"/>
              <w:spacing w:after="0"/>
              <w:rPr>
                <w:sz w:val="20"/>
                <w:szCs w:val="20"/>
                <w:color w:val="auto"/>
              </w:rPr>
            </w:pPr>
            <w:r>
              <w:rPr>
                <w:rFonts w:ascii="Times New Roman" w:cs="Times New Roman" w:eastAsia="Times New Roman" w:hAnsi="Times New Roman"/>
                <w:sz w:val="16"/>
                <w:szCs w:val="16"/>
                <w:b w:val="1"/>
                <w:bCs w:val="1"/>
                <w:color w:val="FFFFFF"/>
                <w:w w:val="93"/>
              </w:rPr>
              <w:t>2022</w:t>
            </w:r>
          </w:p>
        </w:tc>
        <w:tc>
          <w:tcPr>
            <w:tcW w:w="0" w:type="dxa"/>
            <w:vAlign w:val="bottom"/>
          </w:tcPr>
          <w:p>
            <w:pPr>
              <w:spacing w:after="0"/>
              <w:rPr>
                <w:sz w:val="1"/>
                <w:szCs w:val="1"/>
                <w:color w:val="auto"/>
              </w:rPr>
            </w:pPr>
          </w:p>
        </w:tc>
      </w:tr>
      <w:tr>
        <w:trPr>
          <w:trHeight w:val="177"/>
        </w:trPr>
        <w:tc>
          <w:tcPr>
            <w:tcW w:w="6860" w:type="dxa"/>
            <w:vAlign w:val="bottom"/>
            <w:tcBorders>
              <w:bottom w:val="single" w:sz="8" w:color="4C4C4C"/>
            </w:tcBorders>
            <w:shd w:val="clear" w:color="auto" w:fill="4C4C4C"/>
          </w:tcPr>
          <w:p>
            <w:pPr>
              <w:spacing w:after="0"/>
              <w:rPr>
                <w:sz w:val="15"/>
                <w:szCs w:val="15"/>
                <w:color w:val="auto"/>
              </w:rPr>
            </w:pPr>
          </w:p>
        </w:tc>
        <w:tc>
          <w:tcPr>
            <w:tcW w:w="1140" w:type="dxa"/>
            <w:vAlign w:val="bottom"/>
            <w:tcBorders>
              <w:bottom w:val="single" w:sz="8" w:color="4C4C4C"/>
            </w:tcBorders>
            <w:vMerge w:val="continue"/>
            <w:shd w:val="clear" w:color="auto" w:fill="4C4C4C"/>
          </w:tcPr>
          <w:p>
            <w:pPr>
              <w:spacing w:after="0"/>
              <w:rPr>
                <w:sz w:val="15"/>
                <w:szCs w:val="15"/>
                <w:color w:val="auto"/>
              </w:rPr>
            </w:pPr>
          </w:p>
        </w:tc>
        <w:tc>
          <w:tcPr>
            <w:tcW w:w="840" w:type="dxa"/>
            <w:vAlign w:val="bottom"/>
            <w:tcBorders>
              <w:bottom w:val="single" w:sz="8" w:color="4C4C4C"/>
            </w:tcBorders>
            <w:vMerge w:val="continue"/>
            <w:shd w:val="clear" w:color="auto" w:fill="4C4C4C"/>
          </w:tcPr>
          <w:p>
            <w:pPr>
              <w:spacing w:after="0"/>
              <w:rPr>
                <w:sz w:val="15"/>
                <w:szCs w:val="15"/>
                <w:color w:val="auto"/>
              </w:rPr>
            </w:pPr>
          </w:p>
        </w:tc>
        <w:tc>
          <w:tcPr>
            <w:tcW w:w="1120" w:type="dxa"/>
            <w:vAlign w:val="bottom"/>
            <w:tcBorders>
              <w:bottom w:val="single" w:sz="8" w:color="4C4C4C"/>
            </w:tcBorders>
            <w:vMerge w:val="continue"/>
            <w:shd w:val="clear" w:color="auto" w:fill="4C4C4C"/>
          </w:tcPr>
          <w:p>
            <w:pPr>
              <w:spacing w:after="0"/>
              <w:rPr>
                <w:sz w:val="15"/>
                <w:szCs w:val="15"/>
                <w:color w:val="auto"/>
              </w:rPr>
            </w:pPr>
          </w:p>
        </w:tc>
        <w:tc>
          <w:tcPr>
            <w:tcW w:w="600" w:type="dxa"/>
            <w:vAlign w:val="bottom"/>
            <w:tcBorders>
              <w:bottom w:val="single" w:sz="8" w:color="4C4C4C"/>
            </w:tcBorders>
            <w:vMerge w:val="continue"/>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6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Assets in excess of/(less than) benefit obligation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December 31</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Funded plans</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20"/>
                <w:szCs w:val="20"/>
                <w:color w:val="auto"/>
              </w:rPr>
              <w:t>(271)</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auto"/>
              </w:rPr>
              <w:t>(23)</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20"/>
                <w:szCs w:val="20"/>
                <w:color w:val="auto"/>
              </w:rPr>
              <w:t>1,028</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Unfunded plans</w:t>
            </w:r>
          </w:p>
        </w:tc>
        <w:tc>
          <w:tcPr>
            <w:tcW w:w="1140" w:type="dxa"/>
            <w:vAlign w:val="bottom"/>
            <w:tcBorders>
              <w:bottom w:val="single" w:sz="8" w:color="4C4C4C"/>
            </w:tcBorders>
          </w:tcPr>
          <w:p>
            <w:pPr>
              <w:jc w:val="right"/>
              <w:ind w:right="190"/>
              <w:spacing w:after="0"/>
              <w:rPr>
                <w:sz w:val="20"/>
                <w:szCs w:val="20"/>
                <w:color w:val="auto"/>
              </w:rPr>
            </w:pPr>
            <w:r>
              <w:rPr>
                <w:rFonts w:ascii="Times New Roman" w:cs="Times New Roman" w:eastAsia="Times New Roman" w:hAnsi="Times New Roman"/>
                <w:sz w:val="20"/>
                <w:szCs w:val="20"/>
                <w:color w:val="auto"/>
              </w:rPr>
              <w:t>(1,505)</w:t>
            </w:r>
          </w:p>
        </w:tc>
        <w:tc>
          <w:tcPr>
            <w:tcW w:w="840" w:type="dxa"/>
            <w:vAlign w:val="bottom"/>
            <w:tcBorders>
              <w:bottom w:val="single" w:sz="8" w:color="4C4C4C"/>
            </w:tcBorders>
          </w:tcPr>
          <w:p>
            <w:pPr>
              <w:jc w:val="right"/>
              <w:ind w:right="90"/>
              <w:spacing w:after="0"/>
              <w:rPr>
                <w:sz w:val="20"/>
                <w:szCs w:val="20"/>
                <w:color w:val="auto"/>
              </w:rPr>
            </w:pPr>
            <w:r>
              <w:rPr>
                <w:rFonts w:ascii="Times New Roman" w:cs="Times New Roman" w:eastAsia="Times New Roman" w:hAnsi="Times New Roman"/>
                <w:sz w:val="20"/>
                <w:szCs w:val="20"/>
                <w:color w:val="auto"/>
              </w:rPr>
              <w:t>(1,338)</w:t>
            </w:r>
          </w:p>
        </w:tc>
        <w:tc>
          <w:tcPr>
            <w:tcW w:w="1120" w:type="dxa"/>
            <w:vAlign w:val="bottom"/>
            <w:tcBorders>
              <w:bottom w:val="single" w:sz="8" w:color="4C4C4C"/>
            </w:tcBorders>
          </w:tcPr>
          <w:p>
            <w:pPr>
              <w:jc w:val="right"/>
              <w:ind w:right="270"/>
              <w:spacing w:after="0"/>
              <w:rPr>
                <w:sz w:val="20"/>
                <w:szCs w:val="20"/>
                <w:color w:val="auto"/>
              </w:rPr>
            </w:pPr>
            <w:r>
              <w:rPr>
                <w:rFonts w:ascii="Times New Roman" w:cs="Times New Roman" w:eastAsia="Times New Roman" w:hAnsi="Times New Roman"/>
                <w:sz w:val="20"/>
                <w:szCs w:val="20"/>
                <w:color w:val="auto"/>
              </w:rPr>
              <w:t>(3,924)</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w w:val="95"/>
              </w:rPr>
              <w:t>(3,604)</w:t>
            </w:r>
          </w:p>
        </w:tc>
        <w:tc>
          <w:tcPr>
            <w:tcW w:w="0" w:type="dxa"/>
            <w:vAlign w:val="bottom"/>
          </w:tcPr>
          <w:p>
            <w:pPr>
              <w:spacing w:after="0"/>
              <w:rPr>
                <w:sz w:val="1"/>
                <w:szCs w:val="1"/>
                <w:color w:val="auto"/>
              </w:rPr>
            </w:pPr>
          </w:p>
        </w:tc>
      </w:tr>
      <w:tr>
        <w:trPr>
          <w:trHeight w:val="277"/>
        </w:trPr>
        <w:tc>
          <w:tcPr>
            <w:tcW w:w="68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140" w:type="dxa"/>
            <w:vAlign w:val="bottom"/>
            <w:tcBorders>
              <w:bottom w:val="single" w:sz="8" w:color="4C4C4C"/>
            </w:tcBorders>
          </w:tcPr>
          <w:p>
            <w:pPr>
              <w:jc w:val="right"/>
              <w:ind w:right="190"/>
              <w:spacing w:after="0"/>
              <w:rPr>
                <w:sz w:val="20"/>
                <w:szCs w:val="20"/>
                <w:color w:val="auto"/>
              </w:rPr>
            </w:pPr>
            <w:r>
              <w:rPr>
                <w:rFonts w:ascii="Times New Roman" w:cs="Times New Roman" w:eastAsia="Times New Roman" w:hAnsi="Times New Roman"/>
                <w:sz w:val="20"/>
                <w:szCs w:val="20"/>
                <w:b w:val="1"/>
                <w:bCs w:val="1"/>
                <w:color w:val="auto"/>
              </w:rPr>
              <w:t>(1,776)</w:t>
            </w:r>
          </w:p>
        </w:tc>
        <w:tc>
          <w:tcPr>
            <w:tcW w:w="840" w:type="dxa"/>
            <w:vAlign w:val="bottom"/>
            <w:tcBorders>
              <w:bottom w:val="single" w:sz="8" w:color="4C4C4C"/>
            </w:tcBorders>
          </w:tcPr>
          <w:p>
            <w:pPr>
              <w:jc w:val="right"/>
              <w:ind w:right="90"/>
              <w:spacing w:after="0"/>
              <w:rPr>
                <w:sz w:val="20"/>
                <w:szCs w:val="20"/>
                <w:color w:val="auto"/>
              </w:rPr>
            </w:pPr>
            <w:r>
              <w:rPr>
                <w:rFonts w:ascii="Times New Roman" w:cs="Times New Roman" w:eastAsia="Times New Roman" w:hAnsi="Times New Roman"/>
                <w:sz w:val="20"/>
                <w:szCs w:val="20"/>
                <w:b w:val="1"/>
                <w:bCs w:val="1"/>
                <w:color w:val="auto"/>
              </w:rPr>
              <w:t>(1,361)</w:t>
            </w:r>
          </w:p>
        </w:tc>
        <w:tc>
          <w:tcPr>
            <w:tcW w:w="1120" w:type="dxa"/>
            <w:vAlign w:val="bottom"/>
            <w:tcBorders>
              <w:bottom w:val="single" w:sz="8" w:color="4C4C4C"/>
            </w:tcBorders>
          </w:tcPr>
          <w:p>
            <w:pPr>
              <w:jc w:val="right"/>
              <w:ind w:right="270"/>
              <w:spacing w:after="0"/>
              <w:rPr>
                <w:sz w:val="20"/>
                <w:szCs w:val="20"/>
                <w:color w:val="auto"/>
              </w:rPr>
            </w:pPr>
            <w:r>
              <w:rPr>
                <w:rFonts w:ascii="Times New Roman" w:cs="Times New Roman" w:eastAsia="Times New Roman" w:hAnsi="Times New Roman"/>
                <w:sz w:val="20"/>
                <w:szCs w:val="20"/>
                <w:b w:val="1"/>
                <w:bCs w:val="1"/>
                <w:color w:val="auto"/>
              </w:rPr>
              <w:t>(2,896)</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(2,585)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-1020445</wp:posOffset>
            </wp:positionV>
            <wp:extent cx="6711315" cy="10147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7">
                      <a:extLst>
                        <a:ext uri="{28A0092B-C50C-407E-A947-70E740481C1C}"/>
                      </a:extLst>
                    </a:blip>
                    <a:srcRect/>
                    <a:stretch>
                      <a:fillRect/>
                    </a:stretch>
                  </pic:blipFill>
                  <pic:spPr bwMode="auto">
                    <a:xfrm>
                      <a:off x="0" y="0"/>
                      <a:ext cx="6711315" cy="101473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authoritative guidance for defined benefit pension and other postretirement plans requires an employer to recognize the overfunded or underfunded status of a defined benefit postretirement plan as an asset or liability in its statement of financial position and to recognize changes in that funded status in the year in which the changes occur through other comprehensive income.</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gridSpan w:val="2"/>
            <w:vMerge w:val="restart"/>
          </w:tcPr>
          <w:p>
            <w:pPr>
              <w:jc w:val="right"/>
              <w:ind w:right="606"/>
              <w:spacing w:after="0"/>
              <w:rPr>
                <w:sz w:val="20"/>
                <w:szCs w:val="20"/>
                <w:color w:val="auto"/>
              </w:rPr>
            </w:pPr>
            <w:r>
              <w:rPr>
                <w:rFonts w:ascii="Times New Roman" w:cs="Times New Roman" w:eastAsia="Times New Roman" w:hAnsi="Times New Roman"/>
                <w:sz w:val="16"/>
                <w:szCs w:val="16"/>
                <w:b w:val="1"/>
                <w:bCs w:val="1"/>
                <w:color w:val="4C4C4C"/>
              </w:rPr>
              <w:t>Pension Benefits</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b w:val="1"/>
                <w:bCs w:val="1"/>
                <w:color w:val="4C4C4C"/>
              </w:rPr>
              <w:t>Other Postretirement</w:t>
            </w:r>
          </w:p>
        </w:tc>
        <w:tc>
          <w:tcPr>
            <w:tcW w:w="0" w:type="dxa"/>
            <w:vAlign w:val="bottom"/>
          </w:tcPr>
          <w:p>
            <w:pPr>
              <w:spacing w:after="0"/>
              <w:rPr>
                <w:sz w:val="1"/>
                <w:szCs w:val="1"/>
                <w:color w:val="auto"/>
              </w:rPr>
            </w:pPr>
          </w:p>
        </w:tc>
      </w:tr>
      <w:tr>
        <w:trPr>
          <w:trHeight w:val="126"/>
        </w:trPr>
        <w:tc>
          <w:tcPr>
            <w:tcW w:w="4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C4C4C"/>
              </w:rPr>
              <w:t>Benefits</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980" w:type="dxa"/>
            <w:vAlign w:val="bottom"/>
          </w:tcPr>
          <w:p>
            <w:pPr>
              <w:spacing w:after="0"/>
              <w:rPr>
                <w:sz w:val="7"/>
                <w:szCs w:val="7"/>
                <w:color w:val="auto"/>
              </w:rPr>
            </w:pPr>
          </w:p>
        </w:tc>
        <w:tc>
          <w:tcPr>
            <w:tcW w:w="1140" w:type="dxa"/>
            <w:vAlign w:val="bottom"/>
            <w:tcBorders>
              <w:bottom w:val="single" w:sz="8" w:color="4C4C4C"/>
            </w:tcBorders>
          </w:tcPr>
          <w:p>
            <w:pPr>
              <w:spacing w:after="0"/>
              <w:rPr>
                <w:sz w:val="7"/>
                <w:szCs w:val="7"/>
                <w:color w:val="auto"/>
              </w:rPr>
            </w:pPr>
          </w:p>
        </w:tc>
        <w:tc>
          <w:tcPr>
            <w:tcW w:w="840" w:type="dxa"/>
            <w:vAlign w:val="bottom"/>
            <w:tcBorders>
              <w:bottom w:val="single" w:sz="8" w:color="4C4C4C"/>
            </w:tcBorders>
          </w:tcPr>
          <w:p>
            <w:pPr>
              <w:spacing w:after="0"/>
              <w:rPr>
                <w:sz w:val="7"/>
                <w:szCs w:val="7"/>
                <w:color w:val="auto"/>
              </w:rPr>
            </w:pPr>
          </w:p>
        </w:tc>
        <w:tc>
          <w:tcPr>
            <w:tcW w:w="1120" w:type="dxa"/>
            <w:vAlign w:val="bottom"/>
            <w:tcBorders>
              <w:bottom w:val="single" w:sz="8" w:color="4C4C4C"/>
            </w:tcBorders>
          </w:tcPr>
          <w:p>
            <w:pPr>
              <w:spacing w:after="0"/>
              <w:rPr>
                <w:sz w:val="7"/>
                <w:szCs w:val="7"/>
                <w:color w:val="auto"/>
              </w:rPr>
            </w:pPr>
          </w:p>
        </w:tc>
        <w:tc>
          <w:tcPr>
            <w:tcW w:w="600" w:type="dxa"/>
            <w:vAlign w:val="bottom"/>
            <w:tcBorders>
              <w:bottom w:val="single" w:sz="8" w:color="4C4C4C"/>
            </w:tcBorders>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Borders>
              <w:bottom w:val="single" w:sz="8" w:color="4C4C4C"/>
            </w:tcBorders>
            <w:vMerge w:val="continue"/>
          </w:tcPr>
          <w:p>
            <w:pPr>
              <w:spacing w:after="0"/>
              <w:rPr>
                <w:sz w:val="7"/>
                <w:szCs w:val="7"/>
                <w:color w:val="auto"/>
              </w:rPr>
            </w:pPr>
          </w:p>
        </w:tc>
        <w:tc>
          <w:tcPr>
            <w:tcW w:w="62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4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6"/>
                <w:szCs w:val="16"/>
                <w:b w:val="1"/>
                <w:bCs w:val="1"/>
                <w:color w:val="FFFFFF"/>
              </w:rPr>
              <w:t>U.S.</w:t>
            </w:r>
          </w:p>
        </w:tc>
        <w:tc>
          <w:tcPr>
            <w:tcW w:w="8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80" w:type="dxa"/>
            <w:vAlign w:val="bottom"/>
            <w:vMerge w:val="continue"/>
          </w:tcPr>
          <w:p>
            <w:pPr>
              <w:spacing w:after="0"/>
              <w:rPr>
                <w:sz w:val="12"/>
                <w:szCs w:val="12"/>
                <w:color w:val="auto"/>
              </w:rPr>
            </w:pPr>
          </w:p>
        </w:tc>
        <w:tc>
          <w:tcPr>
            <w:tcW w:w="1140" w:type="dxa"/>
            <w:vAlign w:val="bottom"/>
            <w:vMerge w:val="restart"/>
          </w:tcPr>
          <w:p>
            <w:pPr>
              <w:jc w:val="right"/>
              <w:ind w:right="446"/>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840" w:type="dxa"/>
            <w:vAlign w:val="bottom"/>
            <w:vMerge w:val="restart"/>
          </w:tcPr>
          <w:p>
            <w:pPr>
              <w:jc w:val="right"/>
              <w:ind w:right="34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1120" w:type="dxa"/>
            <w:vAlign w:val="bottom"/>
            <w:vMerge w:val="restart"/>
          </w:tcPr>
          <w:p>
            <w:pPr>
              <w:jc w:val="right"/>
              <w:ind w:right="526"/>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0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FFFFFF"/>
                <w:w w:val="93"/>
              </w:rPr>
              <w:t>2022</w:t>
            </w:r>
          </w:p>
        </w:tc>
        <w:tc>
          <w:tcPr>
            <w:tcW w:w="1260" w:type="dxa"/>
            <w:vAlign w:val="bottom"/>
            <w:gridSpan w:val="2"/>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2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Assets in excess of/(less than) benefit obligation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9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 xml:space="preserve">Balance at December 31 </w:t>
            </w:r>
            <w:r>
              <w:rPr>
                <w:rFonts w:ascii="Times New Roman" w:cs="Times New Roman" w:eastAsia="Times New Roman" w:hAnsi="Times New Roman"/>
                <w:sz w:val="10"/>
                <w:szCs w:val="10"/>
                <w:i w:val="1"/>
                <w:iCs w:val="1"/>
                <w:color w:val="auto"/>
              </w:rPr>
              <w:t>(1)</w:t>
            </w:r>
          </w:p>
        </w:tc>
        <w:tc>
          <w:tcPr>
            <w:tcW w:w="1140" w:type="dxa"/>
            <w:vAlign w:val="bottom"/>
            <w:tcBorders>
              <w:bottom w:val="single" w:sz="8" w:color="4C4C4C"/>
            </w:tcBorders>
          </w:tcPr>
          <w:p>
            <w:pPr>
              <w:jc w:val="right"/>
              <w:ind w:right="186"/>
              <w:spacing w:after="0"/>
              <w:rPr>
                <w:sz w:val="20"/>
                <w:szCs w:val="20"/>
                <w:color w:val="auto"/>
              </w:rPr>
            </w:pPr>
            <w:r>
              <w:rPr>
                <w:rFonts w:ascii="Times New Roman" w:cs="Times New Roman" w:eastAsia="Times New Roman" w:hAnsi="Times New Roman"/>
                <w:sz w:val="20"/>
                <w:szCs w:val="20"/>
                <w:color w:val="auto"/>
              </w:rPr>
              <w:t>(1,776)</w:t>
            </w:r>
          </w:p>
        </w:tc>
        <w:tc>
          <w:tcPr>
            <w:tcW w:w="840" w:type="dxa"/>
            <w:vAlign w:val="bottom"/>
            <w:tcBorders>
              <w:bottom w:val="single" w:sz="8" w:color="4C4C4C"/>
            </w:tcBorders>
          </w:tcPr>
          <w:p>
            <w:pPr>
              <w:jc w:val="right"/>
              <w:ind w:right="86"/>
              <w:spacing w:after="0"/>
              <w:rPr>
                <w:sz w:val="20"/>
                <w:szCs w:val="20"/>
                <w:color w:val="auto"/>
              </w:rPr>
            </w:pPr>
            <w:r>
              <w:rPr>
                <w:rFonts w:ascii="Times New Roman" w:cs="Times New Roman" w:eastAsia="Times New Roman" w:hAnsi="Times New Roman"/>
                <w:sz w:val="20"/>
                <w:szCs w:val="20"/>
                <w:color w:val="auto"/>
              </w:rPr>
              <w:t>(1,361)</w:t>
            </w:r>
          </w:p>
        </w:tc>
        <w:tc>
          <w:tcPr>
            <w:tcW w:w="1120" w:type="dxa"/>
            <w:vAlign w:val="bottom"/>
            <w:tcBorders>
              <w:bottom w:val="single" w:sz="8" w:color="4C4C4C"/>
            </w:tcBorders>
          </w:tcPr>
          <w:p>
            <w:pPr>
              <w:jc w:val="right"/>
              <w:ind w:right="266"/>
              <w:spacing w:after="0"/>
              <w:rPr>
                <w:sz w:val="20"/>
                <w:szCs w:val="20"/>
                <w:color w:val="auto"/>
              </w:rPr>
            </w:pPr>
            <w:r>
              <w:rPr>
                <w:rFonts w:ascii="Times New Roman" w:cs="Times New Roman" w:eastAsia="Times New Roman" w:hAnsi="Times New Roman"/>
                <w:sz w:val="20"/>
                <w:szCs w:val="20"/>
                <w:color w:val="auto"/>
              </w:rPr>
              <w:t>(2,896)</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w w:val="95"/>
              </w:rPr>
              <w:t>(2,585)</w:t>
            </w:r>
          </w:p>
        </w:tc>
        <w:tc>
          <w:tcPr>
            <w:tcW w:w="1260" w:type="dxa"/>
            <w:vAlign w:val="bottom"/>
            <w:tcBorders>
              <w:bottom w:val="single" w:sz="8" w:color="4C4C4C"/>
            </w:tcBorders>
            <w:gridSpan w:val="2"/>
          </w:tcPr>
          <w:p>
            <w:pPr>
              <w:jc w:val="right"/>
              <w:ind w:right="255"/>
              <w:spacing w:after="0"/>
              <w:rPr>
                <w:sz w:val="20"/>
                <w:szCs w:val="20"/>
                <w:color w:val="auto"/>
              </w:rPr>
            </w:pPr>
            <w:r>
              <w:rPr>
                <w:rFonts w:ascii="Times New Roman" w:cs="Times New Roman" w:eastAsia="Times New Roman" w:hAnsi="Times New Roman"/>
                <w:sz w:val="20"/>
                <w:szCs w:val="20"/>
                <w:color w:val="auto"/>
              </w:rPr>
              <w:t>(4,643)</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w w:val="99"/>
              </w:rPr>
              <w:t>(4,863)</w:t>
            </w:r>
          </w:p>
        </w:tc>
        <w:tc>
          <w:tcPr>
            <w:tcW w:w="0" w:type="dxa"/>
            <w:vAlign w:val="bottom"/>
          </w:tcPr>
          <w:p>
            <w:pPr>
              <w:spacing w:after="0"/>
              <w:rPr>
                <w:sz w:val="1"/>
                <w:szCs w:val="1"/>
                <w:color w:val="auto"/>
              </w:rPr>
            </w:pPr>
          </w:p>
        </w:tc>
      </w:tr>
      <w:tr>
        <w:trPr>
          <w:trHeight w:val="279"/>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Amounts recorded in the consolidated balance sheet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consist of:</w:t>
            </w: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assets</w:t>
            </w: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20"/>
                <w:szCs w:val="20"/>
                <w:color w:val="auto"/>
              </w:rPr>
              <w:t>1,895</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1,962</w:t>
            </w:r>
          </w:p>
        </w:tc>
        <w:tc>
          <w:tcPr>
            <w:tcW w:w="60" w:type="dxa"/>
            <w:vAlign w:val="bottom"/>
          </w:tcPr>
          <w:p>
            <w:pPr>
              <w:spacing w:after="0"/>
              <w:rPr>
                <w:sz w:val="24"/>
                <w:szCs w:val="24"/>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114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(201)</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20"/>
                <w:szCs w:val="20"/>
                <w:color w:val="auto"/>
              </w:rPr>
              <w:t>(168)</w:t>
            </w:r>
          </w:p>
        </w:tc>
        <w:tc>
          <w:tcPr>
            <w:tcW w:w="1120" w:type="dxa"/>
            <w:vAlign w:val="bottom"/>
          </w:tcPr>
          <w:p>
            <w:pPr>
              <w:jc w:val="right"/>
              <w:ind w:right="266"/>
              <w:spacing w:after="0"/>
              <w:rPr>
                <w:sz w:val="20"/>
                <w:szCs w:val="20"/>
                <w:color w:val="auto"/>
              </w:rPr>
            </w:pPr>
            <w:r>
              <w:rPr>
                <w:rFonts w:ascii="Times New Roman" w:cs="Times New Roman" w:eastAsia="Times New Roman" w:hAnsi="Times New Roman"/>
                <w:sz w:val="20"/>
                <w:szCs w:val="20"/>
                <w:color w:val="auto"/>
              </w:rPr>
              <w:t>(225)</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1260" w:type="dxa"/>
            <w:vAlign w:val="bottom"/>
            <w:gridSpan w:val="2"/>
          </w:tcPr>
          <w:p>
            <w:pPr>
              <w:jc w:val="right"/>
              <w:ind w:right="255"/>
              <w:spacing w:after="0"/>
              <w:rPr>
                <w:sz w:val="20"/>
                <w:szCs w:val="20"/>
                <w:color w:val="auto"/>
              </w:rPr>
            </w:pPr>
            <w:r>
              <w:rPr>
                <w:rFonts w:ascii="Times New Roman" w:cs="Times New Roman" w:eastAsia="Times New Roman" w:hAnsi="Times New Roman"/>
                <w:sz w:val="20"/>
                <w:szCs w:val="20"/>
                <w:color w:val="auto"/>
              </w:rPr>
              <w:t>(288)</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0" w:type="dxa"/>
            <w:vAlign w:val="bottom"/>
          </w:tcPr>
          <w:p>
            <w:pPr>
              <w:spacing w:after="0"/>
              <w:rPr>
                <w:sz w:val="1"/>
                <w:szCs w:val="1"/>
                <w:color w:val="auto"/>
              </w:rPr>
            </w:pPr>
          </w:p>
        </w:tc>
      </w:tr>
      <w:tr>
        <w:trPr>
          <w:trHeight w:val="297"/>
        </w:trPr>
        <w:tc>
          <w:tcPr>
            <w:tcW w:w="49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Postretirement benefits reserves</w:t>
            </w:r>
          </w:p>
        </w:tc>
        <w:tc>
          <w:tcPr>
            <w:tcW w:w="1140" w:type="dxa"/>
            <w:vAlign w:val="bottom"/>
            <w:tcBorders>
              <w:bottom w:val="single" w:sz="8" w:color="4C4C4C"/>
            </w:tcBorders>
          </w:tcPr>
          <w:p>
            <w:pPr>
              <w:jc w:val="right"/>
              <w:ind w:right="186"/>
              <w:spacing w:after="0"/>
              <w:rPr>
                <w:sz w:val="20"/>
                <w:szCs w:val="20"/>
                <w:color w:val="auto"/>
              </w:rPr>
            </w:pPr>
            <w:r>
              <w:rPr>
                <w:rFonts w:ascii="Times New Roman" w:cs="Times New Roman" w:eastAsia="Times New Roman" w:hAnsi="Times New Roman"/>
                <w:sz w:val="20"/>
                <w:szCs w:val="20"/>
                <w:color w:val="auto"/>
              </w:rPr>
              <w:t>(1,575)</w:t>
            </w:r>
          </w:p>
        </w:tc>
        <w:tc>
          <w:tcPr>
            <w:tcW w:w="840" w:type="dxa"/>
            <w:vAlign w:val="bottom"/>
            <w:tcBorders>
              <w:bottom w:val="single" w:sz="8" w:color="4C4C4C"/>
            </w:tcBorders>
          </w:tcPr>
          <w:p>
            <w:pPr>
              <w:jc w:val="right"/>
              <w:ind w:right="86"/>
              <w:spacing w:after="0"/>
              <w:rPr>
                <w:sz w:val="20"/>
                <w:szCs w:val="20"/>
                <w:color w:val="auto"/>
              </w:rPr>
            </w:pPr>
            <w:r>
              <w:rPr>
                <w:rFonts w:ascii="Times New Roman" w:cs="Times New Roman" w:eastAsia="Times New Roman" w:hAnsi="Times New Roman"/>
                <w:sz w:val="20"/>
                <w:szCs w:val="20"/>
                <w:color w:val="auto"/>
              </w:rPr>
              <w:t>(1,193)</w:t>
            </w:r>
          </w:p>
        </w:tc>
        <w:tc>
          <w:tcPr>
            <w:tcW w:w="1120" w:type="dxa"/>
            <w:vAlign w:val="bottom"/>
            <w:tcBorders>
              <w:bottom w:val="single" w:sz="8" w:color="4C4C4C"/>
            </w:tcBorders>
          </w:tcPr>
          <w:p>
            <w:pPr>
              <w:jc w:val="right"/>
              <w:ind w:right="266"/>
              <w:spacing w:after="0"/>
              <w:rPr>
                <w:sz w:val="20"/>
                <w:szCs w:val="20"/>
                <w:color w:val="auto"/>
              </w:rPr>
            </w:pPr>
            <w:r>
              <w:rPr>
                <w:rFonts w:ascii="Times New Roman" w:cs="Times New Roman" w:eastAsia="Times New Roman" w:hAnsi="Times New Roman"/>
                <w:sz w:val="20"/>
                <w:szCs w:val="20"/>
                <w:color w:val="auto"/>
              </w:rPr>
              <w:t>(4,566)</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w w:val="95"/>
              </w:rPr>
              <w:t>(4,293)</w:t>
            </w:r>
          </w:p>
        </w:tc>
        <w:tc>
          <w:tcPr>
            <w:tcW w:w="1260" w:type="dxa"/>
            <w:vAlign w:val="bottom"/>
            <w:tcBorders>
              <w:bottom w:val="single" w:sz="8" w:color="4C4C4C"/>
            </w:tcBorders>
            <w:gridSpan w:val="2"/>
          </w:tcPr>
          <w:p>
            <w:pPr>
              <w:jc w:val="right"/>
              <w:ind w:right="255"/>
              <w:spacing w:after="0"/>
              <w:rPr>
                <w:sz w:val="20"/>
                <w:szCs w:val="20"/>
                <w:color w:val="auto"/>
              </w:rPr>
            </w:pPr>
            <w:r>
              <w:rPr>
                <w:rFonts w:ascii="Times New Roman" w:cs="Times New Roman" w:eastAsia="Times New Roman" w:hAnsi="Times New Roman"/>
                <w:sz w:val="20"/>
                <w:szCs w:val="20"/>
                <w:color w:val="auto"/>
              </w:rPr>
              <w:t>(4,355)</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w w:val="99"/>
              </w:rPr>
              <w:t>(4,559)</w:t>
            </w:r>
          </w:p>
        </w:tc>
        <w:tc>
          <w:tcPr>
            <w:tcW w:w="0" w:type="dxa"/>
            <w:vAlign w:val="bottom"/>
          </w:tcPr>
          <w:p>
            <w:pPr>
              <w:spacing w:after="0"/>
              <w:rPr>
                <w:sz w:val="1"/>
                <w:szCs w:val="1"/>
                <w:color w:val="auto"/>
              </w:rPr>
            </w:pPr>
          </w:p>
        </w:tc>
      </w:tr>
      <w:tr>
        <w:trPr>
          <w:trHeight w:val="274"/>
        </w:trPr>
        <w:tc>
          <w:tcPr>
            <w:tcW w:w="49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recorded</w:t>
            </w:r>
          </w:p>
        </w:tc>
        <w:tc>
          <w:tcPr>
            <w:tcW w:w="1140" w:type="dxa"/>
            <w:vAlign w:val="bottom"/>
            <w:tcBorders>
              <w:bottom w:val="single" w:sz="8" w:color="4C4C4C"/>
            </w:tcBorders>
          </w:tcPr>
          <w:p>
            <w:pPr>
              <w:jc w:val="right"/>
              <w:ind w:right="186"/>
              <w:spacing w:after="0"/>
              <w:rPr>
                <w:sz w:val="20"/>
                <w:szCs w:val="20"/>
                <w:color w:val="auto"/>
              </w:rPr>
            </w:pPr>
            <w:r>
              <w:rPr>
                <w:rFonts w:ascii="Times New Roman" w:cs="Times New Roman" w:eastAsia="Times New Roman" w:hAnsi="Times New Roman"/>
                <w:sz w:val="20"/>
                <w:szCs w:val="20"/>
                <w:b w:val="1"/>
                <w:bCs w:val="1"/>
                <w:color w:val="auto"/>
              </w:rPr>
              <w:t>(1,776)</w:t>
            </w:r>
          </w:p>
        </w:tc>
        <w:tc>
          <w:tcPr>
            <w:tcW w:w="840" w:type="dxa"/>
            <w:vAlign w:val="bottom"/>
            <w:tcBorders>
              <w:bottom w:val="single" w:sz="8" w:color="4C4C4C"/>
            </w:tcBorders>
          </w:tcPr>
          <w:p>
            <w:pPr>
              <w:jc w:val="right"/>
              <w:ind w:right="86"/>
              <w:spacing w:after="0"/>
              <w:rPr>
                <w:sz w:val="20"/>
                <w:szCs w:val="20"/>
                <w:color w:val="auto"/>
              </w:rPr>
            </w:pPr>
            <w:r>
              <w:rPr>
                <w:rFonts w:ascii="Times New Roman" w:cs="Times New Roman" w:eastAsia="Times New Roman" w:hAnsi="Times New Roman"/>
                <w:sz w:val="20"/>
                <w:szCs w:val="20"/>
                <w:b w:val="1"/>
                <w:bCs w:val="1"/>
                <w:color w:val="auto"/>
              </w:rPr>
              <w:t>(1,361)</w:t>
            </w:r>
          </w:p>
        </w:tc>
        <w:tc>
          <w:tcPr>
            <w:tcW w:w="1120" w:type="dxa"/>
            <w:vAlign w:val="bottom"/>
            <w:tcBorders>
              <w:bottom w:val="single" w:sz="8" w:color="4C4C4C"/>
            </w:tcBorders>
          </w:tcPr>
          <w:p>
            <w:pPr>
              <w:jc w:val="right"/>
              <w:ind w:right="266"/>
              <w:spacing w:after="0"/>
              <w:rPr>
                <w:sz w:val="20"/>
                <w:szCs w:val="20"/>
                <w:color w:val="auto"/>
              </w:rPr>
            </w:pPr>
            <w:r>
              <w:rPr>
                <w:rFonts w:ascii="Times New Roman" w:cs="Times New Roman" w:eastAsia="Times New Roman" w:hAnsi="Times New Roman"/>
                <w:sz w:val="20"/>
                <w:szCs w:val="20"/>
                <w:b w:val="1"/>
                <w:bCs w:val="1"/>
                <w:color w:val="auto"/>
              </w:rPr>
              <w:t>(2,896)</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(2,585)</w:t>
            </w:r>
          </w:p>
        </w:tc>
        <w:tc>
          <w:tcPr>
            <w:tcW w:w="1260" w:type="dxa"/>
            <w:vAlign w:val="bottom"/>
            <w:tcBorders>
              <w:bottom w:val="single" w:sz="8" w:color="4C4C4C"/>
            </w:tcBorders>
            <w:gridSpan w:val="2"/>
          </w:tcPr>
          <w:p>
            <w:pPr>
              <w:jc w:val="right"/>
              <w:ind w:right="255"/>
              <w:spacing w:after="0"/>
              <w:rPr>
                <w:sz w:val="20"/>
                <w:szCs w:val="20"/>
                <w:color w:val="auto"/>
              </w:rPr>
            </w:pPr>
            <w:r>
              <w:rPr>
                <w:rFonts w:ascii="Times New Roman" w:cs="Times New Roman" w:eastAsia="Times New Roman" w:hAnsi="Times New Roman"/>
                <w:sz w:val="20"/>
                <w:szCs w:val="20"/>
                <w:b w:val="1"/>
                <w:bCs w:val="1"/>
                <w:color w:val="auto"/>
              </w:rPr>
              <w:t>(4,643)</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(4,863)</w:t>
            </w:r>
          </w:p>
        </w:tc>
        <w:tc>
          <w:tcPr>
            <w:tcW w:w="0" w:type="dxa"/>
            <w:vAlign w:val="bottom"/>
          </w:tcPr>
          <w:p>
            <w:pPr>
              <w:spacing w:after="0"/>
              <w:rPr>
                <w:sz w:val="1"/>
                <w:szCs w:val="1"/>
                <w:color w:val="auto"/>
              </w:rPr>
            </w:pPr>
          </w:p>
        </w:tc>
      </w:tr>
      <w:tr>
        <w:trPr>
          <w:trHeight w:val="279"/>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Amounts recorded in accumulated other comprehensive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income consist of:</w:t>
            </w: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actuarial loss/(gain)</w:t>
            </w: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20"/>
                <w:szCs w:val="20"/>
                <w:color w:val="auto"/>
              </w:rPr>
              <w:t>744</w:t>
            </w:r>
          </w:p>
        </w:tc>
        <w:tc>
          <w:tcPr>
            <w:tcW w:w="8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897</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20"/>
                <w:szCs w:val="20"/>
                <w:color w:val="auto"/>
              </w:rPr>
              <w:t>1,364</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1260" w:type="dxa"/>
            <w:vAlign w:val="bottom"/>
            <w:gridSpan w:val="2"/>
          </w:tcPr>
          <w:p>
            <w:pPr>
              <w:jc w:val="right"/>
              <w:ind w:right="255"/>
              <w:spacing w:after="0"/>
              <w:rPr>
                <w:sz w:val="20"/>
                <w:szCs w:val="20"/>
                <w:color w:val="auto"/>
              </w:rPr>
            </w:pPr>
            <w:r>
              <w:rPr>
                <w:rFonts w:ascii="Times New Roman" w:cs="Times New Roman" w:eastAsia="Times New Roman" w:hAnsi="Times New Roman"/>
                <w:sz w:val="20"/>
                <w:szCs w:val="20"/>
                <w:color w:val="auto"/>
              </w:rPr>
              <w:t>(1,453)</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(1,726)</w:t>
            </w:r>
          </w:p>
        </w:tc>
        <w:tc>
          <w:tcPr>
            <w:tcW w:w="0" w:type="dxa"/>
            <w:vAlign w:val="bottom"/>
          </w:tcPr>
          <w:p>
            <w:pPr>
              <w:spacing w:after="0"/>
              <w:rPr>
                <w:sz w:val="1"/>
                <w:szCs w:val="1"/>
                <w:color w:val="auto"/>
              </w:rPr>
            </w:pPr>
          </w:p>
        </w:tc>
      </w:tr>
      <w:tr>
        <w:trPr>
          <w:trHeight w:val="297"/>
        </w:trPr>
        <w:tc>
          <w:tcPr>
            <w:tcW w:w="49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Prior service cost</w:t>
            </w:r>
          </w:p>
        </w:tc>
        <w:tc>
          <w:tcPr>
            <w:tcW w:w="1140" w:type="dxa"/>
            <w:vAlign w:val="bottom"/>
            <w:tcBorders>
              <w:bottom w:val="single" w:sz="8" w:color="4C4C4C"/>
            </w:tcBorders>
          </w:tcPr>
          <w:p>
            <w:pPr>
              <w:jc w:val="right"/>
              <w:ind w:right="186"/>
              <w:spacing w:after="0"/>
              <w:rPr>
                <w:sz w:val="20"/>
                <w:szCs w:val="20"/>
                <w:color w:val="auto"/>
              </w:rPr>
            </w:pPr>
            <w:r>
              <w:rPr>
                <w:rFonts w:ascii="Times New Roman" w:cs="Times New Roman" w:eastAsia="Times New Roman" w:hAnsi="Times New Roman"/>
                <w:sz w:val="20"/>
                <w:szCs w:val="20"/>
                <w:color w:val="auto"/>
              </w:rPr>
              <w:t>(283)</w:t>
            </w:r>
          </w:p>
        </w:tc>
        <w:tc>
          <w:tcPr>
            <w:tcW w:w="840" w:type="dxa"/>
            <w:vAlign w:val="bottom"/>
            <w:tcBorders>
              <w:bottom w:val="single" w:sz="8" w:color="4C4C4C"/>
            </w:tcBorders>
          </w:tcPr>
          <w:p>
            <w:pPr>
              <w:jc w:val="right"/>
              <w:ind w:right="86"/>
              <w:spacing w:after="0"/>
              <w:rPr>
                <w:sz w:val="20"/>
                <w:szCs w:val="20"/>
                <w:color w:val="auto"/>
              </w:rPr>
            </w:pPr>
            <w:r>
              <w:rPr>
                <w:rFonts w:ascii="Times New Roman" w:cs="Times New Roman" w:eastAsia="Times New Roman" w:hAnsi="Times New Roman"/>
                <w:sz w:val="20"/>
                <w:szCs w:val="20"/>
                <w:color w:val="auto"/>
              </w:rPr>
              <w:t>(295)</w:t>
            </w:r>
          </w:p>
        </w:tc>
        <w:tc>
          <w:tcPr>
            <w:tcW w:w="1120" w:type="dxa"/>
            <w:vAlign w:val="bottom"/>
            <w:tcBorders>
              <w:bottom w:val="single" w:sz="8" w:color="4C4C4C"/>
            </w:tcBorders>
          </w:tcPr>
          <w:p>
            <w:pPr>
              <w:jc w:val="right"/>
              <w:ind w:right="326"/>
              <w:spacing w:after="0"/>
              <w:rPr>
                <w:sz w:val="20"/>
                <w:szCs w:val="20"/>
                <w:color w:val="auto"/>
              </w:rPr>
            </w:pPr>
            <w:r>
              <w:rPr>
                <w:rFonts w:ascii="Times New Roman" w:cs="Times New Roman" w:eastAsia="Times New Roman" w:hAnsi="Times New Roman"/>
                <w:sz w:val="20"/>
                <w:szCs w:val="20"/>
                <w:color w:val="auto"/>
              </w:rPr>
              <w:t>401</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1260" w:type="dxa"/>
            <w:vAlign w:val="bottom"/>
            <w:tcBorders>
              <w:bottom w:val="single" w:sz="8" w:color="4C4C4C"/>
            </w:tcBorders>
            <w:gridSpan w:val="2"/>
          </w:tcPr>
          <w:p>
            <w:pPr>
              <w:jc w:val="right"/>
              <w:ind w:right="255"/>
              <w:spacing w:after="0"/>
              <w:rPr>
                <w:sz w:val="20"/>
                <w:szCs w:val="20"/>
                <w:color w:val="auto"/>
              </w:rPr>
            </w:pPr>
            <w:r>
              <w:rPr>
                <w:rFonts w:ascii="Times New Roman" w:cs="Times New Roman" w:eastAsia="Times New Roman" w:hAnsi="Times New Roman"/>
                <w:sz w:val="20"/>
                <w:szCs w:val="20"/>
                <w:color w:val="auto"/>
              </w:rPr>
              <w:t>(459)</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174"/>
        </w:trPr>
        <w:tc>
          <w:tcPr>
            <w:tcW w:w="4980" w:type="dxa"/>
            <w:vAlign w:val="bottom"/>
          </w:tcPr>
          <w:p>
            <w:pPr>
              <w:ind w:left="40"/>
              <w:spacing w:after="0" w:line="175" w:lineRule="exact"/>
              <w:rPr>
                <w:sz w:val="20"/>
                <w:szCs w:val="20"/>
                <w:color w:val="auto"/>
              </w:rPr>
            </w:pPr>
            <w:r>
              <w:rPr>
                <w:rFonts w:ascii="Times New Roman" w:cs="Times New Roman" w:eastAsia="Times New Roman" w:hAnsi="Times New Roman"/>
                <w:sz w:val="20"/>
                <w:szCs w:val="20"/>
                <w:b w:val="1"/>
                <w:bCs w:val="1"/>
                <w:color w:val="auto"/>
              </w:rPr>
              <w:t>Total recorded in accumulated other comprehensive</w:t>
            </w:r>
          </w:p>
        </w:tc>
        <w:tc>
          <w:tcPr>
            <w:tcW w:w="1140" w:type="dxa"/>
            <w:vAlign w:val="bottom"/>
            <w:vMerge w:val="restart"/>
          </w:tcPr>
          <w:p>
            <w:pPr>
              <w:jc w:val="right"/>
              <w:ind w:right="246"/>
              <w:spacing w:after="0"/>
              <w:rPr>
                <w:sz w:val="20"/>
                <w:szCs w:val="20"/>
                <w:color w:val="auto"/>
              </w:rPr>
            </w:pPr>
            <w:r>
              <w:rPr>
                <w:rFonts w:ascii="Times New Roman" w:cs="Times New Roman" w:eastAsia="Times New Roman" w:hAnsi="Times New Roman"/>
                <w:sz w:val="20"/>
                <w:szCs w:val="20"/>
                <w:b w:val="1"/>
                <w:bCs w:val="1"/>
                <w:color w:val="auto"/>
              </w:rPr>
              <w:t>461</w:t>
            </w:r>
          </w:p>
        </w:tc>
        <w:tc>
          <w:tcPr>
            <w:tcW w:w="840" w:type="dxa"/>
            <w:vAlign w:val="bottom"/>
            <w:vMerge w:val="restart"/>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602</w:t>
            </w:r>
          </w:p>
        </w:tc>
        <w:tc>
          <w:tcPr>
            <w:tcW w:w="1120" w:type="dxa"/>
            <w:vAlign w:val="bottom"/>
            <w:vMerge w:val="restart"/>
          </w:tcPr>
          <w:p>
            <w:pPr>
              <w:jc w:val="right"/>
              <w:ind w:right="326"/>
              <w:spacing w:after="0"/>
              <w:rPr>
                <w:sz w:val="20"/>
                <w:szCs w:val="20"/>
                <w:color w:val="auto"/>
              </w:rPr>
            </w:pPr>
            <w:r>
              <w:rPr>
                <w:rFonts w:ascii="Times New Roman" w:cs="Times New Roman" w:eastAsia="Times New Roman" w:hAnsi="Times New Roman"/>
                <w:sz w:val="20"/>
                <w:szCs w:val="20"/>
                <w:b w:val="1"/>
                <w:bCs w:val="1"/>
                <w:color w:val="auto"/>
              </w:rPr>
              <w:t>1,765</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1,124</w:t>
            </w:r>
          </w:p>
        </w:tc>
        <w:tc>
          <w:tcPr>
            <w:tcW w:w="1260" w:type="dxa"/>
            <w:vAlign w:val="bottom"/>
            <w:gridSpan w:val="2"/>
            <w:vMerge w:val="restart"/>
          </w:tcPr>
          <w:p>
            <w:pPr>
              <w:jc w:val="right"/>
              <w:ind w:right="255"/>
              <w:spacing w:after="0"/>
              <w:rPr>
                <w:sz w:val="20"/>
                <w:szCs w:val="20"/>
                <w:color w:val="auto"/>
              </w:rPr>
            </w:pPr>
            <w:r>
              <w:rPr>
                <w:rFonts w:ascii="Times New Roman" w:cs="Times New Roman" w:eastAsia="Times New Roman" w:hAnsi="Times New Roman"/>
                <w:sz w:val="20"/>
                <w:szCs w:val="20"/>
                <w:b w:val="1"/>
                <w:bCs w:val="1"/>
                <w:color w:val="auto"/>
              </w:rPr>
              <w:t>(1,912)</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(1,916)</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1140" w:type="dxa"/>
            <w:vAlign w:val="bottom"/>
            <w:tcBorders>
              <w:bottom w:val="single" w:sz="8" w:color="4C4C4C"/>
            </w:tcBorders>
            <w:vMerge w:val="continue"/>
          </w:tcPr>
          <w:p>
            <w:pPr>
              <w:spacing w:after="0"/>
              <w:rPr>
                <w:sz w:val="22"/>
                <w:szCs w:val="22"/>
                <w:color w:val="auto"/>
              </w:rPr>
            </w:pPr>
          </w:p>
        </w:tc>
        <w:tc>
          <w:tcPr>
            <w:tcW w:w="840" w:type="dxa"/>
            <w:vAlign w:val="bottom"/>
            <w:tcBorders>
              <w:bottom w:val="single" w:sz="8" w:color="4C4C4C"/>
            </w:tcBorders>
            <w:vMerge w:val="continue"/>
          </w:tcPr>
          <w:p>
            <w:pPr>
              <w:spacing w:after="0"/>
              <w:rPr>
                <w:sz w:val="22"/>
                <w:szCs w:val="22"/>
                <w:color w:val="auto"/>
              </w:rPr>
            </w:pPr>
          </w:p>
        </w:tc>
        <w:tc>
          <w:tcPr>
            <w:tcW w:w="1120" w:type="dxa"/>
            <w:vAlign w:val="bottom"/>
            <w:tcBorders>
              <w:bottom w:val="single" w:sz="8" w:color="4C4C4C"/>
            </w:tcBorders>
            <w:vMerge w:val="continue"/>
          </w:tcPr>
          <w:p>
            <w:pPr>
              <w:spacing w:after="0"/>
              <w:rPr>
                <w:sz w:val="22"/>
                <w:szCs w:val="22"/>
                <w:color w:val="auto"/>
              </w:rPr>
            </w:pPr>
          </w:p>
        </w:tc>
        <w:tc>
          <w:tcPr>
            <w:tcW w:w="600" w:type="dxa"/>
            <w:vAlign w:val="bottom"/>
            <w:tcBorders>
              <w:bottom w:val="single" w:sz="8" w:color="4C4C4C"/>
            </w:tcBorders>
            <w:vMerge w:val="continue"/>
          </w:tcPr>
          <w:p>
            <w:pPr>
              <w:spacing w:after="0"/>
              <w:rPr>
                <w:sz w:val="22"/>
                <w:szCs w:val="22"/>
                <w:color w:val="auto"/>
              </w:rPr>
            </w:pPr>
          </w:p>
        </w:tc>
        <w:tc>
          <w:tcPr>
            <w:tcW w:w="1260" w:type="dxa"/>
            <w:vAlign w:val="bottom"/>
            <w:tcBorders>
              <w:bottom w:val="single" w:sz="8" w:color="4C4C4C"/>
            </w:tcBorders>
            <w:gridSpan w:val="2"/>
            <w:vMerge w:val="continue"/>
          </w:tcPr>
          <w:p>
            <w:pPr>
              <w:spacing w:after="0"/>
              <w:rPr>
                <w:sz w:val="22"/>
                <w:szCs w:val="22"/>
                <w:color w:val="auto"/>
              </w:rPr>
            </w:pPr>
          </w:p>
        </w:tc>
        <w:tc>
          <w:tcPr>
            <w:tcW w:w="62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-2911475</wp:posOffset>
            </wp:positionV>
            <wp:extent cx="6786245" cy="2931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8">
                      <a:extLst>
                        <a:ext uri="{28A0092B-C50C-407E-A947-70E740481C1C}"/>
                      </a:extLst>
                    </a:blip>
                    <a:srcRect/>
                    <a:stretch>
                      <a:fillRect/>
                    </a:stretch>
                  </pic:blipFill>
                  <pic:spPr bwMode="auto">
                    <a:xfrm>
                      <a:off x="0" y="0"/>
                      <a:ext cx="6786245" cy="2931160"/>
                    </a:xfrm>
                    <a:prstGeom prst="rect">
                      <a:avLst/>
                    </a:prstGeom>
                    <a:noFill/>
                  </pic:spPr>
                </pic:pic>
              </a:graphicData>
            </a:graphic>
          </wp:anchor>
        </w:drawing>
      </w:r>
    </w:p>
    <w:p>
      <w:pPr>
        <w:spacing w:after="0" w:line="64" w:lineRule="exact"/>
        <w:rPr>
          <w:sz w:val="20"/>
          <w:szCs w:val="20"/>
          <w:color w:val="auto"/>
        </w:rPr>
      </w:pPr>
    </w:p>
    <w:p>
      <w:pPr>
        <w:ind w:left="220" w:hanging="153"/>
        <w:spacing w:after="0"/>
        <w:tabs>
          <w:tab w:leader="none" w:pos="220" w:val="left"/>
        </w:tabs>
        <w:numPr>
          <w:ilvl w:val="0"/>
          <w:numId w:val="4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Fair value of assets less benefit obligation shown on the preceding page.</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880" w:h="15480" w:orient="portrait"/>
          <w:cols w:equalWidth="0" w:num="1">
            <w:col w:w="10600"/>
          </w:cols>
          <w:pgMar w:left="640" w:top="270" w:right="64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long-term expected rate of return on funded assets shown below is established for each benefit plan by developing a forward-looking, long-term return assumption for each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C4C4C"/>
              </w:rPr>
              <w:t>Pension Benefits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3"/>
          </w:tcPr>
          <w:p>
            <w:pPr>
              <w:jc w:val="right"/>
              <w:ind w:right="123"/>
              <w:spacing w:after="0"/>
              <w:rPr>
                <w:sz w:val="20"/>
                <w:szCs w:val="20"/>
                <w:color w:val="auto"/>
              </w:rPr>
            </w:pPr>
            <w:r>
              <w:rPr>
                <w:rFonts w:ascii="Times New Roman" w:cs="Times New Roman" w:eastAsia="Times New Roman" w:hAnsi="Times New Roman"/>
                <w:sz w:val="16"/>
                <w:szCs w:val="16"/>
                <w:b w:val="1"/>
                <w:bCs w:val="1"/>
                <w:color w:val="4C4C4C"/>
              </w:rPr>
              <w:t>Other Postretirement</w:t>
            </w: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4C4C4C"/>
              </w:rPr>
              <w:t>Benefits</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720" w:type="dxa"/>
            <w:vAlign w:val="bottom"/>
          </w:tcPr>
          <w:p>
            <w:pPr>
              <w:spacing w:after="0"/>
              <w:rPr>
                <w:sz w:val="7"/>
                <w:szCs w:val="7"/>
                <w:color w:val="auto"/>
              </w:rPr>
            </w:pPr>
          </w:p>
        </w:tc>
        <w:tc>
          <w:tcPr>
            <w:tcW w:w="660" w:type="dxa"/>
            <w:vAlign w:val="bottom"/>
            <w:tcBorders>
              <w:bottom w:val="single" w:sz="8" w:color="4C4C4C"/>
            </w:tcBorders>
          </w:tcPr>
          <w:p>
            <w:pPr>
              <w:spacing w:after="0"/>
              <w:rPr>
                <w:sz w:val="7"/>
                <w:szCs w:val="7"/>
                <w:color w:val="auto"/>
              </w:rPr>
            </w:pPr>
          </w:p>
        </w:tc>
        <w:tc>
          <w:tcPr>
            <w:tcW w:w="640" w:type="dxa"/>
            <w:vAlign w:val="bottom"/>
            <w:tcBorders>
              <w:bottom w:val="single" w:sz="8" w:color="4C4C4C"/>
            </w:tcBorders>
          </w:tcPr>
          <w:p>
            <w:pPr>
              <w:spacing w:after="0"/>
              <w:rPr>
                <w:sz w:val="7"/>
                <w:szCs w:val="7"/>
                <w:color w:val="auto"/>
              </w:rPr>
            </w:pPr>
          </w:p>
        </w:tc>
        <w:tc>
          <w:tcPr>
            <w:tcW w:w="660" w:type="dxa"/>
            <w:vAlign w:val="bottom"/>
            <w:tcBorders>
              <w:bottom w:val="single" w:sz="8" w:color="4C4C4C"/>
            </w:tcBorders>
          </w:tcPr>
          <w:p>
            <w:pPr>
              <w:spacing w:after="0"/>
              <w:rPr>
                <w:sz w:val="7"/>
                <w:szCs w:val="7"/>
                <w:color w:val="auto"/>
              </w:rPr>
            </w:pPr>
          </w:p>
        </w:tc>
        <w:tc>
          <w:tcPr>
            <w:tcW w:w="620" w:type="dxa"/>
            <w:vAlign w:val="bottom"/>
            <w:tcBorders>
              <w:bottom w:val="single" w:sz="8" w:color="4C4C4C"/>
            </w:tcBorders>
          </w:tcPr>
          <w:p>
            <w:pPr>
              <w:spacing w:after="0"/>
              <w:rPr>
                <w:sz w:val="7"/>
                <w:szCs w:val="7"/>
                <w:color w:val="auto"/>
              </w:rPr>
            </w:pPr>
          </w:p>
        </w:tc>
        <w:tc>
          <w:tcPr>
            <w:tcW w:w="700" w:type="dxa"/>
            <w:vAlign w:val="bottom"/>
            <w:tcBorders>
              <w:bottom w:val="single" w:sz="8" w:color="4C4C4C"/>
            </w:tcBorders>
          </w:tcPr>
          <w:p>
            <w:pPr>
              <w:spacing w:after="0"/>
              <w:rPr>
                <w:sz w:val="7"/>
                <w:szCs w:val="7"/>
                <w:color w:val="auto"/>
              </w:rPr>
            </w:pPr>
          </w:p>
        </w:tc>
        <w:tc>
          <w:tcPr>
            <w:tcW w:w="600" w:type="dxa"/>
            <w:vAlign w:val="bottom"/>
            <w:tcBorders>
              <w:bottom w:val="single" w:sz="8" w:color="4C4C4C"/>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bottom w:val="single" w:sz="8" w:color="4C4C4C"/>
            </w:tcBorders>
          </w:tcPr>
          <w:p>
            <w:pPr>
              <w:spacing w:after="0"/>
              <w:rPr>
                <w:sz w:val="7"/>
                <w:szCs w:val="7"/>
                <w:color w:val="auto"/>
              </w:rPr>
            </w:pPr>
          </w:p>
        </w:tc>
        <w:tc>
          <w:tcPr>
            <w:tcW w:w="700" w:type="dxa"/>
            <w:vAlign w:val="bottom"/>
            <w:tcBorders>
              <w:bottom w:val="single" w:sz="8" w:color="4C4C4C"/>
            </w:tcBorders>
            <w:vMerge w:val="continue"/>
          </w:tcPr>
          <w:p>
            <w:pPr>
              <w:spacing w:after="0"/>
              <w:rPr>
                <w:sz w:val="7"/>
                <w:szCs w:val="7"/>
                <w:color w:val="auto"/>
              </w:rPr>
            </w:pPr>
          </w:p>
        </w:tc>
        <w:tc>
          <w:tcPr>
            <w:tcW w:w="56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472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 except where stated otherwise)</w:t>
            </w:r>
          </w:p>
        </w:tc>
        <w:tc>
          <w:tcPr>
            <w:tcW w:w="660" w:type="dxa"/>
            <w:vAlign w:val="bottom"/>
            <w:shd w:val="clear" w:color="auto" w:fill="4C4C4C"/>
          </w:tcPr>
          <w:p>
            <w:pPr>
              <w:spacing w:after="0"/>
              <w:rPr>
                <w:sz w:val="21"/>
                <w:szCs w:val="21"/>
                <w:color w:val="auto"/>
              </w:rPr>
            </w:pPr>
          </w:p>
        </w:tc>
        <w:tc>
          <w:tcPr>
            <w:tcW w:w="640" w:type="dxa"/>
            <w:vAlign w:val="bottom"/>
            <w:shd w:val="clear" w:color="auto" w:fill="4C4C4C"/>
          </w:tcPr>
          <w:p>
            <w:pPr>
              <w:jc w:val="right"/>
              <w:ind w:right="104"/>
              <w:spacing w:after="0"/>
              <w:rPr>
                <w:sz w:val="20"/>
                <w:szCs w:val="20"/>
                <w:color w:val="auto"/>
              </w:rPr>
            </w:pPr>
            <w:r>
              <w:rPr>
                <w:rFonts w:ascii="Times New Roman" w:cs="Times New Roman" w:eastAsia="Times New Roman" w:hAnsi="Times New Roman"/>
                <w:sz w:val="16"/>
                <w:szCs w:val="16"/>
                <w:b w:val="1"/>
                <w:bCs w:val="1"/>
                <w:color w:val="FFFFFF"/>
              </w:rPr>
              <w:t>U.S.</w:t>
            </w:r>
          </w:p>
        </w:tc>
        <w:tc>
          <w:tcPr>
            <w:tcW w:w="660" w:type="dxa"/>
            <w:vAlign w:val="bottom"/>
            <w:shd w:val="clear" w:color="auto" w:fill="4C4C4C"/>
          </w:tcPr>
          <w:p>
            <w:pPr>
              <w:spacing w:after="0"/>
              <w:rPr>
                <w:sz w:val="21"/>
                <w:szCs w:val="21"/>
                <w:color w:val="auto"/>
              </w:rPr>
            </w:pPr>
          </w:p>
        </w:tc>
        <w:tc>
          <w:tcPr>
            <w:tcW w:w="620" w:type="dxa"/>
            <w:vAlign w:val="bottom"/>
            <w:shd w:val="clear" w:color="auto" w:fill="4C4C4C"/>
          </w:tcPr>
          <w:p>
            <w:pPr>
              <w:spacing w:after="0"/>
              <w:rPr>
                <w:sz w:val="21"/>
                <w:szCs w:val="21"/>
                <w:color w:val="auto"/>
              </w:rPr>
            </w:pPr>
          </w:p>
        </w:tc>
        <w:tc>
          <w:tcPr>
            <w:tcW w:w="70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600" w:type="dxa"/>
            <w:vAlign w:val="bottom"/>
            <w:shd w:val="clear" w:color="auto" w:fill="4C4C4C"/>
          </w:tcPr>
          <w:p>
            <w:pPr>
              <w:spacing w:after="0"/>
              <w:rPr>
                <w:sz w:val="21"/>
                <w:szCs w:val="21"/>
                <w:color w:val="auto"/>
              </w:rPr>
            </w:pPr>
          </w:p>
        </w:tc>
        <w:tc>
          <w:tcPr>
            <w:tcW w:w="60" w:type="dxa"/>
            <w:vAlign w:val="bottom"/>
            <w:shd w:val="clear" w:color="auto" w:fill="4C4C4C"/>
          </w:tcPr>
          <w:p>
            <w:pPr>
              <w:spacing w:after="0"/>
              <w:rPr>
                <w:sz w:val="21"/>
                <w:szCs w:val="21"/>
                <w:color w:val="auto"/>
              </w:rPr>
            </w:pPr>
          </w:p>
        </w:tc>
        <w:tc>
          <w:tcPr>
            <w:tcW w:w="640" w:type="dxa"/>
            <w:vAlign w:val="bottom"/>
            <w:shd w:val="clear" w:color="auto" w:fill="4C4C4C"/>
          </w:tcPr>
          <w:p>
            <w:pPr>
              <w:spacing w:after="0"/>
              <w:rPr>
                <w:sz w:val="21"/>
                <w:szCs w:val="21"/>
                <w:color w:val="auto"/>
              </w:rPr>
            </w:pPr>
          </w:p>
        </w:tc>
        <w:tc>
          <w:tcPr>
            <w:tcW w:w="700" w:type="dxa"/>
            <w:vAlign w:val="bottom"/>
            <w:shd w:val="clear" w:color="auto" w:fill="4C4C4C"/>
          </w:tcPr>
          <w:p>
            <w:pPr>
              <w:spacing w:after="0"/>
              <w:rPr>
                <w:sz w:val="21"/>
                <w:szCs w:val="21"/>
                <w:color w:val="auto"/>
              </w:rPr>
            </w:pPr>
          </w:p>
        </w:tc>
        <w:tc>
          <w:tcPr>
            <w:tcW w:w="560" w:type="dxa"/>
            <w:vAlign w:val="bottom"/>
            <w:shd w:val="clear" w:color="auto" w:fill="4C4C4C"/>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720" w:type="dxa"/>
            <w:vAlign w:val="bottom"/>
            <w:vMerge w:val="continue"/>
            <w:shd w:val="clear" w:color="auto" w:fill="4C4C4C"/>
          </w:tcPr>
          <w:p>
            <w:pPr>
              <w:spacing w:after="0"/>
              <w:rPr>
                <w:sz w:val="12"/>
                <w:szCs w:val="12"/>
                <w:color w:val="auto"/>
              </w:rPr>
            </w:pPr>
          </w:p>
        </w:tc>
        <w:tc>
          <w:tcPr>
            <w:tcW w:w="660" w:type="dxa"/>
            <w:vAlign w:val="bottom"/>
            <w:vMerge w:val="restart"/>
            <w:shd w:val="clear" w:color="auto" w:fill="4C4C4C"/>
          </w:tcPr>
          <w:p>
            <w:pPr>
              <w:jc w:val="right"/>
              <w:ind w:right="103"/>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640" w:type="dxa"/>
            <w:vAlign w:val="bottom"/>
            <w:vMerge w:val="restart"/>
            <w:shd w:val="clear" w:color="auto" w:fill="4C4C4C"/>
          </w:tcPr>
          <w:p>
            <w:pPr>
              <w:jc w:val="right"/>
              <w:ind w:right="10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60" w:type="dxa"/>
            <w:vAlign w:val="bottom"/>
            <w:vMerge w:val="restart"/>
            <w:shd w:val="clear" w:color="auto" w:fill="4C4C4C"/>
          </w:tcPr>
          <w:p>
            <w:pPr>
              <w:jc w:val="right"/>
              <w:ind w:right="104"/>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620" w:type="dxa"/>
            <w:vAlign w:val="bottom"/>
            <w:vMerge w:val="restart"/>
            <w:shd w:val="clear" w:color="auto" w:fill="4C4C4C"/>
          </w:tcPr>
          <w:p>
            <w:pPr>
              <w:jc w:val="right"/>
              <w:ind w:right="63"/>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7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600" w:type="dxa"/>
            <w:vAlign w:val="bottom"/>
            <w:vMerge w:val="restart"/>
            <w:shd w:val="clear" w:color="auto" w:fill="4C4C4C"/>
          </w:tcPr>
          <w:p>
            <w:pPr>
              <w:jc w:val="right"/>
              <w:ind w:right="43"/>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700" w:type="dxa"/>
            <w:vAlign w:val="bottom"/>
            <w:gridSpan w:val="2"/>
            <w:vMerge w:val="restart"/>
            <w:shd w:val="clear" w:color="auto" w:fill="4C4C4C"/>
          </w:tcPr>
          <w:p>
            <w:pPr>
              <w:jc w:val="right"/>
              <w:ind w:right="9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7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560" w:type="dxa"/>
            <w:vAlign w:val="bottom"/>
            <w:vMerge w:val="restart"/>
            <w:shd w:val="clear" w:color="auto" w:fill="4C4C4C"/>
          </w:tcPr>
          <w:p>
            <w:pPr>
              <w:jc w:val="right"/>
              <w:ind w:right="43"/>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97"/>
        </w:trPr>
        <w:tc>
          <w:tcPr>
            <w:tcW w:w="4720" w:type="dxa"/>
            <w:vAlign w:val="bottom"/>
            <w:shd w:val="clear" w:color="auto" w:fill="4C4C4C"/>
          </w:tcPr>
          <w:p>
            <w:pPr>
              <w:spacing w:after="0"/>
              <w:rPr>
                <w:sz w:val="17"/>
                <w:szCs w:val="17"/>
                <w:color w:val="auto"/>
              </w:rPr>
            </w:pPr>
          </w:p>
        </w:tc>
        <w:tc>
          <w:tcPr>
            <w:tcW w:w="660" w:type="dxa"/>
            <w:vAlign w:val="bottom"/>
            <w:vMerge w:val="continue"/>
            <w:shd w:val="clear" w:color="auto" w:fill="4C4C4C"/>
          </w:tcPr>
          <w:p>
            <w:pPr>
              <w:spacing w:after="0"/>
              <w:rPr>
                <w:sz w:val="17"/>
                <w:szCs w:val="17"/>
                <w:color w:val="auto"/>
              </w:rPr>
            </w:pPr>
          </w:p>
        </w:tc>
        <w:tc>
          <w:tcPr>
            <w:tcW w:w="640" w:type="dxa"/>
            <w:vAlign w:val="bottom"/>
            <w:vMerge w:val="continue"/>
            <w:shd w:val="clear" w:color="auto" w:fill="4C4C4C"/>
          </w:tcPr>
          <w:p>
            <w:pPr>
              <w:spacing w:after="0"/>
              <w:rPr>
                <w:sz w:val="17"/>
                <w:szCs w:val="17"/>
                <w:color w:val="auto"/>
              </w:rPr>
            </w:pPr>
          </w:p>
        </w:tc>
        <w:tc>
          <w:tcPr>
            <w:tcW w:w="660" w:type="dxa"/>
            <w:vAlign w:val="bottom"/>
            <w:vMerge w:val="continue"/>
            <w:shd w:val="clear" w:color="auto" w:fill="4C4C4C"/>
          </w:tcPr>
          <w:p>
            <w:pPr>
              <w:spacing w:after="0"/>
              <w:rPr>
                <w:sz w:val="17"/>
                <w:szCs w:val="17"/>
                <w:color w:val="auto"/>
              </w:rPr>
            </w:pPr>
          </w:p>
        </w:tc>
        <w:tc>
          <w:tcPr>
            <w:tcW w:w="620" w:type="dxa"/>
            <w:vAlign w:val="bottom"/>
            <w:vMerge w:val="continue"/>
            <w:shd w:val="clear" w:color="auto" w:fill="4C4C4C"/>
          </w:tcPr>
          <w:p>
            <w:pPr>
              <w:spacing w:after="0"/>
              <w:rPr>
                <w:sz w:val="17"/>
                <w:szCs w:val="17"/>
                <w:color w:val="auto"/>
              </w:rPr>
            </w:pPr>
          </w:p>
        </w:tc>
        <w:tc>
          <w:tcPr>
            <w:tcW w:w="700" w:type="dxa"/>
            <w:vAlign w:val="bottom"/>
            <w:vMerge w:val="continue"/>
            <w:shd w:val="clear" w:color="auto" w:fill="4C4C4C"/>
          </w:tcPr>
          <w:p>
            <w:pPr>
              <w:spacing w:after="0"/>
              <w:rPr>
                <w:sz w:val="17"/>
                <w:szCs w:val="17"/>
                <w:color w:val="auto"/>
              </w:rPr>
            </w:pPr>
          </w:p>
        </w:tc>
        <w:tc>
          <w:tcPr>
            <w:tcW w:w="600" w:type="dxa"/>
            <w:vAlign w:val="bottom"/>
            <w:vMerge w:val="continue"/>
            <w:shd w:val="clear" w:color="auto" w:fill="4C4C4C"/>
          </w:tcPr>
          <w:p>
            <w:pPr>
              <w:spacing w:after="0"/>
              <w:rPr>
                <w:sz w:val="17"/>
                <w:szCs w:val="17"/>
                <w:color w:val="auto"/>
              </w:rPr>
            </w:pPr>
          </w:p>
        </w:tc>
        <w:tc>
          <w:tcPr>
            <w:tcW w:w="700" w:type="dxa"/>
            <w:vAlign w:val="bottom"/>
            <w:gridSpan w:val="2"/>
            <w:vMerge w:val="continue"/>
            <w:shd w:val="clear" w:color="auto" w:fill="4C4C4C"/>
          </w:tcPr>
          <w:p>
            <w:pPr>
              <w:spacing w:after="0"/>
              <w:rPr>
                <w:sz w:val="17"/>
                <w:szCs w:val="17"/>
                <w:color w:val="auto"/>
              </w:rPr>
            </w:pPr>
          </w:p>
        </w:tc>
        <w:tc>
          <w:tcPr>
            <w:tcW w:w="700" w:type="dxa"/>
            <w:vAlign w:val="bottom"/>
            <w:vMerge w:val="continue"/>
            <w:shd w:val="clear" w:color="auto" w:fill="4C4C4C"/>
          </w:tcPr>
          <w:p>
            <w:pPr>
              <w:spacing w:after="0"/>
              <w:rPr>
                <w:sz w:val="17"/>
                <w:szCs w:val="17"/>
                <w:color w:val="auto"/>
              </w:rPr>
            </w:pPr>
          </w:p>
        </w:tc>
        <w:tc>
          <w:tcPr>
            <w:tcW w:w="560" w:type="dxa"/>
            <w:vAlign w:val="bottom"/>
            <w:vMerge w:val="continue"/>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47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4C4C4C"/>
              </w:rPr>
              <w:t>Weighted-average assumptions used to determine net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7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4C4C4C"/>
              </w:rPr>
              <w:t>periodic benefit cost for years ended December 31</w:t>
            </w: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Discount rate </w:t>
            </w:r>
            <w:r>
              <w:rPr>
                <w:rFonts w:ascii="Times New Roman" w:cs="Times New Roman" w:eastAsia="Times New Roman" w:hAnsi="Times New Roman"/>
                <w:sz w:val="20"/>
                <w:szCs w:val="20"/>
                <w:i w:val="1"/>
                <w:iCs w:val="1"/>
                <w:color w:val="auto"/>
              </w:rPr>
              <w:t>(percent)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5.60</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3.00</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2.80</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4.90</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2.20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5.60</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3.10</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Long-term rate of return on funded assets </w:t>
            </w:r>
            <w:r>
              <w:rPr>
                <w:rFonts w:ascii="Times New Roman" w:cs="Times New Roman" w:eastAsia="Times New Roman" w:hAnsi="Times New Roman"/>
                <w:sz w:val="20"/>
                <w:szCs w:val="20"/>
                <w:i w:val="1"/>
                <w:iCs w:val="1"/>
                <w:color w:val="auto"/>
              </w:rPr>
              <w:t>(percent)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5.20</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4.60</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5.30</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4.20</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3.50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4.70</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3.80</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Long-term rate of compensation increase </w:t>
            </w:r>
            <w:r>
              <w:rPr>
                <w:rFonts w:ascii="Times New Roman" w:cs="Times New Roman" w:eastAsia="Times New Roman" w:hAnsi="Times New Roman"/>
                <w:sz w:val="20"/>
                <w:szCs w:val="20"/>
                <w:i w:val="1"/>
                <w:iCs w:val="1"/>
                <w:color w:val="auto"/>
              </w:rPr>
              <w:t>(percent)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4.50</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4.50</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5.50</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5.20</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4.20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4.50</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4.50</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0" w:type="dxa"/>
            <w:vAlign w:val="bottom"/>
          </w:tcPr>
          <w:p>
            <w:pPr>
              <w:spacing w:after="0"/>
              <w:rPr>
                <w:sz w:val="1"/>
                <w:szCs w:val="1"/>
                <w:color w:val="auto"/>
              </w:rPr>
            </w:pPr>
          </w:p>
        </w:tc>
      </w:tr>
      <w:tr>
        <w:trPr>
          <w:trHeight w:val="397"/>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Components of net periodic benefit cost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Service cost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466</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712</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919</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323</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570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78</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138</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664</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518</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558</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922</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614</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276</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216</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actuarial loss/(gain)</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85</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156</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244</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108</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180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6</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prior service cost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43</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(42)</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459"/>
        </w:trPr>
        <w:tc>
          <w:tcPr>
            <w:tcW w:w="472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Net pension enhancement and curtailment/settlement cost</w:t>
            </w:r>
          </w:p>
        </w:tc>
        <w:tc>
          <w:tcPr>
            <w:tcW w:w="660" w:type="dxa"/>
            <w:vAlign w:val="bottom"/>
            <w:tcBorders>
              <w:bottom w:val="single" w:sz="8" w:color="4C4C4C"/>
            </w:tcBorders>
          </w:tcPr>
          <w:p>
            <w:pPr>
              <w:jc w:val="right"/>
              <w:ind w:right="43"/>
              <w:spacing w:after="0"/>
              <w:rPr>
                <w:sz w:val="20"/>
                <w:szCs w:val="20"/>
                <w:color w:val="auto"/>
              </w:rPr>
            </w:pPr>
            <w:r>
              <w:rPr>
                <w:rFonts w:ascii="Times New Roman" w:cs="Times New Roman" w:eastAsia="Times New Roman" w:hAnsi="Times New Roman"/>
                <w:sz w:val="20"/>
                <w:szCs w:val="20"/>
                <w:color w:val="auto"/>
              </w:rPr>
              <w:t>29</w:t>
            </w:r>
          </w:p>
        </w:tc>
        <w:tc>
          <w:tcPr>
            <w:tcW w:w="6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205</w:t>
            </w:r>
          </w:p>
        </w:tc>
        <w:tc>
          <w:tcPr>
            <w:tcW w:w="66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489</w:t>
            </w:r>
          </w:p>
        </w:tc>
        <w:tc>
          <w:tcPr>
            <w:tcW w:w="62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5</w:t>
            </w:r>
          </w:p>
        </w:tc>
        <w:tc>
          <w:tcPr>
            <w:tcW w:w="70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4</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Borders>
              <w:bottom w:val="single" w:sz="8" w:color="4C4C4C"/>
            </w:tcBorders>
          </w:tcPr>
          <w:p>
            <w:pPr>
              <w:spacing w:after="0"/>
              <w:rPr>
                <w:sz w:val="24"/>
                <w:szCs w:val="24"/>
                <w:color w:val="auto"/>
              </w:rPr>
            </w:pPr>
          </w:p>
        </w:tc>
        <w:tc>
          <w:tcPr>
            <w:tcW w:w="6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472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Net periodic benefit cost</w:t>
            </w:r>
          </w:p>
        </w:tc>
        <w:tc>
          <w:tcPr>
            <w:tcW w:w="660" w:type="dxa"/>
            <w:vAlign w:val="bottom"/>
            <w:tcBorders>
              <w:bottom w:val="single" w:sz="8" w:color="4C4C4C"/>
            </w:tcBorders>
          </w:tcPr>
          <w:p>
            <w:pPr>
              <w:jc w:val="right"/>
              <w:ind w:right="43"/>
              <w:spacing w:after="0"/>
              <w:rPr>
                <w:sz w:val="20"/>
                <w:szCs w:val="20"/>
                <w:color w:val="auto"/>
              </w:rPr>
            </w:pPr>
            <w:r>
              <w:rPr>
                <w:rFonts w:ascii="Times New Roman" w:cs="Times New Roman" w:eastAsia="Times New Roman" w:hAnsi="Times New Roman"/>
                <w:sz w:val="20"/>
                <w:szCs w:val="20"/>
                <w:b w:val="1"/>
                <w:bCs w:val="1"/>
                <w:color w:val="auto"/>
              </w:rPr>
              <w:t>683</w:t>
            </w:r>
          </w:p>
        </w:tc>
        <w:tc>
          <w:tcPr>
            <w:tcW w:w="6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1,002</w:t>
            </w:r>
          </w:p>
        </w:tc>
        <w:tc>
          <w:tcPr>
            <w:tcW w:w="66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1,465</w:t>
            </w:r>
          </w:p>
        </w:tc>
        <w:tc>
          <w:tcPr>
            <w:tcW w:w="62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722</w:t>
            </w:r>
          </w:p>
        </w:tc>
        <w:tc>
          <w:tcPr>
            <w:tcW w:w="70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596</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778</w:t>
            </w:r>
          </w:p>
        </w:tc>
        <w:tc>
          <w:tcPr>
            <w:tcW w:w="700" w:type="dxa"/>
            <w:vAlign w:val="bottom"/>
            <w:tcBorders>
              <w:bottom w:val="single" w:sz="8" w:color="4C4C4C"/>
            </w:tcBorders>
            <w:gridSpan w:val="2"/>
          </w:tcPr>
          <w:p>
            <w:pPr>
              <w:jc w:val="right"/>
              <w:ind w:right="32"/>
              <w:spacing w:after="0"/>
              <w:rPr>
                <w:sz w:val="20"/>
                <w:szCs w:val="20"/>
                <w:color w:val="auto"/>
              </w:rPr>
            </w:pPr>
            <w:r>
              <w:rPr>
                <w:rFonts w:ascii="Times New Roman" w:cs="Times New Roman" w:eastAsia="Times New Roman" w:hAnsi="Times New Roman"/>
                <w:sz w:val="20"/>
                <w:szCs w:val="20"/>
                <w:b w:val="1"/>
                <w:bCs w:val="1"/>
                <w:color w:val="auto"/>
              </w:rPr>
              <w:t>176</w:t>
            </w:r>
          </w:p>
        </w:tc>
        <w:tc>
          <w:tcPr>
            <w:tcW w:w="7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304</w:t>
            </w:r>
          </w:p>
        </w:tc>
        <w:tc>
          <w:tcPr>
            <w:tcW w:w="5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424</w:t>
            </w:r>
          </w:p>
        </w:tc>
        <w:tc>
          <w:tcPr>
            <w:tcW w:w="0" w:type="dxa"/>
            <w:vAlign w:val="bottom"/>
          </w:tcPr>
          <w:p>
            <w:pPr>
              <w:spacing w:after="0"/>
              <w:rPr>
                <w:sz w:val="1"/>
                <w:szCs w:val="1"/>
                <w:color w:val="auto"/>
              </w:rPr>
            </w:pPr>
          </w:p>
        </w:tc>
      </w:tr>
      <w:tr>
        <w:trPr>
          <w:trHeight w:val="275"/>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Changes in amounts recorded in accumulated other</w:t>
            </w: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comprehensive income:</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actuarial loss/(gain)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602</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(1,641</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(2,361</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154</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(1,910</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actuarial (loss)/gain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122</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Prior service cost/(credit)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153</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84</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prior service (cost)/credit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29</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29</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23</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20"/>
                <w:szCs w:val="20"/>
                <w:color w:val="auto"/>
              </w:rPr>
              <w:t>42</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42</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Foreign exchange rate changes</w:t>
            </w:r>
          </w:p>
        </w:tc>
        <w:tc>
          <w:tcPr>
            <w:tcW w:w="660" w:type="dxa"/>
            <w:vAlign w:val="bottom"/>
            <w:tcBorders>
              <w:bottom w:val="single" w:sz="8" w:color="4C4C4C"/>
            </w:tcBorders>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46</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70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70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color w:val="auto"/>
              </w:rPr>
              <w:t>(7)</w:t>
            </w:r>
          </w:p>
        </w:tc>
        <w:tc>
          <w:tcPr>
            <w:tcW w:w="5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472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recorded in other comprehensive income</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(141)</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(939)</w:t>
            </w:r>
          </w:p>
        </w:tc>
        <w:tc>
          <w:tcPr>
            <w:tcW w:w="66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(1,286</w:t>
            </w:r>
          </w:p>
        </w:tc>
        <w:tc>
          <w:tcPr>
            <w:tcW w:w="62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641</w:t>
            </w:r>
          </w:p>
        </w:tc>
        <w:tc>
          <w:tcPr>
            <w:tcW w:w="70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(1,979</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(3,009</w:t>
            </w:r>
          </w:p>
        </w:tc>
        <w:tc>
          <w:tcPr>
            <w:tcW w:w="700" w:type="dxa"/>
            <w:vAlign w:val="bottom"/>
            <w:tcBorders>
              <w:bottom w:val="single" w:sz="8" w:color="4C4C4C"/>
            </w:tcBorders>
            <w:gridSpan w:val="2"/>
          </w:tcPr>
          <w:p>
            <w:pPr>
              <w:jc w:val="right"/>
              <w:ind w:right="32"/>
              <w:spacing w:after="0"/>
              <w:rPr>
                <w:sz w:val="20"/>
                <w:szCs w:val="20"/>
                <w:color w:val="auto"/>
              </w:rPr>
            </w:pPr>
            <w:r>
              <w:rPr>
                <w:rFonts w:ascii="Times New Roman" w:cs="Times New Roman" w:eastAsia="Times New Roman" w:hAnsi="Times New Roman"/>
                <w:sz w:val="20"/>
                <w:szCs w:val="20"/>
                <w:b w:val="1"/>
                <w:bCs w:val="1"/>
                <w:color w:val="auto"/>
              </w:rPr>
              <w:t>4</w:t>
            </w:r>
          </w:p>
        </w:tc>
        <w:tc>
          <w:tcPr>
            <w:tcW w:w="700" w:type="dxa"/>
            <w:vAlign w:val="bottom"/>
            <w:tcBorders>
              <w:bottom w:val="single" w:sz="8" w:color="4C4C4C"/>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(1,881</w:t>
            </w:r>
          </w:p>
        </w:tc>
        <w:tc>
          <w:tcPr>
            <w:tcW w:w="5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(925)</w:t>
            </w:r>
          </w:p>
        </w:tc>
        <w:tc>
          <w:tcPr>
            <w:tcW w:w="0" w:type="dxa"/>
            <w:vAlign w:val="bottom"/>
          </w:tcPr>
          <w:p>
            <w:pPr>
              <w:spacing w:after="0"/>
              <w:rPr>
                <w:sz w:val="1"/>
                <w:szCs w:val="1"/>
                <w:color w:val="auto"/>
              </w:rPr>
            </w:pPr>
          </w:p>
        </w:tc>
      </w:tr>
      <w:tr>
        <w:trPr>
          <w:trHeight w:val="174"/>
        </w:trPr>
        <w:tc>
          <w:tcPr>
            <w:tcW w:w="4720" w:type="dxa"/>
            <w:vAlign w:val="bottom"/>
          </w:tcPr>
          <w:p>
            <w:pPr>
              <w:ind w:left="40"/>
              <w:spacing w:after="0" w:line="175" w:lineRule="exact"/>
              <w:rPr>
                <w:sz w:val="20"/>
                <w:szCs w:val="20"/>
                <w:color w:val="auto"/>
              </w:rPr>
            </w:pPr>
            <w:r>
              <w:rPr>
                <w:rFonts w:ascii="Times New Roman" w:cs="Times New Roman" w:eastAsia="Times New Roman" w:hAnsi="Times New Roman"/>
                <w:sz w:val="20"/>
                <w:szCs w:val="20"/>
                <w:b w:val="1"/>
                <w:bCs w:val="1"/>
                <w:color w:val="auto"/>
              </w:rPr>
              <w:t>Total recorded in net periodic benefit cost and other</w:t>
            </w:r>
          </w:p>
        </w:tc>
        <w:tc>
          <w:tcPr>
            <w:tcW w:w="660" w:type="dxa"/>
            <w:vAlign w:val="bottom"/>
            <w:vMerge w:val="restart"/>
          </w:tcPr>
          <w:p>
            <w:pPr>
              <w:jc w:val="right"/>
              <w:ind w:right="43"/>
              <w:spacing w:after="0"/>
              <w:rPr>
                <w:sz w:val="20"/>
                <w:szCs w:val="20"/>
                <w:color w:val="auto"/>
              </w:rPr>
            </w:pPr>
            <w:r>
              <w:rPr>
                <w:rFonts w:ascii="Times New Roman" w:cs="Times New Roman" w:eastAsia="Times New Roman" w:hAnsi="Times New Roman"/>
                <w:sz w:val="20"/>
                <w:szCs w:val="20"/>
                <w:b w:val="1"/>
                <w:bCs w:val="1"/>
                <w:color w:val="auto"/>
              </w:rPr>
              <w:t>542</w:t>
            </w:r>
          </w:p>
        </w:tc>
        <w:tc>
          <w:tcPr>
            <w:tcW w:w="640" w:type="dxa"/>
            <w:vAlign w:val="bottom"/>
            <w:vMerge w:val="restart"/>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63</w:t>
            </w:r>
          </w:p>
        </w:tc>
        <w:tc>
          <w:tcPr>
            <w:tcW w:w="660" w:type="dxa"/>
            <w:vAlign w:val="bottom"/>
            <w:vMerge w:val="restart"/>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179</w:t>
            </w: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1,363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(1,383</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(2,231</w:t>
            </w:r>
          </w:p>
        </w:tc>
        <w:tc>
          <w:tcPr>
            <w:tcW w:w="70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20"/>
                <w:szCs w:val="20"/>
                <w:b w:val="1"/>
                <w:bCs w:val="1"/>
                <w:color w:val="auto"/>
              </w:rPr>
              <w:t>180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(1,577</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(501)</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comprehensive income, before tax</w:t>
            </w:r>
          </w:p>
        </w:tc>
        <w:tc>
          <w:tcPr>
            <w:tcW w:w="660" w:type="dxa"/>
            <w:vAlign w:val="bottom"/>
            <w:tcBorders>
              <w:bottom w:val="single" w:sz="8" w:color="4C4C4C"/>
            </w:tcBorders>
            <w:vMerge w:val="continue"/>
          </w:tcPr>
          <w:p>
            <w:pPr>
              <w:spacing w:after="0"/>
              <w:rPr>
                <w:sz w:val="22"/>
                <w:szCs w:val="22"/>
                <w:color w:val="auto"/>
              </w:rPr>
            </w:pPr>
          </w:p>
        </w:tc>
        <w:tc>
          <w:tcPr>
            <w:tcW w:w="640" w:type="dxa"/>
            <w:vAlign w:val="bottom"/>
            <w:tcBorders>
              <w:bottom w:val="single" w:sz="8" w:color="4C4C4C"/>
            </w:tcBorders>
            <w:vMerge w:val="continue"/>
          </w:tcPr>
          <w:p>
            <w:pPr>
              <w:spacing w:after="0"/>
              <w:rPr>
                <w:sz w:val="22"/>
                <w:szCs w:val="22"/>
                <w:color w:val="auto"/>
              </w:rPr>
            </w:pPr>
          </w:p>
        </w:tc>
        <w:tc>
          <w:tcPr>
            <w:tcW w:w="660" w:type="dxa"/>
            <w:vAlign w:val="bottom"/>
            <w:tcBorders>
              <w:bottom w:val="single" w:sz="8" w:color="4C4C4C"/>
            </w:tcBorders>
            <w:vMerge w:val="continue"/>
          </w:tcPr>
          <w:p>
            <w:pPr>
              <w:spacing w:after="0"/>
              <w:rPr>
                <w:sz w:val="22"/>
                <w:szCs w:val="22"/>
                <w:color w:val="auto"/>
              </w:rPr>
            </w:pPr>
          </w:p>
        </w:tc>
        <w:tc>
          <w:tcPr>
            <w:tcW w:w="620" w:type="dxa"/>
            <w:vAlign w:val="bottom"/>
            <w:tcBorders>
              <w:bottom w:val="single" w:sz="8" w:color="4C4C4C"/>
            </w:tcBorders>
            <w:vMerge w:val="continue"/>
          </w:tcPr>
          <w:p>
            <w:pPr>
              <w:spacing w:after="0"/>
              <w:rPr>
                <w:sz w:val="22"/>
                <w:szCs w:val="22"/>
                <w:color w:val="auto"/>
              </w:rPr>
            </w:pPr>
          </w:p>
        </w:tc>
        <w:tc>
          <w:tcPr>
            <w:tcW w:w="700" w:type="dxa"/>
            <w:vAlign w:val="bottom"/>
            <w:tcBorders>
              <w:bottom w:val="single" w:sz="8" w:color="4C4C4C"/>
            </w:tcBorders>
            <w:vMerge w:val="continue"/>
          </w:tcPr>
          <w:p>
            <w:pPr>
              <w:spacing w:after="0"/>
              <w:rPr>
                <w:sz w:val="22"/>
                <w:szCs w:val="22"/>
                <w:color w:val="auto"/>
              </w:rPr>
            </w:pPr>
          </w:p>
        </w:tc>
        <w:tc>
          <w:tcPr>
            <w:tcW w:w="600" w:type="dxa"/>
            <w:vAlign w:val="bottom"/>
            <w:tcBorders>
              <w:bottom w:val="single" w:sz="8" w:color="4C4C4C"/>
            </w:tcBorders>
            <w:vMerge w:val="continue"/>
          </w:tcPr>
          <w:p>
            <w:pPr>
              <w:spacing w:after="0"/>
              <w:rPr>
                <w:sz w:val="22"/>
                <w:szCs w:val="22"/>
                <w:color w:val="auto"/>
              </w:rPr>
            </w:pPr>
          </w:p>
        </w:tc>
        <w:tc>
          <w:tcPr>
            <w:tcW w:w="700" w:type="dxa"/>
            <w:vAlign w:val="bottom"/>
            <w:tcBorders>
              <w:bottom w:val="single" w:sz="8" w:color="4C4C4C"/>
            </w:tcBorders>
            <w:gridSpan w:val="2"/>
            <w:vMerge w:val="continue"/>
          </w:tcPr>
          <w:p>
            <w:pPr>
              <w:spacing w:after="0"/>
              <w:rPr>
                <w:sz w:val="22"/>
                <w:szCs w:val="22"/>
                <w:color w:val="auto"/>
              </w:rPr>
            </w:pPr>
          </w:p>
        </w:tc>
        <w:tc>
          <w:tcPr>
            <w:tcW w:w="700" w:type="dxa"/>
            <w:vAlign w:val="bottom"/>
            <w:tcBorders>
              <w:bottom w:val="single" w:sz="8" w:color="4C4C4C"/>
            </w:tcBorders>
            <w:vMerge w:val="continue"/>
          </w:tcPr>
          <w:p>
            <w:pPr>
              <w:spacing w:after="0"/>
              <w:rPr>
                <w:sz w:val="22"/>
                <w:szCs w:val="22"/>
                <w:color w:val="auto"/>
              </w:rPr>
            </w:pPr>
          </w:p>
        </w:tc>
        <w:tc>
          <w:tcPr>
            <w:tcW w:w="56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-4361815</wp:posOffset>
            </wp:positionV>
            <wp:extent cx="6711315" cy="4356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9">
                      <a:extLst>
                        <a:ext uri="{28A0092B-C50C-407E-A947-70E740481C1C}"/>
                      </a:extLst>
                    </a:blip>
                    <a:srcRect/>
                    <a:stretch>
                      <a:fillRect/>
                    </a:stretch>
                  </pic:blipFill>
                  <pic:spPr bwMode="auto">
                    <a:xfrm>
                      <a:off x="0" y="0"/>
                      <a:ext cx="6711315" cy="43567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for defined contribution plans were $383 million, $365 million, and $177 million in 2023, 2022, and 2021, respectively.</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880" w:h="15480" w:orient="portrait"/>
          <w:cols w:equalWidth="0" w:num="1">
            <w:col w:w="10600"/>
          </w:cols>
          <w:pgMar w:left="640" w:top="270" w:right="64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accumulated other comprehensive income is shown in the table below:</w:t>
      </w:r>
    </w:p>
    <w:p>
      <w:pPr>
        <w:spacing w:after="0" w:line="25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4C4C4C"/>
        </w:rPr>
        <w:t>Total Pension and Other Postretirement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4196080</wp:posOffset>
                </wp:positionH>
                <wp:positionV relativeFrom="paragraph">
                  <wp:posOffset>80645</wp:posOffset>
                </wp:positionV>
                <wp:extent cx="252984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984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4pt,6.35pt" to="529.6pt,6.35pt" o:allowincell="f" strokecolor="#4C4C4C" strokeweight="0.49pt"/>
            </w:pict>
          </mc:Fallback>
        </mc:AlternateConten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6600" w:type="dxa"/>
            <w:vAlign w:val="bottom"/>
            <w:shd w:val="clear" w:color="auto" w:fill="4C4C4C"/>
          </w:tcPr>
          <w:p>
            <w:pPr>
              <w:ind w:left="10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2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740" w:type="dxa"/>
            <w:vAlign w:val="bottom"/>
            <w:shd w:val="clear" w:color="auto" w:fill="4C4C4C"/>
          </w:tcPr>
          <w:p>
            <w:pPr>
              <w:jc w:val="right"/>
              <w:ind w:right="34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66"/>
        </w:trPr>
        <w:tc>
          <w:tcPr>
            <w:tcW w:w="66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4C4C4C"/>
              </w:rPr>
              <w:t>(Charge)/credit to other comprehensive income, before tax</w:t>
            </w:r>
          </w:p>
        </w:tc>
        <w:tc>
          <w:tcPr>
            <w:tcW w:w="1280" w:type="dxa"/>
            <w:vAlign w:val="bottom"/>
            <w:shd w:val="clear" w:color="auto" w:fill="F0F0F0"/>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3"/>
        </w:trPr>
        <w:tc>
          <w:tcPr>
            <w:tcW w:w="6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 pension</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1740" w:type="dxa"/>
            <w:vAlign w:val="bottom"/>
          </w:tcPr>
          <w:p>
            <w:pPr>
              <w:jc w:val="right"/>
              <w:ind w:right="364"/>
              <w:spacing w:after="0"/>
              <w:rPr>
                <w:sz w:val="20"/>
                <w:szCs w:val="20"/>
                <w:color w:val="auto"/>
              </w:rPr>
            </w:pPr>
            <w:r>
              <w:rPr>
                <w:rFonts w:ascii="Times New Roman" w:cs="Times New Roman" w:eastAsia="Times New Roman" w:hAnsi="Times New Roman"/>
                <w:sz w:val="20"/>
                <w:szCs w:val="20"/>
                <w:color w:val="auto"/>
              </w:rPr>
              <w:t>939</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w:t>
            </w:r>
          </w:p>
        </w:tc>
      </w:tr>
      <w:tr>
        <w:trPr>
          <w:trHeight w:val="294"/>
        </w:trPr>
        <w:tc>
          <w:tcPr>
            <w:tcW w:w="6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 pension</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1740" w:type="dxa"/>
            <w:vAlign w:val="bottom"/>
          </w:tcPr>
          <w:p>
            <w:pPr>
              <w:jc w:val="right"/>
              <w:ind w:right="364"/>
              <w:spacing w:after="0"/>
              <w:rPr>
                <w:sz w:val="20"/>
                <w:szCs w:val="20"/>
                <w:color w:val="auto"/>
              </w:rPr>
            </w:pPr>
            <w:r>
              <w:rPr>
                <w:rFonts w:ascii="Times New Roman" w:cs="Times New Roman" w:eastAsia="Times New Roman" w:hAnsi="Times New Roman"/>
                <w:sz w:val="20"/>
                <w:szCs w:val="20"/>
                <w:color w:val="auto"/>
              </w:rPr>
              <w:t>1,979</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3,009</w:t>
            </w:r>
          </w:p>
        </w:tc>
      </w:tr>
      <w:tr>
        <w:trPr>
          <w:trHeight w:val="297"/>
        </w:trPr>
        <w:tc>
          <w:tcPr>
            <w:tcW w:w="6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Other postretirement benefits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740" w:type="dxa"/>
            <w:vAlign w:val="bottom"/>
            <w:tcBorders>
              <w:bottom w:val="single" w:sz="8" w:color="4C4C4C"/>
            </w:tcBorders>
          </w:tcPr>
          <w:p>
            <w:pPr>
              <w:jc w:val="right"/>
              <w:ind w:right="364"/>
              <w:spacing w:after="0"/>
              <w:rPr>
                <w:sz w:val="20"/>
                <w:szCs w:val="20"/>
                <w:color w:val="auto"/>
              </w:rPr>
            </w:pPr>
            <w:r>
              <w:rPr>
                <w:rFonts w:ascii="Times New Roman" w:cs="Times New Roman" w:eastAsia="Times New Roman" w:hAnsi="Times New Roman"/>
                <w:sz w:val="20"/>
                <w:szCs w:val="20"/>
                <w:color w:val="auto"/>
              </w:rPr>
              <w:t>1,881</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925</w:t>
            </w:r>
          </w:p>
        </w:tc>
      </w:tr>
      <w:tr>
        <w:trPr>
          <w:trHeight w:val="274"/>
        </w:trPr>
        <w:tc>
          <w:tcPr>
            <w:tcW w:w="6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(charge)/credit to other comprehensive income, before tax</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(504)</w:t>
            </w:r>
          </w:p>
        </w:tc>
        <w:tc>
          <w:tcPr>
            <w:tcW w:w="1740" w:type="dxa"/>
            <w:vAlign w:val="bottom"/>
            <w:tcBorders>
              <w:bottom w:val="single" w:sz="8" w:color="4C4C4C"/>
            </w:tcBorders>
          </w:tcPr>
          <w:p>
            <w:pPr>
              <w:jc w:val="right"/>
              <w:ind w:right="364"/>
              <w:spacing w:after="0"/>
              <w:rPr>
                <w:sz w:val="20"/>
                <w:szCs w:val="20"/>
                <w:color w:val="auto"/>
              </w:rPr>
            </w:pPr>
            <w:r>
              <w:rPr>
                <w:rFonts w:ascii="Times New Roman" w:cs="Times New Roman" w:eastAsia="Times New Roman" w:hAnsi="Times New Roman"/>
                <w:sz w:val="20"/>
                <w:szCs w:val="20"/>
                <w:b w:val="1"/>
                <w:bCs w:val="1"/>
                <w:color w:val="auto"/>
              </w:rPr>
              <w:t>4,799</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5,220</w:t>
            </w:r>
          </w:p>
        </w:tc>
      </w:tr>
      <w:tr>
        <w:trPr>
          <w:trHeight w:val="271"/>
        </w:trPr>
        <w:tc>
          <w:tcPr>
            <w:tcW w:w="6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(Charge)/credit to income tax (see Note 4)</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740" w:type="dxa"/>
            <w:vAlign w:val="bottom"/>
          </w:tcPr>
          <w:p>
            <w:pPr>
              <w:jc w:val="right"/>
              <w:ind w:right="304"/>
              <w:spacing w:after="0"/>
              <w:rPr>
                <w:sz w:val="20"/>
                <w:szCs w:val="20"/>
                <w:color w:val="auto"/>
              </w:rPr>
            </w:pPr>
            <w:r>
              <w:rPr>
                <w:rFonts w:ascii="Times New Roman" w:cs="Times New Roman" w:eastAsia="Times New Roman" w:hAnsi="Times New Roman"/>
                <w:sz w:val="20"/>
                <w:szCs w:val="20"/>
                <w:color w:val="auto"/>
              </w:rPr>
              <w:t>(1,236)</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w:t>
            </w:r>
          </w:p>
        </w:tc>
      </w:tr>
      <w:tr>
        <w:trPr>
          <w:trHeight w:val="297"/>
        </w:trPr>
        <w:tc>
          <w:tcPr>
            <w:tcW w:w="6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(Charge)/credit to investment in equity companies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740" w:type="dxa"/>
            <w:vAlign w:val="bottom"/>
            <w:tcBorders>
              <w:bottom w:val="single" w:sz="8" w:color="4C4C4C"/>
            </w:tcBorders>
          </w:tcPr>
          <w:p>
            <w:pPr>
              <w:jc w:val="right"/>
              <w:ind w:right="364"/>
              <w:spacing w:after="0"/>
              <w:rPr>
                <w:sz w:val="20"/>
                <w:szCs w:val="20"/>
                <w:color w:val="auto"/>
              </w:rPr>
            </w:pPr>
            <w:r>
              <w:rPr>
                <w:rFonts w:ascii="Times New Roman" w:cs="Times New Roman" w:eastAsia="Times New Roman" w:hAnsi="Times New Roman"/>
                <w:sz w:val="20"/>
                <w:szCs w:val="20"/>
                <w:color w:val="auto"/>
              </w:rPr>
              <w:t>235</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189"/>
        </w:trPr>
        <w:tc>
          <w:tcPr>
            <w:tcW w:w="6600" w:type="dxa"/>
            <w:vAlign w:val="bottom"/>
          </w:tcPr>
          <w:p>
            <w:pPr>
              <w:ind w:left="60"/>
              <w:spacing w:after="0" w:line="189" w:lineRule="exact"/>
              <w:rPr>
                <w:sz w:val="20"/>
                <w:szCs w:val="20"/>
                <w:color w:val="auto"/>
              </w:rPr>
            </w:pPr>
            <w:r>
              <w:rPr>
                <w:rFonts w:ascii="Times New Roman" w:cs="Times New Roman" w:eastAsia="Times New Roman" w:hAnsi="Times New Roman"/>
                <w:sz w:val="20"/>
                <w:szCs w:val="20"/>
                <w:b w:val="1"/>
                <w:bCs w:val="1"/>
                <w:color w:val="auto"/>
              </w:rPr>
              <w:t>(Charge)/credit to other comprehensive income including noncontrolling</w:t>
            </w:r>
          </w:p>
        </w:tc>
        <w:tc>
          <w:tcPr>
            <w:tcW w:w="1280" w:type="dxa"/>
            <w:vAlign w:val="bottom"/>
            <w:shd w:val="clear" w:color="auto" w:fill="F0F0F0"/>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6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interests, after tax</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(308)</w:t>
            </w:r>
          </w:p>
        </w:tc>
        <w:tc>
          <w:tcPr>
            <w:tcW w:w="1740" w:type="dxa"/>
            <w:vAlign w:val="bottom"/>
            <w:tcBorders>
              <w:bottom w:val="single" w:sz="8" w:color="4C4C4C"/>
            </w:tcBorders>
          </w:tcPr>
          <w:p>
            <w:pPr>
              <w:jc w:val="right"/>
              <w:ind w:right="364"/>
              <w:spacing w:after="0"/>
              <w:rPr>
                <w:sz w:val="20"/>
                <w:szCs w:val="20"/>
                <w:color w:val="auto"/>
              </w:rPr>
            </w:pPr>
            <w:r>
              <w:rPr>
                <w:rFonts w:ascii="Times New Roman" w:cs="Times New Roman" w:eastAsia="Times New Roman" w:hAnsi="Times New Roman"/>
                <w:sz w:val="20"/>
                <w:szCs w:val="20"/>
                <w:b w:val="1"/>
                <w:bCs w:val="1"/>
                <w:color w:val="auto"/>
              </w:rPr>
              <w:t>3,798</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4,043</w:t>
            </w:r>
          </w:p>
        </w:tc>
      </w:tr>
      <w:tr>
        <w:trPr>
          <w:trHeight w:val="274"/>
        </w:trPr>
        <w:tc>
          <w:tcPr>
            <w:tcW w:w="6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Charge/(credit) to equity of noncontrolling interests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740" w:type="dxa"/>
            <w:vAlign w:val="bottom"/>
            <w:tcBorders>
              <w:bottom w:val="single" w:sz="8" w:color="4C4C4C"/>
            </w:tcBorders>
          </w:tcPr>
          <w:p>
            <w:pPr>
              <w:jc w:val="right"/>
              <w:ind w:right="304"/>
              <w:spacing w:after="0"/>
              <w:rPr>
                <w:sz w:val="20"/>
                <w:szCs w:val="20"/>
                <w:color w:val="auto"/>
              </w:rPr>
            </w:pPr>
            <w:r>
              <w:rPr>
                <w:rFonts w:ascii="Times New Roman" w:cs="Times New Roman" w:eastAsia="Times New Roman" w:hAnsi="Times New Roman"/>
                <w:sz w:val="20"/>
                <w:szCs w:val="20"/>
                <w:color w:val="auto"/>
              </w:rPr>
              <w:t>(212)</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r>
      <w:tr>
        <w:trPr>
          <w:trHeight w:val="277"/>
        </w:trPr>
        <w:tc>
          <w:tcPr>
            <w:tcW w:w="6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(Charge)/credit to other comprehensive income attributable to ExxonMobil</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(254)</w:t>
            </w:r>
          </w:p>
        </w:tc>
        <w:tc>
          <w:tcPr>
            <w:tcW w:w="1740" w:type="dxa"/>
            <w:vAlign w:val="bottom"/>
            <w:tcBorders>
              <w:bottom w:val="single" w:sz="8" w:color="4C4C4C"/>
            </w:tcBorders>
          </w:tcPr>
          <w:p>
            <w:pPr>
              <w:jc w:val="right"/>
              <w:ind w:right="364"/>
              <w:spacing w:after="0"/>
              <w:rPr>
                <w:sz w:val="20"/>
                <w:szCs w:val="20"/>
                <w:color w:val="auto"/>
              </w:rPr>
            </w:pPr>
            <w:r>
              <w:rPr>
                <w:rFonts w:ascii="Times New Roman" w:cs="Times New Roman" w:eastAsia="Times New Roman" w:hAnsi="Times New Roman"/>
                <w:sz w:val="20"/>
                <w:szCs w:val="20"/>
                <w:b w:val="1"/>
                <w:bCs w:val="1"/>
                <w:color w:val="auto"/>
              </w:rPr>
              <w:t>3,586</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3,826</w:t>
            </w:r>
          </w:p>
        </w:tc>
      </w:tr>
    </w:tbl>
    <w:p>
      <w:pPr>
        <w:spacing w:after="0" w:line="200" w:lineRule="exact"/>
        <w:rPr>
          <w:sz w:val="20"/>
          <w:szCs w:val="20"/>
          <w:color w:val="auto"/>
        </w:rPr>
      </w:pPr>
    </w:p>
    <w:p>
      <w:pPr>
        <w:spacing w:after="0" w:line="2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Corporation’s investment strategy for benefit plan assets reflects a long-term view, a careful assessment of the risks inherent in plan assets and liabilities, and broad diversification to reduce the risk of the portfolio. The benefit plan assets are primarily invested in passive global equity and local currency fixed income index funds to diversify risk while minimizing costs. The equity funds hold ExxonMobil stock only to the extent necessary to replicate the relevant equity index. The fixed income funds are largely invested in investment grade corporate and government debt securities with interest rate sensitivity designed to approximate the interest rate sensitivity of plan liabilities.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Target asset allocations for benefit plans are reviewed periodically and set based on considerations such as risk, diversification, liquidity, and funding level. The target asset allocations for the major benefit plans range from 10 to 35 percent in equity securities and the remainder in fixed income securities. The equity for the U.S. and certain non-U.S. plans include allocations to private equity partnerships that primarily focus on early-stage venture capital of less than 5 percent.</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fair value measurement levels are accounting terms that refer to different methods of valuing assets. The terms do not represent the relative risk or credit quality of an investment.</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880" w:h="15480" w:orient="portrait"/>
          <w:cols w:equalWidth="0" w:num="1">
            <w:col w:w="10600"/>
          </w:cols>
          <w:pgMar w:left="640" w:top="270" w:right="64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2023 fair value of the benefit plan assets, including the level within the fair value hierarchy, is shown in the tables below:</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600" w:type="dxa"/>
            <w:vAlign w:val="bottom"/>
            <w:tcBorders>
              <w:bottom w:val="single" w:sz="8" w:color="4C4C4C"/>
            </w:tcBorders>
          </w:tcPr>
          <w:p>
            <w:pPr>
              <w:spacing w:after="0"/>
              <w:rPr>
                <w:sz w:val="18"/>
                <w:szCs w:val="18"/>
                <w:color w:val="auto"/>
              </w:rPr>
            </w:pPr>
          </w:p>
        </w:tc>
        <w:tc>
          <w:tcPr>
            <w:tcW w:w="760" w:type="dxa"/>
            <w:vAlign w:val="bottom"/>
            <w:tcBorders>
              <w:bottom w:val="single" w:sz="8" w:color="4C4C4C"/>
            </w:tcBorders>
          </w:tcPr>
          <w:p>
            <w:pPr>
              <w:spacing w:after="0"/>
              <w:rPr>
                <w:sz w:val="18"/>
                <w:szCs w:val="18"/>
                <w:color w:val="auto"/>
              </w:rPr>
            </w:pPr>
          </w:p>
        </w:tc>
        <w:tc>
          <w:tcPr>
            <w:tcW w:w="1140" w:type="dxa"/>
            <w:vAlign w:val="bottom"/>
            <w:tcBorders>
              <w:bottom w:val="single" w:sz="8" w:color="4C4C4C"/>
            </w:tcBorders>
          </w:tcPr>
          <w:p>
            <w:pPr>
              <w:ind w:left="100"/>
              <w:spacing w:after="0"/>
              <w:rPr>
                <w:sz w:val="20"/>
                <w:szCs w:val="20"/>
                <w:color w:val="auto"/>
              </w:rPr>
            </w:pPr>
            <w:r>
              <w:rPr>
                <w:rFonts w:ascii="Times New Roman" w:cs="Times New Roman" w:eastAsia="Times New Roman" w:hAnsi="Times New Roman"/>
                <w:sz w:val="16"/>
                <w:szCs w:val="16"/>
                <w:b w:val="1"/>
                <w:bCs w:val="1"/>
                <w:color w:val="4C4C4C"/>
              </w:rPr>
              <w:t>U.S. Pension</w:t>
            </w:r>
          </w:p>
        </w:tc>
        <w:tc>
          <w:tcPr>
            <w:tcW w:w="580" w:type="dxa"/>
            <w:vAlign w:val="bottom"/>
            <w:tcBorders>
              <w:bottom w:val="single" w:sz="8" w:color="4C4C4C"/>
            </w:tcBorders>
          </w:tcPr>
          <w:p>
            <w:pPr>
              <w:spacing w:after="0"/>
              <w:rPr>
                <w:sz w:val="18"/>
                <w:szCs w:val="18"/>
                <w:color w:val="auto"/>
              </w:rPr>
            </w:pPr>
          </w:p>
        </w:tc>
        <w:tc>
          <w:tcPr>
            <w:tcW w:w="680" w:type="dxa"/>
            <w:vAlign w:val="bottom"/>
            <w:tcBorders>
              <w:bottom w:val="single" w:sz="8" w:color="4C4C4C"/>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4C4C4C"/>
            </w:tcBorders>
          </w:tcPr>
          <w:p>
            <w:pPr>
              <w:spacing w:after="0"/>
              <w:rPr>
                <w:sz w:val="18"/>
                <w:szCs w:val="18"/>
                <w:color w:val="auto"/>
              </w:rPr>
            </w:pPr>
          </w:p>
        </w:tc>
        <w:tc>
          <w:tcPr>
            <w:tcW w:w="2060" w:type="dxa"/>
            <w:vAlign w:val="bottom"/>
            <w:tcBorders>
              <w:bottom w:val="single" w:sz="8" w:color="4C4C4C"/>
            </w:tcBorders>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4C4C4C"/>
              </w:rPr>
              <w:t>Non-U.S. Pension</w:t>
            </w:r>
          </w:p>
        </w:tc>
        <w:tc>
          <w:tcPr>
            <w:tcW w:w="660" w:type="dxa"/>
            <w:vAlign w:val="bottom"/>
            <w:tcBorders>
              <w:bottom w:val="single" w:sz="8" w:color="4C4C4C"/>
            </w:tcBorders>
          </w:tcPr>
          <w:p>
            <w:pPr>
              <w:spacing w:after="0"/>
              <w:rPr>
                <w:sz w:val="18"/>
                <w:szCs w:val="18"/>
                <w:color w:val="auto"/>
              </w:rPr>
            </w:pPr>
          </w:p>
        </w:tc>
        <w:tc>
          <w:tcPr>
            <w:tcW w:w="660" w:type="dxa"/>
            <w:vAlign w:val="bottom"/>
            <w:tcBorders>
              <w:bottom w:val="single" w:sz="8" w:color="4C4C4C"/>
            </w:tcBorders>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FFFFFF"/>
                <w:w w:val="98"/>
              </w:rPr>
              <w:t>Fair Value Measurement at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shd w:val="clear" w:color="auto" w:fill="4C4C4C"/>
          </w:tcPr>
          <w:p>
            <w:pPr>
              <w:spacing w:after="0"/>
              <w:rPr>
                <w:sz w:val="15"/>
                <w:szCs w:val="15"/>
                <w:color w:val="auto"/>
              </w:rPr>
            </w:pPr>
          </w:p>
        </w:tc>
        <w:tc>
          <w:tcPr>
            <w:tcW w:w="2060" w:type="dxa"/>
            <w:vAlign w:val="bottom"/>
            <w:gridSpan w:val="2"/>
            <w:shd w:val="clear" w:color="auto" w:fill="4C4C4C"/>
          </w:tcPr>
          <w:p>
            <w:pPr>
              <w:jc w:val="right"/>
              <w:ind w:right="42"/>
              <w:spacing w:after="0" w:line="177" w:lineRule="exact"/>
              <w:rPr>
                <w:sz w:val="20"/>
                <w:szCs w:val="20"/>
                <w:color w:val="auto"/>
              </w:rPr>
            </w:pPr>
            <w:r>
              <w:rPr>
                <w:rFonts w:ascii="Times New Roman" w:cs="Times New Roman" w:eastAsia="Times New Roman" w:hAnsi="Times New Roman"/>
                <w:sz w:val="16"/>
                <w:szCs w:val="16"/>
                <w:b w:val="1"/>
                <w:bCs w:val="1"/>
                <w:color w:val="FFFFFF"/>
              </w:rPr>
              <w:t>Fair Value Measurement at</w:t>
            </w:r>
          </w:p>
        </w:tc>
        <w:tc>
          <w:tcPr>
            <w:tcW w:w="660" w:type="dxa"/>
            <w:vAlign w:val="bottom"/>
            <w:shd w:val="clear" w:color="auto" w:fill="4C4C4C"/>
          </w:tcPr>
          <w:p>
            <w:pPr>
              <w:spacing w:after="0"/>
              <w:rPr>
                <w:sz w:val="15"/>
                <w:szCs w:val="15"/>
                <w:color w:val="auto"/>
              </w:rPr>
            </w:pPr>
          </w:p>
        </w:tc>
        <w:tc>
          <w:tcPr>
            <w:tcW w:w="660" w:type="dxa"/>
            <w:vAlign w:val="bottom"/>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December 31, 2023, Using:</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shd w:val="clear" w:color="auto" w:fill="4C4C4C"/>
          </w:tcPr>
          <w:p>
            <w:pPr>
              <w:spacing w:after="0"/>
              <w:rPr>
                <w:sz w:val="18"/>
                <w:szCs w:val="18"/>
                <w:color w:val="auto"/>
              </w:rPr>
            </w:pPr>
          </w:p>
        </w:tc>
        <w:tc>
          <w:tcPr>
            <w:tcW w:w="2060" w:type="dxa"/>
            <w:vAlign w:val="bottom"/>
            <w:gridSpan w:val="2"/>
            <w:shd w:val="clear" w:color="auto" w:fill="4C4C4C"/>
          </w:tcPr>
          <w:p>
            <w:pPr>
              <w:jc w:val="right"/>
              <w:ind w:right="82"/>
              <w:spacing w:after="0"/>
              <w:rPr>
                <w:sz w:val="20"/>
                <w:szCs w:val="20"/>
                <w:color w:val="auto"/>
              </w:rPr>
            </w:pPr>
            <w:r>
              <w:rPr>
                <w:rFonts w:ascii="Times New Roman" w:cs="Times New Roman" w:eastAsia="Times New Roman" w:hAnsi="Times New Roman"/>
                <w:sz w:val="16"/>
                <w:szCs w:val="16"/>
                <w:b w:val="1"/>
                <w:bCs w:val="1"/>
                <w:color w:val="FFFFFF"/>
              </w:rPr>
              <w:t>December 31, 2023, Using:</w:t>
            </w:r>
          </w:p>
        </w:tc>
        <w:tc>
          <w:tcPr>
            <w:tcW w:w="660" w:type="dxa"/>
            <w:vAlign w:val="bottom"/>
            <w:shd w:val="clear" w:color="auto" w:fill="4C4C4C"/>
          </w:tcPr>
          <w:p>
            <w:pPr>
              <w:spacing w:after="0"/>
              <w:rPr>
                <w:sz w:val="18"/>
                <w:szCs w:val="18"/>
                <w:color w:val="auto"/>
              </w:rPr>
            </w:pPr>
          </w:p>
        </w:tc>
        <w:tc>
          <w:tcPr>
            <w:tcW w:w="660" w:type="dxa"/>
            <w:vAlign w:val="bottom"/>
            <w:shd w:val="clear" w:color="auto" w:fill="4C4C4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220" w:type="dxa"/>
            <w:vAlign w:val="bottom"/>
            <w:gridSpan w:val="2"/>
            <w:vMerge w:val="continue"/>
          </w:tcPr>
          <w:p>
            <w:pPr>
              <w:spacing w:after="0"/>
              <w:rPr>
                <w:sz w:val="15"/>
                <w:szCs w:val="15"/>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FFFFFF"/>
              </w:rPr>
              <w:t>Level 2</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FFFFFF"/>
              </w:rPr>
              <w:t>Level 3</w:t>
            </w:r>
          </w:p>
        </w:tc>
        <w:tc>
          <w:tcPr>
            <w:tcW w:w="580" w:type="dxa"/>
            <w:vAlign w:val="bottom"/>
          </w:tcPr>
          <w:p>
            <w:pPr>
              <w:jc w:val="center"/>
              <w:ind w:right="62"/>
              <w:spacing w:after="0" w:line="175" w:lineRule="exact"/>
              <w:rPr>
                <w:sz w:val="20"/>
                <w:szCs w:val="20"/>
                <w:color w:val="auto"/>
              </w:rPr>
            </w:pPr>
            <w:r>
              <w:rPr>
                <w:rFonts w:ascii="Times New Roman" w:cs="Times New Roman" w:eastAsia="Times New Roman" w:hAnsi="Times New Roman"/>
                <w:sz w:val="16"/>
                <w:szCs w:val="16"/>
                <w:b w:val="1"/>
                <w:bCs w:val="1"/>
                <w:color w:val="FFFFFF"/>
                <w:w w:val="99"/>
              </w:rPr>
              <w:t>Net</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60" w:type="dxa"/>
            <w:vAlign w:val="bottom"/>
            <w:vMerge w:val="restart"/>
            <w:shd w:val="clear" w:color="auto" w:fill="4C4C4C"/>
          </w:tcPr>
          <w:p>
            <w:pPr>
              <w:ind w:left="80"/>
              <w:spacing w:after="0"/>
              <w:rPr>
                <w:sz w:val="20"/>
                <w:szCs w:val="20"/>
                <w:color w:val="auto"/>
              </w:rPr>
            </w:pPr>
            <w:r>
              <w:rPr>
                <w:rFonts w:ascii="Times New Roman" w:cs="Times New Roman" w:eastAsia="Times New Roman" w:hAnsi="Times New Roman"/>
                <w:sz w:val="16"/>
                <w:szCs w:val="16"/>
                <w:b w:val="1"/>
                <w:bCs w:val="1"/>
                <w:color w:val="FFFFFF"/>
              </w:rPr>
              <w:t>Level 1</w:t>
            </w:r>
          </w:p>
        </w:tc>
        <w:tc>
          <w:tcPr>
            <w:tcW w:w="1160" w:type="dxa"/>
            <w:vAlign w:val="bottom"/>
            <w:vMerge w:val="restart"/>
            <w:shd w:val="clear" w:color="auto" w:fill="4C4C4C"/>
          </w:tcPr>
          <w:p>
            <w:pPr>
              <w:ind w:left="420"/>
              <w:spacing w:after="0"/>
              <w:rPr>
                <w:sz w:val="20"/>
                <w:szCs w:val="20"/>
                <w:color w:val="auto"/>
              </w:rPr>
            </w:pPr>
            <w:r>
              <w:rPr>
                <w:rFonts w:ascii="Times New Roman" w:cs="Times New Roman" w:eastAsia="Times New Roman" w:hAnsi="Times New Roman"/>
                <w:sz w:val="16"/>
                <w:szCs w:val="16"/>
                <w:b w:val="1"/>
                <w:bCs w:val="1"/>
                <w:color w:val="FFFFFF"/>
              </w:rPr>
              <w:t>Level 2</w:t>
            </w:r>
          </w:p>
        </w:tc>
        <w:tc>
          <w:tcPr>
            <w:tcW w:w="900" w:type="dxa"/>
            <w:vAlign w:val="bottom"/>
            <w:vMerge w:val="restart"/>
            <w:shd w:val="clear" w:color="auto" w:fill="4C4C4C"/>
          </w:tcPr>
          <w:p>
            <w:pPr>
              <w:jc w:val="right"/>
              <w:ind w:right="82"/>
              <w:spacing w:after="0"/>
              <w:rPr>
                <w:sz w:val="20"/>
                <w:szCs w:val="20"/>
                <w:color w:val="auto"/>
              </w:rPr>
            </w:pPr>
            <w:r>
              <w:rPr>
                <w:rFonts w:ascii="Times New Roman" w:cs="Times New Roman" w:eastAsia="Times New Roman" w:hAnsi="Times New Roman"/>
                <w:sz w:val="16"/>
                <w:szCs w:val="16"/>
                <w:b w:val="1"/>
                <w:bCs w:val="1"/>
                <w:color w:val="FFFFFF"/>
              </w:rPr>
              <w:t>Level 3</w:t>
            </w:r>
          </w:p>
        </w:tc>
        <w:tc>
          <w:tcPr>
            <w:tcW w:w="660" w:type="dxa"/>
            <w:vAlign w:val="bottom"/>
            <w:shd w:val="clear" w:color="auto" w:fill="4C4C4C"/>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FFFFFF"/>
                <w:w w:val="99"/>
              </w:rPr>
              <w:t>Net</w:t>
            </w:r>
          </w:p>
        </w:tc>
        <w:tc>
          <w:tcPr>
            <w:tcW w:w="660" w:type="dxa"/>
            <w:vAlign w:val="bottom"/>
            <w:vMerge w:val="restart"/>
            <w:shd w:val="clear" w:color="auto" w:fill="4C4C4C"/>
          </w:tcPr>
          <w:p>
            <w:pPr>
              <w:ind w:left="160"/>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60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FFFFFF"/>
              </w:rPr>
              <w:t>Level 1</w:t>
            </w:r>
          </w:p>
        </w:tc>
        <w:tc>
          <w:tcPr>
            <w:tcW w:w="7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58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Asset</w:t>
            </w:r>
          </w:p>
        </w:tc>
        <w:tc>
          <w:tcPr>
            <w:tcW w:w="740" w:type="dxa"/>
            <w:vAlign w:val="bottom"/>
            <w:gridSpan w:val="2"/>
            <w:vMerge w:val="continue"/>
          </w:tcPr>
          <w:p>
            <w:pPr>
              <w:spacing w:after="0"/>
              <w:rPr>
                <w:sz w:val="13"/>
                <w:szCs w:val="13"/>
                <w:color w:val="auto"/>
              </w:rPr>
            </w:pPr>
          </w:p>
        </w:tc>
        <w:tc>
          <w:tcPr>
            <w:tcW w:w="660" w:type="dxa"/>
            <w:vAlign w:val="bottom"/>
            <w:vMerge w:val="continue"/>
            <w:shd w:val="clear" w:color="auto" w:fill="4C4C4C"/>
          </w:tcPr>
          <w:p>
            <w:pPr>
              <w:spacing w:after="0"/>
              <w:rPr>
                <w:sz w:val="13"/>
                <w:szCs w:val="13"/>
                <w:color w:val="auto"/>
              </w:rPr>
            </w:pPr>
          </w:p>
        </w:tc>
        <w:tc>
          <w:tcPr>
            <w:tcW w:w="1160" w:type="dxa"/>
            <w:vAlign w:val="bottom"/>
            <w:vMerge w:val="continue"/>
            <w:shd w:val="clear" w:color="auto" w:fill="4C4C4C"/>
          </w:tcPr>
          <w:p>
            <w:pPr>
              <w:spacing w:after="0"/>
              <w:rPr>
                <w:sz w:val="13"/>
                <w:szCs w:val="13"/>
                <w:color w:val="auto"/>
              </w:rPr>
            </w:pPr>
          </w:p>
        </w:tc>
        <w:tc>
          <w:tcPr>
            <w:tcW w:w="900" w:type="dxa"/>
            <w:vAlign w:val="bottom"/>
            <w:vMerge w:val="continue"/>
            <w:shd w:val="clear" w:color="auto" w:fill="4C4C4C"/>
          </w:tcPr>
          <w:p>
            <w:pPr>
              <w:spacing w:after="0"/>
              <w:rPr>
                <w:sz w:val="13"/>
                <w:szCs w:val="13"/>
                <w:color w:val="auto"/>
              </w:rPr>
            </w:pPr>
          </w:p>
        </w:tc>
        <w:tc>
          <w:tcPr>
            <w:tcW w:w="66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Asset</w:t>
            </w:r>
          </w:p>
        </w:tc>
        <w:tc>
          <w:tcPr>
            <w:tcW w:w="66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FFFFFF"/>
                <w:w w:val="99"/>
              </w:rPr>
              <w:t>Value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shd w:val="clear" w:color="auto" w:fill="4C4C4C"/>
          </w:tcPr>
          <w:p>
            <w:pPr>
              <w:spacing w:after="0"/>
              <w:rPr>
                <w:sz w:val="19"/>
                <w:szCs w:val="19"/>
                <w:color w:val="auto"/>
              </w:rPr>
            </w:pPr>
          </w:p>
        </w:tc>
        <w:tc>
          <w:tcPr>
            <w:tcW w:w="1160" w:type="dxa"/>
            <w:vAlign w:val="bottom"/>
            <w:shd w:val="clear" w:color="auto" w:fill="4C4C4C"/>
          </w:tcPr>
          <w:p>
            <w:pPr>
              <w:spacing w:after="0"/>
              <w:rPr>
                <w:sz w:val="19"/>
                <w:szCs w:val="19"/>
                <w:color w:val="auto"/>
              </w:rPr>
            </w:pPr>
          </w:p>
        </w:tc>
        <w:tc>
          <w:tcPr>
            <w:tcW w:w="900" w:type="dxa"/>
            <w:vAlign w:val="bottom"/>
            <w:shd w:val="clear" w:color="auto" w:fill="4C4C4C"/>
          </w:tcPr>
          <w:p>
            <w:pPr>
              <w:spacing w:after="0"/>
              <w:rPr>
                <w:sz w:val="19"/>
                <w:szCs w:val="19"/>
                <w:color w:val="auto"/>
              </w:rPr>
            </w:pPr>
          </w:p>
        </w:tc>
        <w:tc>
          <w:tcPr>
            <w:tcW w:w="6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Value</w:t>
            </w:r>
          </w:p>
        </w:tc>
        <w:tc>
          <w:tcPr>
            <w:tcW w:w="660" w:type="dxa"/>
            <w:vAlign w:val="bottom"/>
            <w:shd w:val="clear" w:color="auto" w:fill="4C4C4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-609600</wp:posOffset>
            </wp:positionV>
            <wp:extent cx="4129405" cy="622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0">
                      <a:extLst>
                        <a:ext uri="{28A0092B-C50C-407E-A947-70E740481C1C}"/>
                      </a:extLst>
                    </a:blip>
                    <a:srcRect/>
                    <a:stretch>
                      <a:fillRect/>
                    </a:stretch>
                  </pic:blipFill>
                  <pic:spPr bwMode="auto">
                    <a:xfrm>
                      <a:off x="0" y="0"/>
                      <a:ext cx="4129405" cy="622935"/>
                    </a:xfrm>
                    <a:prstGeom prst="rect">
                      <a:avLst/>
                    </a:prstGeom>
                    <a:noFill/>
                  </pic:spPr>
                </pic:pic>
              </a:graphicData>
            </a:graphic>
          </wp:anchor>
        </w:drawing>
      </w:r>
    </w:p>
    <w:p>
      <w:pPr>
        <w:sectPr>
          <w:pgSz w:w="11880" w:h="15480" w:orient="portrait"/>
          <w:cols w:equalWidth="0" w:num="1">
            <w:col w:w="10580"/>
          </w:cols>
          <w:pgMar w:left="640" w:top="270" w:right="660" w:bottom="0" w:gutter="0" w:footer="0" w:header="0"/>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2140" w:type="dxa"/>
            <w:vAlign w:val="bottom"/>
          </w:tcPr>
          <w:p>
            <w:pPr>
              <w:spacing w:after="0"/>
              <w:rPr>
                <w:sz w:val="20"/>
                <w:szCs w:val="20"/>
                <w:color w:val="auto"/>
              </w:rPr>
            </w:pPr>
            <w:r>
              <w:rPr>
                <w:rFonts w:ascii="Times New Roman" w:cs="Times New Roman" w:eastAsia="Times New Roman" w:hAnsi="Times New Roman"/>
                <w:sz w:val="20"/>
                <w:szCs w:val="20"/>
                <w:b w:val="1"/>
                <w:bCs w:val="1"/>
                <w:color w:val="4C4C4C"/>
              </w:rPr>
              <w:t>Asset category:</w:t>
            </w: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9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4"/>
        </w:trPr>
        <w:tc>
          <w:tcPr>
            <w:tcW w:w="2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Non-U.S.</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Private equity</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Debt securities</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4"/>
        </w:trPr>
        <w:tc>
          <w:tcPr>
            <w:tcW w:w="2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4,699</w:t>
            </w:r>
          </w:p>
        </w:tc>
      </w:tr>
      <w:tr>
        <w:trPr>
          <w:trHeight w:val="294"/>
        </w:trPr>
        <w:tc>
          <w:tcPr>
            <w:tcW w:w="2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Government</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2,650</w:t>
            </w:r>
          </w:p>
        </w:tc>
      </w:tr>
      <w:tr>
        <w:trPr>
          <w:trHeight w:val="294"/>
        </w:trPr>
        <w:tc>
          <w:tcPr>
            <w:tcW w:w="2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Asset-backed</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11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4445</wp:posOffset>
            </wp:positionV>
            <wp:extent cx="4953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1">
                      <a:extLst>
                        <a:ext uri="{28A0092B-C50C-407E-A947-70E740481C1C}"/>
                      </a:extLst>
                    </a:blip>
                    <a:srcRect/>
                    <a:stretch>
                      <a:fillRect/>
                    </a:stretch>
                  </pic:blipFill>
                  <pic:spPr bwMode="auto">
                    <a:xfrm>
                      <a:off x="0" y="0"/>
                      <a:ext cx="4953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2,114</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2,114</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1,344</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1,344</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9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375</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375</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4,700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2,652</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9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178</w:t>
            </w: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178</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   2,642   2,642</w:t>
      </w:r>
    </w:p>
    <w:p>
      <w:pPr>
        <w:spacing w:after="0" w:line="44" w:lineRule="exact"/>
        <w:rPr>
          <w:sz w:val="20"/>
          <w:szCs w:val="20"/>
          <w:color w:val="auto"/>
        </w:rPr>
      </w:pPr>
    </w:p>
    <w:p>
      <w:pPr>
        <w:ind w:left="700" w:hanging="699"/>
        <w:spacing w:after="0"/>
        <w:tabs>
          <w:tab w:leader="none" w:pos="700" w:val="left"/>
        </w:tabs>
        <w:numPr>
          <w:ilvl w:val="0"/>
          <w:numId w:val="4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20"/>
          <w:szCs w:val="20"/>
          <w:color w:val="auto"/>
        </w:rPr>
        <w:t>——   1,688   1,740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2"/>
                <w:szCs w:val="22"/>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294</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r>
      <w:tr>
        <w:trPr>
          <w:trHeight w:val="582"/>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12"/>
                <w:szCs w:val="12"/>
                <w:i w:val="1"/>
                <w:iCs w:val="1"/>
                <w:color w:val="auto"/>
              </w:rPr>
              <w:t>(2)</w:t>
            </w:r>
          </w:p>
        </w:tc>
        <w:tc>
          <w:tcPr>
            <w:tcW w:w="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4,370</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4,431</w:t>
            </w:r>
          </w:p>
        </w:tc>
      </w:tr>
      <w:tr>
        <w:trPr>
          <w:trHeight w:val="320"/>
        </w:trPr>
        <w:tc>
          <w:tcPr>
            <w:tcW w:w="960" w:type="dxa"/>
            <w:vAlign w:val="bottom"/>
          </w:tcPr>
          <w:p>
            <w:pPr>
              <w:jc w:val="right"/>
              <w:spacing w:after="0" w:line="320" w:lineRule="exact"/>
              <w:rPr>
                <w:sz w:val="20"/>
                <w:szCs w:val="20"/>
                <w:color w:val="auto"/>
              </w:rPr>
            </w:pPr>
            <w:r>
              <w:rPr>
                <w:rFonts w:ascii="Times New Roman" w:cs="Times New Roman" w:eastAsia="Times New Roman" w:hAnsi="Times New Roman"/>
                <w:sz w:val="12"/>
                <w:szCs w:val="12"/>
                <w:i w:val="1"/>
                <w:iCs w:val="1"/>
                <w:color w:val="auto"/>
                <w:w w:val="80"/>
              </w:rPr>
              <w:t>(3)</w:t>
            </w:r>
            <w:r>
              <w:rPr>
                <w:rFonts w:ascii="Times New Roman" w:cs="Times New Roman" w:eastAsia="Times New Roman" w:hAnsi="Times New Roman"/>
                <w:sz w:val="37"/>
                <w:szCs w:val="37"/>
                <w:color w:val="auto"/>
                <w:w w:val="80"/>
                <w:vertAlign w:val="subscript"/>
              </w:rPr>
              <w:t>171</w:t>
            </w: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12"/>
                <w:szCs w:val="12"/>
                <w:i w:val="1"/>
                <w:iCs w:val="1"/>
                <w:color w:val="auto"/>
              </w:rPr>
              <w:t>(2)</w:t>
            </w:r>
          </w:p>
        </w:tc>
        <w:tc>
          <w:tcPr>
            <w:tcW w:w="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8,429</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8,734</w:t>
            </w:r>
          </w:p>
        </w:tc>
      </w:tr>
      <w:tr>
        <w:trPr>
          <w:trHeight w:val="268"/>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12"/>
                <w:szCs w:val="12"/>
                <w:i w:val="1"/>
                <w:iCs w:val="1"/>
                <w:color w:val="auto"/>
              </w:rPr>
              <w:t>(2)</w:t>
            </w:r>
          </w:p>
        </w:tc>
        <w:tc>
          <w:tcPr>
            <w:tcW w:w="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221</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r>
      <w:tr>
        <w:trPr>
          <w:trHeight w:val="294"/>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4"/>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70</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94"/>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12"/>
                <w:szCs w:val="12"/>
                <w:i w:val="1"/>
                <w:iCs w:val="1"/>
                <w:color w:val="auto"/>
              </w:rPr>
              <w:t>(4)</w:t>
            </w:r>
          </w:p>
        </w:tc>
        <w:tc>
          <w:tcPr>
            <w:tcW w:w="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45</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r>
    </w:tbl>
    <w:p>
      <w:pPr>
        <w:spacing w:after="0" w:line="33" w:lineRule="exact"/>
        <w:rPr>
          <w:sz w:val="20"/>
          <w:szCs w:val="20"/>
          <w:color w:val="auto"/>
        </w:rPr>
      </w:pPr>
    </w:p>
    <w:p>
      <w:pPr>
        <w:sectPr>
          <w:pgSz w:w="11880" w:h="15480" w:orient="portrait"/>
          <w:cols w:equalWidth="0" w:num="4">
            <w:col w:w="3960" w:space="100"/>
            <w:col w:w="140" w:space="560"/>
            <w:col w:w="2320" w:space="100"/>
            <w:col w:w="3400"/>
          </w:cols>
          <w:pgMar w:left="640" w:top="270" w:right="660" w:bottom="0" w:gutter="0" w:footer="0" w:header="0"/>
          <w:type w:val="continuous"/>
        </w:sectPr>
      </w:pPr>
    </w:p>
    <w:tbl>
      <w:tblPr>
        <w:tblLayout w:type="fixed"/>
        <w:tblInd w:w="20" w:type="dxa"/>
        <w:tblCellMar>
          <w:top w:w="0" w:type="dxa"/>
          <w:left w:w="0" w:type="dxa"/>
          <w:bottom w:w="0" w:type="dxa"/>
          <w:right w:w="0" w:type="dxa"/>
        </w:tblCellMar>
      </w:tblPr>
      <w:tr>
        <w:trPr>
          <w:trHeight w:val="264"/>
        </w:trPr>
        <w:tc>
          <w:tcPr>
            <w:tcW w:w="2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at fair value</w:t>
            </w:r>
          </w:p>
        </w:tc>
        <w:tc>
          <w:tcPr>
            <w:tcW w:w="1600" w:type="dxa"/>
            <w:vAlign w:val="bottom"/>
            <w:tcBorders>
              <w:bottom w:val="single" w:sz="8" w:color="4C4C4C"/>
            </w:tcBorders>
          </w:tcPr>
          <w:p>
            <w:pPr>
              <w:ind w:left="300"/>
              <w:spacing w:after="0"/>
              <w:rPr>
                <w:sz w:val="20"/>
                <w:szCs w:val="20"/>
                <w:color w:val="auto"/>
              </w:rPr>
            </w:pPr>
            <w:r>
              <w:rPr>
                <w:rFonts w:ascii="Times New Roman" w:cs="Times New Roman" w:eastAsia="Times New Roman" w:hAnsi="Times New Roman"/>
                <w:sz w:val="20"/>
                <w:szCs w:val="20"/>
                <w:b w:val="1"/>
                <w:bCs w:val="1"/>
                <w:color w:val="auto"/>
              </w:rPr>
              <w:t>—   7,349</w:t>
            </w:r>
          </w:p>
        </w:tc>
        <w:tc>
          <w:tcPr>
            <w:tcW w:w="2240" w:type="dxa"/>
            <w:vAlign w:val="bottom"/>
            <w:tcBorders>
              <w:bottom w:val="single" w:sz="8" w:color="4C4C4C"/>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   4,015  11,364</w:t>
            </w:r>
          </w:p>
        </w:tc>
        <w:tc>
          <w:tcPr>
            <w:tcW w:w="840" w:type="dxa"/>
            <w:vAlign w:val="bottom"/>
            <w:tcBorders>
              <w:bottom w:val="single" w:sz="8" w:color="4C4C4C"/>
            </w:tcBorders>
          </w:tcPr>
          <w:p>
            <w:pPr>
              <w:jc w:val="right"/>
              <w:ind w:right="262"/>
              <w:spacing w:after="0"/>
              <w:rPr>
                <w:sz w:val="20"/>
                <w:szCs w:val="20"/>
                <w:color w:val="auto"/>
              </w:rPr>
            </w:pPr>
            <w:r>
              <w:rPr>
                <w:rFonts w:ascii="Times New Roman" w:cs="Times New Roman" w:eastAsia="Times New Roman" w:hAnsi="Times New Roman"/>
                <w:sz w:val="20"/>
                <w:szCs w:val="20"/>
                <w:b w:val="1"/>
                <w:bCs w:val="1"/>
                <w:color w:val="auto"/>
              </w:rPr>
              <w:t>375</w:t>
            </w:r>
          </w:p>
        </w:tc>
        <w:tc>
          <w:tcPr>
            <w:tcW w:w="1040" w:type="dxa"/>
            <w:vAlign w:val="bottom"/>
            <w:tcBorders>
              <w:bottom w:val="single" w:sz="8" w:color="4C4C4C"/>
            </w:tcBorders>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271</w:t>
            </w:r>
          </w:p>
        </w:tc>
        <w:tc>
          <w:tcPr>
            <w:tcW w:w="2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17,763  18,409</w:t>
            </w:r>
          </w:p>
        </w:tc>
        <w:tc>
          <w:tcPr>
            <w:tcW w:w="0" w:type="dxa"/>
            <w:vAlign w:val="bottom"/>
          </w:tcPr>
          <w:p>
            <w:pPr>
              <w:spacing w:after="0"/>
              <w:rPr>
                <w:sz w:val="1"/>
                <w:szCs w:val="1"/>
                <w:color w:val="auto"/>
              </w:rPr>
            </w:pPr>
          </w:p>
        </w:tc>
      </w:tr>
      <w:tr>
        <w:trPr>
          <w:trHeight w:val="176"/>
        </w:trPr>
        <w:tc>
          <w:tcPr>
            <w:tcW w:w="2740" w:type="dxa"/>
            <w:vAlign w:val="bottom"/>
          </w:tcPr>
          <w:p>
            <w:pPr>
              <w:ind w:left="60"/>
              <w:spacing w:after="0" w:line="177" w:lineRule="exact"/>
              <w:rPr>
                <w:sz w:val="20"/>
                <w:szCs w:val="20"/>
                <w:color w:val="auto"/>
              </w:rPr>
            </w:pPr>
            <w:r>
              <w:rPr>
                <w:rFonts w:ascii="Times New Roman" w:cs="Times New Roman" w:eastAsia="Times New Roman" w:hAnsi="Times New Roman"/>
                <w:sz w:val="20"/>
                <w:szCs w:val="20"/>
                <w:color w:val="auto"/>
              </w:rPr>
              <w:t>Insurance contracts at contract</w:t>
            </w:r>
          </w:p>
        </w:tc>
        <w:tc>
          <w:tcPr>
            <w:tcW w:w="1600" w:type="dxa"/>
            <w:vAlign w:val="bottom"/>
          </w:tcPr>
          <w:p>
            <w:pPr>
              <w:spacing w:after="0"/>
              <w:rPr>
                <w:sz w:val="15"/>
                <w:szCs w:val="15"/>
                <w:color w:val="auto"/>
              </w:rPr>
            </w:pPr>
          </w:p>
        </w:tc>
        <w:tc>
          <w:tcPr>
            <w:tcW w:w="224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rPr>
              <w:t>3</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60"/>
        </w:trPr>
        <w:tc>
          <w:tcPr>
            <w:tcW w:w="2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color w:val="auto"/>
              </w:rPr>
              <w:t>value</w:t>
            </w:r>
          </w:p>
        </w:tc>
        <w:tc>
          <w:tcPr>
            <w:tcW w:w="1600" w:type="dxa"/>
            <w:vAlign w:val="bottom"/>
            <w:tcBorders>
              <w:bottom w:val="single" w:sz="8" w:color="4C4C4C"/>
            </w:tcBorders>
          </w:tcPr>
          <w:p>
            <w:pPr>
              <w:spacing w:after="0"/>
              <w:rPr>
                <w:sz w:val="22"/>
                <w:szCs w:val="22"/>
                <w:color w:val="auto"/>
              </w:rPr>
            </w:pPr>
          </w:p>
        </w:tc>
        <w:tc>
          <w:tcPr>
            <w:tcW w:w="2240" w:type="dxa"/>
            <w:vAlign w:val="bottom"/>
            <w:tcBorders>
              <w:bottom w:val="single" w:sz="8" w:color="4C4C4C"/>
            </w:tcBorders>
            <w:vMerge w:val="continue"/>
          </w:tcPr>
          <w:p>
            <w:pPr>
              <w:spacing w:after="0"/>
              <w:rPr>
                <w:sz w:val="22"/>
                <w:szCs w:val="22"/>
                <w:color w:val="auto"/>
              </w:rPr>
            </w:pPr>
          </w:p>
        </w:tc>
        <w:tc>
          <w:tcPr>
            <w:tcW w:w="840" w:type="dxa"/>
            <w:vAlign w:val="bottom"/>
            <w:tcBorders>
              <w:bottom w:val="single" w:sz="8" w:color="4C4C4C"/>
            </w:tcBorders>
          </w:tcPr>
          <w:p>
            <w:pPr>
              <w:spacing w:after="0"/>
              <w:rPr>
                <w:sz w:val="22"/>
                <w:szCs w:val="22"/>
                <w:color w:val="auto"/>
              </w:rPr>
            </w:pPr>
          </w:p>
        </w:tc>
        <w:tc>
          <w:tcPr>
            <w:tcW w:w="1040" w:type="dxa"/>
            <w:vAlign w:val="bottom"/>
            <w:tcBorders>
              <w:bottom w:val="single" w:sz="8" w:color="4C4C4C"/>
            </w:tcBorders>
          </w:tcPr>
          <w:p>
            <w:pPr>
              <w:spacing w:after="0"/>
              <w:rPr>
                <w:sz w:val="22"/>
                <w:szCs w:val="22"/>
                <w:color w:val="auto"/>
              </w:rPr>
            </w:pPr>
          </w:p>
        </w:tc>
        <w:tc>
          <w:tcPr>
            <w:tcW w:w="208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plan assets</w:t>
            </w:r>
          </w:p>
        </w:tc>
        <w:tc>
          <w:tcPr>
            <w:tcW w:w="1600" w:type="dxa"/>
            <w:vAlign w:val="bottom"/>
            <w:tcBorders>
              <w:bottom w:val="single" w:sz="8" w:color="4C4C4C"/>
            </w:tcBorders>
          </w:tcPr>
          <w:p>
            <w:pPr>
              <w:spacing w:after="0"/>
              <w:rPr>
                <w:sz w:val="24"/>
                <w:szCs w:val="24"/>
                <w:color w:val="auto"/>
              </w:rPr>
            </w:pPr>
          </w:p>
        </w:tc>
        <w:tc>
          <w:tcPr>
            <w:tcW w:w="2240" w:type="dxa"/>
            <w:vAlign w:val="bottom"/>
            <w:tcBorders>
              <w:bottom w:val="single" w:sz="8" w:color="4C4C4C"/>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11,367</w:t>
            </w:r>
          </w:p>
        </w:tc>
        <w:tc>
          <w:tcPr>
            <w:tcW w:w="840" w:type="dxa"/>
            <w:vAlign w:val="bottom"/>
            <w:tcBorders>
              <w:bottom w:val="single" w:sz="8" w:color="4C4C4C"/>
            </w:tcBorders>
          </w:tcPr>
          <w:p>
            <w:pPr>
              <w:spacing w:after="0"/>
              <w:rPr>
                <w:sz w:val="24"/>
                <w:szCs w:val="24"/>
                <w:color w:val="auto"/>
              </w:rPr>
            </w:pPr>
          </w:p>
        </w:tc>
        <w:tc>
          <w:tcPr>
            <w:tcW w:w="1040" w:type="dxa"/>
            <w:vAlign w:val="bottom"/>
            <w:tcBorders>
              <w:bottom w:val="single" w:sz="8" w:color="4C4C4C"/>
            </w:tcBorders>
          </w:tcPr>
          <w:p>
            <w:pPr>
              <w:spacing w:after="0"/>
              <w:rPr>
                <w:sz w:val="24"/>
                <w:szCs w:val="24"/>
                <w:color w:val="auto"/>
              </w:rPr>
            </w:pPr>
          </w:p>
        </w:tc>
        <w:tc>
          <w:tcPr>
            <w:tcW w:w="2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18,431</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40" w:hanging="158"/>
        <w:spacing w:after="0"/>
        <w:tabs>
          <w:tab w:leader="none" w:pos="240" w:val="left"/>
        </w:tabs>
        <w:numPr>
          <w:ilvl w:val="0"/>
          <w:numId w:val="5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For non-U.S. equity securities held in separate accounts, fair value is based on observable quoted prices on active exchanges.</w:t>
      </w:r>
    </w:p>
    <w:p>
      <w:pPr>
        <w:spacing w:after="0" w:line="47" w:lineRule="exact"/>
        <w:rPr>
          <w:rFonts w:ascii="Times New Roman" w:cs="Times New Roman" w:eastAsia="Times New Roman" w:hAnsi="Times New Roman"/>
          <w:sz w:val="20"/>
          <w:szCs w:val="20"/>
          <w:i w:val="1"/>
          <w:iCs w:val="1"/>
          <w:color w:val="auto"/>
          <w:vertAlign w:val="superscript"/>
        </w:rPr>
      </w:pPr>
    </w:p>
    <w:p>
      <w:pPr>
        <w:ind w:left="240" w:hanging="158"/>
        <w:spacing w:after="0" w:line="195" w:lineRule="auto"/>
        <w:tabs>
          <w:tab w:leader="none" w:pos="240" w:val="left"/>
        </w:tabs>
        <w:numPr>
          <w:ilvl w:val="0"/>
          <w:numId w:val="5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For corporate, government and asset-backed debt securities, fair value is based on observable inputs of comparable market transactions.</w:t>
      </w:r>
    </w:p>
    <w:p>
      <w:pPr>
        <w:spacing w:after="0" w:line="48" w:lineRule="exact"/>
        <w:rPr>
          <w:rFonts w:ascii="Times New Roman" w:cs="Times New Roman" w:eastAsia="Times New Roman" w:hAnsi="Times New Roman"/>
          <w:sz w:val="20"/>
          <w:szCs w:val="20"/>
          <w:i w:val="1"/>
          <w:iCs w:val="1"/>
          <w:color w:val="auto"/>
          <w:vertAlign w:val="superscript"/>
        </w:rPr>
      </w:pPr>
    </w:p>
    <w:p>
      <w:pPr>
        <w:ind w:left="240" w:hanging="158"/>
        <w:spacing w:after="0" w:line="195" w:lineRule="auto"/>
        <w:tabs>
          <w:tab w:leader="none" w:pos="240" w:val="left"/>
        </w:tabs>
        <w:numPr>
          <w:ilvl w:val="0"/>
          <w:numId w:val="5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For government debt securities that are traded on active exchanges, fair value is based on observable quoted prices.</w:t>
      </w:r>
    </w:p>
    <w:p>
      <w:pPr>
        <w:spacing w:after="0" w:line="48" w:lineRule="exact"/>
        <w:rPr>
          <w:rFonts w:ascii="Times New Roman" w:cs="Times New Roman" w:eastAsia="Times New Roman" w:hAnsi="Times New Roman"/>
          <w:sz w:val="20"/>
          <w:szCs w:val="20"/>
          <w:i w:val="1"/>
          <w:iCs w:val="1"/>
          <w:color w:val="auto"/>
          <w:vertAlign w:val="superscript"/>
        </w:rPr>
      </w:pPr>
    </w:p>
    <w:p>
      <w:pPr>
        <w:ind w:left="240" w:hanging="158"/>
        <w:spacing w:after="0" w:line="195" w:lineRule="auto"/>
        <w:tabs>
          <w:tab w:leader="none" w:pos="240" w:val="left"/>
        </w:tabs>
        <w:numPr>
          <w:ilvl w:val="0"/>
          <w:numId w:val="5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260" w:type="dxa"/>
            <w:vAlign w:val="bottom"/>
            <w:tcBorders>
              <w:bottom w:val="single" w:sz="8" w:color="4C4C4C"/>
            </w:tcBorders>
          </w:tcPr>
          <w:p>
            <w:pPr>
              <w:spacing w:after="0"/>
              <w:rPr>
                <w:sz w:val="18"/>
                <w:szCs w:val="18"/>
                <w:color w:val="auto"/>
              </w:rPr>
            </w:pPr>
          </w:p>
        </w:tc>
        <w:tc>
          <w:tcPr>
            <w:tcW w:w="1040" w:type="dxa"/>
            <w:vAlign w:val="bottom"/>
            <w:tcBorders>
              <w:bottom w:val="single" w:sz="8" w:color="4C4C4C"/>
            </w:tcBorders>
          </w:tcPr>
          <w:p>
            <w:pPr>
              <w:spacing w:after="0"/>
              <w:rPr>
                <w:sz w:val="18"/>
                <w:szCs w:val="18"/>
                <w:color w:val="auto"/>
              </w:rPr>
            </w:pPr>
          </w:p>
        </w:tc>
        <w:tc>
          <w:tcPr>
            <w:tcW w:w="172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16"/>
                <w:szCs w:val="16"/>
                <w:b w:val="1"/>
                <w:bCs w:val="1"/>
                <w:color w:val="4C4C4C"/>
              </w:rPr>
              <w:t>Other Postretirement</w:t>
            </w:r>
          </w:p>
        </w:tc>
        <w:tc>
          <w:tcPr>
            <w:tcW w:w="1140" w:type="dxa"/>
            <w:vAlign w:val="bottom"/>
            <w:tcBorders>
              <w:bottom w:val="single" w:sz="8" w:color="4C4C4C"/>
            </w:tcBorders>
          </w:tcPr>
          <w:p>
            <w:pPr>
              <w:spacing w:after="0"/>
              <w:rPr>
                <w:sz w:val="18"/>
                <w:szCs w:val="18"/>
                <w:color w:val="auto"/>
              </w:rPr>
            </w:pPr>
          </w:p>
        </w:tc>
        <w:tc>
          <w:tcPr>
            <w:tcW w:w="1040" w:type="dxa"/>
            <w:vAlign w:val="bottom"/>
            <w:tcBorders>
              <w:bottom w:val="single" w:sz="8" w:color="4C4C4C"/>
            </w:tcBorders>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4C4C4C"/>
          </w:tcPr>
          <w:p>
            <w:pPr>
              <w:spacing w:after="0"/>
              <w:rPr>
                <w:sz w:val="21"/>
                <w:szCs w:val="21"/>
                <w:color w:val="auto"/>
              </w:rPr>
            </w:pPr>
          </w:p>
        </w:tc>
        <w:tc>
          <w:tcPr>
            <w:tcW w:w="5160" w:type="dxa"/>
            <w:vAlign w:val="bottom"/>
            <w:gridSpan w:val="4"/>
            <w:shd w:val="clear" w:color="auto" w:fill="4C4C4C"/>
          </w:tcPr>
          <w:p>
            <w:pPr>
              <w:ind w:left="700"/>
              <w:spacing w:after="0"/>
              <w:rPr>
                <w:sz w:val="20"/>
                <w:szCs w:val="20"/>
                <w:color w:val="auto"/>
              </w:rPr>
            </w:pPr>
            <w:r>
              <w:rPr>
                <w:rFonts w:ascii="Times New Roman" w:cs="Times New Roman" w:eastAsia="Times New Roman" w:hAnsi="Times New Roman"/>
                <w:sz w:val="16"/>
                <w:szCs w:val="16"/>
                <w:b w:val="1"/>
                <w:bCs w:val="1"/>
                <w:color w:val="FFFFFF"/>
              </w:rPr>
              <w:t>Fair Value Measurement at December 31, 2023, Using:</w:t>
            </w:r>
          </w:p>
        </w:tc>
        <w:tc>
          <w:tcPr>
            <w:tcW w:w="1040" w:type="dxa"/>
            <w:vAlign w:val="bottom"/>
            <w:shd w:val="clear" w:color="auto" w:fill="4C4C4C"/>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620" w:type="dxa"/>
            <w:vAlign w:val="bottom"/>
            <w:gridSpan w:val="2"/>
            <w:shd w:val="clear" w:color="auto" w:fill="4C4C4C"/>
          </w:tcPr>
          <w:p>
            <w:pPr>
              <w:ind w:left="60"/>
              <w:spacing w:after="0" w:line="160"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40" w:type="dxa"/>
            <w:vAlign w:val="bottom"/>
            <w:shd w:val="clear" w:color="auto" w:fill="4C4C4C"/>
          </w:tcPr>
          <w:p>
            <w:pPr>
              <w:spacing w:after="0"/>
              <w:rPr>
                <w:sz w:val="13"/>
                <w:szCs w:val="13"/>
                <w:color w:val="auto"/>
              </w:rPr>
            </w:pPr>
          </w:p>
        </w:tc>
        <w:tc>
          <w:tcPr>
            <w:tcW w:w="1720" w:type="dxa"/>
            <w:vAlign w:val="bottom"/>
            <w:shd w:val="clear" w:color="auto" w:fill="4C4C4C"/>
          </w:tcPr>
          <w:p>
            <w:pPr>
              <w:spacing w:after="0"/>
              <w:rPr>
                <w:sz w:val="13"/>
                <w:szCs w:val="13"/>
                <w:color w:val="auto"/>
              </w:rPr>
            </w:pPr>
          </w:p>
        </w:tc>
        <w:tc>
          <w:tcPr>
            <w:tcW w:w="1140" w:type="dxa"/>
            <w:vAlign w:val="bottom"/>
            <w:vMerge w:val="restart"/>
            <w:shd w:val="clear" w:color="auto" w:fill="4C4C4C"/>
          </w:tcPr>
          <w:p>
            <w:pPr>
              <w:jc w:val="center"/>
              <w:ind w:right="42"/>
              <w:spacing w:after="0"/>
              <w:rPr>
                <w:sz w:val="20"/>
                <w:szCs w:val="20"/>
                <w:color w:val="auto"/>
              </w:rPr>
            </w:pPr>
            <w:r>
              <w:rPr>
                <w:rFonts w:ascii="Times New Roman" w:cs="Times New Roman" w:eastAsia="Times New Roman" w:hAnsi="Times New Roman"/>
                <w:sz w:val="16"/>
                <w:szCs w:val="16"/>
                <w:b w:val="1"/>
                <w:bCs w:val="1"/>
                <w:color w:val="FFFFFF"/>
                <w:w w:val="96"/>
              </w:rPr>
              <w:t>Net Asset</w:t>
            </w:r>
          </w:p>
        </w:tc>
        <w:tc>
          <w:tcPr>
            <w:tcW w:w="1040" w:type="dxa"/>
            <w:vAlign w:val="bottom"/>
            <w:vMerge w:val="restart"/>
            <w:shd w:val="clear" w:color="auto" w:fill="4C4C4C"/>
          </w:tcPr>
          <w:p>
            <w:pPr>
              <w:ind w:left="320"/>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92"/>
        </w:trPr>
        <w:tc>
          <w:tcPr>
            <w:tcW w:w="4360" w:type="dxa"/>
            <w:vAlign w:val="bottom"/>
            <w:shd w:val="clear" w:color="auto" w:fill="4C4C4C"/>
          </w:tcPr>
          <w:p>
            <w:pPr>
              <w:spacing w:after="0"/>
              <w:rPr>
                <w:sz w:val="7"/>
                <w:szCs w:val="7"/>
                <w:color w:val="auto"/>
              </w:rPr>
            </w:pPr>
          </w:p>
        </w:tc>
        <w:tc>
          <w:tcPr>
            <w:tcW w:w="1260" w:type="dxa"/>
            <w:vAlign w:val="bottom"/>
            <w:vMerge w:val="restart"/>
            <w:shd w:val="clear" w:color="auto" w:fill="4C4C4C"/>
          </w:tcPr>
          <w:p>
            <w:pPr>
              <w:ind w:left="300"/>
              <w:spacing w:after="0"/>
              <w:rPr>
                <w:sz w:val="20"/>
                <w:szCs w:val="20"/>
                <w:color w:val="auto"/>
              </w:rPr>
            </w:pPr>
            <w:r>
              <w:rPr>
                <w:rFonts w:ascii="Times New Roman" w:cs="Times New Roman" w:eastAsia="Times New Roman" w:hAnsi="Times New Roman"/>
                <w:sz w:val="16"/>
                <w:szCs w:val="16"/>
                <w:b w:val="1"/>
                <w:bCs w:val="1"/>
                <w:color w:val="FFFFFF"/>
              </w:rPr>
              <w:t>Level 1</w:t>
            </w:r>
          </w:p>
        </w:tc>
        <w:tc>
          <w:tcPr>
            <w:tcW w:w="1040" w:type="dxa"/>
            <w:vAlign w:val="bottom"/>
            <w:vMerge w:val="restart"/>
            <w:shd w:val="clear" w:color="auto" w:fill="4C4C4C"/>
          </w:tcPr>
          <w:p>
            <w:pPr>
              <w:ind w:left="460"/>
              <w:spacing w:after="0"/>
              <w:rPr>
                <w:sz w:val="20"/>
                <w:szCs w:val="20"/>
                <w:color w:val="auto"/>
              </w:rPr>
            </w:pPr>
            <w:r>
              <w:rPr>
                <w:rFonts w:ascii="Times New Roman" w:cs="Times New Roman" w:eastAsia="Times New Roman" w:hAnsi="Times New Roman"/>
                <w:sz w:val="16"/>
                <w:szCs w:val="16"/>
                <w:b w:val="1"/>
                <w:bCs w:val="1"/>
                <w:color w:val="FFFFFF"/>
              </w:rPr>
              <w:t>Level 2</w:t>
            </w:r>
          </w:p>
        </w:tc>
        <w:tc>
          <w:tcPr>
            <w:tcW w:w="1720" w:type="dxa"/>
            <w:vAlign w:val="bottom"/>
            <w:vMerge w:val="restart"/>
            <w:shd w:val="clear" w:color="auto" w:fill="4C4C4C"/>
          </w:tcPr>
          <w:p>
            <w:pPr>
              <w:ind w:left="860"/>
              <w:spacing w:after="0"/>
              <w:rPr>
                <w:sz w:val="20"/>
                <w:szCs w:val="20"/>
                <w:color w:val="auto"/>
              </w:rPr>
            </w:pPr>
            <w:r>
              <w:rPr>
                <w:rFonts w:ascii="Times New Roman" w:cs="Times New Roman" w:eastAsia="Times New Roman" w:hAnsi="Times New Roman"/>
                <w:sz w:val="16"/>
                <w:szCs w:val="16"/>
                <w:b w:val="1"/>
                <w:bCs w:val="1"/>
                <w:color w:val="FFFFFF"/>
              </w:rPr>
              <w:t>Level 3</w:t>
            </w:r>
          </w:p>
        </w:tc>
        <w:tc>
          <w:tcPr>
            <w:tcW w:w="1140" w:type="dxa"/>
            <w:vAlign w:val="bottom"/>
            <w:vMerge w:val="continue"/>
            <w:shd w:val="clear" w:color="auto" w:fill="4C4C4C"/>
          </w:tcPr>
          <w:p>
            <w:pPr>
              <w:spacing w:after="0"/>
              <w:rPr>
                <w:sz w:val="7"/>
                <w:szCs w:val="7"/>
                <w:color w:val="auto"/>
              </w:rPr>
            </w:pPr>
          </w:p>
        </w:tc>
        <w:tc>
          <w:tcPr>
            <w:tcW w:w="1040" w:type="dxa"/>
            <w:vAlign w:val="bottom"/>
            <w:vMerge w:val="continue"/>
            <w:shd w:val="clear" w:color="auto" w:fill="4C4C4C"/>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360" w:type="dxa"/>
            <w:vAlign w:val="bottom"/>
            <w:shd w:val="clear" w:color="auto" w:fill="4C4C4C"/>
          </w:tcPr>
          <w:p>
            <w:pPr>
              <w:spacing w:after="0"/>
              <w:rPr>
                <w:sz w:val="10"/>
                <w:szCs w:val="10"/>
                <w:color w:val="auto"/>
              </w:rPr>
            </w:pPr>
          </w:p>
        </w:tc>
        <w:tc>
          <w:tcPr>
            <w:tcW w:w="1260" w:type="dxa"/>
            <w:vAlign w:val="bottom"/>
            <w:vMerge w:val="continue"/>
            <w:shd w:val="clear" w:color="auto" w:fill="4C4C4C"/>
          </w:tcPr>
          <w:p>
            <w:pPr>
              <w:spacing w:after="0"/>
              <w:rPr>
                <w:sz w:val="10"/>
                <w:szCs w:val="10"/>
                <w:color w:val="auto"/>
              </w:rPr>
            </w:pPr>
          </w:p>
        </w:tc>
        <w:tc>
          <w:tcPr>
            <w:tcW w:w="1040" w:type="dxa"/>
            <w:vAlign w:val="bottom"/>
            <w:vMerge w:val="continue"/>
            <w:shd w:val="clear" w:color="auto" w:fill="4C4C4C"/>
          </w:tcPr>
          <w:p>
            <w:pPr>
              <w:spacing w:after="0"/>
              <w:rPr>
                <w:sz w:val="10"/>
                <w:szCs w:val="10"/>
                <w:color w:val="auto"/>
              </w:rPr>
            </w:pPr>
          </w:p>
        </w:tc>
        <w:tc>
          <w:tcPr>
            <w:tcW w:w="1720" w:type="dxa"/>
            <w:vAlign w:val="bottom"/>
            <w:vMerge w:val="continue"/>
            <w:shd w:val="clear" w:color="auto" w:fill="4C4C4C"/>
          </w:tcPr>
          <w:p>
            <w:pPr>
              <w:spacing w:after="0"/>
              <w:rPr>
                <w:sz w:val="10"/>
                <w:szCs w:val="10"/>
                <w:color w:val="auto"/>
              </w:rPr>
            </w:pPr>
          </w:p>
        </w:tc>
        <w:tc>
          <w:tcPr>
            <w:tcW w:w="1140" w:type="dxa"/>
            <w:vAlign w:val="bottom"/>
            <w:vMerge w:val="restart"/>
            <w:shd w:val="clear" w:color="auto" w:fill="4C4C4C"/>
          </w:tcPr>
          <w:p>
            <w:pPr>
              <w:jc w:val="center"/>
              <w:ind w:right="42"/>
              <w:spacing w:after="0"/>
              <w:rPr>
                <w:sz w:val="20"/>
                <w:szCs w:val="20"/>
                <w:color w:val="auto"/>
              </w:rPr>
            </w:pPr>
            <w:r>
              <w:rPr>
                <w:rFonts w:ascii="Times New Roman" w:cs="Times New Roman" w:eastAsia="Times New Roman" w:hAnsi="Times New Roman"/>
                <w:sz w:val="16"/>
                <w:szCs w:val="16"/>
                <w:b w:val="1"/>
                <w:bCs w:val="1"/>
                <w:color w:val="FFFFFF"/>
                <w:w w:val="94"/>
              </w:rPr>
              <w:t>Value</w:t>
            </w:r>
          </w:p>
        </w:tc>
        <w:tc>
          <w:tcPr>
            <w:tcW w:w="1040" w:type="dxa"/>
            <w:vAlign w:val="bottom"/>
            <w:vMerge w:val="continue"/>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60" w:type="dxa"/>
            <w:vAlign w:val="bottom"/>
            <w:shd w:val="clear" w:color="auto" w:fill="4C4C4C"/>
          </w:tcPr>
          <w:p>
            <w:pPr>
              <w:spacing w:after="0"/>
              <w:rPr>
                <w:sz w:val="9"/>
                <w:szCs w:val="9"/>
                <w:color w:val="auto"/>
              </w:rPr>
            </w:pPr>
          </w:p>
        </w:tc>
        <w:tc>
          <w:tcPr>
            <w:tcW w:w="1260" w:type="dxa"/>
            <w:vAlign w:val="bottom"/>
            <w:shd w:val="clear" w:color="auto" w:fill="4C4C4C"/>
          </w:tcPr>
          <w:p>
            <w:pPr>
              <w:spacing w:after="0"/>
              <w:rPr>
                <w:sz w:val="9"/>
                <w:szCs w:val="9"/>
                <w:color w:val="auto"/>
              </w:rPr>
            </w:pPr>
          </w:p>
        </w:tc>
        <w:tc>
          <w:tcPr>
            <w:tcW w:w="1040" w:type="dxa"/>
            <w:vAlign w:val="bottom"/>
            <w:shd w:val="clear" w:color="auto" w:fill="4C4C4C"/>
          </w:tcPr>
          <w:p>
            <w:pPr>
              <w:spacing w:after="0"/>
              <w:rPr>
                <w:sz w:val="9"/>
                <w:szCs w:val="9"/>
                <w:color w:val="auto"/>
              </w:rPr>
            </w:pPr>
          </w:p>
        </w:tc>
        <w:tc>
          <w:tcPr>
            <w:tcW w:w="1720" w:type="dxa"/>
            <w:vAlign w:val="bottom"/>
            <w:shd w:val="clear" w:color="auto" w:fill="4C4C4C"/>
          </w:tcPr>
          <w:p>
            <w:pPr>
              <w:spacing w:after="0"/>
              <w:rPr>
                <w:sz w:val="9"/>
                <w:szCs w:val="9"/>
                <w:color w:val="auto"/>
              </w:rPr>
            </w:pPr>
          </w:p>
        </w:tc>
        <w:tc>
          <w:tcPr>
            <w:tcW w:w="1140" w:type="dxa"/>
            <w:vAlign w:val="bottom"/>
            <w:vMerge w:val="continue"/>
            <w:shd w:val="clear" w:color="auto" w:fill="4C4C4C"/>
          </w:tcPr>
          <w:p>
            <w:pPr>
              <w:spacing w:after="0"/>
              <w:rPr>
                <w:sz w:val="9"/>
                <w:szCs w:val="9"/>
                <w:color w:val="auto"/>
              </w:rPr>
            </w:pPr>
          </w:p>
        </w:tc>
        <w:tc>
          <w:tcPr>
            <w:tcW w:w="1040" w:type="dxa"/>
            <w:vAlign w:val="bottom"/>
            <w:shd w:val="clear" w:color="auto" w:fill="4C4C4C"/>
          </w:tcPr>
          <w:p>
            <w:pPr>
              <w:spacing w:after="0"/>
              <w:rPr>
                <w:sz w:val="9"/>
                <w:szCs w:val="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ectPr>
          <w:pgSz w:w="11880" w:h="15480" w:orient="portrait"/>
          <w:cols w:equalWidth="0" w:num="1">
            <w:col w:w="10580"/>
          </w:cols>
          <w:pgMar w:left="640" w:top="270" w:right="660" w:bottom="0" w:gutter="0" w:footer="0" w:header="0"/>
          <w:type w:val="continuous"/>
        </w:sectPr>
      </w:pPr>
    </w:p>
    <w:tbl>
      <w:tblPr>
        <w:tblLayout w:type="fixed"/>
        <w:tblInd w:w="80" w:type="dxa"/>
        <w:tblCellMar>
          <w:top w:w="0" w:type="dxa"/>
          <w:left w:w="0" w:type="dxa"/>
          <w:bottom w:w="0" w:type="dxa"/>
          <w:right w:w="0" w:type="dxa"/>
        </w:tblCellMar>
      </w:tblPr>
      <w:tr>
        <w:trPr>
          <w:trHeight w:val="261"/>
        </w:trPr>
        <w:tc>
          <w:tcPr>
            <w:tcW w:w="3200" w:type="dxa"/>
            <w:vAlign w:val="bottom"/>
          </w:tcPr>
          <w:p>
            <w:pPr>
              <w:spacing w:after="0"/>
              <w:rPr>
                <w:sz w:val="20"/>
                <w:szCs w:val="20"/>
                <w:color w:val="auto"/>
              </w:rPr>
            </w:pPr>
            <w:r>
              <w:rPr>
                <w:rFonts w:ascii="Times New Roman" w:cs="Times New Roman" w:eastAsia="Times New Roman" w:hAnsi="Times New Roman"/>
                <w:sz w:val="20"/>
                <w:szCs w:val="20"/>
                <w:b w:val="1"/>
                <w:bCs w:val="1"/>
                <w:color w:val="4C4C4C"/>
              </w:rPr>
              <w:t>Asset category:</w:t>
            </w:r>
          </w:p>
        </w:tc>
        <w:tc>
          <w:tcPr>
            <w:tcW w:w="2100" w:type="dxa"/>
            <w:vAlign w:val="bottom"/>
          </w:tcPr>
          <w:p>
            <w:pPr>
              <w:spacing w:after="0"/>
              <w:rPr>
                <w:sz w:val="22"/>
                <w:szCs w:val="22"/>
                <w:color w:val="auto"/>
              </w:rPr>
            </w:pPr>
          </w:p>
        </w:tc>
      </w:t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2100" w:type="dxa"/>
            <w:vAlign w:val="bottom"/>
          </w:tcPr>
          <w:p>
            <w:pPr>
              <w:spacing w:after="0"/>
              <w:rPr>
                <w:sz w:val="24"/>
                <w:szCs w:val="24"/>
                <w:color w:val="auto"/>
              </w:rPr>
            </w:pPr>
          </w:p>
        </w:tc>
      </w:tr>
      <w:tr>
        <w:trPr>
          <w:trHeight w:val="312"/>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94"/>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Non-U.S.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Debt securities</w:t>
            </w:r>
          </w:p>
        </w:tc>
        <w:tc>
          <w:tcPr>
            <w:tcW w:w="2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bl>
    <w:p>
      <w:pPr>
        <w:spacing w:after="0" w:line="313" w:lineRule="exact"/>
        <w:rPr>
          <w:sz w:val="20"/>
          <w:szCs w:val="20"/>
          <w:color w:val="auto"/>
        </w:rPr>
      </w:pPr>
    </w:p>
    <w:p>
      <w:pPr>
        <w:sectPr>
          <w:pgSz w:w="11880" w:h="15480" w:orient="portrait"/>
          <w:cols w:equalWidth="0" w:num="3">
            <w:col w:w="5380" w:space="100"/>
            <w:col w:w="420" w:space="720"/>
            <w:col w:w="3960"/>
          </w:cols>
          <w:pgMar w:left="640" w:top="270" w:right="660" w:bottom="0" w:gutter="0" w:footer="0" w:header="0"/>
          <w:type w:val="continuous"/>
        </w:sectPr>
      </w:pPr>
    </w:p>
    <w:tbl>
      <w:tblPr>
        <w:tblLayout w:type="fixed"/>
        <w:tblInd w:w="80" w:type="dxa"/>
        <w:tblCellMar>
          <w:top w:w="0" w:type="dxa"/>
          <w:left w:w="0" w:type="dxa"/>
          <w:bottom w:w="0" w:type="dxa"/>
          <w:right w:w="0" w:type="dxa"/>
        </w:tblCellMar>
      </w:tblPr>
      <w:tr>
        <w:trPr>
          <w:trHeight w:val="274"/>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Corporate</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94"/>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Government</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94"/>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Asset-backed</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94"/>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6985</wp:posOffset>
                </wp:positionV>
                <wp:extent cx="670242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2425"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0.55pt" to="528.85pt,0.55pt" o:allowincell="f" strokecolor="#4C4C4C" strokeweight="0.49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9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9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9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14" w:lineRule="exact"/>
        <w:rPr>
          <w:sz w:val="20"/>
          <w:szCs w:val="20"/>
          <w:color w:val="auto"/>
        </w:rPr>
      </w:pPr>
    </w:p>
    <w:p>
      <w:pPr>
        <w:sectPr>
          <w:pgSz w:w="11880" w:h="15480" w:orient="portrait"/>
          <w:cols w:equalWidth="0" w:num="3">
            <w:col w:w="6800" w:space="140"/>
            <w:col w:w="380" w:space="720"/>
            <w:col w:w="2540"/>
          </w:cols>
          <w:pgMar w:left="640" w:top="270" w:right="660" w:bottom="0" w:gutter="0" w:footer="0" w:header="0"/>
          <w:type w:val="continuous"/>
        </w:sectPr>
      </w:pPr>
    </w:p>
    <w:p>
      <w:pPr>
        <w:ind w:left="80"/>
        <w:spacing w:after="0"/>
        <w:tabs>
          <w:tab w:leader="none" w:pos="5060" w:val="left"/>
          <w:tab w:leader="none" w:pos="6500" w:val="left"/>
          <w:tab w:leader="none" w:pos="8020" w:val="left"/>
          <w:tab w:leader="none" w:pos="9140" w:val="left"/>
          <w:tab w:leader="none" w:pos="10180" w:val="left"/>
        </w:tabs>
        <w:rPr>
          <w:sz w:val="20"/>
          <w:szCs w:val="20"/>
          <w:color w:val="auto"/>
        </w:rPr>
      </w:pPr>
      <w:r>
        <w:rPr>
          <w:rFonts w:ascii="Times New Roman" w:cs="Times New Roman" w:eastAsia="Times New Roman" w:hAnsi="Times New Roman"/>
          <w:sz w:val="20"/>
          <w:szCs w:val="20"/>
          <w:b w:val="1"/>
          <w:bCs w:val="1"/>
          <w:color w:val="auto"/>
        </w:rPr>
        <w:t>Total at fair value</w:t>
      </w:r>
      <w:r>
        <w:rPr>
          <w:sz w:val="20"/>
          <w:szCs w:val="20"/>
          <w:color w:val="auto"/>
        </w:rPr>
        <w:tab/>
      </w: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20"/>
          <w:szCs w:val="20"/>
          <w:b w:val="1"/>
          <w:bCs w:val="1"/>
          <w:color w:val="auto"/>
        </w:rPr>
        <w:t>247</w:t>
      </w:r>
      <w:r>
        <w:rPr>
          <w:sz w:val="20"/>
          <w:szCs w:val="20"/>
          <w:color w:val="auto"/>
        </w:rPr>
        <w:tab/>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371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38735</wp:posOffset>
                </wp:positionV>
                <wp:extent cx="670242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2425" cy="4763"/>
                        </a:xfrm>
                        <a:prstGeom prst="line">
                          <a:avLst/>
                        </a:prstGeom>
                        <a:solidFill>
                          <a:srgbClr val="FFFFFF"/>
                        </a:solidFill>
                        <a:ln w="18669">
                          <a:solidFill>
                            <a:srgbClr val="4C4C4C"/>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3.05pt" to="528.85pt,3.05pt" o:allowincell="f" strokecolor="#4C4C4C" strokeweight="1.47pt"/>
            </w:pict>
          </mc:Fallback>
        </mc:AlternateContent>
      </w:r>
    </w:p>
    <w:p>
      <w:pPr>
        <w:spacing w:after="0" w:line="129" w:lineRule="exact"/>
        <w:rPr>
          <w:sz w:val="20"/>
          <w:szCs w:val="20"/>
          <w:color w:val="auto"/>
        </w:rPr>
      </w:pPr>
    </w:p>
    <w:p>
      <w:pPr>
        <w:ind w:left="240" w:hanging="166"/>
        <w:spacing w:after="0"/>
        <w:tabs>
          <w:tab w:leader="none" w:pos="240" w:val="left"/>
        </w:tabs>
        <w:numPr>
          <w:ilvl w:val="0"/>
          <w:numId w:val="51"/>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For equity securities held in separate accounts, fair value is based on observable quoted prices on active exchanges.</w:t>
      </w:r>
    </w:p>
    <w:p>
      <w:pPr>
        <w:spacing w:after="0" w:line="47" w:lineRule="exact"/>
        <w:rPr>
          <w:rFonts w:ascii="Times New Roman" w:cs="Times New Roman" w:eastAsia="Times New Roman" w:hAnsi="Times New Roman"/>
          <w:sz w:val="20"/>
          <w:szCs w:val="20"/>
          <w:i w:val="1"/>
          <w:iCs w:val="1"/>
          <w:color w:val="auto"/>
          <w:vertAlign w:val="superscript"/>
        </w:rPr>
      </w:pPr>
    </w:p>
    <w:p>
      <w:pPr>
        <w:ind w:left="220" w:hanging="146"/>
        <w:spacing w:after="0" w:line="217" w:lineRule="auto"/>
        <w:tabs>
          <w:tab w:leader="none" w:pos="220" w:val="left"/>
        </w:tabs>
        <w:numPr>
          <w:ilvl w:val="0"/>
          <w:numId w:val="51"/>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For corporate, government and asset-backed debt securities, fair value is based on observable inputs of comparable market transactions.</w:t>
      </w:r>
    </w:p>
    <w:p>
      <w:pPr>
        <w:sectPr>
          <w:pgSz w:w="11880" w:h="15480" w:orient="portrait"/>
          <w:cols w:equalWidth="0" w:num="1">
            <w:col w:w="10580"/>
          </w:cols>
          <w:pgMar w:left="640" w:top="270" w:right="6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ectPr>
          <w:pgSz w:w="11880" w:h="15480" w:orient="portrait"/>
          <w:cols w:equalWidth="0" w:num="1">
            <w:col w:w="10580"/>
          </w:cols>
          <w:pgMar w:left="640" w:top="270" w:right="66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2022 fair value of the benefit plan assets, including the level within the fair value hierarchy, is shown in the tables below:</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249"/>
        </w:trPr>
        <w:tc>
          <w:tcPr>
            <w:tcW w:w="2400" w:type="dxa"/>
            <w:vAlign w:val="bottom"/>
          </w:tcPr>
          <w:p>
            <w:pPr>
              <w:spacing w:after="0"/>
              <w:rPr>
                <w:sz w:val="21"/>
                <w:szCs w:val="21"/>
                <w:color w:val="auto"/>
              </w:rPr>
            </w:pPr>
          </w:p>
        </w:tc>
        <w:tc>
          <w:tcPr>
            <w:tcW w:w="580" w:type="dxa"/>
            <w:vAlign w:val="bottom"/>
            <w:tcBorders>
              <w:bottom w:val="single" w:sz="8" w:color="4C4C4C"/>
            </w:tcBorders>
          </w:tcPr>
          <w:p>
            <w:pPr>
              <w:spacing w:after="0"/>
              <w:rPr>
                <w:sz w:val="21"/>
                <w:szCs w:val="21"/>
                <w:color w:val="auto"/>
              </w:rPr>
            </w:pPr>
          </w:p>
        </w:tc>
        <w:tc>
          <w:tcPr>
            <w:tcW w:w="780" w:type="dxa"/>
            <w:vAlign w:val="bottom"/>
            <w:tcBorders>
              <w:bottom w:val="single" w:sz="8" w:color="4C4C4C"/>
            </w:tcBorders>
          </w:tcPr>
          <w:p>
            <w:pPr>
              <w:spacing w:after="0"/>
              <w:rPr>
                <w:sz w:val="21"/>
                <w:szCs w:val="21"/>
                <w:color w:val="auto"/>
              </w:rPr>
            </w:pPr>
          </w:p>
        </w:tc>
        <w:tc>
          <w:tcPr>
            <w:tcW w:w="1140" w:type="dxa"/>
            <w:vAlign w:val="bottom"/>
            <w:tcBorders>
              <w:bottom w:val="single" w:sz="8" w:color="4C4C4C"/>
            </w:tcBorders>
          </w:tcPr>
          <w:p>
            <w:pPr>
              <w:ind w:left="100"/>
              <w:spacing w:after="0"/>
              <w:rPr>
                <w:sz w:val="20"/>
                <w:szCs w:val="20"/>
                <w:color w:val="auto"/>
              </w:rPr>
            </w:pPr>
            <w:r>
              <w:rPr>
                <w:rFonts w:ascii="Times New Roman" w:cs="Times New Roman" w:eastAsia="Times New Roman" w:hAnsi="Times New Roman"/>
                <w:sz w:val="16"/>
                <w:szCs w:val="16"/>
                <w:b w:val="1"/>
                <w:bCs w:val="1"/>
                <w:color w:val="4C4C4C"/>
              </w:rPr>
              <w:t>U.S. Pension</w:t>
            </w:r>
          </w:p>
        </w:tc>
        <w:tc>
          <w:tcPr>
            <w:tcW w:w="600" w:type="dxa"/>
            <w:vAlign w:val="bottom"/>
            <w:tcBorders>
              <w:bottom w:val="single" w:sz="8" w:color="4C4C4C"/>
            </w:tcBorders>
          </w:tcPr>
          <w:p>
            <w:pPr>
              <w:spacing w:after="0"/>
              <w:rPr>
                <w:sz w:val="21"/>
                <w:szCs w:val="21"/>
                <w:color w:val="auto"/>
              </w:rPr>
            </w:pPr>
          </w:p>
        </w:tc>
        <w:tc>
          <w:tcPr>
            <w:tcW w:w="660" w:type="dxa"/>
            <w:vAlign w:val="bottom"/>
            <w:tcBorders>
              <w:bottom w:val="single" w:sz="8" w:color="4C4C4C"/>
            </w:tcBorders>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Borders>
              <w:bottom w:val="single" w:sz="8" w:color="4C4C4C"/>
            </w:tcBorders>
          </w:tcPr>
          <w:p>
            <w:pPr>
              <w:spacing w:after="0"/>
              <w:rPr>
                <w:sz w:val="21"/>
                <w:szCs w:val="21"/>
                <w:color w:val="auto"/>
              </w:rPr>
            </w:pPr>
          </w:p>
        </w:tc>
        <w:tc>
          <w:tcPr>
            <w:tcW w:w="2060" w:type="dxa"/>
            <w:vAlign w:val="bottom"/>
            <w:tcBorders>
              <w:bottom w:val="single" w:sz="8" w:color="4C4C4C"/>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4C4C4C"/>
              </w:rPr>
              <w:t>Non-U.S. Pension</w:t>
            </w:r>
          </w:p>
        </w:tc>
        <w:tc>
          <w:tcPr>
            <w:tcW w:w="680" w:type="dxa"/>
            <w:vAlign w:val="bottom"/>
            <w:tcBorders>
              <w:bottom w:val="single" w:sz="8" w:color="4C4C4C"/>
            </w:tcBorders>
          </w:tcPr>
          <w:p>
            <w:pPr>
              <w:spacing w:after="0"/>
              <w:rPr>
                <w:sz w:val="21"/>
                <w:szCs w:val="21"/>
                <w:color w:val="auto"/>
              </w:rPr>
            </w:pPr>
          </w:p>
        </w:tc>
        <w:tc>
          <w:tcPr>
            <w:tcW w:w="660" w:type="dxa"/>
            <w:vAlign w:val="bottom"/>
            <w:tcBorders>
              <w:bottom w:val="single" w:sz="8" w:color="4C4C4C"/>
            </w:tcBorders>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 Measurement at</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shd w:val="clear" w:color="auto" w:fill="4C4C4C"/>
          </w:tcPr>
          <w:p>
            <w:pPr>
              <w:spacing w:after="0"/>
              <w:rPr>
                <w:sz w:val="16"/>
                <w:szCs w:val="16"/>
                <w:color w:val="auto"/>
              </w:rPr>
            </w:pPr>
          </w:p>
        </w:tc>
        <w:tc>
          <w:tcPr>
            <w:tcW w:w="2060" w:type="dxa"/>
            <w:vAlign w:val="bottom"/>
            <w:gridSpan w:val="2"/>
            <w:shd w:val="clear" w:color="auto" w:fill="4C4C4C"/>
          </w:tcPr>
          <w:p>
            <w:pPr>
              <w:jc w:val="right"/>
              <w:ind w:right="42"/>
              <w:spacing w:after="0"/>
              <w:rPr>
                <w:sz w:val="20"/>
                <w:szCs w:val="20"/>
                <w:color w:val="auto"/>
              </w:rPr>
            </w:pPr>
            <w:r>
              <w:rPr>
                <w:rFonts w:ascii="Times New Roman" w:cs="Times New Roman" w:eastAsia="Times New Roman" w:hAnsi="Times New Roman"/>
                <w:sz w:val="16"/>
                <w:szCs w:val="16"/>
                <w:b w:val="1"/>
                <w:bCs w:val="1"/>
                <w:color w:val="FFFFFF"/>
              </w:rPr>
              <w:t>Fair Value Measurement at</w:t>
            </w:r>
          </w:p>
        </w:tc>
        <w:tc>
          <w:tcPr>
            <w:tcW w:w="680" w:type="dxa"/>
            <w:vAlign w:val="bottom"/>
            <w:shd w:val="clear" w:color="auto" w:fill="4C4C4C"/>
          </w:tcPr>
          <w:p>
            <w:pPr>
              <w:spacing w:after="0"/>
              <w:rPr>
                <w:sz w:val="16"/>
                <w:szCs w:val="16"/>
                <w:color w:val="auto"/>
              </w:rPr>
            </w:pPr>
          </w:p>
        </w:tc>
        <w:tc>
          <w:tcPr>
            <w:tcW w:w="660" w:type="dxa"/>
            <w:vAlign w:val="bottom"/>
            <w:shd w:val="clear" w:color="auto" w:fill="4C4C4C"/>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December 31, 2022, Using:</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shd w:val="clear" w:color="auto" w:fill="4C4C4C"/>
          </w:tcPr>
          <w:p>
            <w:pPr>
              <w:spacing w:after="0"/>
              <w:rPr>
                <w:sz w:val="18"/>
                <w:szCs w:val="18"/>
                <w:color w:val="auto"/>
              </w:rPr>
            </w:pPr>
          </w:p>
        </w:tc>
        <w:tc>
          <w:tcPr>
            <w:tcW w:w="2060" w:type="dxa"/>
            <w:vAlign w:val="bottom"/>
            <w:gridSpan w:val="2"/>
            <w:shd w:val="clear" w:color="auto" w:fill="4C4C4C"/>
          </w:tcPr>
          <w:p>
            <w:pPr>
              <w:jc w:val="right"/>
              <w:ind w:right="62"/>
              <w:spacing w:after="0"/>
              <w:rPr>
                <w:sz w:val="20"/>
                <w:szCs w:val="20"/>
                <w:color w:val="auto"/>
              </w:rPr>
            </w:pPr>
            <w:r>
              <w:rPr>
                <w:rFonts w:ascii="Times New Roman" w:cs="Times New Roman" w:eastAsia="Times New Roman" w:hAnsi="Times New Roman"/>
                <w:sz w:val="16"/>
                <w:szCs w:val="16"/>
                <w:b w:val="1"/>
                <w:bCs w:val="1"/>
                <w:color w:val="FFFFFF"/>
              </w:rPr>
              <w:t>December 31, 2022, Using:</w:t>
            </w:r>
          </w:p>
        </w:tc>
        <w:tc>
          <w:tcPr>
            <w:tcW w:w="680" w:type="dxa"/>
            <w:vAlign w:val="bottom"/>
            <w:shd w:val="clear" w:color="auto" w:fill="4C4C4C"/>
          </w:tcPr>
          <w:p>
            <w:pPr>
              <w:spacing w:after="0"/>
              <w:rPr>
                <w:sz w:val="18"/>
                <w:szCs w:val="18"/>
                <w:color w:val="auto"/>
              </w:rPr>
            </w:pPr>
          </w:p>
        </w:tc>
        <w:tc>
          <w:tcPr>
            <w:tcW w:w="660" w:type="dxa"/>
            <w:vAlign w:val="bottom"/>
            <w:shd w:val="clear" w:color="auto" w:fill="4C4C4C"/>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980" w:type="dxa"/>
            <w:vAlign w:val="bottom"/>
            <w:gridSpan w:val="2"/>
            <w:vMerge w:val="continue"/>
          </w:tcPr>
          <w:p>
            <w:pPr>
              <w:spacing w:after="0"/>
              <w:rPr>
                <w:sz w:val="15"/>
                <w:szCs w:val="15"/>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FFFFFF"/>
              </w:rPr>
              <w:t>Level 2</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FFFFFF"/>
              </w:rPr>
              <w:t>Level 3</w:t>
            </w:r>
          </w:p>
        </w:tc>
        <w:tc>
          <w:tcPr>
            <w:tcW w:w="600" w:type="dxa"/>
            <w:vAlign w:val="bottom"/>
          </w:tcPr>
          <w:p>
            <w:pPr>
              <w:jc w:val="center"/>
              <w:ind w:right="42"/>
              <w:spacing w:after="0" w:line="179" w:lineRule="exact"/>
              <w:rPr>
                <w:sz w:val="20"/>
                <w:szCs w:val="20"/>
                <w:color w:val="auto"/>
              </w:rPr>
            </w:pPr>
            <w:r>
              <w:rPr>
                <w:rFonts w:ascii="Times New Roman" w:cs="Times New Roman" w:eastAsia="Times New Roman" w:hAnsi="Times New Roman"/>
                <w:sz w:val="16"/>
                <w:szCs w:val="16"/>
                <w:b w:val="1"/>
                <w:bCs w:val="1"/>
                <w:color w:val="FFFFFF"/>
                <w:w w:val="99"/>
              </w:rPr>
              <w:t>Net</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660" w:type="dxa"/>
            <w:vAlign w:val="bottom"/>
            <w:vMerge w:val="restart"/>
            <w:shd w:val="clear" w:color="auto" w:fill="4C4C4C"/>
          </w:tcPr>
          <w:p>
            <w:pPr>
              <w:ind w:left="80"/>
              <w:spacing w:after="0"/>
              <w:rPr>
                <w:sz w:val="20"/>
                <w:szCs w:val="20"/>
                <w:color w:val="auto"/>
              </w:rPr>
            </w:pPr>
            <w:r>
              <w:rPr>
                <w:rFonts w:ascii="Times New Roman" w:cs="Times New Roman" w:eastAsia="Times New Roman" w:hAnsi="Times New Roman"/>
                <w:sz w:val="16"/>
                <w:szCs w:val="16"/>
                <w:b w:val="1"/>
                <w:bCs w:val="1"/>
                <w:color w:val="FFFFFF"/>
              </w:rPr>
              <w:t>Level 1</w:t>
            </w:r>
          </w:p>
        </w:tc>
        <w:tc>
          <w:tcPr>
            <w:tcW w:w="1160" w:type="dxa"/>
            <w:vAlign w:val="bottom"/>
            <w:vMerge w:val="restart"/>
            <w:shd w:val="clear" w:color="auto" w:fill="4C4C4C"/>
          </w:tcPr>
          <w:p>
            <w:pPr>
              <w:ind w:left="420"/>
              <w:spacing w:after="0"/>
              <w:rPr>
                <w:sz w:val="20"/>
                <w:szCs w:val="20"/>
                <w:color w:val="auto"/>
              </w:rPr>
            </w:pPr>
            <w:r>
              <w:rPr>
                <w:rFonts w:ascii="Times New Roman" w:cs="Times New Roman" w:eastAsia="Times New Roman" w:hAnsi="Times New Roman"/>
                <w:sz w:val="16"/>
                <w:szCs w:val="16"/>
                <w:b w:val="1"/>
                <w:bCs w:val="1"/>
                <w:color w:val="FFFFFF"/>
              </w:rPr>
              <w:t>Level 2</w:t>
            </w:r>
          </w:p>
        </w:tc>
        <w:tc>
          <w:tcPr>
            <w:tcW w:w="900" w:type="dxa"/>
            <w:vAlign w:val="bottom"/>
            <w:vMerge w:val="restart"/>
            <w:shd w:val="clear" w:color="auto" w:fill="4C4C4C"/>
          </w:tcPr>
          <w:p>
            <w:pPr>
              <w:jc w:val="right"/>
              <w:ind w:right="82"/>
              <w:spacing w:after="0"/>
              <w:rPr>
                <w:sz w:val="20"/>
                <w:szCs w:val="20"/>
                <w:color w:val="auto"/>
              </w:rPr>
            </w:pPr>
            <w:r>
              <w:rPr>
                <w:rFonts w:ascii="Times New Roman" w:cs="Times New Roman" w:eastAsia="Times New Roman" w:hAnsi="Times New Roman"/>
                <w:sz w:val="16"/>
                <w:szCs w:val="16"/>
                <w:b w:val="1"/>
                <w:bCs w:val="1"/>
                <w:color w:val="FFFFFF"/>
              </w:rPr>
              <w:t>Level 3</w:t>
            </w:r>
          </w:p>
        </w:tc>
        <w:tc>
          <w:tcPr>
            <w:tcW w:w="680" w:type="dxa"/>
            <w:vAlign w:val="bottom"/>
            <w:shd w:val="clear" w:color="auto" w:fill="4C4C4C"/>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FFFFFF"/>
                <w:w w:val="99"/>
              </w:rPr>
              <w:t>Net</w:t>
            </w:r>
          </w:p>
        </w:tc>
        <w:tc>
          <w:tcPr>
            <w:tcW w:w="660" w:type="dxa"/>
            <w:vAlign w:val="bottom"/>
            <w:vMerge w:val="restart"/>
            <w:shd w:val="clear" w:color="auto" w:fill="4C4C4C"/>
          </w:tcPr>
          <w:p>
            <w:pPr>
              <w:ind w:left="160"/>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5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Level 1</w:t>
            </w:r>
          </w:p>
        </w:tc>
        <w:tc>
          <w:tcPr>
            <w:tcW w:w="7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600" w:type="dxa"/>
            <w:vAlign w:val="bottom"/>
          </w:tcPr>
          <w:p>
            <w:pPr>
              <w:jc w:val="center"/>
              <w:ind w:right="42"/>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Asset</w:t>
            </w:r>
          </w:p>
        </w:tc>
        <w:tc>
          <w:tcPr>
            <w:tcW w:w="720" w:type="dxa"/>
            <w:vAlign w:val="bottom"/>
            <w:gridSpan w:val="2"/>
            <w:vMerge w:val="continue"/>
          </w:tcPr>
          <w:p>
            <w:pPr>
              <w:spacing w:after="0"/>
              <w:rPr>
                <w:sz w:val="13"/>
                <w:szCs w:val="13"/>
                <w:color w:val="auto"/>
              </w:rPr>
            </w:pPr>
          </w:p>
        </w:tc>
        <w:tc>
          <w:tcPr>
            <w:tcW w:w="660" w:type="dxa"/>
            <w:vAlign w:val="bottom"/>
            <w:vMerge w:val="continue"/>
            <w:shd w:val="clear" w:color="auto" w:fill="4C4C4C"/>
          </w:tcPr>
          <w:p>
            <w:pPr>
              <w:spacing w:after="0"/>
              <w:rPr>
                <w:sz w:val="13"/>
                <w:szCs w:val="13"/>
                <w:color w:val="auto"/>
              </w:rPr>
            </w:pPr>
          </w:p>
        </w:tc>
        <w:tc>
          <w:tcPr>
            <w:tcW w:w="1160" w:type="dxa"/>
            <w:vAlign w:val="bottom"/>
            <w:vMerge w:val="continue"/>
            <w:shd w:val="clear" w:color="auto" w:fill="4C4C4C"/>
          </w:tcPr>
          <w:p>
            <w:pPr>
              <w:spacing w:after="0"/>
              <w:rPr>
                <w:sz w:val="13"/>
                <w:szCs w:val="13"/>
                <w:color w:val="auto"/>
              </w:rPr>
            </w:pPr>
          </w:p>
        </w:tc>
        <w:tc>
          <w:tcPr>
            <w:tcW w:w="900" w:type="dxa"/>
            <w:vAlign w:val="bottom"/>
            <w:vMerge w:val="continue"/>
            <w:shd w:val="clear" w:color="auto" w:fill="4C4C4C"/>
          </w:tcPr>
          <w:p>
            <w:pPr>
              <w:spacing w:after="0"/>
              <w:rPr>
                <w:sz w:val="13"/>
                <w:szCs w:val="13"/>
                <w:color w:val="auto"/>
              </w:rPr>
            </w:pPr>
          </w:p>
        </w:tc>
        <w:tc>
          <w:tcPr>
            <w:tcW w:w="6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8"/>
              </w:rPr>
              <w:t>Asset</w:t>
            </w:r>
          </w:p>
        </w:tc>
        <w:tc>
          <w:tcPr>
            <w:tcW w:w="66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FFFFFF"/>
                <w:w w:val="99"/>
              </w:rPr>
              <w:t>Value</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shd w:val="clear" w:color="auto" w:fill="4C4C4C"/>
          </w:tcPr>
          <w:p>
            <w:pPr>
              <w:spacing w:after="0"/>
              <w:rPr>
                <w:sz w:val="19"/>
                <w:szCs w:val="19"/>
                <w:color w:val="auto"/>
              </w:rPr>
            </w:pPr>
          </w:p>
        </w:tc>
        <w:tc>
          <w:tcPr>
            <w:tcW w:w="1160" w:type="dxa"/>
            <w:vAlign w:val="bottom"/>
            <w:shd w:val="clear" w:color="auto" w:fill="4C4C4C"/>
          </w:tcPr>
          <w:p>
            <w:pPr>
              <w:spacing w:after="0"/>
              <w:rPr>
                <w:sz w:val="19"/>
                <w:szCs w:val="19"/>
                <w:color w:val="auto"/>
              </w:rPr>
            </w:pPr>
          </w:p>
        </w:tc>
        <w:tc>
          <w:tcPr>
            <w:tcW w:w="900" w:type="dxa"/>
            <w:vAlign w:val="bottom"/>
            <w:shd w:val="clear" w:color="auto" w:fill="4C4C4C"/>
          </w:tcPr>
          <w:p>
            <w:pPr>
              <w:spacing w:after="0"/>
              <w:rPr>
                <w:sz w:val="19"/>
                <w:szCs w:val="19"/>
                <w:color w:val="auto"/>
              </w:rPr>
            </w:pPr>
          </w:p>
        </w:tc>
        <w:tc>
          <w:tcPr>
            <w:tcW w:w="6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Value</w:t>
            </w:r>
          </w:p>
        </w:tc>
        <w:tc>
          <w:tcPr>
            <w:tcW w:w="660" w:type="dxa"/>
            <w:vAlign w:val="bottom"/>
            <w:shd w:val="clear" w:color="auto" w:fill="4C4C4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-618490</wp:posOffset>
            </wp:positionV>
            <wp:extent cx="4017010" cy="6318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2">
                      <a:extLst>
                        <a:ext uri="{28A0092B-C50C-407E-A947-70E740481C1C}"/>
                      </a:extLst>
                    </a:blip>
                    <a:srcRect/>
                    <a:stretch>
                      <a:fillRect/>
                    </a:stretch>
                  </pic:blipFill>
                  <pic:spPr bwMode="auto">
                    <a:xfrm>
                      <a:off x="0" y="0"/>
                      <a:ext cx="4017010" cy="631825"/>
                    </a:xfrm>
                    <a:prstGeom prst="rect">
                      <a:avLst/>
                    </a:prstGeom>
                    <a:noFill/>
                  </pic:spPr>
                </pic:pic>
              </a:graphicData>
            </a:graphic>
          </wp:anchor>
        </w:drawing>
      </w:r>
    </w:p>
    <w:p>
      <w:pPr>
        <w:spacing w:after="0" w:line="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4C4C4C"/>
        </w:rPr>
        <w:t>Asset category:</w:t>
      </w:r>
    </w:p>
    <w:p>
      <w:pPr>
        <w:sectPr>
          <w:pgSz w:w="11880" w:h="15480" w:orient="portrait"/>
          <w:cols w:equalWidth="0" w:num="1">
            <w:col w:w="10580"/>
          </w:cols>
          <w:pgMar w:left="640" w:top="270" w:right="660" w:bottom="0" w:gutter="0" w:footer="0" w:header="0"/>
        </w:sectPr>
      </w:pPr>
    </w:p>
    <w:p>
      <w:pPr>
        <w:spacing w:after="0" w:line="70"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312"/>
        </w:trPr>
        <w:tc>
          <w:tcPr>
            <w:tcW w:w="2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w:t>
            </w:r>
          </w:p>
        </w:tc>
        <w:tc>
          <w:tcPr>
            <w:tcW w:w="1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Non-U.S.</w:t>
            </w:r>
          </w:p>
        </w:tc>
        <w:tc>
          <w:tcPr>
            <w:tcW w:w="1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Private equity</w:t>
            </w:r>
          </w:p>
        </w:tc>
        <w:tc>
          <w:tcPr>
            <w:tcW w:w="1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6"/>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Debt securities</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2"/>
        </w:trPr>
        <w:tc>
          <w:tcPr>
            <w:tcW w:w="2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1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w:t>
            </w:r>
          </w:p>
        </w:tc>
      </w:tr>
      <w:tr>
        <w:trPr>
          <w:trHeight w:val="294"/>
        </w:trPr>
        <w:tc>
          <w:tcPr>
            <w:tcW w:w="2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Government</w:t>
            </w:r>
          </w:p>
        </w:tc>
        <w:tc>
          <w:tcPr>
            <w:tcW w:w="1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2,869</w:t>
            </w:r>
          </w:p>
        </w:tc>
      </w:tr>
      <w:tr>
        <w:trPr>
          <w:trHeight w:val="294"/>
        </w:trPr>
        <w:tc>
          <w:tcPr>
            <w:tcW w:w="2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Asset-backed</w:t>
            </w:r>
          </w:p>
        </w:tc>
        <w:tc>
          <w:tcPr>
            <w:tcW w:w="1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1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1,726</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1,726</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1,131</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1,131</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94"/>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506</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506</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88"/>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4,583</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2,871</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r>
      <w:tr>
        <w:trPr>
          <w:trHeight w:val="294"/>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168</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168</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-2896235</wp:posOffset>
                </wp:positionH>
                <wp:positionV relativeFrom="paragraph">
                  <wp:posOffset>6985</wp:posOffset>
                </wp:positionV>
                <wp:extent cx="657987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9870"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0499pt,0.55pt" to="290.05pt,0.55pt" o:allowincell="f" strokecolor="#4C4C4C" strokeweight="0.49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(3)</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63</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144</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22</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(4)</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2,318   2,318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1,676   1,737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—472472</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4,199   4,262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7,189   7,535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—185207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—77205</w:t>
      </w:r>
    </w:p>
    <w:p>
      <w:pPr>
        <w:spacing w:after="0" w:line="59" w:lineRule="exact"/>
        <w:rPr>
          <w:sz w:val="20"/>
          <w:szCs w:val="20"/>
          <w:color w:val="auto"/>
        </w:rPr>
      </w:pPr>
    </w:p>
    <w:p>
      <w:pPr>
        <w:sectPr>
          <w:pgSz w:w="11880" w:h="15480" w:orient="portrait"/>
          <w:cols w:equalWidth="0" w:num="7">
            <w:col w:w="3880" w:space="120"/>
            <w:col w:w="140" w:space="540"/>
            <w:col w:w="2320" w:space="120"/>
            <w:col w:w="140" w:space="440"/>
            <w:col w:w="300" w:space="120"/>
            <w:col w:w="140" w:space="540"/>
            <w:col w:w="1780"/>
          </w:cols>
          <w:pgMar w:left="640" w:top="270" w:right="660" w:bottom="0" w:gutter="0" w:footer="0" w:header="0"/>
          <w:type w:val="continuous"/>
        </w:sectPr>
      </w:pPr>
    </w:p>
    <w:tbl>
      <w:tblPr>
        <w:tblLayout w:type="fixed"/>
        <w:tblInd w:w="120" w:type="dxa"/>
        <w:tblCellMar>
          <w:top w:w="0" w:type="dxa"/>
          <w:left w:w="0" w:type="dxa"/>
          <w:bottom w:w="0" w:type="dxa"/>
          <w:right w:w="0" w:type="dxa"/>
        </w:tblCellMar>
      </w:tblPr>
      <w:tr>
        <w:trPr>
          <w:trHeight w:val="264"/>
        </w:trPr>
        <w:tc>
          <w:tcPr>
            <w:tcW w:w="23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at fair value</w:t>
            </w:r>
          </w:p>
        </w:tc>
        <w:tc>
          <w:tcPr>
            <w:tcW w:w="1860" w:type="dxa"/>
            <w:vAlign w:val="bottom"/>
            <w:tcBorders>
              <w:bottom w:val="single" w:sz="8" w:color="4C4C4C"/>
            </w:tcBorders>
          </w:tcPr>
          <w:p>
            <w:pPr>
              <w:ind w:left="560"/>
              <w:spacing w:after="0"/>
              <w:rPr>
                <w:sz w:val="20"/>
                <w:szCs w:val="20"/>
                <w:color w:val="auto"/>
              </w:rPr>
            </w:pPr>
            <w:r>
              <w:rPr>
                <w:rFonts w:ascii="Times New Roman" w:cs="Times New Roman" w:eastAsia="Times New Roman" w:hAnsi="Times New Roman"/>
                <w:sz w:val="20"/>
                <w:szCs w:val="20"/>
                <w:b w:val="1"/>
                <w:bCs w:val="1"/>
                <w:color w:val="auto"/>
              </w:rPr>
              <w:t>—   7,451</w:t>
            </w:r>
          </w:p>
        </w:tc>
        <w:tc>
          <w:tcPr>
            <w:tcW w:w="2220" w:type="dxa"/>
            <w:vAlign w:val="bottom"/>
            <w:tcBorders>
              <w:bottom w:val="single" w:sz="8" w:color="4C4C4C"/>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   3,535  10,986</w:t>
            </w:r>
          </w:p>
        </w:tc>
        <w:tc>
          <w:tcPr>
            <w:tcW w:w="840" w:type="dxa"/>
            <w:vAlign w:val="bottom"/>
            <w:tcBorders>
              <w:bottom w:val="single" w:sz="8" w:color="4C4C4C"/>
            </w:tcBorders>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351</w:t>
            </w:r>
          </w:p>
        </w:tc>
        <w:tc>
          <w:tcPr>
            <w:tcW w:w="1060" w:type="dxa"/>
            <w:vAlign w:val="bottom"/>
            <w:tcBorders>
              <w:bottom w:val="single" w:sz="8" w:color="4C4C4C"/>
            </w:tcBorders>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269</w:t>
            </w:r>
          </w:p>
        </w:tc>
        <w:tc>
          <w:tcPr>
            <w:tcW w:w="2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16,116  16,736</w:t>
            </w:r>
          </w:p>
        </w:tc>
        <w:tc>
          <w:tcPr>
            <w:tcW w:w="0" w:type="dxa"/>
            <w:vAlign w:val="bottom"/>
          </w:tcPr>
          <w:p>
            <w:pPr>
              <w:spacing w:after="0"/>
              <w:rPr>
                <w:sz w:val="1"/>
                <w:szCs w:val="1"/>
                <w:color w:val="auto"/>
              </w:rPr>
            </w:pPr>
          </w:p>
        </w:tc>
      </w:tr>
      <w:tr>
        <w:trPr>
          <w:trHeight w:val="176"/>
        </w:trPr>
        <w:tc>
          <w:tcPr>
            <w:tcW w:w="2300" w:type="dxa"/>
            <w:vAlign w:val="bottom"/>
          </w:tcPr>
          <w:p>
            <w:pPr>
              <w:ind w:left="40"/>
              <w:spacing w:after="0" w:line="176" w:lineRule="exact"/>
              <w:rPr>
                <w:sz w:val="20"/>
                <w:szCs w:val="20"/>
                <w:color w:val="auto"/>
              </w:rPr>
            </w:pPr>
            <w:r>
              <w:rPr>
                <w:rFonts w:ascii="Times New Roman" w:cs="Times New Roman" w:eastAsia="Times New Roman" w:hAnsi="Times New Roman"/>
                <w:sz w:val="20"/>
                <w:szCs w:val="20"/>
                <w:color w:val="auto"/>
              </w:rPr>
              <w:t>Insurance contracts at</w:t>
            </w:r>
          </w:p>
        </w:tc>
        <w:tc>
          <w:tcPr>
            <w:tcW w:w="1860" w:type="dxa"/>
            <w:vAlign w:val="bottom"/>
          </w:tcPr>
          <w:p>
            <w:pPr>
              <w:spacing w:after="0"/>
              <w:rPr>
                <w:sz w:val="15"/>
                <w:szCs w:val="15"/>
                <w:color w:val="auto"/>
              </w:rPr>
            </w:pPr>
          </w:p>
        </w:tc>
        <w:tc>
          <w:tcPr>
            <w:tcW w:w="22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rPr>
              <w:t>3</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60"/>
        </w:trPr>
        <w:tc>
          <w:tcPr>
            <w:tcW w:w="23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contract value</w:t>
            </w:r>
          </w:p>
        </w:tc>
        <w:tc>
          <w:tcPr>
            <w:tcW w:w="1860" w:type="dxa"/>
            <w:vAlign w:val="bottom"/>
            <w:tcBorders>
              <w:bottom w:val="single" w:sz="8" w:color="4C4C4C"/>
            </w:tcBorders>
          </w:tcPr>
          <w:p>
            <w:pPr>
              <w:spacing w:after="0"/>
              <w:rPr>
                <w:sz w:val="22"/>
                <w:szCs w:val="22"/>
                <w:color w:val="auto"/>
              </w:rPr>
            </w:pPr>
          </w:p>
        </w:tc>
        <w:tc>
          <w:tcPr>
            <w:tcW w:w="2220" w:type="dxa"/>
            <w:vAlign w:val="bottom"/>
            <w:tcBorders>
              <w:bottom w:val="single" w:sz="8" w:color="4C4C4C"/>
            </w:tcBorders>
            <w:vMerge w:val="continue"/>
          </w:tcPr>
          <w:p>
            <w:pPr>
              <w:spacing w:after="0"/>
              <w:rPr>
                <w:sz w:val="22"/>
                <w:szCs w:val="22"/>
                <w:color w:val="auto"/>
              </w:rPr>
            </w:pPr>
          </w:p>
        </w:tc>
        <w:tc>
          <w:tcPr>
            <w:tcW w:w="840" w:type="dxa"/>
            <w:vAlign w:val="bottom"/>
            <w:tcBorders>
              <w:bottom w:val="single" w:sz="8" w:color="4C4C4C"/>
            </w:tcBorders>
          </w:tcPr>
          <w:p>
            <w:pPr>
              <w:spacing w:after="0"/>
              <w:rPr>
                <w:sz w:val="22"/>
                <w:szCs w:val="22"/>
                <w:color w:val="auto"/>
              </w:rPr>
            </w:pPr>
          </w:p>
        </w:tc>
        <w:tc>
          <w:tcPr>
            <w:tcW w:w="1060" w:type="dxa"/>
            <w:vAlign w:val="bottom"/>
            <w:tcBorders>
              <w:bottom w:val="single" w:sz="8" w:color="4C4C4C"/>
            </w:tcBorders>
          </w:tcPr>
          <w:p>
            <w:pPr>
              <w:spacing w:after="0"/>
              <w:rPr>
                <w:sz w:val="22"/>
                <w:szCs w:val="22"/>
                <w:color w:val="auto"/>
              </w:rPr>
            </w:pPr>
          </w:p>
        </w:tc>
        <w:tc>
          <w:tcPr>
            <w:tcW w:w="208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3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plan assets</w:t>
            </w:r>
          </w:p>
        </w:tc>
        <w:tc>
          <w:tcPr>
            <w:tcW w:w="1860" w:type="dxa"/>
            <w:vAlign w:val="bottom"/>
            <w:tcBorders>
              <w:bottom w:val="single" w:sz="8" w:color="4C4C4C"/>
            </w:tcBorders>
          </w:tcPr>
          <w:p>
            <w:pPr>
              <w:spacing w:after="0"/>
              <w:rPr>
                <w:sz w:val="24"/>
                <w:szCs w:val="24"/>
                <w:color w:val="auto"/>
              </w:rPr>
            </w:pPr>
          </w:p>
        </w:tc>
        <w:tc>
          <w:tcPr>
            <w:tcW w:w="2220" w:type="dxa"/>
            <w:vAlign w:val="bottom"/>
            <w:tcBorders>
              <w:bottom w:val="single" w:sz="8" w:color="4C4C4C"/>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10,989</w:t>
            </w:r>
          </w:p>
        </w:tc>
        <w:tc>
          <w:tcPr>
            <w:tcW w:w="840" w:type="dxa"/>
            <w:vAlign w:val="bottom"/>
            <w:tcBorders>
              <w:bottom w:val="single" w:sz="8" w:color="4C4C4C"/>
            </w:tcBorders>
          </w:tcPr>
          <w:p>
            <w:pPr>
              <w:spacing w:after="0"/>
              <w:rPr>
                <w:sz w:val="24"/>
                <w:szCs w:val="24"/>
                <w:color w:val="auto"/>
              </w:rPr>
            </w:pPr>
          </w:p>
        </w:tc>
        <w:tc>
          <w:tcPr>
            <w:tcW w:w="1060" w:type="dxa"/>
            <w:vAlign w:val="bottom"/>
            <w:tcBorders>
              <w:bottom w:val="single" w:sz="8" w:color="4C4C4C"/>
            </w:tcBorders>
          </w:tcPr>
          <w:p>
            <w:pPr>
              <w:spacing w:after="0"/>
              <w:rPr>
                <w:sz w:val="24"/>
                <w:szCs w:val="24"/>
                <w:color w:val="auto"/>
              </w:rPr>
            </w:pPr>
          </w:p>
        </w:tc>
        <w:tc>
          <w:tcPr>
            <w:tcW w:w="20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16,757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150"/>
        <w:spacing w:after="0"/>
        <w:tabs>
          <w:tab w:leader="none" w:pos="320" w:val="left"/>
        </w:tabs>
        <w:numPr>
          <w:ilvl w:val="0"/>
          <w:numId w:val="5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For non-U.S. equity securities held in separate accounts, fair value is based on observable quoted prices on active exchanges.</w:t>
      </w:r>
    </w:p>
    <w:p>
      <w:pPr>
        <w:spacing w:after="0" w:line="47" w:lineRule="exact"/>
        <w:rPr>
          <w:rFonts w:ascii="Times New Roman" w:cs="Times New Roman" w:eastAsia="Times New Roman" w:hAnsi="Times New Roman"/>
          <w:sz w:val="19"/>
          <w:szCs w:val="19"/>
          <w:i w:val="1"/>
          <w:iCs w:val="1"/>
          <w:color w:val="auto"/>
          <w:vertAlign w:val="superscript"/>
        </w:rPr>
      </w:pPr>
    </w:p>
    <w:p>
      <w:pPr>
        <w:ind w:left="320" w:hanging="150"/>
        <w:spacing w:after="0" w:line="206" w:lineRule="auto"/>
        <w:tabs>
          <w:tab w:leader="none" w:pos="320" w:val="left"/>
        </w:tabs>
        <w:numPr>
          <w:ilvl w:val="0"/>
          <w:numId w:val="5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For corporate, government and asset-backed debt securities, fair value is based on observable inputs of comparable market transactions.</w:t>
      </w:r>
    </w:p>
    <w:p>
      <w:pPr>
        <w:spacing w:after="0" w:line="47" w:lineRule="exact"/>
        <w:rPr>
          <w:rFonts w:ascii="Times New Roman" w:cs="Times New Roman" w:eastAsia="Times New Roman" w:hAnsi="Times New Roman"/>
          <w:sz w:val="19"/>
          <w:szCs w:val="19"/>
          <w:i w:val="1"/>
          <w:iCs w:val="1"/>
          <w:color w:val="auto"/>
          <w:vertAlign w:val="superscript"/>
        </w:rPr>
      </w:pPr>
    </w:p>
    <w:p>
      <w:pPr>
        <w:ind w:left="320" w:hanging="150"/>
        <w:spacing w:after="0" w:line="206" w:lineRule="auto"/>
        <w:tabs>
          <w:tab w:leader="none" w:pos="320" w:val="left"/>
        </w:tabs>
        <w:numPr>
          <w:ilvl w:val="0"/>
          <w:numId w:val="5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For government debt securities that are traded on active exchanges, fair value is based on observable quoted prices.</w:t>
      </w:r>
    </w:p>
    <w:p>
      <w:pPr>
        <w:spacing w:after="0" w:line="47" w:lineRule="exact"/>
        <w:rPr>
          <w:rFonts w:ascii="Times New Roman" w:cs="Times New Roman" w:eastAsia="Times New Roman" w:hAnsi="Times New Roman"/>
          <w:sz w:val="19"/>
          <w:szCs w:val="19"/>
          <w:i w:val="1"/>
          <w:iCs w:val="1"/>
          <w:color w:val="auto"/>
          <w:vertAlign w:val="superscript"/>
        </w:rPr>
      </w:pPr>
    </w:p>
    <w:p>
      <w:pPr>
        <w:ind w:left="320" w:hanging="150"/>
        <w:spacing w:after="0" w:line="206" w:lineRule="auto"/>
        <w:tabs>
          <w:tab w:leader="none" w:pos="320" w:val="left"/>
        </w:tabs>
        <w:numPr>
          <w:ilvl w:val="0"/>
          <w:numId w:val="5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260" w:type="dxa"/>
            <w:vAlign w:val="bottom"/>
            <w:tcBorders>
              <w:bottom w:val="single" w:sz="8" w:color="4C4C4C"/>
            </w:tcBorders>
          </w:tcPr>
          <w:p>
            <w:pPr>
              <w:spacing w:after="0"/>
              <w:rPr>
                <w:sz w:val="18"/>
                <w:szCs w:val="18"/>
                <w:color w:val="auto"/>
              </w:rPr>
            </w:pPr>
          </w:p>
        </w:tc>
        <w:tc>
          <w:tcPr>
            <w:tcW w:w="1040" w:type="dxa"/>
            <w:vAlign w:val="bottom"/>
            <w:tcBorders>
              <w:bottom w:val="single" w:sz="8" w:color="4C4C4C"/>
            </w:tcBorders>
          </w:tcPr>
          <w:p>
            <w:pPr>
              <w:spacing w:after="0"/>
              <w:rPr>
                <w:sz w:val="18"/>
                <w:szCs w:val="18"/>
                <w:color w:val="auto"/>
              </w:rPr>
            </w:pPr>
          </w:p>
        </w:tc>
        <w:tc>
          <w:tcPr>
            <w:tcW w:w="1720" w:type="dxa"/>
            <w:vAlign w:val="bottom"/>
            <w:tcBorders>
              <w:bottom w:val="single" w:sz="8" w:color="4C4C4C"/>
            </w:tcBorders>
          </w:tcPr>
          <w:p>
            <w:pPr>
              <w:ind w:left="80"/>
              <w:spacing w:after="0"/>
              <w:rPr>
                <w:sz w:val="20"/>
                <w:szCs w:val="20"/>
                <w:color w:val="auto"/>
              </w:rPr>
            </w:pPr>
            <w:r>
              <w:rPr>
                <w:rFonts w:ascii="Times New Roman" w:cs="Times New Roman" w:eastAsia="Times New Roman" w:hAnsi="Times New Roman"/>
                <w:sz w:val="16"/>
                <w:szCs w:val="16"/>
                <w:b w:val="1"/>
                <w:bCs w:val="1"/>
                <w:color w:val="4C4C4C"/>
              </w:rPr>
              <w:t>Other Postretirement</w:t>
            </w:r>
          </w:p>
        </w:tc>
        <w:tc>
          <w:tcPr>
            <w:tcW w:w="1140" w:type="dxa"/>
            <w:vAlign w:val="bottom"/>
            <w:tcBorders>
              <w:bottom w:val="single" w:sz="8" w:color="4C4C4C"/>
            </w:tcBorders>
          </w:tcPr>
          <w:p>
            <w:pPr>
              <w:spacing w:after="0"/>
              <w:rPr>
                <w:sz w:val="18"/>
                <w:szCs w:val="18"/>
                <w:color w:val="auto"/>
              </w:rPr>
            </w:pPr>
          </w:p>
        </w:tc>
        <w:tc>
          <w:tcPr>
            <w:tcW w:w="1040" w:type="dxa"/>
            <w:vAlign w:val="bottom"/>
            <w:tcBorders>
              <w:bottom w:val="single" w:sz="8" w:color="4C4C4C"/>
            </w:tcBorders>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9"/>
        </w:trPr>
        <w:tc>
          <w:tcPr>
            <w:tcW w:w="4360" w:type="dxa"/>
            <w:vAlign w:val="bottom"/>
            <w:shd w:val="clear" w:color="auto" w:fill="4C4C4C"/>
          </w:tcPr>
          <w:p>
            <w:pPr>
              <w:spacing w:after="0"/>
              <w:rPr>
                <w:sz w:val="24"/>
                <w:szCs w:val="24"/>
                <w:color w:val="auto"/>
              </w:rPr>
            </w:pPr>
          </w:p>
        </w:tc>
        <w:tc>
          <w:tcPr>
            <w:tcW w:w="5160" w:type="dxa"/>
            <w:vAlign w:val="bottom"/>
            <w:gridSpan w:val="4"/>
            <w:shd w:val="clear" w:color="auto" w:fill="4C4C4C"/>
          </w:tcPr>
          <w:p>
            <w:pPr>
              <w:ind w:left="700"/>
              <w:spacing w:after="0"/>
              <w:rPr>
                <w:sz w:val="20"/>
                <w:szCs w:val="20"/>
                <w:color w:val="auto"/>
              </w:rPr>
            </w:pPr>
            <w:r>
              <w:rPr>
                <w:rFonts w:ascii="Times New Roman" w:cs="Times New Roman" w:eastAsia="Times New Roman" w:hAnsi="Times New Roman"/>
                <w:sz w:val="16"/>
                <w:szCs w:val="16"/>
                <w:b w:val="1"/>
                <w:bCs w:val="1"/>
                <w:color w:val="FFFFFF"/>
              </w:rPr>
              <w:t>Fair Value Measurement at December 31, 2022, Using:</w:t>
            </w:r>
          </w:p>
        </w:tc>
        <w:tc>
          <w:tcPr>
            <w:tcW w:w="104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20" w:type="dxa"/>
            <w:vAlign w:val="bottom"/>
            <w:gridSpan w:val="2"/>
            <w:shd w:val="clear" w:color="auto" w:fill="4C4C4C"/>
          </w:tcPr>
          <w:p>
            <w:pPr>
              <w:ind w:left="60"/>
              <w:spacing w:after="0" w:line="178"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40" w:type="dxa"/>
            <w:vAlign w:val="bottom"/>
            <w:shd w:val="clear" w:color="auto" w:fill="4C4C4C"/>
          </w:tcPr>
          <w:p>
            <w:pPr>
              <w:spacing w:after="0"/>
              <w:rPr>
                <w:sz w:val="15"/>
                <w:szCs w:val="15"/>
                <w:color w:val="auto"/>
              </w:rPr>
            </w:pPr>
          </w:p>
        </w:tc>
        <w:tc>
          <w:tcPr>
            <w:tcW w:w="1720" w:type="dxa"/>
            <w:vAlign w:val="bottom"/>
            <w:shd w:val="clear" w:color="auto" w:fill="4C4C4C"/>
          </w:tcPr>
          <w:p>
            <w:pPr>
              <w:spacing w:after="0"/>
              <w:rPr>
                <w:sz w:val="15"/>
                <w:szCs w:val="15"/>
                <w:color w:val="auto"/>
              </w:rPr>
            </w:pPr>
          </w:p>
        </w:tc>
        <w:tc>
          <w:tcPr>
            <w:tcW w:w="1140" w:type="dxa"/>
            <w:vAlign w:val="bottom"/>
            <w:vMerge w:val="restart"/>
            <w:shd w:val="clear" w:color="auto" w:fill="4C4C4C"/>
          </w:tcPr>
          <w:p>
            <w:pPr>
              <w:jc w:val="center"/>
              <w:ind w:right="42"/>
              <w:spacing w:after="0"/>
              <w:rPr>
                <w:sz w:val="20"/>
                <w:szCs w:val="20"/>
                <w:color w:val="auto"/>
              </w:rPr>
            </w:pPr>
            <w:r>
              <w:rPr>
                <w:rFonts w:ascii="Times New Roman" w:cs="Times New Roman" w:eastAsia="Times New Roman" w:hAnsi="Times New Roman"/>
                <w:sz w:val="16"/>
                <w:szCs w:val="16"/>
                <w:b w:val="1"/>
                <w:bCs w:val="1"/>
                <w:color w:val="FFFFFF"/>
                <w:w w:val="96"/>
              </w:rPr>
              <w:t>Net Asset</w:t>
            </w:r>
          </w:p>
        </w:tc>
        <w:tc>
          <w:tcPr>
            <w:tcW w:w="1040" w:type="dxa"/>
            <w:vAlign w:val="bottom"/>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60" w:type="dxa"/>
            <w:vAlign w:val="bottom"/>
            <w:shd w:val="clear" w:color="auto" w:fill="4C4C4C"/>
          </w:tcPr>
          <w:p>
            <w:pPr>
              <w:spacing w:after="0"/>
              <w:rPr>
                <w:sz w:val="13"/>
                <w:szCs w:val="13"/>
                <w:color w:val="auto"/>
              </w:rPr>
            </w:pPr>
          </w:p>
        </w:tc>
        <w:tc>
          <w:tcPr>
            <w:tcW w:w="1260" w:type="dxa"/>
            <w:vAlign w:val="bottom"/>
            <w:shd w:val="clear" w:color="auto" w:fill="4C4C4C"/>
          </w:tcPr>
          <w:p>
            <w:pPr>
              <w:ind w:left="300"/>
              <w:spacing w:after="0" w:line="160" w:lineRule="exact"/>
              <w:rPr>
                <w:sz w:val="20"/>
                <w:szCs w:val="20"/>
                <w:color w:val="auto"/>
              </w:rPr>
            </w:pPr>
            <w:r>
              <w:rPr>
                <w:rFonts w:ascii="Times New Roman" w:cs="Times New Roman" w:eastAsia="Times New Roman" w:hAnsi="Times New Roman"/>
                <w:sz w:val="16"/>
                <w:szCs w:val="16"/>
                <w:b w:val="1"/>
                <w:bCs w:val="1"/>
                <w:color w:val="FFFFFF"/>
              </w:rPr>
              <w:t>Level 1</w:t>
            </w:r>
          </w:p>
        </w:tc>
        <w:tc>
          <w:tcPr>
            <w:tcW w:w="1040" w:type="dxa"/>
            <w:vAlign w:val="bottom"/>
            <w:shd w:val="clear" w:color="auto" w:fill="4C4C4C"/>
          </w:tcPr>
          <w:p>
            <w:pPr>
              <w:ind w:left="460"/>
              <w:spacing w:after="0" w:line="160" w:lineRule="exact"/>
              <w:rPr>
                <w:sz w:val="20"/>
                <w:szCs w:val="20"/>
                <w:color w:val="auto"/>
              </w:rPr>
            </w:pPr>
            <w:r>
              <w:rPr>
                <w:rFonts w:ascii="Times New Roman" w:cs="Times New Roman" w:eastAsia="Times New Roman" w:hAnsi="Times New Roman"/>
                <w:sz w:val="16"/>
                <w:szCs w:val="16"/>
                <w:b w:val="1"/>
                <w:bCs w:val="1"/>
                <w:color w:val="FFFFFF"/>
              </w:rPr>
              <w:t>Level 2</w:t>
            </w:r>
          </w:p>
        </w:tc>
        <w:tc>
          <w:tcPr>
            <w:tcW w:w="1720" w:type="dxa"/>
            <w:vAlign w:val="bottom"/>
            <w:shd w:val="clear" w:color="auto" w:fill="4C4C4C"/>
          </w:tcPr>
          <w:p>
            <w:pPr>
              <w:ind w:left="860"/>
              <w:spacing w:after="0" w:line="160" w:lineRule="exact"/>
              <w:rPr>
                <w:sz w:val="20"/>
                <w:szCs w:val="20"/>
                <w:color w:val="auto"/>
              </w:rPr>
            </w:pPr>
            <w:r>
              <w:rPr>
                <w:rFonts w:ascii="Times New Roman" w:cs="Times New Roman" w:eastAsia="Times New Roman" w:hAnsi="Times New Roman"/>
                <w:sz w:val="16"/>
                <w:szCs w:val="16"/>
                <w:b w:val="1"/>
                <w:bCs w:val="1"/>
                <w:color w:val="FFFFFF"/>
              </w:rPr>
              <w:t>Level 3</w:t>
            </w:r>
          </w:p>
        </w:tc>
        <w:tc>
          <w:tcPr>
            <w:tcW w:w="1140" w:type="dxa"/>
            <w:vAlign w:val="bottom"/>
            <w:vMerge w:val="continue"/>
            <w:shd w:val="clear" w:color="auto" w:fill="4C4C4C"/>
          </w:tcPr>
          <w:p>
            <w:pPr>
              <w:spacing w:after="0"/>
              <w:rPr>
                <w:sz w:val="13"/>
                <w:szCs w:val="13"/>
                <w:color w:val="auto"/>
              </w:rPr>
            </w:pPr>
          </w:p>
        </w:tc>
        <w:tc>
          <w:tcPr>
            <w:tcW w:w="1040" w:type="dxa"/>
            <w:vAlign w:val="bottom"/>
            <w:shd w:val="clear" w:color="auto" w:fill="4C4C4C"/>
          </w:tcPr>
          <w:p>
            <w:pPr>
              <w:ind w:left="320"/>
              <w:spacing w:after="0" w:line="160" w:lineRule="exact"/>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81"/>
        </w:trPr>
        <w:tc>
          <w:tcPr>
            <w:tcW w:w="4360" w:type="dxa"/>
            <w:vAlign w:val="bottom"/>
            <w:shd w:val="clear" w:color="auto" w:fill="4C4C4C"/>
          </w:tcPr>
          <w:p>
            <w:pPr>
              <w:spacing w:after="0"/>
              <w:rPr>
                <w:sz w:val="15"/>
                <w:szCs w:val="15"/>
                <w:color w:val="auto"/>
              </w:rPr>
            </w:pPr>
          </w:p>
        </w:tc>
        <w:tc>
          <w:tcPr>
            <w:tcW w:w="1260" w:type="dxa"/>
            <w:vAlign w:val="bottom"/>
            <w:shd w:val="clear" w:color="auto" w:fill="4C4C4C"/>
          </w:tcPr>
          <w:p>
            <w:pPr>
              <w:spacing w:after="0"/>
              <w:rPr>
                <w:sz w:val="15"/>
                <w:szCs w:val="15"/>
                <w:color w:val="auto"/>
              </w:rPr>
            </w:pPr>
          </w:p>
        </w:tc>
        <w:tc>
          <w:tcPr>
            <w:tcW w:w="1040" w:type="dxa"/>
            <w:vAlign w:val="bottom"/>
            <w:shd w:val="clear" w:color="auto" w:fill="4C4C4C"/>
          </w:tcPr>
          <w:p>
            <w:pPr>
              <w:spacing w:after="0"/>
              <w:rPr>
                <w:sz w:val="15"/>
                <w:szCs w:val="15"/>
                <w:color w:val="auto"/>
              </w:rPr>
            </w:pPr>
          </w:p>
        </w:tc>
        <w:tc>
          <w:tcPr>
            <w:tcW w:w="1720" w:type="dxa"/>
            <w:vAlign w:val="bottom"/>
            <w:shd w:val="clear" w:color="auto" w:fill="4C4C4C"/>
          </w:tcPr>
          <w:p>
            <w:pPr>
              <w:spacing w:after="0"/>
              <w:rPr>
                <w:sz w:val="15"/>
                <w:szCs w:val="15"/>
                <w:color w:val="auto"/>
              </w:rPr>
            </w:pPr>
          </w:p>
        </w:tc>
        <w:tc>
          <w:tcPr>
            <w:tcW w:w="1140" w:type="dxa"/>
            <w:vAlign w:val="bottom"/>
            <w:shd w:val="clear" w:color="auto" w:fill="4C4C4C"/>
          </w:tcPr>
          <w:p>
            <w:pPr>
              <w:jc w:val="center"/>
              <w:ind w:right="42"/>
              <w:spacing w:after="0" w:line="181" w:lineRule="exact"/>
              <w:rPr>
                <w:sz w:val="20"/>
                <w:szCs w:val="20"/>
                <w:color w:val="auto"/>
              </w:rPr>
            </w:pPr>
            <w:r>
              <w:rPr>
                <w:rFonts w:ascii="Times New Roman" w:cs="Times New Roman" w:eastAsia="Times New Roman" w:hAnsi="Times New Roman"/>
                <w:sz w:val="16"/>
                <w:szCs w:val="16"/>
                <w:b w:val="1"/>
                <w:bCs w:val="1"/>
                <w:color w:val="FFFFFF"/>
                <w:w w:val="94"/>
              </w:rPr>
              <w:t>Value</w:t>
            </w:r>
          </w:p>
        </w:tc>
        <w:tc>
          <w:tcPr>
            <w:tcW w:w="1040" w:type="dxa"/>
            <w:vAlign w:val="bottom"/>
            <w:shd w:val="clear" w:color="auto" w:fill="4C4C4C"/>
          </w:tcPr>
          <w:p>
            <w:pPr>
              <w:spacing w:after="0"/>
              <w:rPr>
                <w:sz w:val="15"/>
                <w:szCs w:val="15"/>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ectPr>
          <w:pgSz w:w="11880" w:h="15480" w:orient="portrait"/>
          <w:cols w:equalWidth="0" w:num="1">
            <w:col w:w="10580"/>
          </w:cols>
          <w:pgMar w:left="640" w:top="270" w:right="660" w:bottom="0" w:gutter="0" w:footer="0" w:header="0"/>
          <w:type w:val="continuous"/>
        </w:sectPr>
      </w:pPr>
    </w:p>
    <w:tbl>
      <w:tblPr>
        <w:tblLayout w:type="fixed"/>
        <w:tblInd w:w="80" w:type="dxa"/>
        <w:tblCellMar>
          <w:top w:w="0" w:type="dxa"/>
          <w:left w:w="0" w:type="dxa"/>
          <w:bottom w:w="0" w:type="dxa"/>
          <w:right w:w="0" w:type="dxa"/>
        </w:tblCellMar>
      </w:tblPr>
      <w:tr>
        <w:trPr>
          <w:trHeight w:val="261"/>
        </w:trPr>
        <w:tc>
          <w:tcPr>
            <w:tcW w:w="3200" w:type="dxa"/>
            <w:vAlign w:val="bottom"/>
          </w:tcPr>
          <w:p>
            <w:pPr>
              <w:spacing w:after="0"/>
              <w:rPr>
                <w:sz w:val="20"/>
                <w:szCs w:val="20"/>
                <w:color w:val="auto"/>
              </w:rPr>
            </w:pPr>
            <w:r>
              <w:rPr>
                <w:rFonts w:ascii="Times New Roman" w:cs="Times New Roman" w:eastAsia="Times New Roman" w:hAnsi="Times New Roman"/>
                <w:sz w:val="20"/>
                <w:szCs w:val="20"/>
                <w:b w:val="1"/>
                <w:bCs w:val="1"/>
                <w:color w:val="4C4C4C"/>
              </w:rPr>
              <w:t>Asset category:</w:t>
            </w:r>
          </w:p>
        </w:tc>
        <w:tc>
          <w:tcPr>
            <w:tcW w:w="2100" w:type="dxa"/>
            <w:vAlign w:val="bottom"/>
          </w:tcPr>
          <w:p>
            <w:pPr>
              <w:spacing w:after="0"/>
              <w:rPr>
                <w:sz w:val="22"/>
                <w:szCs w:val="22"/>
                <w:color w:val="auto"/>
              </w:rPr>
            </w:pPr>
          </w:p>
        </w:tc>
      </w:t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2100" w:type="dxa"/>
            <w:vAlign w:val="bottom"/>
          </w:tcPr>
          <w:p>
            <w:pPr>
              <w:spacing w:after="0"/>
              <w:rPr>
                <w:sz w:val="24"/>
                <w:szCs w:val="24"/>
                <w:color w:val="auto"/>
              </w:rPr>
            </w:pPr>
          </w:p>
        </w:tc>
      </w:tr>
      <w:tr>
        <w:trPr>
          <w:trHeight w:val="312"/>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94"/>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Non-U.S.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Debt securities</w:t>
            </w:r>
          </w:p>
        </w:tc>
        <w:tc>
          <w:tcPr>
            <w:tcW w:w="2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bl>
    <w:p>
      <w:pPr>
        <w:spacing w:after="0" w:line="313" w:lineRule="exact"/>
        <w:rPr>
          <w:sz w:val="20"/>
          <w:szCs w:val="20"/>
          <w:color w:val="auto"/>
        </w:rPr>
      </w:pPr>
    </w:p>
    <w:p>
      <w:pPr>
        <w:sectPr>
          <w:pgSz w:w="11880" w:h="15480" w:orient="portrait"/>
          <w:cols w:equalWidth="0" w:num="3">
            <w:col w:w="5380" w:space="100"/>
            <w:col w:w="420" w:space="720"/>
            <w:col w:w="3960"/>
          </w:cols>
          <w:pgMar w:left="640" w:top="270" w:right="660" w:bottom="0" w:gutter="0" w:footer="0" w:header="0"/>
          <w:type w:val="continuous"/>
        </w:sectPr>
      </w:pPr>
    </w:p>
    <w:tbl>
      <w:tblPr>
        <w:tblLayout w:type="fixed"/>
        <w:tblInd w:w="80" w:type="dxa"/>
        <w:tblCellMar>
          <w:top w:w="0" w:type="dxa"/>
          <w:left w:w="0" w:type="dxa"/>
          <w:bottom w:w="0" w:type="dxa"/>
          <w:right w:w="0" w:type="dxa"/>
        </w:tblCellMar>
      </w:tblPr>
      <w:tr>
        <w:trPr>
          <w:trHeight w:val="274"/>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Corporate</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94"/>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Government</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94"/>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Asset-backed</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4"/>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72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6985</wp:posOffset>
                </wp:positionV>
                <wp:extent cx="670242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2425" cy="4763"/>
                        </a:xfrm>
                        <a:prstGeom prst="line">
                          <a:avLst/>
                        </a:prstGeom>
                        <a:solidFill>
                          <a:srgbClr val="FFFFFF"/>
                        </a:solidFill>
                        <a:ln w="6223">
                          <a:solidFill>
                            <a:srgbClr val="4C4C4C"/>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0.55pt" to="528.85pt,0.55pt" o:allowincell="f" strokecolor="#4C4C4C" strokeweight="0.49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9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9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bl>
    <w:p>
      <w:pPr>
        <w:spacing w:after="0" w:line="14" w:lineRule="exact"/>
        <w:rPr>
          <w:sz w:val="20"/>
          <w:szCs w:val="20"/>
          <w:color w:val="auto"/>
        </w:rPr>
      </w:pPr>
    </w:p>
    <w:p>
      <w:pPr>
        <w:sectPr>
          <w:pgSz w:w="11880" w:h="15480" w:orient="portrait"/>
          <w:cols w:equalWidth="0" w:num="3">
            <w:col w:w="6800" w:space="100"/>
            <w:col w:w="420" w:space="720"/>
            <w:col w:w="2540"/>
          </w:cols>
          <w:pgMar w:left="640" w:top="270" w:right="660" w:bottom="0" w:gutter="0" w:footer="0" w:header="0"/>
          <w:type w:val="continuous"/>
        </w:sectPr>
      </w:pPr>
    </w:p>
    <w:p>
      <w:pPr>
        <w:ind w:left="80"/>
        <w:spacing w:after="0"/>
        <w:tabs>
          <w:tab w:leader="none" w:pos="5060" w:val="left"/>
          <w:tab w:leader="none" w:pos="6500" w:val="left"/>
          <w:tab w:leader="none" w:pos="8020" w:val="left"/>
          <w:tab w:leader="none" w:pos="9140" w:val="left"/>
          <w:tab w:leader="none" w:pos="10180" w:val="left"/>
        </w:tabs>
        <w:rPr>
          <w:sz w:val="20"/>
          <w:szCs w:val="20"/>
          <w:color w:val="auto"/>
        </w:rPr>
      </w:pPr>
      <w:r>
        <w:rPr>
          <w:rFonts w:ascii="Times New Roman" w:cs="Times New Roman" w:eastAsia="Times New Roman" w:hAnsi="Times New Roman"/>
          <w:sz w:val="20"/>
          <w:szCs w:val="20"/>
          <w:b w:val="1"/>
          <w:bCs w:val="1"/>
          <w:color w:val="auto"/>
        </w:rPr>
        <w:t>Total at fair value</w:t>
      </w:r>
      <w:r>
        <w:rPr>
          <w:sz w:val="20"/>
          <w:szCs w:val="20"/>
          <w:color w:val="auto"/>
        </w:rPr>
        <w:tab/>
      </w: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20"/>
          <w:szCs w:val="20"/>
          <w:b w:val="1"/>
          <w:bCs w:val="1"/>
          <w:color w:val="auto"/>
        </w:rPr>
        <w:t>241</w:t>
      </w:r>
      <w:r>
        <w:rPr>
          <w:sz w:val="20"/>
          <w:szCs w:val="20"/>
          <w:color w:val="auto"/>
        </w:rPr>
        <w:tab/>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348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38735</wp:posOffset>
                </wp:positionV>
                <wp:extent cx="670242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2425" cy="4763"/>
                        </a:xfrm>
                        <a:prstGeom prst="line">
                          <a:avLst/>
                        </a:prstGeom>
                        <a:solidFill>
                          <a:srgbClr val="FFFFFF"/>
                        </a:solidFill>
                        <a:ln w="18669">
                          <a:solidFill>
                            <a:srgbClr val="4C4C4C"/>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3.05pt" to="528.85pt,3.05pt" o:allowincell="f" strokecolor="#4C4C4C" strokeweight="1.47pt"/>
            </w:pict>
          </mc:Fallback>
        </mc:AlternateContent>
      </w:r>
    </w:p>
    <w:p>
      <w:pPr>
        <w:spacing w:after="0" w:line="129" w:lineRule="exact"/>
        <w:rPr>
          <w:sz w:val="20"/>
          <w:szCs w:val="20"/>
          <w:color w:val="auto"/>
        </w:rPr>
      </w:pPr>
    </w:p>
    <w:p>
      <w:pPr>
        <w:ind w:left="240" w:hanging="166"/>
        <w:spacing w:after="0"/>
        <w:tabs>
          <w:tab w:leader="none" w:pos="240" w:val="left"/>
        </w:tabs>
        <w:numPr>
          <w:ilvl w:val="0"/>
          <w:numId w:val="5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For equity securities held in separate accounts, fair value is based on observable quoted prices on active exchanges.</w:t>
      </w:r>
    </w:p>
    <w:p>
      <w:pPr>
        <w:spacing w:after="0" w:line="47" w:lineRule="exact"/>
        <w:rPr>
          <w:rFonts w:ascii="Times New Roman" w:cs="Times New Roman" w:eastAsia="Times New Roman" w:hAnsi="Times New Roman"/>
          <w:sz w:val="20"/>
          <w:szCs w:val="20"/>
          <w:i w:val="1"/>
          <w:iCs w:val="1"/>
          <w:color w:val="auto"/>
          <w:vertAlign w:val="superscript"/>
        </w:rPr>
      </w:pPr>
    </w:p>
    <w:p>
      <w:pPr>
        <w:ind w:left="220" w:hanging="146"/>
        <w:spacing w:after="0" w:line="217" w:lineRule="auto"/>
        <w:tabs>
          <w:tab w:leader="none" w:pos="220" w:val="left"/>
        </w:tabs>
        <w:numPr>
          <w:ilvl w:val="0"/>
          <w:numId w:val="54"/>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For corporate, government and asset-backed debt securities, fair value is based on observable inputs of comparable market transactions.</w:t>
      </w:r>
    </w:p>
    <w:p>
      <w:pPr>
        <w:sectPr>
          <w:pgSz w:w="11880" w:h="15480" w:orient="portrait"/>
          <w:cols w:equalWidth="0" w:num="1">
            <w:col w:w="10580"/>
          </w:cols>
          <w:pgMar w:left="640" w:top="270" w:right="6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ectPr>
          <w:pgSz w:w="11880" w:h="15480" w:orient="portrait"/>
          <w:cols w:equalWidth="0" w:num="1">
            <w:col w:w="10580"/>
          </w:cols>
          <w:pgMar w:left="640" w:top="270" w:right="66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 summary of pension plans with an accumulated benefit obligation and projected benefit obligation in excess of plan assets is shown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60" w:type="dxa"/>
            <w:vAlign w:val="bottom"/>
            <w:gridSpan w:val="4"/>
          </w:tcPr>
          <w:p>
            <w:pPr>
              <w:jc w:val="right"/>
              <w:ind w:right="547"/>
              <w:spacing w:after="0"/>
              <w:rPr>
                <w:sz w:val="20"/>
                <w:szCs w:val="20"/>
                <w:color w:val="auto"/>
              </w:rPr>
            </w:pPr>
            <w:r>
              <w:rPr>
                <w:rFonts w:ascii="Times New Roman" w:cs="Times New Roman" w:eastAsia="Times New Roman" w:hAnsi="Times New Roman"/>
                <w:sz w:val="16"/>
                <w:szCs w:val="16"/>
                <w:b w:val="1"/>
                <w:bCs w:val="1"/>
                <w:color w:val="4C4C4C"/>
              </w:rPr>
              <w:t>Pension Benefits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0" w:type="dxa"/>
            <w:vAlign w:val="bottom"/>
            <w:tcBorders>
              <w:bottom w:val="single" w:sz="8" w:color="4C4C4C"/>
            </w:tcBorders>
            <w:gridSpan w:val="2"/>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200" w:type="dxa"/>
            <w:vAlign w:val="bottom"/>
            <w:tcBorders>
              <w:bottom w:val="single" w:sz="8" w:color="4C4C4C"/>
            </w:tcBorders>
          </w:tcPr>
          <w:p>
            <w:pPr>
              <w:spacing w:after="0"/>
              <w:rPr>
                <w:sz w:val="4"/>
                <w:szCs w:val="4"/>
                <w:color w:val="auto"/>
              </w:rPr>
            </w:pPr>
          </w:p>
        </w:tc>
        <w:tc>
          <w:tcPr>
            <w:tcW w:w="2420" w:type="dxa"/>
            <w:vAlign w:val="bottom"/>
            <w:tcBorders>
              <w:bottom w:val="single" w:sz="8" w:color="4C4C4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80" w:type="dxa"/>
            <w:vAlign w:val="bottom"/>
            <w:gridSpan w:val="5"/>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2460" w:type="dxa"/>
            <w:vAlign w:val="bottom"/>
            <w:gridSpan w:val="4"/>
            <w:shd w:val="clear" w:color="auto" w:fill="4C4C4C"/>
          </w:tcPr>
          <w:p>
            <w:pPr>
              <w:jc w:val="right"/>
              <w:ind w:right="1120"/>
              <w:spacing w:after="0"/>
              <w:rPr>
                <w:sz w:val="20"/>
                <w:szCs w:val="20"/>
                <w:color w:val="auto"/>
              </w:rPr>
            </w:pPr>
            <w:r>
              <w:rPr>
                <w:rFonts w:ascii="Times New Roman" w:cs="Times New Roman" w:eastAsia="Times New Roman" w:hAnsi="Times New Roman"/>
                <w:sz w:val="16"/>
                <w:szCs w:val="16"/>
                <w:b w:val="1"/>
                <w:bCs w:val="1"/>
                <w:color w:val="FFFFFF"/>
              </w:rPr>
              <w:t>U.S.</w:t>
            </w:r>
          </w:p>
        </w:tc>
        <w:tc>
          <w:tcPr>
            <w:tcW w:w="2420" w:type="dxa"/>
            <w:vAlign w:val="bottom"/>
            <w:gridSpan w:val="2"/>
            <w:shd w:val="clear" w:color="auto" w:fill="4C4C4C"/>
          </w:tcPr>
          <w:p>
            <w:pPr>
              <w:jc w:val="right"/>
              <w:ind w:right="806"/>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gridSpan w:val="5"/>
            <w:vMerge w:val="continue"/>
            <w:shd w:val="clear" w:color="auto" w:fill="4C4C4C"/>
          </w:tcPr>
          <w:p>
            <w:pPr>
              <w:spacing w:after="0"/>
              <w:rPr>
                <w:sz w:val="12"/>
                <w:szCs w:val="12"/>
                <w:color w:val="auto"/>
              </w:rPr>
            </w:pPr>
          </w:p>
        </w:tc>
        <w:tc>
          <w:tcPr>
            <w:tcW w:w="1180" w:type="dxa"/>
            <w:vAlign w:val="bottom"/>
            <w:vMerge w:val="restart"/>
            <w:shd w:val="clear" w:color="auto" w:fill="4C4C4C"/>
          </w:tcPr>
          <w:p>
            <w:pPr>
              <w:jc w:val="right"/>
              <w:ind w:right="347"/>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020" w:type="dxa"/>
            <w:vAlign w:val="bottom"/>
            <w:vMerge w:val="restart"/>
            <w:shd w:val="clear" w:color="auto" w:fill="4C4C4C"/>
          </w:tcPr>
          <w:p>
            <w:pPr>
              <w:jc w:val="right"/>
              <w:ind w:right="12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60" w:type="dxa"/>
            <w:vAlign w:val="bottom"/>
            <w:shd w:val="clear" w:color="auto" w:fill="4C4C4C"/>
          </w:tcPr>
          <w:p>
            <w:pPr>
              <w:spacing w:after="0"/>
              <w:rPr>
                <w:sz w:val="12"/>
                <w:szCs w:val="12"/>
                <w:color w:val="auto"/>
              </w:rPr>
            </w:pPr>
          </w:p>
        </w:tc>
        <w:tc>
          <w:tcPr>
            <w:tcW w:w="200" w:type="dxa"/>
            <w:vAlign w:val="bottom"/>
            <w:shd w:val="clear" w:color="auto" w:fill="4C4C4C"/>
          </w:tcPr>
          <w:p>
            <w:pPr>
              <w:spacing w:after="0"/>
              <w:rPr>
                <w:sz w:val="12"/>
                <w:szCs w:val="12"/>
                <w:color w:val="auto"/>
              </w:rPr>
            </w:pPr>
          </w:p>
        </w:tc>
        <w:tc>
          <w:tcPr>
            <w:tcW w:w="1180" w:type="dxa"/>
            <w:vAlign w:val="bottom"/>
            <w:vMerge w:val="restart"/>
            <w:shd w:val="clear" w:color="auto" w:fill="4C4C4C"/>
          </w:tcPr>
          <w:p>
            <w:pPr>
              <w:jc w:val="right"/>
              <w:ind w:right="327"/>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40" w:type="dxa"/>
            <w:vAlign w:val="bottom"/>
            <w:vMerge w:val="restart"/>
            <w:shd w:val="clear" w:color="auto" w:fill="4C4C4C"/>
          </w:tcPr>
          <w:p>
            <w:pPr>
              <w:jc w:val="right"/>
              <w:ind w:right="326"/>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0" w:type="dxa"/>
            <w:vAlign w:val="bottom"/>
            <w:tcBorders>
              <w:bottom w:val="single" w:sz="8" w:color="4C4C4C"/>
            </w:tcBorders>
            <w:shd w:val="clear" w:color="auto" w:fill="4C4C4C"/>
          </w:tcPr>
          <w:p>
            <w:pPr>
              <w:spacing w:after="0"/>
              <w:rPr>
                <w:sz w:val="15"/>
                <w:szCs w:val="15"/>
                <w:color w:val="auto"/>
              </w:rPr>
            </w:pPr>
          </w:p>
        </w:tc>
        <w:tc>
          <w:tcPr>
            <w:tcW w:w="580" w:type="dxa"/>
            <w:vAlign w:val="bottom"/>
            <w:tcBorders>
              <w:bottom w:val="single" w:sz="8" w:color="4C4C4C"/>
            </w:tcBorders>
            <w:shd w:val="clear" w:color="auto" w:fill="4C4C4C"/>
          </w:tcPr>
          <w:p>
            <w:pPr>
              <w:spacing w:after="0"/>
              <w:rPr>
                <w:sz w:val="15"/>
                <w:szCs w:val="15"/>
                <w:color w:val="auto"/>
              </w:rPr>
            </w:pPr>
          </w:p>
        </w:tc>
        <w:tc>
          <w:tcPr>
            <w:tcW w:w="220" w:type="dxa"/>
            <w:vAlign w:val="bottom"/>
            <w:tcBorders>
              <w:bottom w:val="single" w:sz="8" w:color="4C4C4C"/>
            </w:tcBorders>
            <w:shd w:val="clear" w:color="auto" w:fill="4C4C4C"/>
          </w:tcPr>
          <w:p>
            <w:pPr>
              <w:spacing w:after="0"/>
              <w:rPr>
                <w:sz w:val="15"/>
                <w:szCs w:val="15"/>
                <w:color w:val="auto"/>
              </w:rPr>
            </w:pPr>
          </w:p>
        </w:tc>
        <w:tc>
          <w:tcPr>
            <w:tcW w:w="4080" w:type="dxa"/>
            <w:vAlign w:val="bottom"/>
            <w:tcBorders>
              <w:bottom w:val="single" w:sz="8" w:color="4C4C4C"/>
            </w:tcBorders>
            <w:shd w:val="clear" w:color="auto" w:fill="4C4C4C"/>
          </w:tcPr>
          <w:p>
            <w:pPr>
              <w:spacing w:after="0"/>
              <w:rPr>
                <w:sz w:val="15"/>
                <w:szCs w:val="15"/>
                <w:color w:val="auto"/>
              </w:rPr>
            </w:pPr>
          </w:p>
        </w:tc>
        <w:tc>
          <w:tcPr>
            <w:tcW w:w="400" w:type="dxa"/>
            <w:vAlign w:val="bottom"/>
            <w:tcBorders>
              <w:bottom w:val="single" w:sz="8" w:color="4C4C4C"/>
            </w:tcBorders>
            <w:shd w:val="clear" w:color="auto" w:fill="4C4C4C"/>
          </w:tcPr>
          <w:p>
            <w:pPr>
              <w:spacing w:after="0"/>
              <w:rPr>
                <w:sz w:val="15"/>
                <w:szCs w:val="15"/>
                <w:color w:val="auto"/>
              </w:rPr>
            </w:pPr>
          </w:p>
        </w:tc>
        <w:tc>
          <w:tcPr>
            <w:tcW w:w="1180" w:type="dxa"/>
            <w:vAlign w:val="bottom"/>
            <w:tcBorders>
              <w:bottom w:val="single" w:sz="8" w:color="4C4C4C"/>
            </w:tcBorders>
            <w:vMerge w:val="continue"/>
            <w:shd w:val="clear" w:color="auto" w:fill="4C4C4C"/>
          </w:tcPr>
          <w:p>
            <w:pPr>
              <w:spacing w:after="0"/>
              <w:rPr>
                <w:sz w:val="15"/>
                <w:szCs w:val="15"/>
                <w:color w:val="auto"/>
              </w:rPr>
            </w:pPr>
          </w:p>
        </w:tc>
        <w:tc>
          <w:tcPr>
            <w:tcW w:w="1020" w:type="dxa"/>
            <w:vAlign w:val="bottom"/>
            <w:tcBorders>
              <w:bottom w:val="single" w:sz="8" w:color="4C4C4C"/>
            </w:tcBorders>
            <w:vMerge w:val="continue"/>
            <w:shd w:val="clear" w:color="auto" w:fill="4C4C4C"/>
          </w:tcPr>
          <w:p>
            <w:pPr>
              <w:spacing w:after="0"/>
              <w:rPr>
                <w:sz w:val="15"/>
                <w:szCs w:val="15"/>
                <w:color w:val="auto"/>
              </w:rPr>
            </w:pPr>
          </w:p>
        </w:tc>
        <w:tc>
          <w:tcPr>
            <w:tcW w:w="60" w:type="dxa"/>
            <w:vAlign w:val="bottom"/>
            <w:tcBorders>
              <w:bottom w:val="single" w:sz="8" w:color="4C4C4C"/>
            </w:tcBorders>
            <w:shd w:val="clear" w:color="auto" w:fill="4C4C4C"/>
          </w:tcPr>
          <w:p>
            <w:pPr>
              <w:spacing w:after="0"/>
              <w:rPr>
                <w:sz w:val="15"/>
                <w:szCs w:val="15"/>
                <w:color w:val="auto"/>
              </w:rPr>
            </w:pPr>
          </w:p>
        </w:tc>
        <w:tc>
          <w:tcPr>
            <w:tcW w:w="200" w:type="dxa"/>
            <w:vAlign w:val="bottom"/>
            <w:tcBorders>
              <w:bottom w:val="single" w:sz="8" w:color="4C4C4C"/>
            </w:tcBorders>
            <w:shd w:val="clear" w:color="auto" w:fill="4C4C4C"/>
          </w:tcPr>
          <w:p>
            <w:pPr>
              <w:spacing w:after="0"/>
              <w:rPr>
                <w:sz w:val="15"/>
                <w:szCs w:val="15"/>
                <w:color w:val="auto"/>
              </w:rPr>
            </w:pPr>
          </w:p>
        </w:tc>
        <w:tc>
          <w:tcPr>
            <w:tcW w:w="1180" w:type="dxa"/>
            <w:vAlign w:val="bottom"/>
            <w:tcBorders>
              <w:bottom w:val="single" w:sz="8" w:color="4C4C4C"/>
            </w:tcBorders>
            <w:vMerge w:val="continue"/>
            <w:shd w:val="clear" w:color="auto" w:fill="4C4C4C"/>
          </w:tcPr>
          <w:p>
            <w:pPr>
              <w:spacing w:after="0"/>
              <w:rPr>
                <w:sz w:val="15"/>
                <w:szCs w:val="15"/>
                <w:color w:val="auto"/>
              </w:rPr>
            </w:pPr>
          </w:p>
        </w:tc>
        <w:tc>
          <w:tcPr>
            <w:tcW w:w="1240" w:type="dxa"/>
            <w:vAlign w:val="bottom"/>
            <w:tcBorders>
              <w:bottom w:val="single" w:sz="8" w:color="4C4C4C"/>
            </w:tcBorders>
            <w:vMerge w:val="continue"/>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4C4C4C"/>
              </w:rPr>
              <w:t>For funded pension plans with an accumulated benefit obligation</w:t>
            </w: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4C4C4C"/>
          </w:tcPr>
          <w:p>
            <w:pPr>
              <w:spacing w:after="0" w:line="20" w:lineRule="exact"/>
              <w:rPr>
                <w:sz w:val="1"/>
                <w:szCs w:val="1"/>
                <w:color w:val="auto"/>
              </w:rPr>
            </w:pPr>
          </w:p>
        </w:tc>
        <w:tc>
          <w:tcPr>
            <w:tcW w:w="470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b w:val="1"/>
                <w:bCs w:val="1"/>
                <w:color w:val="4C4C4C"/>
              </w:rPr>
              <w:t>plan assets:</w:t>
            </w: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4C4C4C"/>
                <w:w w:val="96"/>
              </w:rPr>
              <w:t>in excess of</w:t>
            </w:r>
          </w:p>
        </w:tc>
        <w:tc>
          <w:tcPr>
            <w:tcW w:w="470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4C4C4C"/>
              </w:rPr>
              <w:t>For funded pension plans with a projected benefit obligation in</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4C4C4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4C4C4C"/>
              </w:rPr>
              <w:t>excess of plan assets:</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Projected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11,638</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11,012</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2,334</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11,367</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10,989</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4C4C4C"/>
              </w:rPr>
              <w:t>For unfunded pension plans: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4C4C4C"/>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Projected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1,338</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3,924</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1,045</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3,592</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3,261</w:t>
            </w:r>
          </w:p>
        </w:tc>
        <w:tc>
          <w:tcPr>
            <w:tcW w:w="0" w:type="dxa"/>
            <w:vAlign w:val="bottom"/>
          </w:tcPr>
          <w:p>
            <w:pPr>
              <w:spacing w:after="0"/>
              <w:rPr>
                <w:sz w:val="1"/>
                <w:szCs w:val="1"/>
                <w:color w:val="auto"/>
              </w:rPr>
            </w:pPr>
          </w:p>
        </w:tc>
      </w:tr>
      <w:tr>
        <w:trPr>
          <w:trHeight w:val="541"/>
        </w:trPr>
        <w:tc>
          <w:tcPr>
            <w:tcW w:w="5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All other postretirement benefit plans are unfunded or underfunded.</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4C4C4C"/>
              </w:rPr>
              <w:t>Pension Benefits</w:t>
            </w:r>
          </w:p>
        </w:tc>
        <w:tc>
          <w:tcPr>
            <w:tcW w:w="2420" w:type="dxa"/>
            <w:vAlign w:val="bottom"/>
            <w:gridSpan w:val="2"/>
          </w:tcPr>
          <w:p>
            <w:pPr>
              <w:jc w:val="right"/>
              <w:ind w:right="206"/>
              <w:spacing w:after="0"/>
              <w:rPr>
                <w:sz w:val="20"/>
                <w:szCs w:val="20"/>
                <w:color w:val="auto"/>
              </w:rPr>
            </w:pPr>
            <w:r>
              <w:rPr>
                <w:rFonts w:ascii="Times New Roman" w:cs="Times New Roman" w:eastAsia="Times New Roman" w:hAnsi="Times New Roman"/>
                <w:sz w:val="16"/>
                <w:szCs w:val="16"/>
                <w:b w:val="1"/>
                <w:bCs w:val="1"/>
                <w:color w:val="4C4C4C"/>
              </w:rPr>
              <w:t>Other Postretirement Benefits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1180" w:type="dxa"/>
            <w:vAlign w:val="bottom"/>
            <w:tcBorders>
              <w:bottom w:val="single" w:sz="8" w:color="4C4C4C"/>
            </w:tcBorders>
          </w:tcPr>
          <w:p>
            <w:pPr>
              <w:spacing w:after="0"/>
              <w:rPr>
                <w:sz w:val="4"/>
                <w:szCs w:val="4"/>
                <w:color w:val="auto"/>
              </w:rPr>
            </w:pPr>
          </w:p>
        </w:tc>
        <w:tc>
          <w:tcPr>
            <w:tcW w:w="1020" w:type="dxa"/>
            <w:vAlign w:val="bottom"/>
            <w:tcBorders>
              <w:bottom w:val="single" w:sz="8" w:color="4C4C4C"/>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4C4C4C"/>
            </w:tcBorders>
          </w:tcPr>
          <w:p>
            <w:pPr>
              <w:spacing w:after="0"/>
              <w:rPr>
                <w:sz w:val="4"/>
                <w:szCs w:val="4"/>
                <w:color w:val="auto"/>
              </w:rPr>
            </w:pPr>
          </w:p>
        </w:tc>
        <w:tc>
          <w:tcPr>
            <w:tcW w:w="1180" w:type="dxa"/>
            <w:vAlign w:val="bottom"/>
            <w:tcBorders>
              <w:bottom w:val="single" w:sz="8" w:color="4C4C4C"/>
            </w:tcBorders>
          </w:tcPr>
          <w:p>
            <w:pPr>
              <w:spacing w:after="0"/>
              <w:rPr>
                <w:sz w:val="4"/>
                <w:szCs w:val="4"/>
                <w:color w:val="auto"/>
              </w:rPr>
            </w:pPr>
          </w:p>
        </w:tc>
        <w:tc>
          <w:tcPr>
            <w:tcW w:w="124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68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180" w:type="dxa"/>
            <w:vAlign w:val="bottom"/>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FFFFFF"/>
              </w:rPr>
              <w:t>U.S.</w:t>
            </w:r>
          </w:p>
        </w:tc>
        <w:tc>
          <w:tcPr>
            <w:tcW w:w="12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1180" w:type="dxa"/>
            <w:vAlign w:val="bottom"/>
            <w:vMerge w:val="restart"/>
          </w:tcPr>
          <w:p>
            <w:pPr>
              <w:jc w:val="right"/>
              <w:ind w:right="447"/>
              <w:spacing w:after="0"/>
              <w:rPr>
                <w:sz w:val="20"/>
                <w:szCs w:val="20"/>
                <w:color w:val="auto"/>
              </w:rPr>
            </w:pPr>
            <w:r>
              <w:rPr>
                <w:rFonts w:ascii="Times New Roman" w:cs="Times New Roman" w:eastAsia="Times New Roman" w:hAnsi="Times New Roman"/>
                <w:sz w:val="16"/>
                <w:szCs w:val="16"/>
                <w:b w:val="1"/>
                <w:bCs w:val="1"/>
                <w:color w:val="FFFFFF"/>
              </w:rPr>
              <w:t>Gross</w:t>
            </w:r>
          </w:p>
        </w:tc>
        <w:tc>
          <w:tcPr>
            <w:tcW w:w="124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FFFFFF"/>
              </w:rPr>
              <w:t>Medicare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80" w:type="dxa"/>
            <w:vAlign w:val="bottom"/>
            <w:gridSpan w:val="5"/>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b w:val="1"/>
                <w:bCs w:val="1"/>
                <w:color w:val="FFFFFF"/>
              </w:rPr>
              <w:t>Subsidy Receipt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Contributions expected in 2024</w:t>
            </w:r>
          </w:p>
        </w:tc>
        <w:tc>
          <w:tcPr>
            <w:tcW w:w="1180" w:type="dxa"/>
            <w:vAlign w:val="bottom"/>
          </w:tcPr>
          <w:p>
            <w:pPr>
              <w:jc w:val="right"/>
              <w:ind w:right="287"/>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Benefit payments expected in:</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Times New Roman" w:cs="Times New Roman" w:eastAsia="Times New Roman" w:hAnsi="Times New Roman"/>
                <w:sz w:val="20"/>
                <w:szCs w:val="20"/>
                <w:color w:val="auto"/>
              </w:rPr>
              <w:t>1,053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363</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10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Times New Roman" w:cs="Times New Roman" w:eastAsia="Times New Roman" w:hAnsi="Times New Roman"/>
                <w:sz w:val="20"/>
                <w:szCs w:val="20"/>
                <w:color w:val="auto"/>
              </w:rPr>
              <w:t>1,053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356</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10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Times New Roman" w:cs="Times New Roman" w:eastAsia="Times New Roman" w:hAnsi="Times New Roman"/>
                <w:sz w:val="20"/>
                <w:szCs w:val="20"/>
                <w:color w:val="auto"/>
              </w:rPr>
              <w:t>1,064</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347</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4"/>
        </w:trPr>
        <w:tc>
          <w:tcPr>
            <w:tcW w:w="10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Times New Roman" w:cs="Times New Roman" w:eastAsia="Times New Roman" w:hAnsi="Times New Roman"/>
                <w:sz w:val="20"/>
                <w:szCs w:val="20"/>
                <w:color w:val="auto"/>
              </w:rPr>
              <w:t>1,066</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342</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4"/>
        </w:trPr>
        <w:tc>
          <w:tcPr>
            <w:tcW w:w="10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Times New Roman" w:cs="Times New Roman" w:eastAsia="Times New Roman" w:hAnsi="Times New Roman"/>
                <w:sz w:val="20"/>
                <w:szCs w:val="20"/>
                <w:color w:val="auto"/>
              </w:rPr>
              <w:t>1,087</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339</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4"/>
        </w:trPr>
        <w:tc>
          <w:tcPr>
            <w:tcW w:w="530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2029 - 2033</w:t>
            </w:r>
          </w:p>
        </w:tc>
        <w:tc>
          <w:tcPr>
            <w:tcW w:w="40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Times New Roman" w:cs="Times New Roman" w:eastAsia="Times New Roman" w:hAnsi="Times New Roman"/>
                <w:sz w:val="20"/>
                <w:szCs w:val="20"/>
                <w:color w:val="auto"/>
              </w:rPr>
              <w:t>5,644</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rPr>
              <w:t>1,710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-4669155</wp:posOffset>
            </wp:positionV>
            <wp:extent cx="2340610" cy="2078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3">
                      <a:extLst>
                        <a:ext uri="{28A0092B-C50C-407E-A947-70E740481C1C}"/>
                      </a:extLst>
                    </a:blip>
                    <a:srcRect/>
                    <a:stretch>
                      <a:fillRect/>
                    </a:stretch>
                  </pic:blipFill>
                  <pic:spPr bwMode="auto">
                    <a:xfrm>
                      <a:off x="0" y="0"/>
                      <a:ext cx="2340610" cy="20789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-1815465</wp:posOffset>
            </wp:positionV>
            <wp:extent cx="6736080" cy="276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4">
                      <a:extLst>
                        <a:ext uri="{28A0092B-C50C-407E-A947-70E740481C1C}"/>
                      </a:extLst>
                    </a:blip>
                    <a:srcRect/>
                    <a:stretch>
                      <a:fillRect/>
                    </a:stretch>
                  </pic:blipFill>
                  <pic:spPr bwMode="auto">
                    <a:xfrm>
                      <a:off x="0" y="0"/>
                      <a:ext cx="6736080" cy="27686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4C4C4C"/>
        </w:rPr>
        <w:t>18. Disclosures about Segments and Related Information</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reportable segments are Upstream, Energy Products, Chemical Products, and Specialty Products. The factors used to identify these reportable segments are based on the nature of the operations that are undertaken by each segment. The Upstream segment is organized and operates to explore for and produce crude oil and natural gas. The Energy Products, Chemical Products, and Specialty Products segments are organized and operate to manufacture and sell petroleum products and petrochemicals.</w:t>
      </w:r>
    </w:p>
    <w:p>
      <w:pPr>
        <w:ind w:left="720" w:hanging="359"/>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Energy Products: Fuels, aromatics, and catalysts and licensing</w:t>
      </w:r>
    </w:p>
    <w:p>
      <w:pPr>
        <w:spacing w:after="0" w:line="22"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Chemical Products: Olefins, polyolefins, and intermediates</w:t>
      </w:r>
    </w:p>
    <w:p>
      <w:pPr>
        <w:spacing w:after="0" w:line="44"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Specialty Products: Finished lubricants, basestocks and waxes, synthetics, and elastomers and resins</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Earnings after income tax include transfers at estimated market prices. In Corporate and Financing, interest revenue relates to interest earned on cash deposits and marketable securities. Interest expense includes non-debt-related interest expense of $234 million in 2023, $117 million in 2022, and $103 million in 2021.</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880" w:h="15480" w:orient="portrait"/>
          <w:cols w:equalWidth="0" w:num="1">
            <w:col w:w="10600"/>
          </w:cols>
          <w:pgMar w:left="640" w:top="270" w:right="640" w:bottom="0" w:gutter="0" w:footer="0" w:header="0"/>
          <w:type w:val="continuous"/>
        </w:sectPr>
      </w:pPr>
    </w:p>
    <w:bookmarkStart w:id="121" w:name="page122"/>
    <w:bookmarkEnd w:id="121"/>
    <w:p>
      <w:pPr>
        <w:ind w:left="20"/>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600" w:type="dxa"/>
            <w:vAlign w:val="bottom"/>
            <w:gridSpan w:val="2"/>
            <w:vMerge w:val="restart"/>
            <w:shd w:val="clear" w:color="auto" w:fill="4C4C4C"/>
          </w:tcPr>
          <w:p>
            <w:pPr>
              <w:jc w:val="right"/>
              <w:ind w:right="432"/>
              <w:spacing w:after="0"/>
              <w:rPr>
                <w:sz w:val="20"/>
                <w:szCs w:val="20"/>
                <w:color w:val="auto"/>
              </w:rPr>
            </w:pPr>
            <w:r>
              <w:rPr>
                <w:rFonts w:ascii="Times New Roman" w:cs="Times New Roman" w:eastAsia="Times New Roman" w:hAnsi="Times New Roman"/>
                <w:sz w:val="16"/>
                <w:szCs w:val="16"/>
                <w:b w:val="1"/>
                <w:bCs w:val="1"/>
                <w:color w:val="FFFFFF"/>
              </w:rPr>
              <w:t>Upstream</w:t>
            </w:r>
          </w:p>
        </w:tc>
        <w:tc>
          <w:tcPr>
            <w:tcW w:w="1640" w:type="dxa"/>
            <w:vAlign w:val="bottom"/>
            <w:gridSpan w:val="2"/>
            <w:vMerge w:val="restart"/>
            <w:shd w:val="clear" w:color="auto" w:fill="4C4C4C"/>
          </w:tcPr>
          <w:p>
            <w:pPr>
              <w:jc w:val="right"/>
              <w:ind w:right="212"/>
              <w:spacing w:after="0"/>
              <w:rPr>
                <w:sz w:val="20"/>
                <w:szCs w:val="20"/>
                <w:color w:val="auto"/>
              </w:rPr>
            </w:pPr>
            <w:r>
              <w:rPr>
                <w:rFonts w:ascii="Times New Roman" w:cs="Times New Roman" w:eastAsia="Times New Roman" w:hAnsi="Times New Roman"/>
                <w:sz w:val="16"/>
                <w:szCs w:val="16"/>
                <w:b w:val="1"/>
                <w:bCs w:val="1"/>
                <w:color w:val="FFFFFF"/>
              </w:rPr>
              <w:t>Energy Products</w:t>
            </w:r>
          </w:p>
        </w:tc>
        <w:tc>
          <w:tcPr>
            <w:tcW w:w="1580" w:type="dxa"/>
            <w:vAlign w:val="bottom"/>
            <w:gridSpan w:val="2"/>
            <w:vMerge w:val="restart"/>
            <w:shd w:val="clear" w:color="auto" w:fill="4C4C4C"/>
          </w:tcPr>
          <w:p>
            <w:pPr>
              <w:jc w:val="right"/>
              <w:ind w:right="112"/>
              <w:spacing w:after="0"/>
              <w:rPr>
                <w:sz w:val="20"/>
                <w:szCs w:val="20"/>
                <w:color w:val="auto"/>
              </w:rPr>
            </w:pPr>
            <w:r>
              <w:rPr>
                <w:rFonts w:ascii="Times New Roman" w:cs="Times New Roman" w:eastAsia="Times New Roman" w:hAnsi="Times New Roman"/>
                <w:sz w:val="16"/>
                <w:szCs w:val="16"/>
                <w:b w:val="1"/>
                <w:bCs w:val="1"/>
                <w:color w:val="FFFFFF"/>
              </w:rPr>
              <w:t>Chemical Products</w:t>
            </w:r>
          </w:p>
        </w:tc>
        <w:tc>
          <w:tcPr>
            <w:tcW w:w="1560" w:type="dxa"/>
            <w:vAlign w:val="bottom"/>
            <w:gridSpan w:val="2"/>
            <w:vMerge w:val="restart"/>
            <w:shd w:val="clear" w:color="auto" w:fill="4C4C4C"/>
          </w:tcPr>
          <w:p>
            <w:pPr>
              <w:jc w:val="right"/>
              <w:ind w:right="72"/>
              <w:spacing w:after="0"/>
              <w:rPr>
                <w:sz w:val="20"/>
                <w:szCs w:val="20"/>
                <w:color w:val="auto"/>
              </w:rPr>
            </w:pPr>
            <w:r>
              <w:rPr>
                <w:rFonts w:ascii="Times New Roman" w:cs="Times New Roman" w:eastAsia="Times New Roman" w:hAnsi="Times New Roman"/>
                <w:sz w:val="16"/>
                <w:szCs w:val="16"/>
                <w:b w:val="1"/>
                <w:bCs w:val="1"/>
                <w:color w:val="FFFFFF"/>
              </w:rPr>
              <w:t>Specialty Products</w:t>
            </w:r>
          </w:p>
        </w:tc>
        <w:tc>
          <w:tcPr>
            <w:tcW w:w="960" w:type="dxa"/>
            <w:vAlign w:val="bottom"/>
            <w:tcBorders>
              <w:right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Corporate</w:t>
            </w:r>
          </w:p>
        </w:tc>
        <w:tc>
          <w:tcPr>
            <w:tcW w:w="82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Corporate</w:t>
            </w:r>
          </w:p>
        </w:tc>
        <w:tc>
          <w:tcPr>
            <w:tcW w:w="0" w:type="dxa"/>
            <w:vAlign w:val="bottom"/>
          </w:tcPr>
          <w:p>
            <w:pPr>
              <w:spacing w:after="0"/>
              <w:rPr>
                <w:sz w:val="1"/>
                <w:szCs w:val="1"/>
                <w:color w:val="auto"/>
              </w:rPr>
            </w:pPr>
          </w:p>
        </w:tc>
      </w:tr>
      <w:tr>
        <w:trPr>
          <w:trHeight w:val="158"/>
        </w:trPr>
        <w:tc>
          <w:tcPr>
            <w:tcW w:w="2480" w:type="dxa"/>
            <w:vAlign w:val="bottom"/>
            <w:vMerge w:val="continue"/>
            <w:shd w:val="clear" w:color="auto" w:fill="4C4C4C"/>
          </w:tcPr>
          <w:p>
            <w:pPr>
              <w:spacing w:after="0"/>
              <w:rPr>
                <w:sz w:val="13"/>
                <w:szCs w:val="13"/>
                <w:color w:val="auto"/>
              </w:rPr>
            </w:pPr>
          </w:p>
        </w:tc>
        <w:tc>
          <w:tcPr>
            <w:tcW w:w="1600" w:type="dxa"/>
            <w:vAlign w:val="bottom"/>
            <w:gridSpan w:val="2"/>
            <w:vMerge w:val="continue"/>
            <w:shd w:val="clear" w:color="auto" w:fill="4C4C4C"/>
          </w:tcPr>
          <w:p>
            <w:pPr>
              <w:spacing w:after="0"/>
              <w:rPr>
                <w:sz w:val="13"/>
                <w:szCs w:val="13"/>
                <w:color w:val="auto"/>
              </w:rPr>
            </w:pPr>
          </w:p>
        </w:tc>
        <w:tc>
          <w:tcPr>
            <w:tcW w:w="1640" w:type="dxa"/>
            <w:vAlign w:val="bottom"/>
            <w:gridSpan w:val="2"/>
            <w:vMerge w:val="continue"/>
            <w:shd w:val="clear" w:color="auto" w:fill="4C4C4C"/>
          </w:tcPr>
          <w:p>
            <w:pPr>
              <w:spacing w:after="0"/>
              <w:rPr>
                <w:sz w:val="13"/>
                <w:szCs w:val="13"/>
                <w:color w:val="auto"/>
              </w:rPr>
            </w:pPr>
          </w:p>
        </w:tc>
        <w:tc>
          <w:tcPr>
            <w:tcW w:w="1580" w:type="dxa"/>
            <w:vAlign w:val="bottom"/>
            <w:gridSpan w:val="2"/>
            <w:vMerge w:val="continue"/>
            <w:shd w:val="clear" w:color="auto" w:fill="4C4C4C"/>
          </w:tcPr>
          <w:p>
            <w:pPr>
              <w:spacing w:after="0"/>
              <w:rPr>
                <w:sz w:val="13"/>
                <w:szCs w:val="13"/>
                <w:color w:val="auto"/>
              </w:rPr>
            </w:pPr>
          </w:p>
        </w:tc>
        <w:tc>
          <w:tcPr>
            <w:tcW w:w="1560" w:type="dxa"/>
            <w:vAlign w:val="bottom"/>
            <w:gridSpan w:val="2"/>
            <w:vMerge w:val="continue"/>
            <w:shd w:val="clear" w:color="auto" w:fill="4C4C4C"/>
          </w:tcPr>
          <w:p>
            <w:pPr>
              <w:spacing w:after="0"/>
              <w:rPr>
                <w:sz w:val="13"/>
                <w:szCs w:val="13"/>
                <w:color w:val="auto"/>
              </w:rPr>
            </w:pPr>
          </w:p>
        </w:tc>
        <w:tc>
          <w:tcPr>
            <w:tcW w:w="960" w:type="dxa"/>
            <w:vAlign w:val="bottom"/>
            <w:tcBorders>
              <w:right w:val="single" w:sz="8" w:color="4C4C4C"/>
            </w:tcBorders>
            <w:shd w:val="clear" w:color="auto" w:fill="4C4C4C"/>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FFFFFF"/>
              </w:rPr>
              <w:t>and</w:t>
            </w:r>
          </w:p>
        </w:tc>
        <w:tc>
          <w:tcPr>
            <w:tcW w:w="82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80" w:type="dxa"/>
            <w:vAlign w:val="bottom"/>
            <w:shd w:val="clear" w:color="auto" w:fill="4C4C4C"/>
          </w:tcPr>
          <w:p>
            <w:pPr>
              <w:spacing w:after="0"/>
              <w:rPr>
                <w:sz w:val="14"/>
                <w:szCs w:val="14"/>
                <w:color w:val="auto"/>
              </w:rPr>
            </w:pPr>
          </w:p>
        </w:tc>
        <w:tc>
          <w:tcPr>
            <w:tcW w:w="760" w:type="dxa"/>
            <w:vAlign w:val="bottom"/>
            <w:vMerge w:val="restart"/>
            <w:shd w:val="clear" w:color="auto" w:fill="4C4C4C"/>
          </w:tcPr>
          <w:p>
            <w:pPr>
              <w:jc w:val="right"/>
              <w:ind w:right="192"/>
              <w:spacing w:after="0"/>
              <w:rPr>
                <w:sz w:val="20"/>
                <w:szCs w:val="20"/>
                <w:color w:val="auto"/>
              </w:rPr>
            </w:pPr>
            <w:r>
              <w:rPr>
                <w:rFonts w:ascii="Times New Roman" w:cs="Times New Roman" w:eastAsia="Times New Roman" w:hAnsi="Times New Roman"/>
                <w:sz w:val="16"/>
                <w:szCs w:val="16"/>
                <w:b w:val="1"/>
                <w:bCs w:val="1"/>
                <w:color w:val="FFFFFF"/>
              </w:rPr>
              <w:t>U.S.</w:t>
            </w:r>
          </w:p>
        </w:tc>
        <w:tc>
          <w:tcPr>
            <w:tcW w:w="840" w:type="dxa"/>
            <w:vAlign w:val="bottom"/>
            <w:vMerge w:val="restart"/>
            <w:shd w:val="clear" w:color="auto" w:fill="4C4C4C"/>
          </w:tcPr>
          <w:p>
            <w:pPr>
              <w:jc w:val="right"/>
              <w:ind w:right="52"/>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740" w:type="dxa"/>
            <w:vAlign w:val="bottom"/>
            <w:vMerge w:val="restart"/>
            <w:shd w:val="clear" w:color="auto" w:fill="4C4C4C"/>
          </w:tcPr>
          <w:p>
            <w:pPr>
              <w:jc w:val="right"/>
              <w:ind w:right="152"/>
              <w:spacing w:after="0"/>
              <w:rPr>
                <w:sz w:val="20"/>
                <w:szCs w:val="20"/>
                <w:color w:val="auto"/>
              </w:rPr>
            </w:pPr>
            <w:r>
              <w:rPr>
                <w:rFonts w:ascii="Times New Roman" w:cs="Times New Roman" w:eastAsia="Times New Roman" w:hAnsi="Times New Roman"/>
                <w:sz w:val="16"/>
                <w:szCs w:val="16"/>
                <w:b w:val="1"/>
                <w:bCs w:val="1"/>
                <w:color w:val="FFFFFF"/>
              </w:rPr>
              <w:t>U.S.</w:t>
            </w:r>
          </w:p>
        </w:tc>
        <w:tc>
          <w:tcPr>
            <w:tcW w:w="900" w:type="dxa"/>
            <w:vAlign w:val="bottom"/>
            <w:vMerge w:val="restart"/>
            <w:shd w:val="clear" w:color="auto" w:fill="4C4C4C"/>
          </w:tcPr>
          <w:p>
            <w:pPr>
              <w:jc w:val="right"/>
              <w:ind w:right="72"/>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780" w:type="dxa"/>
            <w:vAlign w:val="bottom"/>
            <w:vMerge w:val="restart"/>
            <w:shd w:val="clear" w:color="auto" w:fill="4C4C4C"/>
          </w:tcPr>
          <w:p>
            <w:pPr>
              <w:jc w:val="right"/>
              <w:ind w:right="212"/>
              <w:spacing w:after="0"/>
              <w:rPr>
                <w:sz w:val="20"/>
                <w:szCs w:val="20"/>
                <w:color w:val="auto"/>
              </w:rPr>
            </w:pPr>
            <w:r>
              <w:rPr>
                <w:rFonts w:ascii="Times New Roman" w:cs="Times New Roman" w:eastAsia="Times New Roman" w:hAnsi="Times New Roman"/>
                <w:sz w:val="16"/>
                <w:szCs w:val="16"/>
                <w:b w:val="1"/>
                <w:bCs w:val="1"/>
                <w:color w:val="FFFFFF"/>
              </w:rPr>
              <w:t>U.S.</w:t>
            </w:r>
          </w:p>
        </w:tc>
        <w:tc>
          <w:tcPr>
            <w:tcW w:w="800" w:type="dxa"/>
            <w:vAlign w:val="bottom"/>
            <w:vMerge w:val="restart"/>
            <w:shd w:val="clear" w:color="auto" w:fill="4C4C4C"/>
          </w:tcPr>
          <w:p>
            <w:pPr>
              <w:jc w:val="right"/>
              <w:ind w:right="32"/>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820" w:type="dxa"/>
            <w:vAlign w:val="bottom"/>
            <w:tcBorders>
              <w:right w:val="single" w:sz="8" w:color="4C4C4C"/>
            </w:tcBorders>
            <w:vMerge w:val="restart"/>
            <w:shd w:val="clear" w:color="auto" w:fill="4C4C4C"/>
          </w:tcPr>
          <w:p>
            <w:pPr>
              <w:jc w:val="right"/>
              <w:ind w:right="212"/>
              <w:spacing w:after="0"/>
              <w:rPr>
                <w:sz w:val="20"/>
                <w:szCs w:val="20"/>
                <w:color w:val="auto"/>
              </w:rPr>
            </w:pPr>
            <w:r>
              <w:rPr>
                <w:rFonts w:ascii="Times New Roman" w:cs="Times New Roman" w:eastAsia="Times New Roman" w:hAnsi="Times New Roman"/>
                <w:sz w:val="16"/>
                <w:szCs w:val="16"/>
                <w:b w:val="1"/>
                <w:bCs w:val="1"/>
                <w:color w:val="FFFFFF"/>
              </w:rPr>
              <w:t>U.S.</w:t>
            </w:r>
          </w:p>
        </w:tc>
        <w:tc>
          <w:tcPr>
            <w:tcW w:w="7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960" w:type="dxa"/>
            <w:vAlign w:val="bottom"/>
            <w:tcBorders>
              <w:right w:val="single" w:sz="8" w:color="4C4C4C"/>
            </w:tcBorders>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Financing</w:t>
            </w:r>
          </w:p>
        </w:tc>
        <w:tc>
          <w:tcPr>
            <w:tcW w:w="820" w:type="dxa"/>
            <w:vAlign w:val="bottom"/>
            <w:shd w:val="clear" w:color="auto" w:fill="4C4C4C"/>
          </w:tcPr>
          <w:p>
            <w:pPr>
              <w:jc w:val="right"/>
              <w:ind w:right="152"/>
              <w:spacing w:after="0" w:line="168" w:lineRule="exact"/>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48"/>
        </w:trPr>
        <w:tc>
          <w:tcPr>
            <w:tcW w:w="2480" w:type="dxa"/>
            <w:vAlign w:val="bottom"/>
            <w:shd w:val="clear" w:color="auto" w:fill="4C4C4C"/>
          </w:tcPr>
          <w:p>
            <w:pPr>
              <w:spacing w:after="0"/>
              <w:rPr>
                <w:sz w:val="4"/>
                <w:szCs w:val="4"/>
                <w:color w:val="auto"/>
              </w:rPr>
            </w:pPr>
          </w:p>
        </w:tc>
        <w:tc>
          <w:tcPr>
            <w:tcW w:w="760" w:type="dxa"/>
            <w:vAlign w:val="bottom"/>
            <w:vMerge w:val="continue"/>
            <w:shd w:val="clear" w:color="auto" w:fill="4C4C4C"/>
          </w:tcPr>
          <w:p>
            <w:pPr>
              <w:spacing w:after="0"/>
              <w:rPr>
                <w:sz w:val="4"/>
                <w:szCs w:val="4"/>
                <w:color w:val="auto"/>
              </w:rPr>
            </w:pPr>
          </w:p>
        </w:tc>
        <w:tc>
          <w:tcPr>
            <w:tcW w:w="840" w:type="dxa"/>
            <w:vAlign w:val="bottom"/>
            <w:vMerge w:val="continue"/>
            <w:shd w:val="clear" w:color="auto" w:fill="4C4C4C"/>
          </w:tcPr>
          <w:p>
            <w:pPr>
              <w:spacing w:after="0"/>
              <w:rPr>
                <w:sz w:val="4"/>
                <w:szCs w:val="4"/>
                <w:color w:val="auto"/>
              </w:rPr>
            </w:pPr>
          </w:p>
        </w:tc>
        <w:tc>
          <w:tcPr>
            <w:tcW w:w="740" w:type="dxa"/>
            <w:vAlign w:val="bottom"/>
            <w:vMerge w:val="continue"/>
            <w:shd w:val="clear" w:color="auto" w:fill="4C4C4C"/>
          </w:tcPr>
          <w:p>
            <w:pPr>
              <w:spacing w:after="0"/>
              <w:rPr>
                <w:sz w:val="4"/>
                <w:szCs w:val="4"/>
                <w:color w:val="auto"/>
              </w:rPr>
            </w:pPr>
          </w:p>
        </w:tc>
        <w:tc>
          <w:tcPr>
            <w:tcW w:w="900" w:type="dxa"/>
            <w:vAlign w:val="bottom"/>
            <w:vMerge w:val="continue"/>
            <w:shd w:val="clear" w:color="auto" w:fill="4C4C4C"/>
          </w:tcPr>
          <w:p>
            <w:pPr>
              <w:spacing w:after="0"/>
              <w:rPr>
                <w:sz w:val="4"/>
                <w:szCs w:val="4"/>
                <w:color w:val="auto"/>
              </w:rPr>
            </w:pPr>
          </w:p>
        </w:tc>
        <w:tc>
          <w:tcPr>
            <w:tcW w:w="780" w:type="dxa"/>
            <w:vAlign w:val="bottom"/>
            <w:vMerge w:val="continue"/>
            <w:shd w:val="clear" w:color="auto" w:fill="4C4C4C"/>
          </w:tcPr>
          <w:p>
            <w:pPr>
              <w:spacing w:after="0"/>
              <w:rPr>
                <w:sz w:val="4"/>
                <w:szCs w:val="4"/>
                <w:color w:val="auto"/>
              </w:rPr>
            </w:pPr>
          </w:p>
        </w:tc>
        <w:tc>
          <w:tcPr>
            <w:tcW w:w="800" w:type="dxa"/>
            <w:vAlign w:val="bottom"/>
            <w:vMerge w:val="continue"/>
            <w:shd w:val="clear" w:color="auto" w:fill="4C4C4C"/>
          </w:tcPr>
          <w:p>
            <w:pPr>
              <w:spacing w:after="0"/>
              <w:rPr>
                <w:sz w:val="4"/>
                <w:szCs w:val="4"/>
                <w:color w:val="auto"/>
              </w:rPr>
            </w:pPr>
          </w:p>
        </w:tc>
        <w:tc>
          <w:tcPr>
            <w:tcW w:w="820" w:type="dxa"/>
            <w:vAlign w:val="bottom"/>
            <w:tcBorders>
              <w:right w:val="single" w:sz="8" w:color="4C4C4C"/>
            </w:tcBorders>
            <w:vMerge w:val="continue"/>
            <w:shd w:val="clear" w:color="auto" w:fill="4C4C4C"/>
          </w:tcPr>
          <w:p>
            <w:pPr>
              <w:spacing w:after="0"/>
              <w:rPr>
                <w:sz w:val="4"/>
                <w:szCs w:val="4"/>
                <w:color w:val="auto"/>
              </w:rPr>
            </w:pPr>
          </w:p>
        </w:tc>
        <w:tc>
          <w:tcPr>
            <w:tcW w:w="740" w:type="dxa"/>
            <w:vAlign w:val="bottom"/>
            <w:vMerge w:val="continue"/>
            <w:shd w:val="clear" w:color="auto" w:fill="4C4C4C"/>
          </w:tcPr>
          <w:p>
            <w:pPr>
              <w:spacing w:after="0"/>
              <w:rPr>
                <w:sz w:val="4"/>
                <w:szCs w:val="4"/>
                <w:color w:val="auto"/>
              </w:rPr>
            </w:pPr>
          </w:p>
        </w:tc>
        <w:tc>
          <w:tcPr>
            <w:tcW w:w="960" w:type="dxa"/>
            <w:vAlign w:val="bottom"/>
            <w:tcBorders>
              <w:right w:val="single" w:sz="8" w:color="4C4C4C"/>
            </w:tcBorders>
            <w:vMerge w:val="continue"/>
            <w:shd w:val="clear" w:color="auto" w:fill="4C4C4C"/>
          </w:tcPr>
          <w:p>
            <w:pPr>
              <w:spacing w:after="0"/>
              <w:rPr>
                <w:sz w:val="4"/>
                <w:szCs w:val="4"/>
                <w:color w:val="auto"/>
              </w:rPr>
            </w:pPr>
          </w:p>
        </w:tc>
        <w:tc>
          <w:tcPr>
            <w:tcW w:w="820" w:type="dxa"/>
            <w:vAlign w:val="bottom"/>
            <w:shd w:val="clear" w:color="auto" w:fill="4C4C4C"/>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480" w:type="dxa"/>
            <w:vAlign w:val="bottom"/>
            <w:shd w:val="clear" w:color="auto" w:fill="4C4C4C"/>
          </w:tcPr>
          <w:p>
            <w:pPr>
              <w:spacing w:after="0"/>
              <w:rPr>
                <w:sz w:val="6"/>
                <w:szCs w:val="6"/>
                <w:color w:val="auto"/>
              </w:rPr>
            </w:pPr>
          </w:p>
        </w:tc>
        <w:tc>
          <w:tcPr>
            <w:tcW w:w="760" w:type="dxa"/>
            <w:vAlign w:val="bottom"/>
            <w:shd w:val="clear" w:color="auto" w:fill="4C4C4C"/>
          </w:tcPr>
          <w:p>
            <w:pPr>
              <w:spacing w:after="0"/>
              <w:rPr>
                <w:sz w:val="6"/>
                <w:szCs w:val="6"/>
                <w:color w:val="auto"/>
              </w:rPr>
            </w:pPr>
          </w:p>
        </w:tc>
        <w:tc>
          <w:tcPr>
            <w:tcW w:w="840" w:type="dxa"/>
            <w:vAlign w:val="bottom"/>
            <w:shd w:val="clear" w:color="auto" w:fill="4C4C4C"/>
          </w:tcPr>
          <w:p>
            <w:pPr>
              <w:spacing w:after="0"/>
              <w:rPr>
                <w:sz w:val="6"/>
                <w:szCs w:val="6"/>
                <w:color w:val="auto"/>
              </w:rPr>
            </w:pPr>
          </w:p>
        </w:tc>
        <w:tc>
          <w:tcPr>
            <w:tcW w:w="740" w:type="dxa"/>
            <w:vAlign w:val="bottom"/>
            <w:shd w:val="clear" w:color="auto" w:fill="4C4C4C"/>
          </w:tcPr>
          <w:p>
            <w:pPr>
              <w:spacing w:after="0"/>
              <w:rPr>
                <w:sz w:val="6"/>
                <w:szCs w:val="6"/>
                <w:color w:val="auto"/>
              </w:rPr>
            </w:pPr>
          </w:p>
        </w:tc>
        <w:tc>
          <w:tcPr>
            <w:tcW w:w="900" w:type="dxa"/>
            <w:vAlign w:val="bottom"/>
            <w:shd w:val="clear" w:color="auto" w:fill="4C4C4C"/>
          </w:tcPr>
          <w:p>
            <w:pPr>
              <w:spacing w:after="0"/>
              <w:rPr>
                <w:sz w:val="6"/>
                <w:szCs w:val="6"/>
                <w:color w:val="auto"/>
              </w:rPr>
            </w:pPr>
          </w:p>
        </w:tc>
        <w:tc>
          <w:tcPr>
            <w:tcW w:w="780" w:type="dxa"/>
            <w:vAlign w:val="bottom"/>
            <w:shd w:val="clear" w:color="auto" w:fill="4C4C4C"/>
          </w:tcPr>
          <w:p>
            <w:pPr>
              <w:spacing w:after="0"/>
              <w:rPr>
                <w:sz w:val="6"/>
                <w:szCs w:val="6"/>
                <w:color w:val="auto"/>
              </w:rPr>
            </w:pPr>
          </w:p>
        </w:tc>
        <w:tc>
          <w:tcPr>
            <w:tcW w:w="800" w:type="dxa"/>
            <w:vAlign w:val="bottom"/>
            <w:shd w:val="clear" w:color="auto" w:fill="4C4C4C"/>
          </w:tcPr>
          <w:p>
            <w:pPr>
              <w:spacing w:after="0"/>
              <w:rPr>
                <w:sz w:val="6"/>
                <w:szCs w:val="6"/>
                <w:color w:val="auto"/>
              </w:rPr>
            </w:pPr>
          </w:p>
        </w:tc>
        <w:tc>
          <w:tcPr>
            <w:tcW w:w="820" w:type="dxa"/>
            <w:vAlign w:val="bottom"/>
            <w:tcBorders>
              <w:right w:val="single" w:sz="8" w:color="4C4C4C"/>
            </w:tcBorders>
            <w:shd w:val="clear" w:color="auto" w:fill="4C4C4C"/>
          </w:tcPr>
          <w:p>
            <w:pPr>
              <w:spacing w:after="0"/>
              <w:rPr>
                <w:sz w:val="6"/>
                <w:szCs w:val="6"/>
                <w:color w:val="auto"/>
              </w:rPr>
            </w:pPr>
          </w:p>
        </w:tc>
        <w:tc>
          <w:tcPr>
            <w:tcW w:w="740" w:type="dxa"/>
            <w:vAlign w:val="bottom"/>
            <w:shd w:val="clear" w:color="auto" w:fill="4C4C4C"/>
          </w:tcPr>
          <w:p>
            <w:pPr>
              <w:spacing w:after="0"/>
              <w:rPr>
                <w:sz w:val="6"/>
                <w:szCs w:val="6"/>
                <w:color w:val="auto"/>
              </w:rPr>
            </w:pPr>
          </w:p>
        </w:tc>
        <w:tc>
          <w:tcPr>
            <w:tcW w:w="960" w:type="dxa"/>
            <w:vAlign w:val="bottom"/>
            <w:tcBorders>
              <w:right w:val="single" w:sz="8" w:color="4C4C4C"/>
            </w:tcBorders>
            <w:shd w:val="clear" w:color="auto" w:fill="4C4C4C"/>
          </w:tcPr>
          <w:p>
            <w:pPr>
              <w:spacing w:after="0"/>
              <w:rPr>
                <w:sz w:val="6"/>
                <w:szCs w:val="6"/>
                <w:color w:val="auto"/>
              </w:rPr>
            </w:pPr>
          </w:p>
        </w:tc>
        <w:tc>
          <w:tcPr>
            <w:tcW w:w="820" w:type="dxa"/>
            <w:vAlign w:val="bottom"/>
            <w:shd w:val="clear" w:color="auto" w:fill="4C4C4C"/>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2023</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Borders>
              <w:right w:val="single" w:sz="8" w:color="4C4C4C"/>
            </w:tcBorders>
          </w:tcPr>
          <w:p>
            <w:pPr>
              <w:spacing w:after="0"/>
              <w:rPr>
                <w:sz w:val="24"/>
                <w:szCs w:val="24"/>
                <w:color w:val="auto"/>
              </w:rPr>
            </w:pPr>
          </w:p>
        </w:tc>
        <w:tc>
          <w:tcPr>
            <w:tcW w:w="820" w:type="dxa"/>
            <w:vAlign w:val="bottom"/>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Earnings (loss) after income tax</w:t>
            </w: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4,202</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17,106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6,019</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1,626</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spacing w:after="0"/>
              <w:rPr>
                <w:sz w:val="2"/>
                <w:szCs w:val="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960" w:type="dxa"/>
            <w:vAlign w:val="bottom"/>
            <w:tcBorders>
              <w:right w:val="single" w:sz="8" w:color="4C4C4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36,010</w:t>
            </w:r>
          </w:p>
        </w:tc>
        <w:tc>
          <w:tcPr>
            <w:tcW w:w="0" w:type="dxa"/>
            <w:vAlign w:val="bottom"/>
          </w:tcPr>
          <w:p>
            <w:pPr>
              <w:spacing w:after="0" w:line="20" w:lineRule="exact"/>
              <w:rPr>
                <w:sz w:val="1"/>
                <w:szCs w:val="1"/>
                <w:color w:val="auto"/>
              </w:rPr>
            </w:pPr>
          </w:p>
        </w:tc>
      </w:tr>
      <w:tr>
        <w:trPr>
          <w:trHeight w:val="236"/>
        </w:trPr>
        <w:tc>
          <w:tcPr>
            <w:tcW w:w="24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shd w:val="clear" w:color="auto" w:fill="F0F0F0"/>
          </w:tcPr>
          <w:p>
            <w:pPr>
              <w:jc w:val="right"/>
              <w:ind w:right="52"/>
              <w:spacing w:after="0"/>
              <w:rPr>
                <w:sz w:val="20"/>
                <w:szCs w:val="20"/>
                <w:color w:val="auto"/>
              </w:rPr>
            </w:pPr>
            <w:r>
              <w:rPr>
                <w:rFonts w:ascii="Times New Roman" w:cs="Times New Roman" w:eastAsia="Times New Roman" w:hAnsi="Times New Roman"/>
                <w:sz w:val="18"/>
                <w:szCs w:val="18"/>
                <w:color w:val="auto"/>
              </w:rPr>
              <w:t>1,536</w:t>
            </w: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Earnings of equity companies</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5,550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131</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126</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761</w:t>
            </w:r>
          </w:p>
        </w:tc>
        <w:tc>
          <w:tcPr>
            <w:tcW w:w="820" w:type="dxa"/>
            <w:vAlign w:val="bottom"/>
            <w:tcBorders>
              <w:right w:val="single" w:sz="8" w:color="F0F0F0"/>
            </w:tcBorders>
            <w:vMerge w:val="restart"/>
            <w:shd w:val="clear" w:color="auto" w:fill="F0F0F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right w:val="single" w:sz="8" w:color="4C4C4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6,385</w:t>
            </w:r>
          </w:p>
        </w:tc>
        <w:tc>
          <w:tcPr>
            <w:tcW w:w="0" w:type="dxa"/>
            <w:vAlign w:val="bottom"/>
          </w:tcPr>
          <w:p>
            <w:pPr>
              <w:spacing w:after="0"/>
              <w:rPr>
                <w:sz w:val="1"/>
                <w:szCs w:val="1"/>
                <w:color w:val="auto"/>
              </w:rPr>
            </w:pPr>
          </w:p>
        </w:tc>
      </w:tr>
      <w:tr>
        <w:trPr>
          <w:trHeight w:val="244"/>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included above</w:t>
            </w:r>
          </w:p>
        </w:tc>
        <w:tc>
          <w:tcPr>
            <w:tcW w:w="7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20" w:type="dxa"/>
            <w:vAlign w:val="bottom"/>
            <w:tcBorders>
              <w:right w:val="single" w:sz="8" w:color="F0F0F0"/>
            </w:tcBorders>
            <w:vMerge w:val="continue"/>
            <w:shd w:val="clear" w:color="auto" w:fill="F0F0F0"/>
          </w:tcPr>
          <w:p>
            <w:pPr>
              <w:spacing w:after="0"/>
              <w:rPr>
                <w:sz w:val="21"/>
                <w:szCs w:val="21"/>
                <w:color w:val="auto"/>
              </w:rPr>
            </w:pPr>
          </w:p>
        </w:tc>
        <w:tc>
          <w:tcPr>
            <w:tcW w:w="740" w:type="dxa"/>
            <w:vAlign w:val="bottom"/>
            <w:vMerge w:val="continue"/>
          </w:tcPr>
          <w:p>
            <w:pPr>
              <w:spacing w:after="0"/>
              <w:rPr>
                <w:sz w:val="21"/>
                <w:szCs w:val="21"/>
                <w:color w:val="auto"/>
              </w:rPr>
            </w:pPr>
          </w:p>
        </w:tc>
        <w:tc>
          <w:tcPr>
            <w:tcW w:w="960" w:type="dxa"/>
            <w:vAlign w:val="bottom"/>
            <w:tcBorders>
              <w:right w:val="single" w:sz="8" w:color="4C4C4C"/>
            </w:tcBorders>
            <w:vMerge w:val="continue"/>
          </w:tcPr>
          <w:p>
            <w:pPr>
              <w:spacing w:after="0"/>
              <w:rPr>
                <w:sz w:val="21"/>
                <w:szCs w:val="21"/>
                <w:color w:val="auto"/>
              </w:rPr>
            </w:pPr>
          </w:p>
        </w:tc>
        <w:tc>
          <w:tcPr>
            <w:tcW w:w="820" w:type="dxa"/>
            <w:vAlign w:val="bottom"/>
            <w:vMerge w:val="continue"/>
            <w:shd w:val="clear" w:color="auto" w:fill="DCDCD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48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Sales and other operating</w:t>
            </w: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9,500</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16,074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103,868</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164,515</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7,951</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14,314</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6,044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334,697</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Intersegment revenue</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20,971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38,982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28,258</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7,991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3,643</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2,570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244</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Depreciation and depletion</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8,863</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7,737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797</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605</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706</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853</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20,641</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revenue</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1,628</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676</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1,016</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10,593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1,492</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396</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458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96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15,429</w:t>
            </w: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Additions to property, plant and</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10,372</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8,217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1,455</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600</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1,775</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5,062</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29,038</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equipment</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Investments in equity</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4,436</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21,485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1,135</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3,086</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2,700</w:t>
            </w:r>
          </w:p>
        </w:tc>
        <w:tc>
          <w:tcPr>
            <w:tcW w:w="820" w:type="dxa"/>
            <w:vAlign w:val="bottom"/>
            <w:tcBorders>
              <w:right w:val="single" w:sz="8" w:color="F0F0F0"/>
            </w:tcBorders>
            <w:vMerge w:val="restart"/>
            <w:shd w:val="clear" w:color="auto" w:fill="F0F0F0"/>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960" w:type="dxa"/>
            <w:vAlign w:val="bottom"/>
            <w:tcBorders>
              <w:right w:val="single" w:sz="8" w:color="4C4C4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34,080</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companies</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shd w:val="clear" w:color="auto" w:fill="F0F0F0"/>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67,452</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138,914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32,123</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42,337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17,599</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17,076</w:t>
            </w:r>
          </w:p>
        </w:tc>
        <w:tc>
          <w:tcPr>
            <w:tcW w:w="820" w:type="dxa"/>
            <w:vAlign w:val="bottom"/>
            <w:tcBorders>
              <w:right w:val="single" w:sz="8" w:color="F0F0F0"/>
            </w:tcBorders>
            <w:shd w:val="clear" w:color="auto" w:fill="F0F0F0"/>
          </w:tcPr>
          <w:p>
            <w:pPr>
              <w:jc w:val="right"/>
              <w:ind w:right="52"/>
              <w:spacing w:after="0"/>
              <w:rPr>
                <w:sz w:val="20"/>
                <w:szCs w:val="20"/>
                <w:color w:val="auto"/>
              </w:rPr>
            </w:pPr>
            <w:r>
              <w:rPr>
                <w:rFonts w:ascii="Times New Roman" w:cs="Times New Roman" w:eastAsia="Times New Roman" w:hAnsi="Times New Roman"/>
                <w:sz w:val="18"/>
                <w:szCs w:val="18"/>
                <w:color w:val="auto"/>
              </w:rPr>
              <w:t>2,620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49,817</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376,317</w:t>
            </w:r>
          </w:p>
        </w:tc>
        <w:tc>
          <w:tcPr>
            <w:tcW w:w="0" w:type="dxa"/>
            <w:vAlign w:val="bottom"/>
          </w:tcPr>
          <w:p>
            <w:pPr>
              <w:spacing w:after="0"/>
              <w:rPr>
                <w:sz w:val="1"/>
                <w:szCs w:val="1"/>
                <w:color w:val="auto"/>
              </w:rPr>
            </w:pPr>
          </w:p>
        </w:tc>
      </w:tr>
      <w:tr>
        <w:trPr>
          <w:trHeight w:val="581"/>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2022</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Borders>
              <w:bottom w:val="single" w:sz="8" w:color="F0F0F0"/>
              <w:right w:val="single" w:sz="8" w:color="F0F0F0"/>
            </w:tcBorders>
            <w:shd w:val="clear" w:color="auto" w:fill="F0F0F0"/>
          </w:tcPr>
          <w:p>
            <w:pPr>
              <w:spacing w:after="0"/>
              <w:rPr>
                <w:sz w:val="24"/>
                <w:szCs w:val="24"/>
                <w:color w:val="auto"/>
              </w:rPr>
            </w:pPr>
          </w:p>
        </w:tc>
        <w:tc>
          <w:tcPr>
            <w:tcW w:w="740" w:type="dxa"/>
            <w:vAlign w:val="bottom"/>
            <w:tcBorders>
              <w:bottom w:val="single" w:sz="8" w:color="F0F0F0"/>
            </w:tcBorders>
            <w:shd w:val="clear" w:color="auto" w:fill="F0F0F0"/>
          </w:tcPr>
          <w:p>
            <w:pPr>
              <w:spacing w:after="0"/>
              <w:rPr>
                <w:sz w:val="24"/>
                <w:szCs w:val="24"/>
                <w:color w:val="auto"/>
              </w:rPr>
            </w:pPr>
          </w:p>
        </w:tc>
        <w:tc>
          <w:tcPr>
            <w:tcW w:w="960" w:type="dxa"/>
            <w:vAlign w:val="bottom"/>
            <w:tcBorders>
              <w:right w:val="single" w:sz="8" w:color="4C4C4C"/>
            </w:tcBorders>
          </w:tcPr>
          <w:p>
            <w:pPr>
              <w:spacing w:after="0"/>
              <w:rPr>
                <w:sz w:val="24"/>
                <w:szCs w:val="24"/>
                <w:color w:val="auto"/>
              </w:rPr>
            </w:pPr>
          </w:p>
        </w:tc>
        <w:tc>
          <w:tcPr>
            <w:tcW w:w="820" w:type="dxa"/>
            <w:vAlign w:val="bottom"/>
            <w:tcBorders>
              <w:bottom w:val="single" w:sz="8" w:color="DCDCDC"/>
            </w:tcBorders>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(loss) after income tax</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11,728</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24,751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6,626</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2,328</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1,215</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1,190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96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55,740</w:t>
            </w:r>
          </w:p>
        </w:tc>
        <w:tc>
          <w:tcPr>
            <w:tcW w:w="0" w:type="dxa"/>
            <w:vAlign w:val="bottom"/>
          </w:tcPr>
          <w:p>
            <w:pPr>
              <w:spacing w:after="0"/>
              <w:rPr>
                <w:sz w:val="1"/>
                <w:szCs w:val="1"/>
                <w:color w:val="auto"/>
              </w:rPr>
            </w:pPr>
          </w:p>
        </w:tc>
      </w:tr>
      <w:tr>
        <w:trPr>
          <w:trHeight w:val="196"/>
        </w:trPr>
        <w:tc>
          <w:tcPr>
            <w:tcW w:w="24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Earnings of equity companies</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411</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10,133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322</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771</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Borders>
              <w:right w:val="single" w:sz="8" w:color="4C4C4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11,463</w:t>
            </w:r>
          </w:p>
        </w:tc>
        <w:tc>
          <w:tcPr>
            <w:tcW w:w="0" w:type="dxa"/>
            <w:vAlign w:val="bottom"/>
          </w:tcPr>
          <w:p>
            <w:pPr>
              <w:spacing w:after="0"/>
              <w:rPr>
                <w:sz w:val="1"/>
                <w:szCs w:val="1"/>
                <w:color w:val="auto"/>
              </w:rPr>
            </w:pPr>
          </w:p>
        </w:tc>
      </w:tr>
      <w:tr>
        <w:trPr>
          <w:trHeight w:val="231"/>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included above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Sales and other operating</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14,579</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30,585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117,824</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188,153</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10,670</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16,949</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6,152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398,675</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Intersegment revenue</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25,658</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46,076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29,001</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36,894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9,081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5,201</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2,587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241</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Depreciation and depletion</w:t>
            </w: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5,791</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14,013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1,246</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542</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446</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973</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24,040</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revenue</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446</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699</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11,575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2,420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334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96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20,176</w:t>
            </w: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Additions to property, plant and</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5,940</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6,441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964</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1,026</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1,692</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897</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18,338</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equipment</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Investments in equity</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4,893</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21,502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1,154</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3,124</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2,417</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960" w:type="dxa"/>
            <w:vAlign w:val="bottom"/>
            <w:tcBorders>
              <w:right w:val="single" w:sz="8" w:color="4C4C4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34,522</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companies</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66,695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139,764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31,729</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41,836</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17,342</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15,875</w:t>
            </w:r>
          </w:p>
        </w:tc>
        <w:tc>
          <w:tcPr>
            <w:tcW w:w="820" w:type="dxa"/>
            <w:vAlign w:val="bottom"/>
            <w:tcBorders>
              <w:right w:val="single" w:sz="8" w:color="F0F0F0"/>
            </w:tcBorders>
            <w:shd w:val="clear" w:color="auto" w:fill="F0F0F0"/>
          </w:tcPr>
          <w:p>
            <w:pPr>
              <w:jc w:val="right"/>
              <w:ind w:right="52"/>
              <w:spacing w:after="0"/>
              <w:rPr>
                <w:sz w:val="20"/>
                <w:szCs w:val="20"/>
                <w:color w:val="auto"/>
              </w:rPr>
            </w:pPr>
            <w:r>
              <w:rPr>
                <w:rFonts w:ascii="Times New Roman" w:cs="Times New Roman" w:eastAsia="Times New Roman" w:hAnsi="Times New Roman"/>
                <w:sz w:val="18"/>
                <w:szCs w:val="18"/>
                <w:color w:val="auto"/>
              </w:rPr>
              <w:t>2,839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44,671</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369,067</w:t>
            </w:r>
          </w:p>
        </w:tc>
        <w:tc>
          <w:tcPr>
            <w:tcW w:w="0" w:type="dxa"/>
            <w:vAlign w:val="bottom"/>
          </w:tcPr>
          <w:p>
            <w:pPr>
              <w:spacing w:after="0"/>
              <w:rPr>
                <w:sz w:val="1"/>
                <w:szCs w:val="1"/>
                <w:color w:val="auto"/>
              </w:rPr>
            </w:pPr>
          </w:p>
        </w:tc>
      </w:tr>
      <w:tr>
        <w:trPr>
          <w:trHeight w:val="567"/>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Borders>
              <w:right w:val="single" w:sz="8" w:color="F0F0F0"/>
            </w:tcBorders>
            <w:shd w:val="clear" w:color="auto" w:fill="F0F0F0"/>
          </w:tcPr>
          <w:p>
            <w:pPr>
              <w:spacing w:after="0"/>
              <w:rPr>
                <w:sz w:val="24"/>
                <w:szCs w:val="24"/>
                <w:color w:val="auto"/>
              </w:rPr>
            </w:pPr>
          </w:p>
        </w:tc>
        <w:tc>
          <w:tcPr>
            <w:tcW w:w="740" w:type="dxa"/>
            <w:vAlign w:val="bottom"/>
            <w:shd w:val="clear" w:color="auto" w:fill="F0F0F0"/>
          </w:tcPr>
          <w:p>
            <w:pPr>
              <w:spacing w:after="0"/>
              <w:rPr>
                <w:sz w:val="24"/>
                <w:szCs w:val="24"/>
                <w:color w:val="auto"/>
              </w:rPr>
            </w:pPr>
          </w:p>
        </w:tc>
        <w:tc>
          <w:tcPr>
            <w:tcW w:w="960" w:type="dxa"/>
            <w:vAlign w:val="bottom"/>
            <w:tcBorders>
              <w:right w:val="single" w:sz="8" w:color="4C4C4C"/>
            </w:tcBorders>
          </w:tcPr>
          <w:p>
            <w:pPr>
              <w:spacing w:after="0"/>
              <w:rPr>
                <w:sz w:val="24"/>
                <w:szCs w:val="24"/>
                <w:color w:val="auto"/>
              </w:rPr>
            </w:pPr>
          </w:p>
        </w:tc>
        <w:tc>
          <w:tcPr>
            <w:tcW w:w="820" w:type="dxa"/>
            <w:vAlign w:val="bottom"/>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(loss) after income tax</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3,663</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12,112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3,697</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3,292</w:t>
            </w:r>
          </w:p>
        </w:tc>
        <w:tc>
          <w:tcPr>
            <w:tcW w:w="820" w:type="dxa"/>
            <w:vAlign w:val="bottom"/>
            <w:tcBorders>
              <w:right w:val="single" w:sz="8" w:color="F0F0F0"/>
            </w:tcBorders>
            <w:shd w:val="clear" w:color="auto" w:fill="F0F0F0"/>
          </w:tcPr>
          <w:p>
            <w:pPr>
              <w:jc w:val="right"/>
              <w:ind w:right="52"/>
              <w:spacing w:after="0"/>
              <w:rPr>
                <w:sz w:val="20"/>
                <w:szCs w:val="20"/>
                <w:color w:val="auto"/>
              </w:rPr>
            </w:pPr>
            <w:r>
              <w:rPr>
                <w:rFonts w:ascii="Times New Roman" w:cs="Times New Roman" w:eastAsia="Times New Roman" w:hAnsi="Times New Roman"/>
                <w:sz w:val="18"/>
                <w:szCs w:val="18"/>
                <w:color w:val="auto"/>
              </w:rPr>
              <w:t>1,452</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96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23,040</w:t>
            </w:r>
          </w:p>
        </w:tc>
        <w:tc>
          <w:tcPr>
            <w:tcW w:w="0" w:type="dxa"/>
            <w:vAlign w:val="bottom"/>
          </w:tcPr>
          <w:p>
            <w:pPr>
              <w:spacing w:after="0"/>
              <w:rPr>
                <w:sz w:val="1"/>
                <w:szCs w:val="1"/>
                <w:color w:val="auto"/>
              </w:rPr>
            </w:pPr>
          </w:p>
        </w:tc>
      </w:tr>
      <w:tr>
        <w:trPr>
          <w:trHeight w:val="178"/>
        </w:trPr>
        <w:tc>
          <w:tcPr>
            <w:tcW w:w="248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Earnings of equity companies</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288</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5,535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1,141</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Borders>
              <w:right w:val="single" w:sz="8" w:color="4C4C4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6,657</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included above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shd w:val="clear" w:color="auto" w:fill="F0F0F0"/>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Sales and other operating</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8,883</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12,914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78,500</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130,406</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11,995</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16,633</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4,858</w:t>
            </w:r>
          </w:p>
        </w:tc>
        <w:tc>
          <w:tcPr>
            <w:tcW w:w="7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276,692</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shd w:val="clear" w:color="auto" w:fill="F0F0F0"/>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Intersegment revenue</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16,692</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33,405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25,097</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5,993</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4,082</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2,193</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227</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Depreciation and depletion</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6,831</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9,918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1,036</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505</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c>
          <w:tcPr>
            <w:tcW w:w="7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875</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20,607</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shd w:val="clear" w:color="auto" w:fill="F0F0F0"/>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revenue</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844</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0" w:type="dxa"/>
            <w:vAlign w:val="bottom"/>
          </w:tcPr>
          <w:p>
            <w:pPr>
              <w:spacing w:after="0"/>
              <w:rPr>
                <w:sz w:val="1"/>
                <w:szCs w:val="1"/>
                <w:color w:val="auto"/>
              </w:rPr>
            </w:pPr>
          </w:p>
        </w:tc>
      </w:tr>
      <w:tr>
        <w:trPr>
          <w:trHeight w:val="263"/>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1,116</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4,871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1,235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684</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464</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960" w:type="dxa"/>
            <w:vAlign w:val="bottom"/>
            <w:tcBorders>
              <w:right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7,636</w:t>
            </w:r>
          </w:p>
        </w:tc>
        <w:tc>
          <w:tcPr>
            <w:tcW w:w="0" w:type="dxa"/>
            <w:vAlign w:val="bottom"/>
          </w:tcPr>
          <w:p>
            <w:pPr>
              <w:spacing w:after="0"/>
              <w:rPr>
                <w:sz w:val="1"/>
                <w:szCs w:val="1"/>
                <w:color w:val="auto"/>
              </w:rPr>
            </w:pPr>
          </w:p>
        </w:tc>
      </w:tr>
      <w:tr>
        <w:trPr>
          <w:trHeight w:val="178"/>
        </w:trPr>
        <w:tc>
          <w:tcPr>
            <w:tcW w:w="248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Additions to property, plant and</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3,308</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5,308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874</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538</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712</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960" w:type="dxa"/>
            <w:vAlign w:val="bottom"/>
            <w:tcBorders>
              <w:right w:val="single" w:sz="8" w:color="4C4C4C"/>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658</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12,541</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equipment</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Investments in equity</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4,999</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18,544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972</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3,019</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2,490</w:t>
            </w:r>
          </w:p>
        </w:tc>
        <w:tc>
          <w:tcPr>
            <w:tcW w:w="820" w:type="dxa"/>
            <w:vAlign w:val="bottom"/>
            <w:tcBorders>
              <w:right w:val="single" w:sz="8" w:color="F0F0F0"/>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960" w:type="dxa"/>
            <w:vAlign w:val="bottom"/>
            <w:tcBorders>
              <w:right w:val="single" w:sz="8" w:color="4C4C4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20" w:type="dxa"/>
            <w:vAlign w:val="bottom"/>
            <w:vMerge w:val="restart"/>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31,225</w:t>
            </w:r>
          </w:p>
        </w:tc>
        <w:tc>
          <w:tcPr>
            <w:tcW w:w="0" w:type="dxa"/>
            <w:vAlign w:val="bottom"/>
          </w:tcPr>
          <w:p>
            <w:pPr>
              <w:spacing w:after="0"/>
              <w:rPr>
                <w:sz w:val="1"/>
                <w:szCs w:val="1"/>
                <w:color w:val="auto"/>
              </w:rPr>
            </w:pPr>
          </w:p>
        </w:tc>
      </w:tr>
      <w:tr>
        <w:trPr>
          <w:trHeight w:val="235"/>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companies</w:t>
            </w: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tcBorders>
              <w:right w:val="single" w:sz="8" w:color="F0F0F0"/>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60" w:type="dxa"/>
            <w:vAlign w:val="bottom"/>
            <w:tcBorders>
              <w:right w:val="single" w:sz="8" w:color="4C4C4C"/>
            </w:tcBorders>
            <w:vMerge w:val="continue"/>
          </w:tcPr>
          <w:p>
            <w:pPr>
              <w:spacing w:after="0"/>
              <w:rPr>
                <w:sz w:val="20"/>
                <w:szCs w:val="20"/>
                <w:color w:val="auto"/>
              </w:rPr>
            </w:pPr>
          </w:p>
        </w:tc>
        <w:tc>
          <w:tcPr>
            <w:tcW w:w="820" w:type="dxa"/>
            <w:vAlign w:val="bottom"/>
            <w:vMerge w:val="continue"/>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67,294</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141,978</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26,932</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37,698</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16,695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14,555</w:t>
            </w:r>
          </w:p>
        </w:tc>
        <w:tc>
          <w:tcPr>
            <w:tcW w:w="820" w:type="dxa"/>
            <w:vAlign w:val="bottom"/>
            <w:tcBorders>
              <w:right w:val="single" w:sz="8" w:color="F0F0F0"/>
            </w:tcBorders>
          </w:tcPr>
          <w:p>
            <w:pPr>
              <w:jc w:val="right"/>
              <w:ind w:right="52"/>
              <w:spacing w:after="0"/>
              <w:rPr>
                <w:sz w:val="20"/>
                <w:szCs w:val="20"/>
                <w:color w:val="auto"/>
              </w:rPr>
            </w:pPr>
            <w:r>
              <w:rPr>
                <w:rFonts w:ascii="Times New Roman" w:cs="Times New Roman" w:eastAsia="Times New Roman" w:hAnsi="Times New Roman"/>
                <w:sz w:val="18"/>
                <w:szCs w:val="18"/>
                <w:color w:val="auto"/>
              </w:rPr>
              <w:t>2,878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960" w:type="dxa"/>
            <w:vAlign w:val="bottom"/>
            <w:tcBorders>
              <w:right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22,863</w:t>
            </w:r>
          </w:p>
        </w:tc>
        <w:tc>
          <w:tcPr>
            <w:tcW w:w="820" w:type="dxa"/>
            <w:vAlign w:val="bottom"/>
            <w:shd w:val="clear" w:color="auto" w:fill="DCDCDC"/>
          </w:tcPr>
          <w:p>
            <w:pPr>
              <w:jc w:val="right"/>
              <w:spacing w:after="0"/>
              <w:rPr>
                <w:sz w:val="20"/>
                <w:szCs w:val="20"/>
                <w:color w:val="auto"/>
              </w:rPr>
            </w:pPr>
            <w:r>
              <w:rPr>
                <w:rFonts w:ascii="Times New Roman" w:cs="Times New Roman" w:eastAsia="Times New Roman" w:hAnsi="Times New Roman"/>
                <w:sz w:val="18"/>
                <w:szCs w:val="18"/>
                <w:b w:val="1"/>
                <w:bCs w:val="1"/>
                <w:color w:val="auto"/>
              </w:rPr>
              <w:t>338,923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-7918450</wp:posOffset>
            </wp:positionV>
            <wp:extent cx="3068320" cy="79317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5">
                      <a:extLst>
                        <a:ext uri="{28A0092B-C50C-407E-A947-70E740481C1C}"/>
                      </a:extLst>
                    </a:blip>
                    <a:srcRect/>
                    <a:stretch>
                      <a:fillRect/>
                    </a:stretch>
                  </pic:blipFill>
                  <pic:spPr bwMode="auto">
                    <a:xfrm>
                      <a:off x="0" y="0"/>
                      <a:ext cx="3068320" cy="7931785"/>
                    </a:xfrm>
                    <a:prstGeom prst="rect">
                      <a:avLst/>
                    </a:prstGeom>
                    <a:noFill/>
                  </pic:spPr>
                </pic:pic>
              </a:graphicData>
            </a:graphic>
          </wp:anchor>
        </w:drawing>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ectPr>
          <w:pgSz w:w="11880" w:h="15480" w:orient="portrait"/>
          <w:cols w:equalWidth="0" w:num="1">
            <w:col w:w="10640"/>
          </w:cols>
          <w:pgMar w:left="620" w:top="27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880" w:h="15480" w:orient="portrait"/>
          <w:cols w:equalWidth="0" w:num="1">
            <w:col w:w="10640"/>
          </w:cols>
          <w:pgMar w:left="620" w:top="270" w:right="62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C"/>
        </w:rPr>
        <w:t>Revenue from Contracts with Customers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Sales and other operating revenue include both revenue within the scope of ASC 606 and outside the scope of ASC 606. Revenue outside the scope of ASC 606 primarily relates to physically settled commodity contracts accounted for as derivatives. Contractual terms, credit quality, and type of customer are generally similar between contracts within the scope of ASC 606 and those outside it.</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Sales and other operating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-137160</wp:posOffset>
                </wp:positionV>
                <wp:extent cx="6711950" cy="269875"/>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0" cy="269875"/>
                        </a:xfrm>
                        <a:prstGeom prst="rect">
                          <a:avLst/>
                        </a:prstGeom>
                        <a:solidFill>
                          <a:srgbClr val="4C4C4C"/>
                        </a:solidFill>
                      </wps:spPr>
                      <wps:bodyPr/>
                    </wps:wsp>
                  </a:graphicData>
                </a:graphic>
              </wp:anchor>
            </w:drawing>
          </mc:Choice>
          <mc:Fallback>
            <w:pict>
              <v:rect id="Shape 190" o:spid="_x0000_s1215" style="position:absolute;margin-left:0.75pt;margin-top:-10.7999pt;width:528.5pt;height:2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18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85"/>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 from contracts with customers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256,455</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304,758</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228,968</w:t>
            </w:r>
          </w:p>
        </w:tc>
      </w:tr>
      <w:tr>
        <w:trPr>
          <w:trHeight w:val="297"/>
        </w:trPr>
        <w:tc>
          <w:tcPr>
            <w:tcW w:w="20" w:type="dxa"/>
            <w:vAlign w:val="bottom"/>
          </w:tcPr>
          <w:p>
            <w:pPr>
              <w:spacing w:after="0"/>
              <w:rPr>
                <w:sz w:val="24"/>
                <w:szCs w:val="24"/>
                <w:color w:val="auto"/>
              </w:rPr>
            </w:pPr>
          </w:p>
        </w:tc>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Revenue outside the scope of ASC 606</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78,242</w:t>
            </w:r>
          </w:p>
        </w:tc>
        <w:tc>
          <w:tcPr>
            <w:tcW w:w="1180" w:type="dxa"/>
            <w:vAlign w:val="bottom"/>
            <w:tcBorders>
              <w:bottom w:val="single" w:sz="8" w:color="4C4C4C"/>
            </w:tcBorders>
          </w:tcPr>
          <w:p>
            <w:pPr>
              <w:jc w:val="right"/>
              <w:ind w:right="125"/>
              <w:spacing w:after="0"/>
              <w:rPr>
                <w:sz w:val="20"/>
                <w:szCs w:val="20"/>
                <w:color w:val="auto"/>
              </w:rPr>
            </w:pPr>
            <w:r>
              <w:rPr>
                <w:rFonts w:ascii="Times New Roman" w:cs="Times New Roman" w:eastAsia="Times New Roman" w:hAnsi="Times New Roman"/>
                <w:sz w:val="20"/>
                <w:szCs w:val="20"/>
                <w:color w:val="auto"/>
              </w:rPr>
              <w:t>93,917</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47,724</w:t>
            </w:r>
          </w:p>
        </w:tc>
      </w:tr>
      <w:tr>
        <w:trPr>
          <w:trHeight w:val="276"/>
        </w:trPr>
        <w:tc>
          <w:tcPr>
            <w:tcW w:w="20" w:type="dxa"/>
            <w:vAlign w:val="bottom"/>
          </w:tcPr>
          <w:p>
            <w:pPr>
              <w:spacing w:after="0"/>
              <w:rPr>
                <w:sz w:val="23"/>
                <w:szCs w:val="23"/>
                <w:color w:val="auto"/>
              </w:rPr>
            </w:pPr>
          </w:p>
        </w:tc>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334,697</w:t>
            </w:r>
          </w:p>
        </w:tc>
        <w:tc>
          <w:tcPr>
            <w:tcW w:w="1180" w:type="dxa"/>
            <w:vAlign w:val="bottom"/>
            <w:tcBorders>
              <w:bottom w:val="single" w:sz="8" w:color="4C4C4C"/>
            </w:tcBorders>
          </w:tcPr>
          <w:p>
            <w:pPr>
              <w:jc w:val="right"/>
              <w:ind w:right="125"/>
              <w:spacing w:after="0"/>
              <w:rPr>
                <w:sz w:val="20"/>
                <w:szCs w:val="20"/>
                <w:color w:val="auto"/>
              </w:rPr>
            </w:pPr>
            <w:r>
              <w:rPr>
                <w:rFonts w:ascii="Times New Roman" w:cs="Times New Roman" w:eastAsia="Times New Roman" w:hAnsi="Times New Roman"/>
                <w:sz w:val="20"/>
                <w:szCs w:val="20"/>
                <w:b w:val="1"/>
                <w:bCs w:val="1"/>
                <w:color w:val="auto"/>
              </w:rPr>
              <w:t>398,675</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276,692</w:t>
            </w:r>
          </w:p>
        </w:tc>
      </w:tr>
      <w:tr>
        <w:trPr>
          <w:trHeight w:val="708"/>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4C4C4C"/>
              </w:rPr>
              <w:t>Geographic</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0"/>
        </w:trPr>
        <w:tc>
          <w:tcPr>
            <w:tcW w:w="20" w:type="dxa"/>
            <w:vAlign w:val="bottom"/>
          </w:tcPr>
          <w:p>
            <w:pPr>
              <w:spacing w:after="0"/>
              <w:rPr>
                <w:sz w:val="17"/>
                <w:szCs w:val="17"/>
                <w:color w:val="auto"/>
              </w:rPr>
            </w:pPr>
          </w:p>
        </w:tc>
        <w:tc>
          <w:tcPr>
            <w:tcW w:w="7500" w:type="dxa"/>
            <w:vAlign w:val="bottom"/>
            <w:shd w:val="clear" w:color="auto" w:fill="4C4C4C"/>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FFFFFF"/>
              </w:rPr>
              <w:t>Sales and other operating revenue</w:t>
            </w:r>
          </w:p>
        </w:tc>
        <w:tc>
          <w:tcPr>
            <w:tcW w:w="980" w:type="dxa"/>
            <w:vAlign w:val="bottom"/>
            <w:shd w:val="clear" w:color="auto" w:fill="4C4C4C"/>
          </w:tcPr>
          <w:p>
            <w:pPr>
              <w:spacing w:after="0"/>
              <w:rPr>
                <w:sz w:val="17"/>
                <w:szCs w:val="17"/>
                <w:color w:val="auto"/>
              </w:rPr>
            </w:pPr>
          </w:p>
        </w:tc>
        <w:tc>
          <w:tcPr>
            <w:tcW w:w="1180" w:type="dxa"/>
            <w:vAlign w:val="bottom"/>
            <w:shd w:val="clear" w:color="auto" w:fill="4C4C4C"/>
          </w:tcPr>
          <w:p>
            <w:pPr>
              <w:spacing w:after="0"/>
              <w:rPr>
                <w:sz w:val="17"/>
                <w:szCs w:val="17"/>
                <w:color w:val="auto"/>
              </w:rPr>
            </w:pPr>
          </w:p>
        </w:tc>
        <w:tc>
          <w:tcPr>
            <w:tcW w:w="900" w:type="dxa"/>
            <w:vAlign w:val="bottom"/>
            <w:shd w:val="clear" w:color="auto" w:fill="4C4C4C"/>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75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180" w:type="dxa"/>
            <w:vAlign w:val="bottom"/>
            <w:shd w:val="clear" w:color="auto" w:fill="4C4C4C"/>
          </w:tcPr>
          <w:p>
            <w:pPr>
              <w:jc w:val="right"/>
              <w:ind w:right="10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00" w:type="dxa"/>
            <w:vAlign w:val="bottom"/>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85"/>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127,374</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149,225</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104,236</w:t>
            </w:r>
          </w:p>
        </w:tc>
      </w:tr>
      <w:tr>
        <w:trPr>
          <w:trHeight w:val="297"/>
        </w:trPr>
        <w:tc>
          <w:tcPr>
            <w:tcW w:w="20" w:type="dxa"/>
            <w:vAlign w:val="bottom"/>
          </w:tcPr>
          <w:p>
            <w:pPr>
              <w:spacing w:after="0"/>
              <w:rPr>
                <w:sz w:val="24"/>
                <w:szCs w:val="24"/>
                <w:color w:val="auto"/>
              </w:rPr>
            </w:pPr>
          </w:p>
        </w:tc>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207,323</w:t>
            </w:r>
          </w:p>
        </w:tc>
        <w:tc>
          <w:tcPr>
            <w:tcW w:w="1180" w:type="dxa"/>
            <w:vAlign w:val="bottom"/>
            <w:tcBorders>
              <w:bottom w:val="single" w:sz="8" w:color="4C4C4C"/>
            </w:tcBorders>
          </w:tcPr>
          <w:p>
            <w:pPr>
              <w:jc w:val="right"/>
              <w:ind w:right="125"/>
              <w:spacing w:after="0"/>
              <w:rPr>
                <w:sz w:val="20"/>
                <w:szCs w:val="20"/>
                <w:color w:val="auto"/>
              </w:rPr>
            </w:pPr>
            <w:r>
              <w:rPr>
                <w:rFonts w:ascii="Times New Roman" w:cs="Times New Roman" w:eastAsia="Times New Roman" w:hAnsi="Times New Roman"/>
                <w:sz w:val="20"/>
                <w:szCs w:val="20"/>
                <w:color w:val="auto"/>
              </w:rPr>
              <w:t>249,450</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172,456</w:t>
            </w:r>
          </w:p>
        </w:tc>
      </w:tr>
      <w:tr>
        <w:trPr>
          <w:trHeight w:val="274"/>
        </w:trPr>
        <w:tc>
          <w:tcPr>
            <w:tcW w:w="20" w:type="dxa"/>
            <w:vAlign w:val="bottom"/>
          </w:tcPr>
          <w:p>
            <w:pPr>
              <w:spacing w:after="0"/>
              <w:rPr>
                <w:sz w:val="23"/>
                <w:szCs w:val="23"/>
                <w:color w:val="auto"/>
              </w:rPr>
            </w:pPr>
          </w:p>
        </w:tc>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334,697</w:t>
            </w:r>
          </w:p>
        </w:tc>
        <w:tc>
          <w:tcPr>
            <w:tcW w:w="1180" w:type="dxa"/>
            <w:vAlign w:val="bottom"/>
            <w:tcBorders>
              <w:bottom w:val="single" w:sz="8" w:color="4C4C4C"/>
            </w:tcBorders>
          </w:tcPr>
          <w:p>
            <w:pPr>
              <w:jc w:val="right"/>
              <w:ind w:right="125"/>
              <w:spacing w:after="0"/>
              <w:rPr>
                <w:sz w:val="20"/>
                <w:szCs w:val="20"/>
                <w:color w:val="auto"/>
              </w:rPr>
            </w:pPr>
            <w:r>
              <w:rPr>
                <w:rFonts w:ascii="Times New Roman" w:cs="Times New Roman" w:eastAsia="Times New Roman" w:hAnsi="Times New Roman"/>
                <w:sz w:val="20"/>
                <w:szCs w:val="20"/>
                <w:b w:val="1"/>
                <w:bCs w:val="1"/>
                <w:color w:val="auto"/>
              </w:rPr>
              <w:t>398,675</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276,692</w:t>
            </w:r>
          </w:p>
        </w:tc>
      </w:tr>
      <w:tr>
        <w:trPr>
          <w:trHeight w:val="374"/>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 xml:space="preserve">Significant non-U.S. revenue sources include: </w:t>
            </w:r>
            <w:r>
              <w:rPr>
                <w:rFonts w:ascii="Times New Roman" w:cs="Times New Roman" w:eastAsia="Times New Roman" w:hAnsi="Times New Roman"/>
                <w:sz w:val="10"/>
                <w:szCs w:val="10"/>
                <w:b w:val="1"/>
                <w:bCs w:val="1"/>
                <w:i w:val="1"/>
                <w:iCs w:val="1"/>
                <w:color w:val="4C4C4C"/>
              </w:rPr>
              <w:t>(1)</w:t>
            </w:r>
          </w:p>
        </w:tc>
        <w:tc>
          <w:tcPr>
            <w:tcW w:w="980" w:type="dxa"/>
            <w:vAlign w:val="bottom"/>
            <w:shd w:val="clear" w:color="auto" w:fill="F0F0F0"/>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4"/>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28,994</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32,970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22,166</w:t>
            </w:r>
          </w:p>
        </w:tc>
      </w:tr>
      <w:tr>
        <w:trPr>
          <w:trHeight w:val="294"/>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Kingdom</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23,372</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33,988</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14,759</w:t>
            </w:r>
          </w:p>
        </w:tc>
      </w:tr>
      <w:tr>
        <w:trPr>
          <w:trHeight w:val="294"/>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Singapore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15,331</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19,029</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15,031</w:t>
            </w:r>
          </w:p>
        </w:tc>
      </w:tr>
      <w:tr>
        <w:trPr>
          <w:trHeight w:val="294"/>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France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14,803</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17,727</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13,236</w:t>
            </w:r>
          </w:p>
        </w:tc>
      </w:tr>
      <w:tr>
        <w:trPr>
          <w:trHeight w:val="294"/>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Australia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9,883</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11,316</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7,646</w:t>
            </w:r>
          </w:p>
        </w:tc>
      </w:tr>
      <w:tr>
        <w:trPr>
          <w:trHeight w:val="294"/>
        </w:trPr>
        <w:tc>
          <w:tcPr>
            <w:tcW w:w="2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Belgium</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9,840</w:t>
            </w: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11,279</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9,153</w:t>
            </w:r>
          </w:p>
        </w:tc>
      </w:tr>
      <w:tr>
        <w:trPr>
          <w:trHeight w:val="300"/>
        </w:trPr>
        <w:tc>
          <w:tcPr>
            <w:tcW w:w="20" w:type="dxa"/>
            <w:vAlign w:val="bottom"/>
          </w:tcPr>
          <w:p>
            <w:pPr>
              <w:spacing w:after="0"/>
              <w:rPr>
                <w:sz w:val="24"/>
                <w:szCs w:val="24"/>
                <w:color w:val="auto"/>
              </w:rPr>
            </w:pPr>
          </w:p>
        </w:tc>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Germany</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9,297</w:t>
            </w:r>
          </w:p>
        </w:tc>
        <w:tc>
          <w:tcPr>
            <w:tcW w:w="1180" w:type="dxa"/>
            <w:vAlign w:val="bottom"/>
            <w:tcBorders>
              <w:bottom w:val="single" w:sz="8" w:color="4C4C4C"/>
            </w:tcBorders>
          </w:tcPr>
          <w:p>
            <w:pPr>
              <w:jc w:val="right"/>
              <w:ind w:right="125"/>
              <w:spacing w:after="0"/>
              <w:rPr>
                <w:sz w:val="20"/>
                <w:szCs w:val="20"/>
                <w:color w:val="auto"/>
              </w:rPr>
            </w:pPr>
            <w:r>
              <w:rPr>
                <w:rFonts w:ascii="Times New Roman" w:cs="Times New Roman" w:eastAsia="Times New Roman" w:hAnsi="Times New Roman"/>
                <w:sz w:val="20"/>
                <w:szCs w:val="20"/>
                <w:color w:val="auto"/>
              </w:rPr>
              <w:t>10,190</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7,565</w:t>
            </w:r>
          </w:p>
        </w:tc>
      </w:tr>
    </w:tbl>
    <w:p>
      <w:pPr>
        <w:spacing w:after="0" w:line="96" w:lineRule="exact"/>
        <w:rPr>
          <w:sz w:val="20"/>
          <w:szCs w:val="20"/>
          <w:color w:val="auto"/>
        </w:rPr>
      </w:pPr>
    </w:p>
    <w:p>
      <w:pPr>
        <w:ind w:left="60" w:right="60" w:firstLine="7"/>
        <w:spacing w:after="0" w:line="229" w:lineRule="auto"/>
        <w:tabs>
          <w:tab w:leader="none" w:pos="240" w:val="left"/>
        </w:tabs>
        <w:numPr>
          <w:ilvl w:val="0"/>
          <w:numId w:val="56"/>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Revenue is determined by primary country of operations. Excludes certain sales and other operating revenues in Non-U.S. operations where attribution to a specific country is not practicable.</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75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Long-lived assets</w:t>
            </w:r>
          </w:p>
        </w:tc>
        <w:tc>
          <w:tcPr>
            <w:tcW w:w="980" w:type="dxa"/>
            <w:vAlign w:val="bottom"/>
            <w:shd w:val="clear" w:color="auto" w:fill="4C4C4C"/>
          </w:tcPr>
          <w:p>
            <w:pPr>
              <w:spacing w:after="0"/>
              <w:rPr>
                <w:sz w:val="24"/>
                <w:szCs w:val="24"/>
                <w:color w:val="auto"/>
              </w:rPr>
            </w:pPr>
          </w:p>
        </w:tc>
        <w:tc>
          <w:tcPr>
            <w:tcW w:w="1180" w:type="dxa"/>
            <w:vAlign w:val="bottom"/>
            <w:shd w:val="clear" w:color="auto" w:fill="4C4C4C"/>
          </w:tcPr>
          <w:p>
            <w:pPr>
              <w:jc w:val="right"/>
              <w:ind w:right="84"/>
              <w:spacing w:after="0"/>
              <w:rPr>
                <w:sz w:val="20"/>
                <w:szCs w:val="20"/>
                <w:color w:val="auto"/>
              </w:rPr>
            </w:pPr>
            <w:r>
              <w:rPr>
                <w:rFonts w:ascii="Times New Roman" w:cs="Times New Roman" w:eastAsia="Times New Roman" w:hAnsi="Times New Roman"/>
                <w:sz w:val="16"/>
                <w:szCs w:val="16"/>
                <w:b w:val="1"/>
                <w:bCs w:val="1"/>
                <w:color w:val="FFFFFF"/>
              </w:rPr>
              <w:t>December 31,</w:t>
            </w:r>
          </w:p>
        </w:tc>
        <w:tc>
          <w:tcPr>
            <w:tcW w:w="90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500" w:type="dxa"/>
            <w:vAlign w:val="bottom"/>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180" w:type="dxa"/>
            <w:vAlign w:val="bottom"/>
            <w:vMerge w:val="restart"/>
            <w:shd w:val="clear" w:color="auto" w:fill="4C4C4C"/>
          </w:tcPr>
          <w:p>
            <w:pPr>
              <w:jc w:val="right"/>
              <w:ind w:right="10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90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99"/>
        </w:trPr>
        <w:tc>
          <w:tcPr>
            <w:tcW w:w="7500" w:type="dxa"/>
            <w:vAlign w:val="bottom"/>
            <w:shd w:val="clear" w:color="auto" w:fill="4C4C4C"/>
          </w:tcPr>
          <w:p>
            <w:pPr>
              <w:spacing w:after="0"/>
              <w:rPr>
                <w:sz w:val="8"/>
                <w:szCs w:val="8"/>
                <w:color w:val="auto"/>
              </w:rPr>
            </w:pPr>
          </w:p>
        </w:tc>
        <w:tc>
          <w:tcPr>
            <w:tcW w:w="980" w:type="dxa"/>
            <w:vAlign w:val="bottom"/>
            <w:vMerge w:val="continue"/>
            <w:shd w:val="clear" w:color="auto" w:fill="4C4C4C"/>
          </w:tcPr>
          <w:p>
            <w:pPr>
              <w:spacing w:after="0"/>
              <w:rPr>
                <w:sz w:val="8"/>
                <w:szCs w:val="8"/>
                <w:color w:val="auto"/>
              </w:rPr>
            </w:pPr>
          </w:p>
        </w:tc>
        <w:tc>
          <w:tcPr>
            <w:tcW w:w="1180" w:type="dxa"/>
            <w:vAlign w:val="bottom"/>
            <w:vMerge w:val="continue"/>
            <w:shd w:val="clear" w:color="auto" w:fill="4C4C4C"/>
          </w:tcPr>
          <w:p>
            <w:pPr>
              <w:spacing w:after="0"/>
              <w:rPr>
                <w:sz w:val="8"/>
                <w:szCs w:val="8"/>
                <w:color w:val="auto"/>
              </w:rPr>
            </w:pPr>
          </w:p>
        </w:tc>
        <w:tc>
          <w:tcPr>
            <w:tcW w:w="900" w:type="dxa"/>
            <w:vAlign w:val="bottom"/>
            <w:vMerge w:val="continue"/>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95,792</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90,051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90,412</w:t>
            </w:r>
          </w:p>
        </w:tc>
        <w:tc>
          <w:tcPr>
            <w:tcW w:w="0" w:type="dxa"/>
            <w:vAlign w:val="bottom"/>
          </w:tcPr>
          <w:p>
            <w:pPr>
              <w:spacing w:after="0"/>
              <w:rPr>
                <w:sz w:val="1"/>
                <w:szCs w:val="1"/>
                <w:color w:val="auto"/>
              </w:rPr>
            </w:pPr>
          </w:p>
        </w:tc>
      </w:tr>
      <w:tr>
        <w:trPr>
          <w:trHeight w:val="297"/>
        </w:trPr>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119,148</w:t>
            </w:r>
          </w:p>
        </w:tc>
        <w:tc>
          <w:tcPr>
            <w:tcW w:w="1180" w:type="dxa"/>
            <w:vAlign w:val="bottom"/>
            <w:tcBorders>
              <w:bottom w:val="single" w:sz="8" w:color="4C4C4C"/>
            </w:tcBorders>
          </w:tcPr>
          <w:p>
            <w:pPr>
              <w:jc w:val="right"/>
              <w:ind w:right="124"/>
              <w:spacing w:after="0"/>
              <w:rPr>
                <w:sz w:val="20"/>
                <w:szCs w:val="20"/>
                <w:color w:val="auto"/>
              </w:rPr>
            </w:pPr>
            <w:r>
              <w:rPr>
                <w:rFonts w:ascii="Times New Roman" w:cs="Times New Roman" w:eastAsia="Times New Roman" w:hAnsi="Times New Roman"/>
                <w:sz w:val="20"/>
                <w:szCs w:val="20"/>
                <w:color w:val="auto"/>
              </w:rPr>
              <w:t>114,641</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126,140</w:t>
            </w:r>
          </w:p>
        </w:tc>
        <w:tc>
          <w:tcPr>
            <w:tcW w:w="0" w:type="dxa"/>
            <w:vAlign w:val="bottom"/>
          </w:tcPr>
          <w:p>
            <w:pPr>
              <w:spacing w:after="0"/>
              <w:rPr>
                <w:sz w:val="1"/>
                <w:szCs w:val="1"/>
                <w:color w:val="auto"/>
              </w:rPr>
            </w:pPr>
          </w:p>
        </w:tc>
      </w:tr>
      <w:tr>
        <w:trPr>
          <w:trHeight w:val="274"/>
        </w:trPr>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214,940</w:t>
            </w:r>
          </w:p>
        </w:tc>
        <w:tc>
          <w:tcPr>
            <w:tcW w:w="1180" w:type="dxa"/>
            <w:vAlign w:val="bottom"/>
            <w:tcBorders>
              <w:bottom w:val="single" w:sz="8" w:color="4C4C4C"/>
            </w:tcBorders>
          </w:tcPr>
          <w:p>
            <w:pPr>
              <w:jc w:val="right"/>
              <w:ind w:right="124"/>
              <w:spacing w:after="0"/>
              <w:rPr>
                <w:sz w:val="20"/>
                <w:szCs w:val="20"/>
                <w:color w:val="auto"/>
              </w:rPr>
            </w:pPr>
            <w:r>
              <w:rPr>
                <w:rFonts w:ascii="Times New Roman" w:cs="Times New Roman" w:eastAsia="Times New Roman" w:hAnsi="Times New Roman"/>
                <w:sz w:val="20"/>
                <w:szCs w:val="20"/>
                <w:b w:val="1"/>
                <w:bCs w:val="1"/>
                <w:color w:val="auto"/>
              </w:rPr>
              <w:t>204,692</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216,552</w:t>
            </w:r>
          </w:p>
        </w:tc>
        <w:tc>
          <w:tcPr>
            <w:tcW w:w="0" w:type="dxa"/>
            <w:vAlign w:val="bottom"/>
          </w:tcPr>
          <w:p>
            <w:pPr>
              <w:spacing w:after="0"/>
              <w:rPr>
                <w:sz w:val="1"/>
                <w:szCs w:val="1"/>
                <w:color w:val="auto"/>
              </w:rPr>
            </w:pPr>
          </w:p>
        </w:tc>
      </w:tr>
      <w:tr>
        <w:trPr>
          <w:trHeight w:val="37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Significant non-U.S. long-lived assets include:</w:t>
            </w:r>
          </w:p>
        </w:tc>
        <w:tc>
          <w:tcPr>
            <w:tcW w:w="980" w:type="dxa"/>
            <w:vAlign w:val="bottom"/>
            <w:shd w:val="clear" w:color="auto" w:fill="F0F0F0"/>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31,682</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31,106</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34,907</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Singapore</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12,490</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11,972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11,969</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Australia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11,212</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11,372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12,988</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Guyana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9,689</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6,766</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4,892</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Kazakhstan</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7,728</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8,172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8,463</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Papua New Guinea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7,433</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7,338</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7,534</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Arab Emirates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5,480</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5,448</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5,392</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Brazil</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4,203</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3,649</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4,337</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China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3,669</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2,350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0" w:type="dxa"/>
            <w:vAlign w:val="bottom"/>
          </w:tcPr>
          <w:p>
            <w:pPr>
              <w:spacing w:after="0"/>
              <w:rPr>
                <w:sz w:val="1"/>
                <w:szCs w:val="1"/>
                <w:color w:val="auto"/>
              </w:rPr>
            </w:pPr>
          </w:p>
        </w:tc>
      </w:tr>
      <w:tr>
        <w:trPr>
          <w:trHeight w:val="294"/>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Nigeria</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3,319</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4,090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5,235</w:t>
            </w:r>
          </w:p>
        </w:tc>
        <w:tc>
          <w:tcPr>
            <w:tcW w:w="0" w:type="dxa"/>
            <w:vAlign w:val="bottom"/>
          </w:tcPr>
          <w:p>
            <w:pPr>
              <w:spacing w:after="0"/>
              <w:rPr>
                <w:sz w:val="1"/>
                <w:szCs w:val="1"/>
                <w:color w:val="auto"/>
              </w:rPr>
            </w:pPr>
          </w:p>
        </w:tc>
      </w:tr>
      <w:tr>
        <w:trPr>
          <w:trHeight w:val="300"/>
        </w:trPr>
        <w:tc>
          <w:tcPr>
            <w:tcW w:w="750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Russia</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4C4C4C"/>
            </w:tcBorders>
          </w:tcPr>
          <w:p>
            <w:pPr>
              <w:jc w:val="right"/>
              <w:ind w:right="124"/>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4,055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ectPr>
          <w:pgSz w:w="11880" w:h="15480" w:orient="portrait"/>
          <w:cols w:equalWidth="0" w:num="1">
            <w:col w:w="10600"/>
          </w:cols>
          <w:pgMar w:left="640" w:top="270" w:right="640" w:bottom="0" w:gutter="0" w:footer="0" w:header="0"/>
          <w:type w:val="continuous"/>
        </w:sectPr>
      </w:pPr>
    </w:p>
    <w:bookmarkStart w:id="123" w:name="page124"/>
    <w:bookmarkEnd w:id="123"/>
    <w:p>
      <w:pPr>
        <w:ind w:right="4380"/>
        <w:spacing w:after="0" w:line="414"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19. Income and Other Taxes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44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780" w:type="dxa"/>
            <w:vAlign w:val="bottom"/>
            <w:shd w:val="clear" w:color="auto" w:fill="4C4C4C"/>
          </w:tcPr>
          <w:p>
            <w:pPr>
              <w:spacing w:after="0"/>
              <w:rPr>
                <w:sz w:val="21"/>
                <w:szCs w:val="21"/>
                <w:color w:val="auto"/>
              </w:rPr>
            </w:pPr>
          </w:p>
        </w:tc>
        <w:tc>
          <w:tcPr>
            <w:tcW w:w="820" w:type="dxa"/>
            <w:vAlign w:val="bottom"/>
            <w:shd w:val="clear" w:color="auto" w:fill="4C4C4C"/>
          </w:tcPr>
          <w:p>
            <w:pPr>
              <w:jc w:val="right"/>
              <w:ind w:right="185"/>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740" w:type="dxa"/>
            <w:vAlign w:val="bottom"/>
            <w:shd w:val="clear" w:color="auto" w:fill="4C4C4C"/>
          </w:tcPr>
          <w:p>
            <w:pPr>
              <w:spacing w:after="0"/>
              <w:rPr>
                <w:sz w:val="21"/>
                <w:szCs w:val="21"/>
                <w:color w:val="auto"/>
              </w:rPr>
            </w:pPr>
          </w:p>
        </w:tc>
        <w:tc>
          <w:tcPr>
            <w:tcW w:w="840" w:type="dxa"/>
            <w:vAlign w:val="bottom"/>
            <w:shd w:val="clear" w:color="auto" w:fill="4C4C4C"/>
          </w:tcPr>
          <w:p>
            <w:pPr>
              <w:spacing w:after="0"/>
              <w:rPr>
                <w:sz w:val="21"/>
                <w:szCs w:val="21"/>
                <w:color w:val="auto"/>
              </w:rPr>
            </w:pPr>
          </w:p>
        </w:tc>
        <w:tc>
          <w:tcPr>
            <w:tcW w:w="840" w:type="dxa"/>
            <w:vAlign w:val="bottom"/>
            <w:shd w:val="clear" w:color="auto" w:fill="4C4C4C"/>
          </w:tcPr>
          <w:p>
            <w:pPr>
              <w:jc w:val="right"/>
              <w:ind w:right="205"/>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20" w:type="dxa"/>
            <w:vAlign w:val="bottom"/>
            <w:shd w:val="clear" w:color="auto" w:fill="4C4C4C"/>
          </w:tcPr>
          <w:p>
            <w:pPr>
              <w:spacing w:after="0"/>
              <w:rPr>
                <w:sz w:val="21"/>
                <w:szCs w:val="21"/>
                <w:color w:val="auto"/>
              </w:rPr>
            </w:pPr>
          </w:p>
        </w:tc>
        <w:tc>
          <w:tcPr>
            <w:tcW w:w="720" w:type="dxa"/>
            <w:vAlign w:val="bottom"/>
            <w:shd w:val="clear" w:color="auto" w:fill="4C4C4C"/>
          </w:tcPr>
          <w:p>
            <w:pPr>
              <w:spacing w:after="0"/>
              <w:rPr>
                <w:sz w:val="21"/>
                <w:szCs w:val="21"/>
                <w:color w:val="auto"/>
              </w:rPr>
            </w:pPr>
          </w:p>
        </w:tc>
        <w:tc>
          <w:tcPr>
            <w:tcW w:w="860" w:type="dxa"/>
            <w:vAlign w:val="bottom"/>
            <w:shd w:val="clear" w:color="auto" w:fill="4C4C4C"/>
          </w:tcPr>
          <w:p>
            <w:pPr>
              <w:jc w:val="right"/>
              <w:ind w:right="205"/>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700" w:type="dxa"/>
            <w:vAlign w:val="bottom"/>
            <w:shd w:val="clear" w:color="auto" w:fill="4C4C4C"/>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440" w:type="dxa"/>
            <w:vAlign w:val="bottom"/>
            <w:vMerge w:val="continue"/>
            <w:shd w:val="clear" w:color="auto" w:fill="4C4C4C"/>
          </w:tcPr>
          <w:p>
            <w:pPr>
              <w:spacing w:after="0"/>
              <w:rPr>
                <w:sz w:val="12"/>
                <w:szCs w:val="12"/>
                <w:color w:val="auto"/>
              </w:rPr>
            </w:pPr>
          </w:p>
        </w:tc>
        <w:tc>
          <w:tcPr>
            <w:tcW w:w="780" w:type="dxa"/>
            <w:vAlign w:val="bottom"/>
            <w:vMerge w:val="restart"/>
            <w:shd w:val="clear" w:color="auto" w:fill="4C4C4C"/>
          </w:tcPr>
          <w:p>
            <w:pPr>
              <w:jc w:val="right"/>
              <w:ind w:right="164"/>
              <w:spacing w:after="0"/>
              <w:rPr>
                <w:sz w:val="20"/>
                <w:szCs w:val="20"/>
                <w:color w:val="auto"/>
              </w:rPr>
            </w:pPr>
            <w:r>
              <w:rPr>
                <w:rFonts w:ascii="Times New Roman" w:cs="Times New Roman" w:eastAsia="Times New Roman" w:hAnsi="Times New Roman"/>
                <w:sz w:val="16"/>
                <w:szCs w:val="16"/>
                <w:b w:val="1"/>
                <w:bCs w:val="1"/>
                <w:color w:val="FFFFFF"/>
              </w:rPr>
              <w:t>U.S.</w:t>
            </w:r>
          </w:p>
        </w:tc>
        <w:tc>
          <w:tcPr>
            <w:tcW w:w="820" w:type="dxa"/>
            <w:vAlign w:val="bottom"/>
            <w:vMerge w:val="restart"/>
            <w:shd w:val="clear" w:color="auto" w:fill="4C4C4C"/>
          </w:tcPr>
          <w:p>
            <w:pPr>
              <w:jc w:val="right"/>
              <w:ind w:right="45"/>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740" w:type="dxa"/>
            <w:vAlign w:val="bottom"/>
            <w:vMerge w:val="restart"/>
            <w:shd w:val="clear" w:color="auto" w:fill="4C4C4C"/>
          </w:tcPr>
          <w:p>
            <w:pPr>
              <w:jc w:val="right"/>
              <w:ind w:right="124"/>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840" w:type="dxa"/>
            <w:vAlign w:val="bottom"/>
            <w:vMerge w:val="restart"/>
            <w:shd w:val="clear" w:color="auto" w:fill="4C4C4C"/>
          </w:tcPr>
          <w:p>
            <w:pPr>
              <w:jc w:val="right"/>
              <w:ind w:right="164"/>
              <w:spacing w:after="0"/>
              <w:rPr>
                <w:sz w:val="20"/>
                <w:szCs w:val="20"/>
                <w:color w:val="auto"/>
              </w:rPr>
            </w:pPr>
            <w:r>
              <w:rPr>
                <w:rFonts w:ascii="Times New Roman" w:cs="Times New Roman" w:eastAsia="Times New Roman" w:hAnsi="Times New Roman"/>
                <w:sz w:val="16"/>
                <w:szCs w:val="16"/>
                <w:b w:val="1"/>
                <w:bCs w:val="1"/>
                <w:color w:val="FFFFFF"/>
              </w:rPr>
              <w:t>U.S.</w:t>
            </w:r>
          </w:p>
        </w:tc>
        <w:tc>
          <w:tcPr>
            <w:tcW w:w="840" w:type="dxa"/>
            <w:vAlign w:val="bottom"/>
            <w:vMerge w:val="restart"/>
            <w:shd w:val="clear" w:color="auto" w:fill="4C4C4C"/>
          </w:tcPr>
          <w:p>
            <w:pPr>
              <w:jc w:val="right"/>
              <w:ind w:right="65"/>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820" w:type="dxa"/>
            <w:vAlign w:val="bottom"/>
            <w:vMerge w:val="restart"/>
            <w:shd w:val="clear" w:color="auto" w:fill="4C4C4C"/>
          </w:tcPr>
          <w:p>
            <w:pPr>
              <w:jc w:val="right"/>
              <w:ind w:right="224"/>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720" w:type="dxa"/>
            <w:vAlign w:val="bottom"/>
            <w:vMerge w:val="restart"/>
            <w:shd w:val="clear" w:color="auto" w:fill="4C4C4C"/>
          </w:tcPr>
          <w:p>
            <w:pPr>
              <w:jc w:val="right"/>
              <w:ind w:right="144"/>
              <w:spacing w:after="0"/>
              <w:rPr>
                <w:sz w:val="20"/>
                <w:szCs w:val="20"/>
                <w:color w:val="auto"/>
              </w:rPr>
            </w:pPr>
            <w:r>
              <w:rPr>
                <w:rFonts w:ascii="Times New Roman" w:cs="Times New Roman" w:eastAsia="Times New Roman" w:hAnsi="Times New Roman"/>
                <w:sz w:val="16"/>
                <w:szCs w:val="16"/>
                <w:b w:val="1"/>
                <w:bCs w:val="1"/>
                <w:color w:val="FFFFFF"/>
              </w:rPr>
              <w:t>U.S.</w:t>
            </w:r>
          </w:p>
        </w:tc>
        <w:tc>
          <w:tcPr>
            <w:tcW w:w="860" w:type="dxa"/>
            <w:vAlign w:val="bottom"/>
            <w:vMerge w:val="restart"/>
            <w:shd w:val="clear" w:color="auto" w:fill="4C4C4C"/>
          </w:tcPr>
          <w:p>
            <w:pPr>
              <w:jc w:val="right"/>
              <w:ind w:right="65"/>
              <w:spacing w:after="0"/>
              <w:rPr>
                <w:sz w:val="20"/>
                <w:szCs w:val="20"/>
                <w:color w:val="auto"/>
              </w:rPr>
            </w:pPr>
            <w:r>
              <w:rPr>
                <w:rFonts w:ascii="Times New Roman" w:cs="Times New Roman" w:eastAsia="Times New Roman" w:hAnsi="Times New Roman"/>
                <w:sz w:val="16"/>
                <w:szCs w:val="16"/>
                <w:b w:val="1"/>
                <w:bCs w:val="1"/>
                <w:color w:val="FFFFFF"/>
              </w:rPr>
              <w:t>Non-U.S.</w:t>
            </w:r>
          </w:p>
        </w:tc>
        <w:tc>
          <w:tcPr>
            <w:tcW w:w="700" w:type="dxa"/>
            <w:vAlign w:val="bottom"/>
            <w:vMerge w:val="restart"/>
            <w:shd w:val="clear" w:color="auto" w:fill="4C4C4C"/>
          </w:tcPr>
          <w:p>
            <w:pPr>
              <w:jc w:val="right"/>
              <w:ind w:right="104"/>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77"/>
        </w:trPr>
        <w:tc>
          <w:tcPr>
            <w:tcW w:w="3440" w:type="dxa"/>
            <w:vAlign w:val="bottom"/>
            <w:tcBorders>
              <w:bottom w:val="single" w:sz="8" w:color="4C4C4C"/>
            </w:tcBorders>
            <w:shd w:val="clear" w:color="auto" w:fill="4C4C4C"/>
          </w:tcPr>
          <w:p>
            <w:pPr>
              <w:spacing w:after="0"/>
              <w:rPr>
                <w:sz w:val="15"/>
                <w:szCs w:val="15"/>
                <w:color w:val="auto"/>
              </w:rPr>
            </w:pPr>
          </w:p>
        </w:tc>
        <w:tc>
          <w:tcPr>
            <w:tcW w:w="780" w:type="dxa"/>
            <w:vAlign w:val="bottom"/>
            <w:tcBorders>
              <w:bottom w:val="single" w:sz="8" w:color="4C4C4C"/>
            </w:tcBorders>
            <w:vMerge w:val="continue"/>
            <w:shd w:val="clear" w:color="auto" w:fill="4C4C4C"/>
          </w:tcPr>
          <w:p>
            <w:pPr>
              <w:spacing w:after="0"/>
              <w:rPr>
                <w:sz w:val="15"/>
                <w:szCs w:val="15"/>
                <w:color w:val="auto"/>
              </w:rPr>
            </w:pPr>
          </w:p>
        </w:tc>
        <w:tc>
          <w:tcPr>
            <w:tcW w:w="820" w:type="dxa"/>
            <w:vAlign w:val="bottom"/>
            <w:tcBorders>
              <w:bottom w:val="single" w:sz="8" w:color="4C4C4C"/>
            </w:tcBorders>
            <w:vMerge w:val="continue"/>
            <w:shd w:val="clear" w:color="auto" w:fill="4C4C4C"/>
          </w:tcPr>
          <w:p>
            <w:pPr>
              <w:spacing w:after="0"/>
              <w:rPr>
                <w:sz w:val="15"/>
                <w:szCs w:val="15"/>
                <w:color w:val="auto"/>
              </w:rPr>
            </w:pPr>
          </w:p>
        </w:tc>
        <w:tc>
          <w:tcPr>
            <w:tcW w:w="740" w:type="dxa"/>
            <w:vAlign w:val="bottom"/>
            <w:tcBorders>
              <w:bottom w:val="single" w:sz="8" w:color="4C4C4C"/>
            </w:tcBorders>
            <w:vMerge w:val="continue"/>
            <w:shd w:val="clear" w:color="auto" w:fill="4C4C4C"/>
          </w:tcPr>
          <w:p>
            <w:pPr>
              <w:spacing w:after="0"/>
              <w:rPr>
                <w:sz w:val="15"/>
                <w:szCs w:val="15"/>
                <w:color w:val="auto"/>
              </w:rPr>
            </w:pPr>
          </w:p>
        </w:tc>
        <w:tc>
          <w:tcPr>
            <w:tcW w:w="840" w:type="dxa"/>
            <w:vAlign w:val="bottom"/>
            <w:tcBorders>
              <w:bottom w:val="single" w:sz="8" w:color="4C4C4C"/>
            </w:tcBorders>
            <w:vMerge w:val="continue"/>
            <w:shd w:val="clear" w:color="auto" w:fill="4C4C4C"/>
          </w:tcPr>
          <w:p>
            <w:pPr>
              <w:spacing w:after="0"/>
              <w:rPr>
                <w:sz w:val="15"/>
                <w:szCs w:val="15"/>
                <w:color w:val="auto"/>
              </w:rPr>
            </w:pPr>
          </w:p>
        </w:tc>
        <w:tc>
          <w:tcPr>
            <w:tcW w:w="840" w:type="dxa"/>
            <w:vAlign w:val="bottom"/>
            <w:tcBorders>
              <w:bottom w:val="single" w:sz="8" w:color="4C4C4C"/>
            </w:tcBorders>
            <w:vMerge w:val="continue"/>
            <w:shd w:val="clear" w:color="auto" w:fill="4C4C4C"/>
          </w:tcPr>
          <w:p>
            <w:pPr>
              <w:spacing w:after="0"/>
              <w:rPr>
                <w:sz w:val="15"/>
                <w:szCs w:val="15"/>
                <w:color w:val="auto"/>
              </w:rPr>
            </w:pPr>
          </w:p>
        </w:tc>
        <w:tc>
          <w:tcPr>
            <w:tcW w:w="820" w:type="dxa"/>
            <w:vAlign w:val="bottom"/>
            <w:tcBorders>
              <w:bottom w:val="single" w:sz="8" w:color="4C4C4C"/>
            </w:tcBorders>
            <w:vMerge w:val="continue"/>
            <w:shd w:val="clear" w:color="auto" w:fill="4C4C4C"/>
          </w:tcPr>
          <w:p>
            <w:pPr>
              <w:spacing w:after="0"/>
              <w:rPr>
                <w:sz w:val="15"/>
                <w:szCs w:val="15"/>
                <w:color w:val="auto"/>
              </w:rPr>
            </w:pPr>
          </w:p>
        </w:tc>
        <w:tc>
          <w:tcPr>
            <w:tcW w:w="720" w:type="dxa"/>
            <w:vAlign w:val="bottom"/>
            <w:tcBorders>
              <w:bottom w:val="single" w:sz="8" w:color="4C4C4C"/>
            </w:tcBorders>
            <w:vMerge w:val="continue"/>
            <w:shd w:val="clear" w:color="auto" w:fill="4C4C4C"/>
          </w:tcPr>
          <w:p>
            <w:pPr>
              <w:spacing w:after="0"/>
              <w:rPr>
                <w:sz w:val="15"/>
                <w:szCs w:val="15"/>
                <w:color w:val="auto"/>
              </w:rPr>
            </w:pPr>
          </w:p>
        </w:tc>
        <w:tc>
          <w:tcPr>
            <w:tcW w:w="860" w:type="dxa"/>
            <w:vAlign w:val="bottom"/>
            <w:tcBorders>
              <w:bottom w:val="single" w:sz="8" w:color="4C4C4C"/>
            </w:tcBorders>
            <w:vMerge w:val="continue"/>
            <w:shd w:val="clear" w:color="auto" w:fill="4C4C4C"/>
          </w:tcPr>
          <w:p>
            <w:pPr>
              <w:spacing w:after="0"/>
              <w:rPr>
                <w:sz w:val="15"/>
                <w:szCs w:val="15"/>
                <w:color w:val="auto"/>
              </w:rPr>
            </w:pPr>
          </w:p>
        </w:tc>
        <w:tc>
          <w:tcPr>
            <w:tcW w:w="700" w:type="dxa"/>
            <w:vAlign w:val="bottom"/>
            <w:tcBorders>
              <w:bottom w:val="single" w:sz="8" w:color="4C4C4C"/>
            </w:tcBorders>
            <w:vMerge w:val="continue"/>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3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Income tax expense (benefit)</w:t>
            </w:r>
          </w:p>
        </w:tc>
        <w:tc>
          <w:tcPr>
            <w:tcW w:w="780" w:type="dxa"/>
            <w:vAlign w:val="bottom"/>
            <w:shd w:val="clear" w:color="auto" w:fill="F0F0F0"/>
          </w:tcPr>
          <w:p>
            <w:pPr>
              <w:spacing w:after="0"/>
              <w:rPr>
                <w:sz w:val="24"/>
                <w:szCs w:val="24"/>
                <w:color w:val="auto"/>
              </w:rPr>
            </w:pPr>
          </w:p>
        </w:tc>
        <w:tc>
          <w:tcPr>
            <w:tcW w:w="820" w:type="dxa"/>
            <w:vAlign w:val="bottom"/>
            <w:shd w:val="clear" w:color="auto" w:fill="F0F0F0"/>
          </w:tcPr>
          <w:p>
            <w:pPr>
              <w:spacing w:after="0"/>
              <w:rPr>
                <w:sz w:val="24"/>
                <w:szCs w:val="24"/>
                <w:color w:val="auto"/>
              </w:rPr>
            </w:pPr>
          </w:p>
        </w:tc>
        <w:tc>
          <w:tcPr>
            <w:tcW w:w="740" w:type="dxa"/>
            <w:vAlign w:val="bottom"/>
            <w:shd w:val="clear" w:color="auto" w:fill="F0F0F0"/>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Federal and non-U.S.</w:t>
            </w:r>
          </w:p>
        </w:tc>
        <w:tc>
          <w:tcPr>
            <w:tcW w:w="780" w:type="dxa"/>
            <w:vAlign w:val="bottom"/>
            <w:shd w:val="clear" w:color="auto" w:fill="F0F0F0"/>
          </w:tcPr>
          <w:p>
            <w:pPr>
              <w:spacing w:after="0"/>
              <w:rPr>
                <w:sz w:val="22"/>
                <w:szCs w:val="22"/>
                <w:color w:val="auto"/>
              </w:rPr>
            </w:pPr>
          </w:p>
        </w:tc>
        <w:tc>
          <w:tcPr>
            <w:tcW w:w="820" w:type="dxa"/>
            <w:vAlign w:val="bottom"/>
            <w:shd w:val="clear" w:color="auto" w:fill="F0F0F0"/>
          </w:tcPr>
          <w:p>
            <w:pPr>
              <w:spacing w:after="0"/>
              <w:rPr>
                <w:sz w:val="22"/>
                <w:szCs w:val="22"/>
                <w:color w:val="auto"/>
              </w:rPr>
            </w:pPr>
          </w:p>
        </w:tc>
        <w:tc>
          <w:tcPr>
            <w:tcW w:w="740" w:type="dxa"/>
            <w:vAlign w:val="bottom"/>
            <w:shd w:val="clear" w:color="auto" w:fill="F0F0F0"/>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w:t>
            </w:r>
          </w:p>
        </w:tc>
        <w:tc>
          <w:tcPr>
            <w:tcW w:w="7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1,987</w:t>
            </w:r>
          </w:p>
        </w:tc>
        <w:tc>
          <w:tcPr>
            <w:tcW w:w="820" w:type="dxa"/>
            <w:vAlign w:val="bottom"/>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color w:val="auto"/>
              </w:rPr>
              <w:t>12,111</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14,098</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84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15,071</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15,767</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86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6,948</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7,184</w:t>
            </w:r>
          </w:p>
        </w:tc>
        <w:tc>
          <w:tcPr>
            <w:tcW w:w="0" w:type="dxa"/>
            <w:vAlign w:val="bottom"/>
          </w:tcPr>
          <w:p>
            <w:pPr>
              <w:spacing w:after="0"/>
              <w:rPr>
                <w:sz w:val="1"/>
                <w:szCs w:val="1"/>
                <w:color w:val="auto"/>
              </w:rPr>
            </w:pPr>
          </w:p>
        </w:tc>
      </w:tr>
      <w:tr>
        <w:trPr>
          <w:trHeight w:val="294"/>
        </w:trPr>
        <w:tc>
          <w:tcPr>
            <w:tcW w:w="3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 - net</w:t>
            </w:r>
          </w:p>
        </w:tc>
        <w:tc>
          <w:tcPr>
            <w:tcW w:w="7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820" w:type="dxa"/>
            <w:vAlign w:val="bottom"/>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color w:val="auto"/>
              </w:rPr>
              <w:t>481</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4,122</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3,583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U.S. tax on non-U.S. operations</w:t>
            </w:r>
          </w:p>
        </w:tc>
        <w:tc>
          <w:tcPr>
            <w:tcW w:w="7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820" w:type="dxa"/>
            <w:vAlign w:val="bottom"/>
            <w:tcBorders>
              <w:bottom w:val="single" w:sz="8" w:color="4C4C4C"/>
            </w:tcBorders>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4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4C4C4C"/>
            </w:tcBorders>
          </w:tcPr>
          <w:p>
            <w:pPr>
              <w:jc w:val="right"/>
              <w:ind w:right="104"/>
              <w:spacing w:after="0"/>
              <w:rPr>
                <w:sz w:val="20"/>
                <w:szCs w:val="20"/>
                <w:color w:val="auto"/>
              </w:rPr>
            </w:pPr>
            <w:r>
              <w:rPr>
                <w:rFonts w:ascii="Times New Roman" w:cs="Times New Roman" w:eastAsia="Times New Roman" w:hAnsi="Times New Roman"/>
                <w:sz w:val="20"/>
                <w:szCs w:val="20"/>
                <w:color w:val="auto"/>
              </w:rPr>
              <w:t>65</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6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74"/>
        </w:trPr>
        <w:tc>
          <w:tcPr>
            <w:tcW w:w="34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federal and non-U.S.</w:t>
            </w:r>
          </w:p>
        </w:tc>
        <w:tc>
          <w:tcPr>
            <w:tcW w:w="7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2,765</w:t>
            </w:r>
          </w:p>
        </w:tc>
        <w:tc>
          <w:tcPr>
            <w:tcW w:w="820" w:type="dxa"/>
            <w:vAlign w:val="bottom"/>
            <w:tcBorders>
              <w:bottom w:val="single" w:sz="8" w:color="4C4C4C"/>
            </w:tcBorders>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b w:val="1"/>
                <w:bCs w:val="1"/>
                <w:color w:val="auto"/>
              </w:rPr>
              <w:t>12,592</w:t>
            </w:r>
          </w:p>
        </w:tc>
        <w:tc>
          <w:tcPr>
            <w:tcW w:w="7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15,357</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4,883</w:t>
            </w:r>
          </w:p>
        </w:tc>
        <w:tc>
          <w:tcPr>
            <w:tcW w:w="84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14,532</w:t>
            </w:r>
          </w:p>
        </w:tc>
        <w:tc>
          <w:tcPr>
            <w:tcW w:w="820" w:type="dxa"/>
            <w:vAlign w:val="bottom"/>
            <w:tcBorders>
              <w:bottom w:val="single" w:sz="8" w:color="4C4C4C"/>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19,415</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1,132</w:t>
            </w:r>
          </w:p>
        </w:tc>
        <w:tc>
          <w:tcPr>
            <w:tcW w:w="86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6,034</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7,166</w:t>
            </w:r>
          </w:p>
        </w:tc>
        <w:tc>
          <w:tcPr>
            <w:tcW w:w="0" w:type="dxa"/>
            <w:vAlign w:val="bottom"/>
          </w:tcPr>
          <w:p>
            <w:pPr>
              <w:spacing w:after="0"/>
              <w:rPr>
                <w:sz w:val="1"/>
                <w:szCs w:val="1"/>
                <w:color w:val="auto"/>
              </w:rPr>
            </w:pPr>
          </w:p>
        </w:tc>
      </w:tr>
      <w:tr>
        <w:trPr>
          <w:trHeight w:val="274"/>
        </w:trPr>
        <w:tc>
          <w:tcPr>
            <w:tcW w:w="34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State</w:t>
            </w:r>
          </w:p>
        </w:tc>
        <w:tc>
          <w:tcPr>
            <w:tcW w:w="7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20" w:type="dxa"/>
            <w:vAlign w:val="bottom"/>
            <w:tcBorders>
              <w:bottom w:val="single" w:sz="8" w:color="4C4C4C"/>
            </w:tcBorders>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84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4C4C4C"/>
            </w:tcBorders>
          </w:tcPr>
          <w:p>
            <w:pPr>
              <w:jc w:val="right"/>
              <w:ind w:right="104"/>
              <w:spacing w:after="0"/>
              <w:rPr>
                <w:sz w:val="20"/>
                <w:szCs w:val="20"/>
                <w:color w:val="auto"/>
              </w:rPr>
            </w:pPr>
            <w:r>
              <w:rPr>
                <w:rFonts w:ascii="Times New Roman" w:cs="Times New Roman" w:eastAsia="Times New Roman" w:hAnsi="Times New Roman"/>
                <w:sz w:val="20"/>
                <w:szCs w:val="20"/>
                <w:color w:val="auto"/>
              </w:rPr>
              <w:t>761</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86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income tax expense (benefit)</w:t>
            </w:r>
          </w:p>
        </w:tc>
        <w:tc>
          <w:tcPr>
            <w:tcW w:w="7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2,837</w:t>
            </w:r>
          </w:p>
        </w:tc>
        <w:tc>
          <w:tcPr>
            <w:tcW w:w="820" w:type="dxa"/>
            <w:vAlign w:val="bottom"/>
            <w:tcBorders>
              <w:bottom w:val="single" w:sz="8" w:color="F0F0F0"/>
            </w:tcBorders>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b w:val="1"/>
                <w:bCs w:val="1"/>
                <w:color w:val="auto"/>
              </w:rPr>
              <w:t>12,592</w:t>
            </w:r>
          </w:p>
        </w:tc>
        <w:tc>
          <w:tcPr>
            <w:tcW w:w="7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15,429</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5,644</w:t>
            </w:r>
          </w:p>
        </w:tc>
        <w:tc>
          <w:tcPr>
            <w:tcW w:w="840" w:type="dxa"/>
            <w:vAlign w:val="bottom"/>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14,532</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20,176</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1,602</w:t>
            </w:r>
          </w:p>
        </w:tc>
        <w:tc>
          <w:tcPr>
            <w:tcW w:w="860" w:type="dxa"/>
            <w:vAlign w:val="bottom"/>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6,034</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7,636</w:t>
            </w:r>
          </w:p>
        </w:tc>
        <w:tc>
          <w:tcPr>
            <w:tcW w:w="0" w:type="dxa"/>
            <w:vAlign w:val="bottom"/>
          </w:tcPr>
          <w:p>
            <w:pPr>
              <w:spacing w:after="0"/>
              <w:rPr>
                <w:sz w:val="1"/>
                <w:szCs w:val="1"/>
                <w:color w:val="auto"/>
              </w:rPr>
            </w:pPr>
          </w:p>
        </w:tc>
      </w:tr>
      <w:tr>
        <w:trPr>
          <w:trHeight w:val="351"/>
        </w:trPr>
        <w:tc>
          <w:tcPr>
            <w:tcW w:w="3440" w:type="dxa"/>
            <w:vAlign w:val="bottom"/>
            <w:tcBorders>
              <w:top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4C4C4C"/>
              </w:rPr>
              <w:t>All other taxes and duties</w:t>
            </w:r>
          </w:p>
        </w:tc>
        <w:tc>
          <w:tcPr>
            <w:tcW w:w="780" w:type="dxa"/>
            <w:vAlign w:val="bottom"/>
            <w:tcBorders>
              <w:top w:val="single" w:sz="8" w:color="4C4C4C"/>
            </w:tcBorders>
            <w:shd w:val="clear" w:color="auto" w:fill="F0F0F0"/>
          </w:tcPr>
          <w:p>
            <w:pPr>
              <w:spacing w:after="0"/>
              <w:rPr>
                <w:sz w:val="24"/>
                <w:szCs w:val="24"/>
                <w:color w:val="auto"/>
              </w:rPr>
            </w:pPr>
          </w:p>
        </w:tc>
        <w:tc>
          <w:tcPr>
            <w:tcW w:w="820" w:type="dxa"/>
            <w:vAlign w:val="bottom"/>
            <w:tcBorders>
              <w:top w:val="single" w:sz="8" w:color="4C4C4C"/>
            </w:tcBorders>
            <w:shd w:val="clear" w:color="auto" w:fill="F0F0F0"/>
          </w:tcPr>
          <w:p>
            <w:pPr>
              <w:spacing w:after="0"/>
              <w:rPr>
                <w:sz w:val="24"/>
                <w:szCs w:val="24"/>
                <w:color w:val="auto"/>
              </w:rPr>
            </w:pPr>
          </w:p>
        </w:tc>
        <w:tc>
          <w:tcPr>
            <w:tcW w:w="740" w:type="dxa"/>
            <w:vAlign w:val="bottom"/>
            <w:tcBorders>
              <w:top w:val="single" w:sz="8" w:color="4C4C4C"/>
            </w:tcBorders>
            <w:shd w:val="clear" w:color="auto" w:fill="F0F0F0"/>
          </w:tcPr>
          <w:p>
            <w:pPr>
              <w:spacing w:after="0"/>
              <w:rPr>
                <w:sz w:val="24"/>
                <w:szCs w:val="24"/>
                <w:color w:val="auto"/>
              </w:rPr>
            </w:pPr>
          </w:p>
        </w:tc>
        <w:tc>
          <w:tcPr>
            <w:tcW w:w="840" w:type="dxa"/>
            <w:vAlign w:val="bottom"/>
            <w:tcBorders>
              <w:top w:val="single" w:sz="8" w:color="4C4C4C"/>
            </w:tcBorders>
          </w:tcPr>
          <w:p>
            <w:pPr>
              <w:spacing w:after="0"/>
              <w:rPr>
                <w:sz w:val="24"/>
                <w:szCs w:val="24"/>
                <w:color w:val="auto"/>
              </w:rPr>
            </w:pPr>
          </w:p>
        </w:tc>
        <w:tc>
          <w:tcPr>
            <w:tcW w:w="840" w:type="dxa"/>
            <w:vAlign w:val="bottom"/>
            <w:tcBorders>
              <w:top w:val="single" w:sz="8" w:color="4C4C4C"/>
            </w:tcBorders>
          </w:tcPr>
          <w:p>
            <w:pPr>
              <w:spacing w:after="0"/>
              <w:rPr>
                <w:sz w:val="24"/>
                <w:szCs w:val="24"/>
                <w:color w:val="auto"/>
              </w:rPr>
            </w:pPr>
          </w:p>
        </w:tc>
        <w:tc>
          <w:tcPr>
            <w:tcW w:w="820" w:type="dxa"/>
            <w:vAlign w:val="bottom"/>
            <w:tcBorders>
              <w:top w:val="single" w:sz="8" w:color="4C4C4C"/>
            </w:tcBorders>
          </w:tcPr>
          <w:p>
            <w:pPr>
              <w:spacing w:after="0"/>
              <w:rPr>
                <w:sz w:val="24"/>
                <w:szCs w:val="24"/>
                <w:color w:val="auto"/>
              </w:rPr>
            </w:pPr>
          </w:p>
        </w:tc>
        <w:tc>
          <w:tcPr>
            <w:tcW w:w="720" w:type="dxa"/>
            <w:vAlign w:val="bottom"/>
            <w:tcBorders>
              <w:top w:val="single" w:sz="8" w:color="4C4C4C"/>
            </w:tcBorders>
          </w:tcPr>
          <w:p>
            <w:pPr>
              <w:spacing w:after="0"/>
              <w:rPr>
                <w:sz w:val="24"/>
                <w:szCs w:val="24"/>
                <w:color w:val="auto"/>
              </w:rPr>
            </w:pPr>
          </w:p>
        </w:tc>
        <w:tc>
          <w:tcPr>
            <w:tcW w:w="860" w:type="dxa"/>
            <w:vAlign w:val="bottom"/>
            <w:tcBorders>
              <w:top w:val="single" w:sz="8" w:color="4C4C4C"/>
            </w:tcBorders>
          </w:tcPr>
          <w:p>
            <w:pPr>
              <w:spacing w:after="0"/>
              <w:rPr>
                <w:sz w:val="24"/>
                <w:szCs w:val="24"/>
                <w:color w:val="auto"/>
              </w:rPr>
            </w:pPr>
          </w:p>
        </w:tc>
        <w:tc>
          <w:tcPr>
            <w:tcW w:w="70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taxes and duties</w:t>
            </w:r>
          </w:p>
        </w:tc>
        <w:tc>
          <w:tcPr>
            <w:tcW w:w="7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3,871</w:t>
            </w:r>
          </w:p>
        </w:tc>
        <w:tc>
          <w:tcPr>
            <w:tcW w:w="820" w:type="dxa"/>
            <w:vAlign w:val="bottom"/>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color w:val="auto"/>
              </w:rPr>
              <w:t>25,140</w:t>
            </w:r>
          </w:p>
        </w:tc>
        <w:tc>
          <w:tcPr>
            <w:tcW w:w="7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29,011</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4,087</w:t>
            </w:r>
          </w:p>
        </w:tc>
        <w:tc>
          <w:tcPr>
            <w:tcW w:w="84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23,832</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27,919</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w:t>
            </w:r>
          </w:p>
        </w:tc>
        <w:tc>
          <w:tcPr>
            <w:tcW w:w="86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26,508</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30,239</w:t>
            </w:r>
          </w:p>
        </w:tc>
        <w:tc>
          <w:tcPr>
            <w:tcW w:w="0" w:type="dxa"/>
            <w:vAlign w:val="bottom"/>
          </w:tcPr>
          <w:p>
            <w:pPr>
              <w:spacing w:after="0"/>
              <w:rPr>
                <w:sz w:val="1"/>
                <w:szCs w:val="1"/>
                <w:color w:val="auto"/>
              </w:rPr>
            </w:pPr>
          </w:p>
        </w:tc>
      </w:tr>
      <w:tr>
        <w:trPr>
          <w:trHeight w:val="199"/>
        </w:trPr>
        <w:tc>
          <w:tcPr>
            <w:tcW w:w="344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Included in production and manufacturing</w:t>
            </w:r>
          </w:p>
        </w:tc>
        <w:tc>
          <w:tcPr>
            <w:tcW w:w="7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1,961</w:t>
            </w:r>
          </w:p>
        </w:tc>
        <w:tc>
          <w:tcPr>
            <w:tcW w:w="820" w:type="dxa"/>
            <w:vAlign w:val="bottom"/>
            <w:vMerge w:val="restart"/>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color w:val="auto"/>
              </w:rPr>
              <w:t>726</w:t>
            </w:r>
          </w:p>
        </w:tc>
        <w:tc>
          <w:tcPr>
            <w:tcW w:w="7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2,687</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2,204</w:t>
            </w:r>
          </w:p>
        </w:tc>
        <w:tc>
          <w:tcPr>
            <w:tcW w:w="840" w:type="dxa"/>
            <w:vAlign w:val="bottom"/>
            <w:vMerge w:val="restart"/>
          </w:tcPr>
          <w:p>
            <w:pPr>
              <w:jc w:val="right"/>
              <w:ind w:right="65"/>
              <w:spacing w:after="0"/>
              <w:rPr>
                <w:sz w:val="20"/>
                <w:szCs w:val="20"/>
                <w:color w:val="auto"/>
              </w:rPr>
            </w:pPr>
            <w:r>
              <w:rPr>
                <w:rFonts w:ascii="Times New Roman" w:cs="Times New Roman" w:eastAsia="Times New Roman" w:hAnsi="Times New Roman"/>
                <w:sz w:val="20"/>
                <w:szCs w:val="20"/>
                <w:color w:val="auto"/>
              </w:rPr>
              <w:t>862</w:t>
            </w:r>
          </w:p>
        </w:tc>
        <w:tc>
          <w:tcPr>
            <w:tcW w:w="820" w:type="dxa"/>
            <w:vAlign w:val="bottom"/>
            <w:vMerge w:val="restart"/>
          </w:tcPr>
          <w:p>
            <w:pPr>
              <w:jc w:val="right"/>
              <w:ind w:right="104"/>
              <w:spacing w:after="0"/>
              <w:rPr>
                <w:sz w:val="20"/>
                <w:szCs w:val="20"/>
                <w:color w:val="auto"/>
              </w:rPr>
            </w:pPr>
            <w:r>
              <w:rPr>
                <w:rFonts w:ascii="Times New Roman" w:cs="Times New Roman" w:eastAsia="Times New Roman" w:hAnsi="Times New Roman"/>
                <w:sz w:val="20"/>
                <w:szCs w:val="20"/>
                <w:color w:val="auto"/>
              </w:rPr>
              <w:t>3,066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1,589</w:t>
            </w:r>
          </w:p>
        </w:tc>
        <w:tc>
          <w:tcPr>
            <w:tcW w:w="860" w:type="dxa"/>
            <w:vAlign w:val="bottom"/>
            <w:vMerge w:val="restart"/>
          </w:tcPr>
          <w:p>
            <w:pPr>
              <w:jc w:val="right"/>
              <w:ind w:right="65"/>
              <w:spacing w:after="0"/>
              <w:rPr>
                <w:sz w:val="20"/>
                <w:szCs w:val="20"/>
                <w:color w:val="auto"/>
              </w:rPr>
            </w:pPr>
            <w:r>
              <w:rPr>
                <w:rFonts w:ascii="Times New Roman" w:cs="Times New Roman" w:eastAsia="Times New Roman" w:hAnsi="Times New Roman"/>
                <w:sz w:val="20"/>
                <w:szCs w:val="20"/>
                <w:color w:val="auto"/>
              </w:rPr>
              <w:t>674</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2,263</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expenses</w:t>
            </w:r>
          </w:p>
        </w:tc>
        <w:tc>
          <w:tcPr>
            <w:tcW w:w="780" w:type="dxa"/>
            <w:vAlign w:val="bottom"/>
            <w:vMerge w:val="continue"/>
            <w:shd w:val="clear" w:color="auto" w:fill="F0F0F0"/>
          </w:tcPr>
          <w:p>
            <w:pPr>
              <w:spacing w:after="0"/>
              <w:rPr>
                <w:sz w:val="22"/>
                <w:szCs w:val="22"/>
                <w:color w:val="auto"/>
              </w:rPr>
            </w:pPr>
          </w:p>
        </w:tc>
        <w:tc>
          <w:tcPr>
            <w:tcW w:w="820" w:type="dxa"/>
            <w:vAlign w:val="bottom"/>
            <w:vMerge w:val="continue"/>
            <w:shd w:val="clear" w:color="auto" w:fill="F0F0F0"/>
          </w:tcPr>
          <w:p>
            <w:pPr>
              <w:spacing w:after="0"/>
              <w:rPr>
                <w:sz w:val="22"/>
                <w:szCs w:val="22"/>
                <w:color w:val="auto"/>
              </w:rPr>
            </w:pPr>
          </w:p>
        </w:tc>
        <w:tc>
          <w:tcPr>
            <w:tcW w:w="740" w:type="dxa"/>
            <w:vAlign w:val="bottom"/>
            <w:vMerge w:val="continue"/>
            <w:shd w:val="clear" w:color="auto" w:fill="F0F0F0"/>
          </w:tcPr>
          <w:p>
            <w:pPr>
              <w:spacing w:after="0"/>
              <w:rPr>
                <w:sz w:val="22"/>
                <w:szCs w:val="22"/>
                <w:color w:val="auto"/>
              </w:rPr>
            </w:pPr>
          </w:p>
        </w:tc>
        <w:tc>
          <w:tcPr>
            <w:tcW w:w="8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4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Included in SG&amp;A expenses</w:t>
            </w:r>
          </w:p>
        </w:tc>
        <w:tc>
          <w:tcPr>
            <w:tcW w:w="7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820" w:type="dxa"/>
            <w:vAlign w:val="bottom"/>
            <w:tcBorders>
              <w:bottom w:val="single" w:sz="8" w:color="4C4C4C"/>
            </w:tcBorders>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color w:val="auto"/>
              </w:rPr>
              <w:t>310</w:t>
            </w:r>
          </w:p>
        </w:tc>
        <w:tc>
          <w:tcPr>
            <w:tcW w:w="7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4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319</w:t>
            </w:r>
          </w:p>
        </w:tc>
        <w:tc>
          <w:tcPr>
            <w:tcW w:w="820" w:type="dxa"/>
            <w:vAlign w:val="bottom"/>
            <w:tcBorders>
              <w:bottom w:val="single" w:sz="8" w:color="4C4C4C"/>
            </w:tcBorders>
          </w:tcPr>
          <w:p>
            <w:pPr>
              <w:jc w:val="right"/>
              <w:ind w:right="104"/>
              <w:spacing w:after="0"/>
              <w:rPr>
                <w:sz w:val="20"/>
                <w:szCs w:val="20"/>
                <w:color w:val="auto"/>
              </w:rPr>
            </w:pPr>
            <w:r>
              <w:rPr>
                <w:rFonts w:ascii="Times New Roman" w:cs="Times New Roman" w:eastAsia="Times New Roman" w:hAnsi="Times New Roman"/>
                <w:sz w:val="20"/>
                <w:szCs w:val="20"/>
                <w:color w:val="auto"/>
              </w:rPr>
              <w:t>470</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86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283</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0" w:type="dxa"/>
            <w:vAlign w:val="bottom"/>
          </w:tcPr>
          <w:p>
            <w:pPr>
              <w:spacing w:after="0"/>
              <w:rPr>
                <w:sz w:val="1"/>
                <w:szCs w:val="1"/>
                <w:color w:val="auto"/>
              </w:rPr>
            </w:pPr>
          </w:p>
        </w:tc>
      </w:tr>
      <w:tr>
        <w:trPr>
          <w:trHeight w:val="274"/>
        </w:trPr>
        <w:tc>
          <w:tcPr>
            <w:tcW w:w="344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other taxes and duties</w:t>
            </w:r>
          </w:p>
        </w:tc>
        <w:tc>
          <w:tcPr>
            <w:tcW w:w="7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6,015</w:t>
            </w:r>
          </w:p>
        </w:tc>
        <w:tc>
          <w:tcPr>
            <w:tcW w:w="820" w:type="dxa"/>
            <w:vAlign w:val="bottom"/>
            <w:tcBorders>
              <w:bottom w:val="single" w:sz="8" w:color="4C4C4C"/>
            </w:tcBorders>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b w:val="1"/>
                <w:bCs w:val="1"/>
                <w:color w:val="auto"/>
              </w:rPr>
              <w:t>26,176</w:t>
            </w:r>
          </w:p>
        </w:tc>
        <w:tc>
          <w:tcPr>
            <w:tcW w:w="7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32,191</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6,442</w:t>
            </w:r>
          </w:p>
        </w:tc>
        <w:tc>
          <w:tcPr>
            <w:tcW w:w="84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25,013</w:t>
            </w:r>
          </w:p>
        </w:tc>
        <w:tc>
          <w:tcPr>
            <w:tcW w:w="820" w:type="dxa"/>
            <w:vAlign w:val="bottom"/>
            <w:tcBorders>
              <w:bottom w:val="single" w:sz="8" w:color="4C4C4C"/>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31,455</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5,490</w:t>
            </w:r>
          </w:p>
        </w:tc>
        <w:tc>
          <w:tcPr>
            <w:tcW w:w="86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27,465</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32,955</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7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8,852</w:t>
            </w:r>
          </w:p>
        </w:tc>
        <w:tc>
          <w:tcPr>
            <w:tcW w:w="820" w:type="dxa"/>
            <w:vAlign w:val="bottom"/>
            <w:tcBorders>
              <w:bottom w:val="single" w:sz="8" w:color="4C4C4C"/>
            </w:tcBorders>
            <w:shd w:val="clear" w:color="auto" w:fill="F0F0F0"/>
          </w:tcPr>
          <w:p>
            <w:pPr>
              <w:jc w:val="right"/>
              <w:ind w:right="25"/>
              <w:spacing w:after="0"/>
              <w:rPr>
                <w:sz w:val="20"/>
                <w:szCs w:val="20"/>
                <w:color w:val="auto"/>
              </w:rPr>
            </w:pPr>
            <w:r>
              <w:rPr>
                <w:rFonts w:ascii="Times New Roman" w:cs="Times New Roman" w:eastAsia="Times New Roman" w:hAnsi="Times New Roman"/>
                <w:sz w:val="20"/>
                <w:szCs w:val="20"/>
                <w:b w:val="1"/>
                <w:bCs w:val="1"/>
                <w:color w:val="auto"/>
              </w:rPr>
              <w:t>38,768</w:t>
            </w:r>
          </w:p>
        </w:tc>
        <w:tc>
          <w:tcPr>
            <w:tcW w:w="74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47,620</w:t>
            </w:r>
          </w:p>
        </w:tc>
        <w:tc>
          <w:tcPr>
            <w:tcW w:w="8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12,086</w:t>
            </w:r>
          </w:p>
        </w:tc>
        <w:tc>
          <w:tcPr>
            <w:tcW w:w="84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39,545</w:t>
            </w:r>
          </w:p>
        </w:tc>
        <w:tc>
          <w:tcPr>
            <w:tcW w:w="820" w:type="dxa"/>
            <w:vAlign w:val="bottom"/>
            <w:tcBorders>
              <w:bottom w:val="single" w:sz="8" w:color="4C4C4C"/>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51,631</w:t>
            </w:r>
          </w:p>
        </w:tc>
        <w:tc>
          <w:tcPr>
            <w:tcW w:w="7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7,092</w:t>
            </w:r>
          </w:p>
        </w:tc>
        <w:tc>
          <w:tcPr>
            <w:tcW w:w="86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33,499</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above provisions for deferred income taxes include net expenses of $24 million in 2023, and $30 million in 2022, and net benefits of $53 million in 2021 related to changes in tax laws and rates.</w:t>
      </w:r>
    </w:p>
    <w:p>
      <w:pPr>
        <w:spacing w:after="0" w:line="3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Additional European Taxes on the Energy Sector. </w:t>
      </w:r>
      <w:r>
        <w:rPr>
          <w:rFonts w:ascii="Times New Roman" w:cs="Times New Roman" w:eastAsia="Times New Roman" w:hAnsi="Times New Roman"/>
          <w:sz w:val="20"/>
          <w:szCs w:val="20"/>
          <w:color w:val="auto"/>
        </w:rPr>
        <w:t>On October 6, 2022, European Union (“EU”) Member States adopted an EU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Council Regulation which, along with other measures, introduced a new tax described as an emergency intervention to address high energy prices. This regulation imposed a mandatory tax on certain companies active in the crude petroleum, coal, natural gas, and refinery sectors. The regulation required Member States to levy a minimum 33 percent tax on in-scope companies’ 2022 and/or 2023 “surplus profits", defined in the regulation as taxable profits exceeding 120 percent of the annual average profits during the 2018-2021 period. EU Member States were required to implement the tax, or an equivalent national measure, by December 31, 2022. The enactment of these regulations by Member States resulted in an after-tax charge of approximately $1.8 billion to the Corporation’s fourth-quarter 2022 results and approximately $0.2 billion in 2023, mainly reflected in the line “Income tax expense (benefit)” on the Consolidated Statement of Income.</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880" w:h="15480" w:orient="portrait"/>
          <w:cols w:equalWidth="0" w:num="1">
            <w:col w:w="10600"/>
          </w:cols>
          <w:pgMar w:left="640" w:top="270" w:right="64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The reconciliation between income tax expense (credit) and a theoretical U.S. tax computed by applying a rate of 21 percent for 2023, 2022, and 2021 is as follows: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6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220" w:type="dxa"/>
            <w:vAlign w:val="bottom"/>
            <w:tcBorders>
              <w:bottom w:val="single" w:sz="8" w:color="4C4C4C"/>
            </w:tcBorders>
            <w:shd w:val="clear" w:color="auto" w:fill="4C4C4C"/>
          </w:tcPr>
          <w:p>
            <w:pPr>
              <w:jc w:val="right"/>
              <w:ind w:right="143"/>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860" w:type="dxa"/>
            <w:vAlign w:val="bottom"/>
            <w:tcBorders>
              <w:bottom w:val="single" w:sz="8" w:color="4C4C4C"/>
            </w:tcBorders>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r>
      <w:tr>
        <w:trPr>
          <w:trHeight w:val="368"/>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2"/>
        </w:trPr>
        <w:tc>
          <w:tcPr>
            <w:tcW w:w="7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United States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14,786</w:t>
            </w:r>
          </w:p>
        </w:tc>
        <w:tc>
          <w:tcPr>
            <w:tcW w:w="12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28,281</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9,478</w:t>
            </w:r>
          </w:p>
        </w:tc>
      </w:tr>
      <w:tr>
        <w:trPr>
          <w:trHeight w:val="297"/>
        </w:trPr>
        <w:tc>
          <w:tcPr>
            <w:tcW w:w="746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Non-U.S.</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37,997</w:t>
            </w:r>
          </w:p>
        </w:tc>
        <w:tc>
          <w:tcPr>
            <w:tcW w:w="12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color w:val="auto"/>
              </w:rPr>
              <w:t>49,472</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21,756</w:t>
            </w:r>
          </w:p>
        </w:tc>
      </w:tr>
      <w:tr>
        <w:trPr>
          <w:trHeight w:val="274"/>
        </w:trPr>
        <w:tc>
          <w:tcPr>
            <w:tcW w:w="746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52,783</w:t>
            </w:r>
          </w:p>
        </w:tc>
        <w:tc>
          <w:tcPr>
            <w:tcW w:w="12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b w:val="1"/>
                <w:bCs w:val="1"/>
                <w:color w:val="auto"/>
              </w:rPr>
              <w:t>77,753</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31,234</w:t>
            </w:r>
          </w:p>
        </w:tc>
      </w:tr>
      <w:tr>
        <w:trPr>
          <w:trHeight w:val="271"/>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Theoretical tax</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11,084</w:t>
            </w:r>
          </w:p>
        </w:tc>
        <w:tc>
          <w:tcPr>
            <w:tcW w:w="12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16,328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6,559</w:t>
            </w: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equity method of accounting</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w:t>
            </w: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(2,407)</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(1,398)</w:t>
            </w: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Non-U.S. taxes in excess of/(less than) theoretical U.S. tax </w:t>
            </w:r>
            <w:r>
              <w:rPr>
                <w:rFonts w:ascii="Times New Roman" w:cs="Times New Roman" w:eastAsia="Times New Roman" w:hAnsi="Times New Roman"/>
                <w:sz w:val="10"/>
                <w:szCs w:val="10"/>
                <w:i w:val="1"/>
                <w:iCs w:val="1"/>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5,888</w:t>
            </w:r>
          </w:p>
        </w:tc>
        <w:tc>
          <w:tcPr>
            <w:tcW w:w="12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6,423</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2,809</w:t>
            </w: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 taxes, net of federal tax benefit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2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601</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r>
      <w:tr>
        <w:trPr>
          <w:trHeight w:val="297"/>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220" w:type="dxa"/>
            <w:vAlign w:val="bottom"/>
            <w:tcBorders>
              <w:bottom w:val="single" w:sz="8" w:color="4C4C4C"/>
            </w:tcBorders>
          </w:tcPr>
          <w:p>
            <w:pPr>
              <w:jc w:val="right"/>
              <w:ind w:right="103"/>
              <w:spacing w:after="0"/>
              <w:rPr>
                <w:sz w:val="20"/>
                <w:szCs w:val="20"/>
                <w:color w:val="auto"/>
              </w:rPr>
            </w:pPr>
            <w:r>
              <w:rPr>
                <w:rFonts w:ascii="Times New Roman" w:cs="Times New Roman" w:eastAsia="Times New Roman" w:hAnsi="Times New Roman"/>
                <w:sz w:val="20"/>
                <w:szCs w:val="20"/>
                <w:color w:val="auto"/>
              </w:rPr>
              <w:t>(769)</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(705)</w:t>
            </w:r>
          </w:p>
        </w:tc>
      </w:tr>
      <w:tr>
        <w:trPr>
          <w:trHeight w:val="274"/>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income tax expense (credit)</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15,429</w:t>
            </w:r>
          </w:p>
        </w:tc>
        <w:tc>
          <w:tcPr>
            <w:tcW w:w="12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b w:val="1"/>
                <w:bCs w:val="1"/>
                <w:color w:val="auto"/>
              </w:rPr>
              <w:t>20,176</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7,636</w:t>
            </w:r>
          </w:p>
        </w:tc>
      </w:tr>
      <w:tr>
        <w:trPr>
          <w:trHeight w:val="35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Effective tax rate calculation</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3"/>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 (credit)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15,429</w:t>
            </w:r>
          </w:p>
        </w:tc>
        <w:tc>
          <w:tcPr>
            <w:tcW w:w="12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20,176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7,636</w:t>
            </w:r>
          </w:p>
        </w:tc>
      </w:tr>
      <w:tr>
        <w:trPr>
          <w:trHeight w:val="297"/>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ExxonMobil share of equity company income taxes</w:t>
            </w:r>
          </w:p>
        </w:tc>
        <w:tc>
          <w:tcPr>
            <w:tcW w:w="9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3,058</w:t>
            </w:r>
          </w:p>
        </w:tc>
        <w:tc>
          <w:tcPr>
            <w:tcW w:w="12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color w:val="auto"/>
              </w:rPr>
              <w:t>7,594</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2,756</w:t>
            </w:r>
          </w:p>
        </w:tc>
      </w:tr>
      <w:tr>
        <w:trPr>
          <w:trHeight w:val="274"/>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income tax expense (credit)</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18,487</w:t>
            </w:r>
          </w:p>
        </w:tc>
        <w:tc>
          <w:tcPr>
            <w:tcW w:w="12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b w:val="1"/>
                <w:bCs w:val="1"/>
                <w:color w:val="auto"/>
              </w:rPr>
              <w:t>27,770</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10,392</w:t>
            </w:r>
          </w:p>
        </w:tc>
      </w:tr>
      <w:tr>
        <w:trPr>
          <w:trHeight w:val="274"/>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Net income (loss) including noncontrolling interests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37,354</w:t>
            </w:r>
          </w:p>
        </w:tc>
        <w:tc>
          <w:tcPr>
            <w:tcW w:w="12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color w:val="auto"/>
              </w:rPr>
              <w:t>57,577</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23,598</w:t>
            </w:r>
          </w:p>
        </w:tc>
      </w:tr>
      <w:tr>
        <w:trPr>
          <w:trHeight w:val="274"/>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income (loss) before taxes</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55,841</w:t>
            </w:r>
          </w:p>
        </w:tc>
        <w:tc>
          <w:tcPr>
            <w:tcW w:w="1220" w:type="dxa"/>
            <w:vAlign w:val="bottom"/>
            <w:tcBorders>
              <w:bottom w:val="single" w:sz="8" w:color="4C4C4C"/>
            </w:tcBorders>
          </w:tcPr>
          <w:p>
            <w:pPr>
              <w:jc w:val="right"/>
              <w:ind w:right="163"/>
              <w:spacing w:after="0"/>
              <w:rPr>
                <w:sz w:val="20"/>
                <w:szCs w:val="20"/>
                <w:color w:val="auto"/>
              </w:rPr>
            </w:pPr>
            <w:r>
              <w:rPr>
                <w:rFonts w:ascii="Times New Roman" w:cs="Times New Roman" w:eastAsia="Times New Roman" w:hAnsi="Times New Roman"/>
                <w:sz w:val="20"/>
                <w:szCs w:val="20"/>
                <w:b w:val="1"/>
                <w:bCs w:val="1"/>
                <w:color w:val="auto"/>
              </w:rPr>
              <w:t>85,347</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33,990</w:t>
            </w:r>
          </w:p>
        </w:tc>
      </w:tr>
      <w:tr>
        <w:trPr>
          <w:trHeight w:val="380"/>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Effective income tax rate</w:t>
            </w:r>
          </w:p>
        </w:tc>
        <w:tc>
          <w:tcPr>
            <w:tcW w:w="980" w:type="dxa"/>
            <w:vAlign w:val="bottom"/>
            <w:tcBorders>
              <w:bottom w:val="single" w:sz="8" w:color="4C4C4C"/>
            </w:tcBorders>
            <w:shd w:val="clear" w:color="auto" w:fill="F0F0F0"/>
          </w:tcPr>
          <w:p>
            <w:pPr>
              <w:jc w:val="right"/>
              <w:ind w:right="183"/>
              <w:spacing w:after="0"/>
              <w:rPr>
                <w:sz w:val="20"/>
                <w:szCs w:val="20"/>
                <w:color w:val="auto"/>
              </w:rPr>
            </w:pPr>
            <w:r>
              <w:rPr>
                <w:rFonts w:ascii="Times New Roman" w:cs="Times New Roman" w:eastAsia="Times New Roman" w:hAnsi="Times New Roman"/>
                <w:sz w:val="20"/>
                <w:szCs w:val="20"/>
                <w:b w:val="1"/>
                <w:bCs w:val="1"/>
                <w:color w:val="auto"/>
              </w:rPr>
              <w:t>33%</w:t>
            </w:r>
          </w:p>
        </w:tc>
        <w:tc>
          <w:tcPr>
            <w:tcW w:w="1220" w:type="dxa"/>
            <w:vAlign w:val="bottom"/>
            <w:tcBorders>
              <w:bottom w:val="single" w:sz="8" w:color="4C4C4C"/>
            </w:tcBorders>
          </w:tcPr>
          <w:p>
            <w:pPr>
              <w:jc w:val="right"/>
              <w:ind w:right="363"/>
              <w:spacing w:after="0"/>
              <w:rPr>
                <w:sz w:val="20"/>
                <w:szCs w:val="20"/>
                <w:color w:val="auto"/>
              </w:rPr>
            </w:pPr>
            <w:r>
              <w:rPr>
                <w:rFonts w:ascii="Times New Roman" w:cs="Times New Roman" w:eastAsia="Times New Roman" w:hAnsi="Times New Roman"/>
                <w:sz w:val="20"/>
                <w:szCs w:val="20"/>
                <w:b w:val="1"/>
                <w:bCs w:val="1"/>
                <w:color w:val="auto"/>
              </w:rPr>
              <w:t>33%</w:t>
            </w:r>
          </w:p>
        </w:tc>
        <w:tc>
          <w:tcPr>
            <w:tcW w:w="860" w:type="dxa"/>
            <w:vAlign w:val="bottom"/>
            <w:tcBorders>
              <w:bottom w:val="single" w:sz="8" w:color="4C4C4C"/>
            </w:tcBorders>
          </w:tcPr>
          <w:p>
            <w:pPr>
              <w:jc w:val="right"/>
              <w:ind w:right="183"/>
              <w:spacing w:after="0"/>
              <w:rPr>
                <w:sz w:val="20"/>
                <w:szCs w:val="20"/>
                <w:color w:val="auto"/>
              </w:rPr>
            </w:pPr>
            <w:r>
              <w:rPr>
                <w:rFonts w:ascii="Times New Roman" w:cs="Times New Roman" w:eastAsia="Times New Roman" w:hAnsi="Times New Roman"/>
                <w:sz w:val="20"/>
                <w:szCs w:val="20"/>
                <w:b w:val="1"/>
                <w:bCs w:val="1"/>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-3390900</wp:posOffset>
            </wp:positionV>
            <wp:extent cx="650875" cy="258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26">
                      <a:extLst>
                        <a:ext uri="{28A0092B-C50C-407E-A947-70E740481C1C}"/>
                      </a:extLst>
                    </a:blip>
                    <a:srcRect/>
                    <a:stretch>
                      <a:fillRect/>
                    </a:stretch>
                  </pic:blipFill>
                  <pic:spPr bwMode="auto">
                    <a:xfrm>
                      <a:off x="0" y="0"/>
                      <a:ext cx="650875" cy="2580005"/>
                    </a:xfrm>
                    <a:prstGeom prst="rect">
                      <a:avLst/>
                    </a:prstGeom>
                    <a:noFill/>
                  </pic:spPr>
                </pic:pic>
              </a:graphicData>
            </a:graphic>
          </wp:anchor>
        </w:drawing>
      </w:r>
    </w:p>
    <w:p>
      <w:pPr>
        <w:spacing w:after="0" w:line="64" w:lineRule="exact"/>
        <w:rPr>
          <w:sz w:val="20"/>
          <w:szCs w:val="20"/>
          <w:color w:val="auto"/>
        </w:rPr>
      </w:pPr>
    </w:p>
    <w:p>
      <w:pPr>
        <w:ind w:left="240" w:hanging="151"/>
        <w:spacing w:after="0"/>
        <w:tabs>
          <w:tab w:leader="none" w:pos="240" w:val="left"/>
        </w:tabs>
        <w:numPr>
          <w:ilvl w:val="0"/>
          <w:numId w:val="5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Includes the impact of the additional European taxes on the energy sector of $1,825 million in 2022 and $115 million in 2023.</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880" w:h="15480" w:orient="portrait"/>
          <w:cols w:equalWidth="0" w:num="1">
            <w:col w:w="10600"/>
          </w:cols>
          <w:pgMar w:left="640" w:top="270" w:right="64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Deferred income taxes reflect the impact of temporary differences between the amount of assets and liabilities recognized for financial reporting purposes and such amounts recognized for tax purposes.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tax liabilities/(assets) are comprised of the following at December 31:</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4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Tax effects of temporary differences for:</w:t>
            </w:r>
          </w:p>
        </w:tc>
        <w:tc>
          <w:tcPr>
            <w:tcW w:w="128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0" w:type="dxa"/>
            <w:vAlign w:val="bottom"/>
          </w:tcPr>
          <w:p>
            <w:pPr>
              <w:spacing w:after="0"/>
              <w:rPr>
                <w:sz w:val="1"/>
                <w:szCs w:val="1"/>
                <w:color w:val="auto"/>
              </w:rPr>
            </w:pPr>
          </w:p>
        </w:tc>
      </w:tr>
      <w:tr>
        <w:trPr>
          <w:trHeight w:val="108"/>
        </w:trPr>
        <w:tc>
          <w:tcPr>
            <w:tcW w:w="794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280" w:type="dxa"/>
            <w:vAlign w:val="bottom"/>
            <w:vMerge w:val="continue"/>
            <w:shd w:val="clear" w:color="auto" w:fill="4C4C4C"/>
          </w:tcPr>
          <w:p>
            <w:pPr>
              <w:spacing w:after="0"/>
              <w:rPr>
                <w:sz w:val="9"/>
                <w:szCs w:val="9"/>
                <w:color w:val="auto"/>
              </w:rPr>
            </w:pPr>
          </w:p>
        </w:tc>
        <w:tc>
          <w:tcPr>
            <w:tcW w:w="134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940" w:type="dxa"/>
            <w:vAlign w:val="bottom"/>
            <w:vMerge w:val="continue"/>
            <w:shd w:val="clear" w:color="auto" w:fill="4C4C4C"/>
          </w:tcPr>
          <w:p>
            <w:pPr>
              <w:spacing w:after="0"/>
              <w:rPr>
                <w:sz w:val="10"/>
                <w:szCs w:val="10"/>
                <w:color w:val="auto"/>
              </w:rPr>
            </w:pPr>
          </w:p>
        </w:tc>
        <w:tc>
          <w:tcPr>
            <w:tcW w:w="1280" w:type="dxa"/>
            <w:vAlign w:val="bottom"/>
            <w:shd w:val="clear" w:color="auto" w:fill="4C4C4C"/>
          </w:tcPr>
          <w:p>
            <w:pPr>
              <w:spacing w:after="0"/>
              <w:rPr>
                <w:sz w:val="10"/>
                <w:szCs w:val="10"/>
                <w:color w:val="auto"/>
              </w:rPr>
            </w:pPr>
          </w:p>
        </w:tc>
        <w:tc>
          <w:tcPr>
            <w:tcW w:w="134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26,627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25,607</w:t>
            </w:r>
          </w:p>
        </w:tc>
        <w:tc>
          <w:tcPr>
            <w:tcW w:w="0" w:type="dxa"/>
            <w:vAlign w:val="bottom"/>
          </w:tcPr>
          <w:p>
            <w:pPr>
              <w:spacing w:after="0"/>
              <w:rPr>
                <w:sz w:val="1"/>
                <w:szCs w:val="1"/>
                <w:color w:val="auto"/>
              </w:rPr>
            </w:pPr>
          </w:p>
        </w:tc>
      </w:tr>
      <w:tr>
        <w:trPr>
          <w:trHeight w:val="29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7,534</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7,401</w:t>
            </w:r>
          </w:p>
        </w:tc>
        <w:tc>
          <w:tcPr>
            <w:tcW w:w="0" w:type="dxa"/>
            <w:vAlign w:val="bottom"/>
          </w:tcPr>
          <w:p>
            <w:pPr>
              <w:spacing w:after="0"/>
              <w:rPr>
                <w:sz w:val="1"/>
                <w:szCs w:val="1"/>
                <w:color w:val="auto"/>
              </w:rPr>
            </w:pPr>
          </w:p>
        </w:tc>
      </w:tr>
      <w:tr>
        <w:trPr>
          <w:trHeight w:val="274"/>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deferred tax liabilities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34,161</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33,008</w:t>
            </w:r>
          </w:p>
        </w:tc>
        <w:tc>
          <w:tcPr>
            <w:tcW w:w="0" w:type="dxa"/>
            <w:vAlign w:val="bottom"/>
          </w:tcPr>
          <w:p>
            <w:pPr>
              <w:spacing w:after="0"/>
              <w:rPr>
                <w:sz w:val="1"/>
                <w:szCs w:val="1"/>
                <w:color w:val="auto"/>
              </w:rPr>
            </w:pPr>
          </w:p>
        </w:tc>
      </w:tr>
      <w:tr>
        <w:trPr>
          <w:trHeight w:val="37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Pension and other postretirement benefits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(1,777)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w:t>
            </w:r>
          </w:p>
        </w:tc>
        <w:tc>
          <w:tcPr>
            <w:tcW w:w="0" w:type="dxa"/>
            <w:vAlign w:val="bottom"/>
          </w:tcPr>
          <w:p>
            <w:pPr>
              <w:spacing w:after="0"/>
              <w:rPr>
                <w:sz w:val="1"/>
                <w:szCs w:val="1"/>
                <w:color w:val="auto"/>
              </w:rPr>
            </w:pP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(3,532)</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(3,045)</w:t>
            </w:r>
          </w:p>
        </w:tc>
        <w:tc>
          <w:tcPr>
            <w:tcW w:w="0" w:type="dxa"/>
            <w:vAlign w:val="bottom"/>
          </w:tcPr>
          <w:p>
            <w:pPr>
              <w:spacing w:after="0"/>
              <w:rPr>
                <w:sz w:val="1"/>
                <w:szCs w:val="1"/>
                <w:color w:val="auto"/>
              </w:rPr>
            </w:pPr>
          </w:p>
        </w:tc>
      </w:tr>
      <w:tr>
        <w:trPr>
          <w:trHeight w:val="294"/>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 loss carryforwards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(4,317)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(4,862)</w:t>
            </w:r>
          </w:p>
        </w:tc>
        <w:tc>
          <w:tcPr>
            <w:tcW w:w="0" w:type="dxa"/>
            <w:vAlign w:val="bottom"/>
          </w:tcPr>
          <w:p>
            <w:pPr>
              <w:spacing w:after="0"/>
              <w:rPr>
                <w:sz w:val="1"/>
                <w:szCs w:val="1"/>
                <w:color w:val="auto"/>
              </w:rPr>
            </w:pPr>
          </w:p>
        </w:tc>
      </w:tr>
      <w:tr>
        <w:trPr>
          <w:trHeight w:val="299"/>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Other assets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(6,361)</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(6,948)</w:t>
            </w:r>
          </w:p>
        </w:tc>
        <w:tc>
          <w:tcPr>
            <w:tcW w:w="0" w:type="dxa"/>
            <w:vAlign w:val="bottom"/>
          </w:tcPr>
          <w:p>
            <w:pPr>
              <w:spacing w:after="0"/>
              <w:rPr>
                <w:sz w:val="1"/>
                <w:szCs w:val="1"/>
                <w:color w:val="auto"/>
              </w:rPr>
            </w:pPr>
          </w:p>
        </w:tc>
      </w:tr>
      <w:tr>
        <w:trPr>
          <w:trHeight w:val="272"/>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deferred tax assets</w:t>
            </w:r>
          </w:p>
        </w:tc>
        <w:tc>
          <w:tcPr>
            <w:tcW w:w="12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(15,987)</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(16,609)</w:t>
            </w:r>
          </w:p>
        </w:tc>
        <w:tc>
          <w:tcPr>
            <w:tcW w:w="0" w:type="dxa"/>
            <w:vAlign w:val="bottom"/>
          </w:tcPr>
          <w:p>
            <w:pPr>
              <w:spacing w:after="0"/>
              <w:rPr>
                <w:sz w:val="1"/>
                <w:szCs w:val="1"/>
                <w:color w:val="auto"/>
              </w:rPr>
            </w:pPr>
          </w:p>
        </w:tc>
      </w:tr>
      <w:tr>
        <w:trPr>
          <w:trHeight w:val="37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Asset valuation allowances</w:t>
            </w:r>
          </w:p>
        </w:tc>
        <w:tc>
          <w:tcPr>
            <w:tcW w:w="12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2,641</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2,650</w:t>
            </w:r>
          </w:p>
        </w:tc>
        <w:tc>
          <w:tcPr>
            <w:tcW w:w="0" w:type="dxa"/>
            <w:vAlign w:val="bottom"/>
          </w:tcPr>
          <w:p>
            <w:pPr>
              <w:spacing w:after="0"/>
              <w:rPr>
                <w:sz w:val="1"/>
                <w:szCs w:val="1"/>
                <w:color w:val="auto"/>
              </w:rPr>
            </w:pPr>
          </w:p>
        </w:tc>
      </w:tr>
      <w:tr>
        <w:trPr>
          <w:trHeight w:val="27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Net deferred tax liabilities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20,815</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-643890</wp:posOffset>
            </wp:positionV>
            <wp:extent cx="837565" cy="457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7">
                      <a:extLst>
                        <a:ext uri="{28A0092B-C50C-407E-A947-70E740481C1C}"/>
                      </a:extLst>
                    </a:blip>
                    <a:srcRect/>
                    <a:stretch>
                      <a:fillRect/>
                    </a:stretch>
                  </pic:blipFill>
                  <pic:spPr bwMode="auto">
                    <a:xfrm>
                      <a:off x="0" y="0"/>
                      <a:ext cx="837565" cy="4578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 2023, asset valuation allowances of $2,641 million decreased by $9 million and included net provisions of $104 million and foreign currency and other effects of $113 million.</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4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Balance sheet classification</w:t>
            </w:r>
          </w:p>
        </w:tc>
        <w:tc>
          <w:tcPr>
            <w:tcW w:w="128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4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0" w:type="dxa"/>
            <w:vAlign w:val="bottom"/>
          </w:tcPr>
          <w:p>
            <w:pPr>
              <w:spacing w:after="0"/>
              <w:rPr>
                <w:sz w:val="1"/>
                <w:szCs w:val="1"/>
                <w:color w:val="auto"/>
              </w:rPr>
            </w:pPr>
          </w:p>
        </w:tc>
      </w:tr>
      <w:tr>
        <w:trPr>
          <w:trHeight w:val="108"/>
        </w:trPr>
        <w:tc>
          <w:tcPr>
            <w:tcW w:w="794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280" w:type="dxa"/>
            <w:vAlign w:val="bottom"/>
            <w:vMerge w:val="continue"/>
            <w:shd w:val="clear" w:color="auto" w:fill="4C4C4C"/>
          </w:tcPr>
          <w:p>
            <w:pPr>
              <w:spacing w:after="0"/>
              <w:rPr>
                <w:sz w:val="9"/>
                <w:szCs w:val="9"/>
                <w:color w:val="auto"/>
              </w:rPr>
            </w:pPr>
          </w:p>
        </w:tc>
        <w:tc>
          <w:tcPr>
            <w:tcW w:w="134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940" w:type="dxa"/>
            <w:vAlign w:val="bottom"/>
            <w:vMerge w:val="continue"/>
            <w:shd w:val="clear" w:color="auto" w:fill="4C4C4C"/>
          </w:tcPr>
          <w:p>
            <w:pPr>
              <w:spacing w:after="0"/>
              <w:rPr>
                <w:sz w:val="10"/>
                <w:szCs w:val="10"/>
                <w:color w:val="auto"/>
              </w:rPr>
            </w:pPr>
          </w:p>
        </w:tc>
        <w:tc>
          <w:tcPr>
            <w:tcW w:w="1280" w:type="dxa"/>
            <w:vAlign w:val="bottom"/>
            <w:shd w:val="clear" w:color="auto" w:fill="4C4C4C"/>
          </w:tcPr>
          <w:p>
            <w:pPr>
              <w:spacing w:after="0"/>
              <w:rPr>
                <w:sz w:val="10"/>
                <w:szCs w:val="10"/>
                <w:color w:val="auto"/>
              </w:rPr>
            </w:pPr>
          </w:p>
        </w:tc>
        <w:tc>
          <w:tcPr>
            <w:tcW w:w="134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assets, including intangibles, net</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(3,637)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w:t>
            </w:r>
          </w:p>
        </w:tc>
        <w:tc>
          <w:tcPr>
            <w:tcW w:w="0" w:type="dxa"/>
            <w:vAlign w:val="bottom"/>
          </w:tcPr>
          <w:p>
            <w:pPr>
              <w:spacing w:after="0"/>
              <w:rPr>
                <w:sz w:val="1"/>
                <w:szCs w:val="1"/>
                <w:color w:val="auto"/>
              </w:rPr>
            </w:pPr>
          </w:p>
        </w:tc>
      </w:tr>
      <w:tr>
        <w:trPr>
          <w:trHeight w:val="29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24,452</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22,874</w:t>
            </w:r>
          </w:p>
        </w:tc>
        <w:tc>
          <w:tcPr>
            <w:tcW w:w="0" w:type="dxa"/>
            <w:vAlign w:val="bottom"/>
          </w:tcPr>
          <w:p>
            <w:pPr>
              <w:spacing w:after="0"/>
              <w:rPr>
                <w:sz w:val="1"/>
                <w:szCs w:val="1"/>
                <w:color w:val="auto"/>
              </w:rPr>
            </w:pPr>
          </w:p>
        </w:tc>
      </w:tr>
      <w:tr>
        <w:trPr>
          <w:trHeight w:val="277"/>
        </w:trPr>
        <w:tc>
          <w:tcPr>
            <w:tcW w:w="7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Net deferred tax liabilities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20,815</w:t>
            </w:r>
          </w:p>
        </w:tc>
        <w:tc>
          <w:tcPr>
            <w:tcW w:w="13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Corporation’s undistributed earnings from subsidiary companies outside the United States include amounts that have been retained to fund prior and future capital project expenditures. Deferred income taxes have not been recorded for potential future tax obligations, such as foreign withholding tax and state tax, as these undistributed earnings are expected to be indefinitely reinvested for the foreseeable future. As of December 31, 2023, it is not practicable to estimate the unrecognized deferred tax liability. However, unrecognized deferred taxes on remittance of these funds are not expected to be material.</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ectPr>
          <w:pgSz w:w="11880" w:h="15480" w:orient="portrait"/>
          <w:cols w:equalWidth="0" w:num="1">
            <w:col w:w="10600"/>
          </w:cols>
          <w:pgMar w:left="640" w:top="270" w:right="64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4"/>
          <w:szCs w:val="24"/>
          <w:b w:val="1"/>
          <w:bCs w:val="1"/>
          <w:color w:val="4C4C4C"/>
        </w:rPr>
        <w:t>NOTES TO CONSOLIDATED FINANCIAL STATEMENTS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Unrecognized Tax Benefits. </w:t>
      </w:r>
      <w:r>
        <w:rPr>
          <w:rFonts w:ascii="Times New Roman" w:cs="Times New Roman" w:eastAsia="Times New Roman" w:hAnsi="Times New Roman"/>
          <w:sz w:val="20"/>
          <w:szCs w:val="20"/>
          <w:color w:val="auto"/>
        </w:rPr>
        <w:t>The Corporation is subject to income taxation in many jurisdictions around the world. The benefits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uncertain tax positions 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Unrecognized tax benefits reflect the difference between positions taken or expected to be taken on income tax returns and the amounts recognized in the financial statements. The following table summarizes the movement in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71120</wp:posOffset>
            </wp:positionV>
            <wp:extent cx="5383530" cy="295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28">
                      <a:extLst>
                        <a:ext uri="{28A0092B-C50C-407E-A947-70E740481C1C}"/>
                      </a:extLst>
                    </a:blip>
                    <a:srcRect/>
                    <a:stretch>
                      <a:fillRect/>
                    </a:stretch>
                  </pic:blipFill>
                  <pic:spPr bwMode="auto">
                    <a:xfrm>
                      <a:off x="0" y="0"/>
                      <a:ext cx="5383530" cy="295910"/>
                    </a:xfrm>
                    <a:prstGeom prst="rect">
                      <a:avLst/>
                    </a:prstGeom>
                    <a:noFill/>
                  </pic:spPr>
                </pic:pic>
              </a:graphicData>
            </a:graphic>
          </wp:anchor>
        </w:drawing>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FFFFFF"/>
              </w:rPr>
              <w:t>Gross unrecognized tax benefits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1300" w:type="dxa"/>
            <w:vAlign w:val="bottom"/>
            <w:vMerge w:val="restart"/>
            <w:shd w:val="clear" w:color="auto" w:fill="4C4C4C"/>
          </w:tcPr>
          <w:p>
            <w:pPr>
              <w:jc w:val="right"/>
              <w:ind w:right="224"/>
              <w:spacing w:after="0"/>
              <w:rPr>
                <w:sz w:val="20"/>
                <w:szCs w:val="20"/>
                <w:color w:val="auto"/>
              </w:rPr>
            </w:pPr>
            <w:r>
              <w:rPr>
                <w:rFonts w:ascii="Times New Roman" w:cs="Times New Roman" w:eastAsia="Times New Roman" w:hAnsi="Times New Roman"/>
                <w:sz w:val="16"/>
                <w:szCs w:val="16"/>
                <w:b w:val="1"/>
                <w:bCs w:val="1"/>
                <w:color w:val="FFFFFF"/>
              </w:rPr>
              <w:t>2022</w:t>
            </w:r>
          </w:p>
        </w:tc>
        <w:tc>
          <w:tcPr>
            <w:tcW w:w="780" w:type="dxa"/>
            <w:vAlign w:val="bottom"/>
            <w:vMerge w:val="restart"/>
            <w:shd w:val="clear" w:color="auto" w:fill="4C4C4C"/>
          </w:tcPr>
          <w:p>
            <w:pPr>
              <w:jc w:val="right"/>
              <w:spacing w:after="0"/>
              <w:rPr>
                <w:sz w:val="20"/>
                <w:szCs w:val="20"/>
                <w:color w:val="auto"/>
              </w:rPr>
            </w:pPr>
            <w:r>
              <w:rPr>
                <w:rFonts w:ascii="Times New Roman" w:cs="Times New Roman" w:eastAsia="Times New Roman" w:hAnsi="Times New Roman"/>
                <w:sz w:val="16"/>
                <w:szCs w:val="16"/>
                <w:b w:val="1"/>
                <w:bCs w:val="1"/>
                <w:color w:val="FFFFFF"/>
              </w:rPr>
              <w:t>2021</w:t>
            </w:r>
          </w:p>
        </w:tc>
        <w:tc>
          <w:tcPr>
            <w:tcW w:w="0" w:type="dxa"/>
            <w:vAlign w:val="bottom"/>
          </w:tcPr>
          <w:p>
            <w:pPr>
              <w:spacing w:after="0"/>
              <w:rPr>
                <w:sz w:val="1"/>
                <w:szCs w:val="1"/>
                <w:color w:val="auto"/>
              </w:rPr>
            </w:pPr>
          </w:p>
        </w:tc>
      </w:tr>
      <w:tr>
        <w:trPr>
          <w:trHeight w:val="108"/>
        </w:trPr>
        <w:tc>
          <w:tcPr>
            <w:tcW w:w="746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80" w:type="dxa"/>
            <w:vAlign w:val="bottom"/>
            <w:vMerge w:val="continue"/>
          </w:tcPr>
          <w:p>
            <w:pPr>
              <w:spacing w:after="0"/>
              <w:rPr>
                <w:sz w:val="9"/>
                <w:szCs w:val="9"/>
                <w:color w:val="auto"/>
              </w:rPr>
            </w:pPr>
          </w:p>
        </w:tc>
        <w:tc>
          <w:tcPr>
            <w:tcW w:w="1300" w:type="dxa"/>
            <w:vAlign w:val="bottom"/>
            <w:vMerge w:val="continue"/>
            <w:shd w:val="clear" w:color="auto" w:fill="4C4C4C"/>
          </w:tcPr>
          <w:p>
            <w:pPr>
              <w:spacing w:after="0"/>
              <w:rPr>
                <w:sz w:val="9"/>
                <w:szCs w:val="9"/>
                <w:color w:val="auto"/>
              </w:rPr>
            </w:pPr>
          </w:p>
        </w:tc>
        <w:tc>
          <w:tcPr>
            <w:tcW w:w="78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4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shd w:val="clear" w:color="auto" w:fill="4C4C4C"/>
          </w:tcPr>
          <w:p>
            <w:pPr>
              <w:spacing w:after="0"/>
              <w:rPr>
                <w:sz w:val="10"/>
                <w:szCs w:val="10"/>
                <w:color w:val="auto"/>
              </w:rPr>
            </w:pPr>
          </w:p>
        </w:tc>
        <w:tc>
          <w:tcPr>
            <w:tcW w:w="78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January 1</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3,398</w:t>
            </w:r>
          </w:p>
        </w:tc>
        <w:tc>
          <w:tcPr>
            <w:tcW w:w="1300" w:type="dxa"/>
            <w:vAlign w:val="bottom"/>
          </w:tcPr>
          <w:p>
            <w:pPr>
              <w:jc w:val="right"/>
              <w:ind w:right="244"/>
              <w:spacing w:after="0"/>
              <w:rPr>
                <w:sz w:val="20"/>
                <w:szCs w:val="20"/>
                <w:color w:val="auto"/>
              </w:rPr>
            </w:pPr>
            <w:r>
              <w:rPr>
                <w:rFonts w:ascii="Times New Roman" w:cs="Times New Roman" w:eastAsia="Times New Roman" w:hAnsi="Times New Roman"/>
                <w:sz w:val="20"/>
                <w:szCs w:val="20"/>
                <w:b w:val="1"/>
                <w:bCs w:val="1"/>
                <w:color w:val="auto"/>
              </w:rPr>
              <w:t>9,130</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8,764</w:t>
            </w:r>
          </w:p>
        </w:tc>
        <w:tc>
          <w:tcPr>
            <w:tcW w:w="0" w:type="dxa"/>
            <w:vAlign w:val="bottom"/>
          </w:tcPr>
          <w:p>
            <w:pPr>
              <w:spacing w:after="0"/>
              <w:rPr>
                <w:sz w:val="1"/>
                <w:szCs w:val="1"/>
                <w:color w:val="auto"/>
              </w:rPr>
            </w:pP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based on current year's tax positions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1300" w:type="dxa"/>
            <w:vAlign w:val="bottom"/>
          </w:tcPr>
          <w:p>
            <w:pPr>
              <w:jc w:val="right"/>
              <w:ind w:right="244"/>
              <w:spacing w:after="0"/>
              <w:rPr>
                <w:sz w:val="20"/>
                <w:szCs w:val="20"/>
                <w:color w:val="auto"/>
              </w:rPr>
            </w:pPr>
            <w:r>
              <w:rPr>
                <w:rFonts w:ascii="Times New Roman" w:cs="Times New Roman" w:eastAsia="Times New Roman" w:hAnsi="Times New Roman"/>
                <w:sz w:val="20"/>
                <w:szCs w:val="20"/>
                <w:color w:val="auto"/>
              </w:rPr>
              <w:t>539</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0" w:type="dxa"/>
            <w:vAlign w:val="bottom"/>
          </w:tcPr>
          <w:p>
            <w:pPr>
              <w:spacing w:after="0"/>
              <w:rPr>
                <w:sz w:val="1"/>
                <w:szCs w:val="1"/>
                <w:color w:val="auto"/>
              </w:rPr>
            </w:pP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for prior years' tax positions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300" w:type="dxa"/>
            <w:vAlign w:val="bottom"/>
          </w:tcPr>
          <w:p>
            <w:pPr>
              <w:jc w:val="right"/>
              <w:ind w:right="244"/>
              <w:spacing w:after="0"/>
              <w:rPr>
                <w:sz w:val="20"/>
                <w:szCs w:val="20"/>
                <w:color w:val="auto"/>
              </w:rPr>
            </w:pPr>
            <w:r>
              <w:rPr>
                <w:rFonts w:ascii="Times New Roman" w:cs="Times New Roman" w:eastAsia="Times New Roman" w:hAnsi="Times New Roman"/>
                <w:sz w:val="20"/>
                <w:szCs w:val="20"/>
                <w:color w:val="auto"/>
              </w:rPr>
              <w:t>294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Reductions for prior years' tax positions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(6,243)</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Reductions due to lapse of the statute of limitations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94"/>
        </w:trPr>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Settlements with tax authorities</w:t>
            </w: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(277)</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97"/>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Foreign exchange effects/other</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300" w:type="dxa"/>
            <w:vAlign w:val="bottom"/>
            <w:tcBorders>
              <w:bottom w:val="single" w:sz="8" w:color="4C4C4C"/>
            </w:tcBorders>
          </w:tcPr>
          <w:p>
            <w:pPr>
              <w:jc w:val="right"/>
              <w:ind w:right="184"/>
              <w:spacing w:after="0"/>
              <w:rPr>
                <w:sz w:val="20"/>
                <w:szCs w:val="20"/>
                <w:color w:val="auto"/>
              </w:rPr>
            </w:pPr>
            <w:r>
              <w:rPr>
                <w:rFonts w:ascii="Times New Roman" w:cs="Times New Roman" w:eastAsia="Times New Roman" w:hAnsi="Times New Roman"/>
                <w:sz w:val="20"/>
                <w:szCs w:val="20"/>
                <w:color w:val="auto"/>
              </w:rPr>
              <w:t>(29)</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746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December 31</w:t>
            </w:r>
          </w:p>
        </w:tc>
        <w:tc>
          <w:tcPr>
            <w:tcW w:w="9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3,935</w:t>
            </w:r>
          </w:p>
        </w:tc>
        <w:tc>
          <w:tcPr>
            <w:tcW w:w="1300" w:type="dxa"/>
            <w:vAlign w:val="bottom"/>
            <w:tcBorders>
              <w:bottom w:val="single" w:sz="8" w:color="4C4C4C"/>
            </w:tcBorders>
          </w:tcPr>
          <w:p>
            <w:pPr>
              <w:jc w:val="right"/>
              <w:ind w:right="244"/>
              <w:spacing w:after="0"/>
              <w:rPr>
                <w:sz w:val="20"/>
                <w:szCs w:val="20"/>
                <w:color w:val="auto"/>
              </w:rPr>
            </w:pPr>
            <w:r>
              <w:rPr>
                <w:rFonts w:ascii="Times New Roman" w:cs="Times New Roman" w:eastAsia="Times New Roman" w:hAnsi="Times New Roman"/>
                <w:sz w:val="20"/>
                <w:szCs w:val="20"/>
                <w:b w:val="1"/>
                <w:bCs w:val="1"/>
                <w:color w:val="auto"/>
              </w:rPr>
              <w:t>3,398</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9,130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unrecognized tax benefit balances are predominantly related to tax positions that would reduce the Corporation’s effective tax rate if the positions are favorably resolved. Unfavorable resolution of these tax positions generally would not increase the effective tax rate. The 2023, 2022, and 2021 changes in unrecognized tax benefits did not have a material effect on the Corporation’s net income.</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Resolution of these tax positions through negotiations with the relevant tax authorities or through litigation will take many years to complete. It is difficult to predict the timing of resolution for these tax positions since the timing is not entirely within the control of the Corporation. Unlike 2022, during which litigation resolved certain unrecognized tax benefit positions, there was no major resolution of unrecognized tax benefit positions in 2023. The Corporation has various U.S. federal income tax positions at issue with the Internal Revenue Service (IRS) for tax years beginning in 2010. Unfavorable resolution of these issues would not have a material adverse effect on the Corporation’s operations or financial condition.</w:t>
      </w:r>
    </w:p>
    <w:p>
      <w:pPr>
        <w:spacing w:after="0" w:line="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It is reasonably possible that the total amount of unrecognized tax benefits could increase by up to 20 percent or decrease by up to 30 percent in the next 12 months.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tax years that remain subject to examination by major tax jurisdiction:</w:t>
      </w:r>
    </w:p>
    <w:p>
      <w:pPr>
        <w:spacing w:after="0" w:line="164" w:lineRule="exact"/>
        <w:rPr>
          <w:sz w:val="20"/>
          <w:szCs w:val="20"/>
          <w:color w:val="auto"/>
        </w:rPr>
      </w:pPr>
    </w:p>
    <w:tbl>
      <w:tblPr>
        <w:tblLayout w:type="fixed"/>
        <w:tblInd w:w="2020" w:type="dxa"/>
        <w:tblCellMar>
          <w:top w:w="0" w:type="dxa"/>
          <w:left w:w="0" w:type="dxa"/>
          <w:bottom w:w="0" w:type="dxa"/>
          <w:right w:w="0" w:type="dxa"/>
        </w:tblCellMar>
      </w:tblPr>
      <w:tr>
        <w:trPr>
          <w:trHeight w:val="279"/>
        </w:trPr>
        <w:tc>
          <w:tcPr>
            <w:tcW w:w="3480" w:type="dxa"/>
            <w:vAlign w:val="bottom"/>
            <w:shd w:val="clear" w:color="auto" w:fill="4C4C4C"/>
          </w:tcPr>
          <w:p>
            <w:pPr>
              <w:ind w:left="60"/>
              <w:spacing w:after="0"/>
              <w:rPr>
                <w:sz w:val="20"/>
                <w:szCs w:val="20"/>
                <w:color w:val="auto"/>
              </w:rPr>
            </w:pPr>
            <w:r>
              <w:rPr>
                <w:rFonts w:ascii="Times New Roman" w:cs="Times New Roman" w:eastAsia="Times New Roman" w:hAnsi="Times New Roman"/>
                <w:sz w:val="20"/>
                <w:szCs w:val="20"/>
                <w:b w:val="1"/>
                <w:bCs w:val="1"/>
                <w:color w:val="FFFFFF"/>
              </w:rPr>
              <w:t>Country of Operation</w:t>
            </w:r>
          </w:p>
        </w:tc>
        <w:tc>
          <w:tcPr>
            <w:tcW w:w="3080" w:type="dxa"/>
            <w:vAlign w:val="bottom"/>
            <w:gridSpan w:val="3"/>
            <w:shd w:val="clear" w:color="auto" w:fill="4C4C4C"/>
          </w:tcPr>
          <w:p>
            <w:pPr>
              <w:jc w:val="right"/>
              <w:ind w:right="2"/>
              <w:spacing w:after="0"/>
              <w:rPr>
                <w:sz w:val="20"/>
                <w:szCs w:val="20"/>
                <w:color w:val="auto"/>
              </w:rPr>
            </w:pPr>
            <w:r>
              <w:rPr>
                <w:rFonts w:ascii="Times New Roman" w:cs="Times New Roman" w:eastAsia="Times New Roman" w:hAnsi="Times New Roman"/>
                <w:sz w:val="20"/>
                <w:szCs w:val="20"/>
                <w:b w:val="1"/>
                <w:bCs w:val="1"/>
                <w:color w:val="FFFFFF"/>
              </w:rPr>
              <w:t>Open Tax Years</w:t>
            </w:r>
          </w:p>
        </w:tc>
      </w:tr>
      <w:tr>
        <w:trPr>
          <w:trHeight w:val="38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Australia</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4"/>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Belgium</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4"/>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4"/>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Kazakhstan</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4"/>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Nigeria</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4"/>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Papua New Guinea</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4"/>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Arab Emirates</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4"/>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r>
    </w:tbl>
    <w:p>
      <w:pPr>
        <w:spacing w:after="0" w:line="200" w:lineRule="exact"/>
        <w:rPr>
          <w:sz w:val="20"/>
          <w:szCs w:val="20"/>
          <w:color w:val="auto"/>
        </w:rPr>
      </w:pPr>
    </w:p>
    <w:p>
      <w:pPr>
        <w:spacing w:after="0" w:line="2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The Corporation classifies interest on income tax-related balances as interest expense or interest income and classifies tax-related penalties as operating expense.</w:t>
      </w:r>
    </w:p>
    <w:p>
      <w:pPr>
        <w:spacing w:after="0" w:line="4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For 2023, 2022, and 2021 the Corporation's net interest expense on income tax reserves was $60 million, $16 million, and $0 million, respectively. The related interest payable balances were $134 million and $63 million at December 31, 2023 and 2022, respectively.</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ectPr>
          <w:pgSz w:w="11880" w:h="15480" w:orient="portrait"/>
          <w:cols w:equalWidth="0" w:num="1">
            <w:col w:w="10600"/>
          </w:cols>
          <w:pgMar w:left="640" w:top="270" w:right="640" w:bottom="0" w:gutter="0" w:footer="0" w:header="0"/>
          <w:type w:val="continuous"/>
        </w:sectPr>
      </w:pPr>
    </w:p>
    <w:bookmarkStart w:id="127" w:name="page128"/>
    <w:bookmarkEnd w:id="127"/>
    <w:p>
      <w:pPr>
        <w:ind w:right="4380"/>
        <w:spacing w:after="0" w:line="365"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20. Divestment Activities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2023, the Corporation realized proceeds of approximately $4.1 billion and recognized net after-tax earnings of approximately $0.6 billion from its divestment activities. This included the sale of the Aera Energy joint venture, Esso Thailand Ltd., the Billings Refinery, certain unconventional assets in the United States, as well as other smaller divestments.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2022, the Corporation realized proceeds of approximately $5.2 billion and recognized net after-tax earnings of approximately $0.4 billion from its divestment activities. This included the sale of certain unproved assets in Romania and unconventional assets in Canada and the United States, as well as other smaller divestments.</w:t>
      </w:r>
    </w:p>
    <w:p>
      <w:pPr>
        <w:spacing w:after="0" w:line="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February 2022, the Corporation signed an agreement with Seplat Energy Offshore Limited for the sale of Mobil Producing Nigeria Unlimited. The agreement is subject to certain conditions precedent and government approvals. In early July 2022, a Nigerian court issued an order to halt transition activities and enter into arbitration with the Nigerian National Petroleum Company. The closing date and any loss on sale will depend on resolution of these matters.</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On February 14, 2024, the Corporation closed the sale of the Santa Ynez Unit and associated facilities in California. The Corporation expects no material impacts on its first quarter 2024 financial statements.</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880" w:h="15480" w:orient="portrait"/>
          <w:cols w:equalWidth="0" w:num="1">
            <w:col w:w="10600"/>
          </w:cols>
          <w:pgMar w:left="640" w:top="270" w:right="640" w:bottom="0" w:gutter="0" w:footer="0" w:header="0"/>
          <w:type w:val="continuous"/>
        </w:sectPr>
      </w:pPr>
    </w:p>
    <w:bookmarkStart w:id="128" w:name="page129"/>
    <w:bookmarkEnd w:id="128"/>
    <w:p>
      <w:pPr>
        <w:ind w:right="4380"/>
        <w:spacing w:after="0" w:line="362" w:lineRule="auto"/>
        <w:rPr>
          <w:sz w:val="20"/>
          <w:szCs w:val="20"/>
          <w:color w:val="auto"/>
        </w:rPr>
      </w:pPr>
      <w:r>
        <w:rPr>
          <w:rFonts w:ascii="Times New Roman" w:cs="Times New Roman" w:eastAsia="Times New Roman" w:hAnsi="Times New Roman"/>
          <w:sz w:val="24"/>
          <w:szCs w:val="24"/>
          <w:b w:val="1"/>
          <w:bCs w:val="1"/>
          <w:color w:val="4C4C4C"/>
        </w:rPr>
        <w:t>NOTES TO CONSOLIDATED FINANCIAL STATEMENTS 21. Mergers and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Denbury Inc.</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November 2, 2023, the Corporation acquired Denbury, a developer of carbon capture, utilization, and storage solutions and enhanced oil recovery producing assets. The acquisition also included Gulf Coast and Rocky Mountain oil and natural gas operations which consisted of proved reserves totaling approximately 0.2 billion oil-equivalent barrels and approximately 45 thousand oil-equivalent barrels per day of production.</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Total consideration was $5.1 billion, which included the issuance of 46 million shares of ExxonMobil common stock from treasury having a fair value of $4.8 billion on the acquisition date, and cash payments of $0.3 billion related to repayment of Denbury's credit facility and settlement of fractional shares.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transaction was accounted for as a business combination in accordance with ASC 805, which requires that assets acquired and liabilities assumed be recognized at their fair values as of the acquisition date. The following table summarizes the fair values of the assets acquired and liabilities assumed: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1405255</wp:posOffset>
                </wp:positionH>
                <wp:positionV relativeFrom="paragraph">
                  <wp:posOffset>76200</wp:posOffset>
                </wp:positionV>
                <wp:extent cx="3920490" cy="18669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0490" cy="186690"/>
                        </a:xfrm>
                        <a:prstGeom prst="rect">
                          <a:avLst/>
                        </a:prstGeom>
                        <a:solidFill>
                          <a:srgbClr val="4C4C4C"/>
                        </a:solidFill>
                      </wps:spPr>
                      <wps:bodyPr/>
                    </wps:wsp>
                  </a:graphicData>
                </a:graphic>
              </wp:anchor>
            </w:drawing>
          </mc:Choice>
          <mc:Fallback>
            <w:pict>
              <v:rect id="Shape 194" o:spid="_x0000_s1219" style="position:absolute;margin-left:110.65pt;margin-top:6pt;width:308.7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C4C4C" stroked="f"/>
            </w:pict>
          </mc:Fallback>
        </mc:AlternateContent>
      </w:r>
    </w:p>
    <w:p>
      <w:pPr>
        <w:spacing w:after="0" w:line="1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i w:val="1"/>
          <w:iCs w:val="1"/>
          <w:color w:val="FFFFFF"/>
        </w:rPr>
        <w:t>(billions of dollars)</w:t>
      </w:r>
    </w:p>
    <w:p>
      <w:pPr>
        <w:spacing w:after="0" w:line="74" w:lineRule="exact"/>
        <w:rPr>
          <w:sz w:val="20"/>
          <w:szCs w:val="20"/>
          <w:color w:val="auto"/>
        </w:rPr>
      </w:pPr>
    </w:p>
    <w:tbl>
      <w:tblPr>
        <w:tblLayout w:type="fixed"/>
        <w:tblInd w:w="2220" w:type="dxa"/>
        <w:tblCellMar>
          <w:top w:w="0" w:type="dxa"/>
          <w:left w:w="0" w:type="dxa"/>
          <w:bottom w:w="0" w:type="dxa"/>
          <w:right w:w="0" w:type="dxa"/>
        </w:tblCellMar>
      </w:tblPr>
      <w:tr>
        <w:trPr>
          <w:trHeight w:val="385"/>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94"/>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plant &amp; equipment</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97"/>
        </w:trPr>
        <w:tc>
          <w:tcPr>
            <w:tcW w:w="4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Other assets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74"/>
        </w:trPr>
        <w:tc>
          <w:tcPr>
            <w:tcW w:w="4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7.0</w:t>
            </w:r>
          </w:p>
        </w:tc>
      </w:tr>
      <w:tr>
        <w:trPr>
          <w:trHeight w:val="374"/>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97"/>
        </w:trPr>
        <w:tc>
          <w:tcPr>
            <w:tcW w:w="4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Long-term liabilities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74"/>
        </w:trPr>
        <w:tc>
          <w:tcPr>
            <w:tcW w:w="4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r>
      <w:tr>
        <w:trPr>
          <w:trHeight w:val="86"/>
        </w:trPr>
        <w:tc>
          <w:tcPr>
            <w:tcW w:w="4880" w:type="dxa"/>
            <w:vAlign w:val="bottom"/>
            <w:tcBorders>
              <w:bottom w:val="single" w:sz="8" w:color="4C4C4C"/>
            </w:tcBorders>
          </w:tcPr>
          <w:p>
            <w:pPr>
              <w:spacing w:after="0"/>
              <w:rPr>
                <w:sz w:val="7"/>
                <w:szCs w:val="7"/>
                <w:color w:val="auto"/>
              </w:rPr>
            </w:pPr>
          </w:p>
        </w:tc>
        <w:tc>
          <w:tcPr>
            <w:tcW w:w="1280" w:type="dxa"/>
            <w:vAlign w:val="bottom"/>
            <w:tcBorders>
              <w:bottom w:val="single" w:sz="8" w:color="4C4C4C"/>
            </w:tcBorders>
            <w:shd w:val="clear" w:color="auto" w:fill="F0F0F0"/>
          </w:tcPr>
          <w:p>
            <w:pPr>
              <w:spacing w:after="0"/>
              <w:rPr>
                <w:sz w:val="7"/>
                <w:szCs w:val="7"/>
                <w:color w:val="auto"/>
              </w:rPr>
            </w:pPr>
          </w:p>
        </w:tc>
      </w:tr>
      <w:tr>
        <w:trPr>
          <w:trHeight w:val="274"/>
        </w:trPr>
        <w:tc>
          <w:tcPr>
            <w:tcW w:w="4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Net assets acquired</w:t>
            </w:r>
          </w:p>
        </w:tc>
        <w:tc>
          <w:tcPr>
            <w:tcW w:w="12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r>
    </w:tbl>
    <w:p>
      <w:pPr>
        <w:spacing w:after="0" w:line="200" w:lineRule="exact"/>
        <w:rPr>
          <w:sz w:val="20"/>
          <w:szCs w:val="20"/>
          <w:color w:val="auto"/>
        </w:rPr>
      </w:pPr>
    </w:p>
    <w:p>
      <w:pPr>
        <w:spacing w:after="0" w:line="3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Inputs for the assumptions used in the income approach to value property, plant and equipment included estimates for pipeline tariff rates, pipeline throughput volumes, commodity prices, future oil and gas production profiles, operating expenses, and a risk-adjusted discount rate.</w:t>
      </w:r>
    </w:p>
    <w:p>
      <w:pPr>
        <w:spacing w:after="0" w:line="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Denbury acquisition resulted in an immaterial amount of goodwill. Revenues and earnings arising from Denbury's operations are immaterial in 2023 for pro forma disclosure purposes.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Pioneer Natural Resources Company</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October 11, 2023, the Corporation announced a merger agreement with Pioneer Natural Resources Company (Pioneer), an independent oil and gas exploration and production company, in exchange for ExxonMobil common stock. Based on the October 5 closing price for ExxonMobil shares, the fixed exchange rate of 2.3234 per Pioneer share, and Pioneer's outstanding net debt, the implied enterprise value of the transaction was approximately $65 billion. We expect the number of shares issuable in connection with the transaction to be approximately 546 million. The transaction is expected to close in the second quarter of 2024, subject to regulatory approvals.</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Pioneer holds over 850 thousand net acres in the Midland Basin of West Texas, which consist of proved reserves totaling over 2.3 billion oil-equivalent barrels (as of December 31, 2022) and over 700 thousand oil-equivalent barrels per day of production for the three months ended September 30, 2023.</w:t>
      </w:r>
    </w:p>
    <w:p>
      <w:pPr>
        <w:sectPr>
          <w:pgSz w:w="11880" w:h="15480" w:orient="portrait"/>
          <w:cols w:equalWidth="0" w:num="1">
            <w:col w:w="10600"/>
          </w:cols>
          <w:pgMar w:left="640" w:top="27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ectPr>
          <w:pgSz w:w="11880" w:h="15480" w:orient="portrait"/>
          <w:cols w:equalWidth="0" w:num="1">
            <w:col w:w="10600"/>
          </w:cols>
          <w:pgMar w:left="640" w:top="270" w:right="64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b w:val="1"/>
          <w:bCs w:val="1"/>
          <w:color w:val="4C4C4C"/>
        </w:rPr>
        <w:t>SUPPLEMENTAL INFORMATION ON OIL AND GAS EXPLORATION AND PRODUCTION ACTIVITIES (unaudited)</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results of operations for producing activities shown below do not include earnings from other activities that ExxonMobil includes in the Upstream function, such as oil and gas transportation operations, LNG liquefaction and transportation operations, power operations, technical service agreements, gains and losses from derivative activity, other nonoperating activities and adjustments for noncontrolling interests. These excluded amounts for both consolidated and equity companies totaled $(519) million in 2023, $4,802 million in 2022 and $(1,380) million in 2021. Oil sands mining operations are included in the results of operations in accordance with Securities and Exchange Commission and Financial Accounting Standards Board rules.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0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8"/>
                <w:szCs w:val="18"/>
                <w:b w:val="1"/>
                <w:bCs w:val="1"/>
                <w:color w:val="FFFFFF"/>
              </w:rPr>
              <w:t>Results of Operations</w:t>
            </w:r>
          </w:p>
        </w:tc>
        <w:tc>
          <w:tcPr>
            <w:tcW w:w="1060" w:type="dxa"/>
            <w:vAlign w:val="bottom"/>
            <w:vMerge w:val="restart"/>
            <w:shd w:val="clear" w:color="auto" w:fill="4C4C4C"/>
          </w:tcPr>
          <w:p>
            <w:pPr>
              <w:jc w:val="right"/>
              <w:ind w:right="213"/>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940" w:type="dxa"/>
            <w:vAlign w:val="bottom"/>
            <w:shd w:val="clear" w:color="auto" w:fill="4C4C4C"/>
          </w:tcPr>
          <w:p>
            <w:pPr>
              <w:jc w:val="center"/>
              <w:ind w:right="33"/>
              <w:spacing w:after="0"/>
              <w:rPr>
                <w:sz w:val="20"/>
                <w:szCs w:val="20"/>
                <w:color w:val="auto"/>
              </w:rPr>
            </w:pPr>
            <w:r>
              <w:rPr>
                <w:rFonts w:ascii="Times New Roman" w:cs="Times New Roman" w:eastAsia="Times New Roman" w:hAnsi="Times New Roman"/>
                <w:sz w:val="16"/>
                <w:szCs w:val="16"/>
                <w:b w:val="1"/>
                <w:bCs w:val="1"/>
                <w:color w:val="FFFFFF"/>
              </w:rPr>
              <w:t>Canada/</w:t>
            </w:r>
          </w:p>
        </w:tc>
        <w:tc>
          <w:tcPr>
            <w:tcW w:w="960" w:type="dxa"/>
            <w:vAlign w:val="bottom"/>
            <w:shd w:val="clear" w:color="auto" w:fill="4C4C4C"/>
          </w:tcPr>
          <w:p>
            <w:pPr>
              <w:spacing w:after="0"/>
              <w:rPr>
                <w:sz w:val="16"/>
                <w:szCs w:val="16"/>
                <w:color w:val="auto"/>
              </w:rPr>
            </w:pPr>
          </w:p>
        </w:tc>
        <w:tc>
          <w:tcPr>
            <w:tcW w:w="980" w:type="dxa"/>
            <w:vAlign w:val="bottom"/>
            <w:shd w:val="clear" w:color="auto" w:fill="4C4C4C"/>
          </w:tcPr>
          <w:p>
            <w:pPr>
              <w:spacing w:after="0"/>
              <w:rPr>
                <w:sz w:val="16"/>
                <w:szCs w:val="16"/>
                <w:color w:val="auto"/>
              </w:rPr>
            </w:pPr>
          </w:p>
        </w:tc>
        <w:tc>
          <w:tcPr>
            <w:tcW w:w="840" w:type="dxa"/>
            <w:vAlign w:val="bottom"/>
            <w:shd w:val="clear" w:color="auto" w:fill="4C4C4C"/>
          </w:tcPr>
          <w:p>
            <w:pPr>
              <w:spacing w:after="0"/>
              <w:rPr>
                <w:sz w:val="16"/>
                <w:szCs w:val="16"/>
                <w:color w:val="auto"/>
              </w:rPr>
            </w:pPr>
          </w:p>
        </w:tc>
        <w:tc>
          <w:tcPr>
            <w:tcW w:w="960" w:type="dxa"/>
            <w:vAlign w:val="bottom"/>
            <w:vMerge w:val="restart"/>
            <w:shd w:val="clear" w:color="auto" w:fill="4C4C4C"/>
          </w:tcPr>
          <w:p>
            <w:pPr>
              <w:jc w:val="right"/>
              <w:ind w:right="93"/>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880" w:type="dxa"/>
            <w:vAlign w:val="bottom"/>
            <w:shd w:val="clear" w:color="auto" w:fill="4C4C4C"/>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900" w:type="dxa"/>
            <w:vAlign w:val="bottom"/>
            <w:vMerge w:val="continue"/>
            <w:shd w:val="clear" w:color="auto" w:fill="4C4C4C"/>
          </w:tcPr>
          <w:p>
            <w:pPr>
              <w:spacing w:after="0"/>
              <w:rPr>
                <w:sz w:val="7"/>
                <w:szCs w:val="7"/>
                <w:color w:val="auto"/>
              </w:rPr>
            </w:pPr>
          </w:p>
        </w:tc>
        <w:tc>
          <w:tcPr>
            <w:tcW w:w="1060" w:type="dxa"/>
            <w:vAlign w:val="bottom"/>
            <w:vMerge w:val="continue"/>
            <w:shd w:val="clear" w:color="auto" w:fill="4C4C4C"/>
          </w:tcPr>
          <w:p>
            <w:pPr>
              <w:spacing w:after="0"/>
              <w:rPr>
                <w:sz w:val="7"/>
                <w:szCs w:val="7"/>
                <w:color w:val="auto"/>
              </w:rPr>
            </w:pPr>
          </w:p>
        </w:tc>
        <w:tc>
          <w:tcPr>
            <w:tcW w:w="940" w:type="dxa"/>
            <w:vAlign w:val="bottom"/>
            <w:vMerge w:val="restart"/>
            <w:shd w:val="clear" w:color="auto" w:fill="4C4C4C"/>
          </w:tcPr>
          <w:p>
            <w:pPr>
              <w:jc w:val="center"/>
              <w:ind w:right="13"/>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Other</w:t>
            </w:r>
          </w:p>
        </w:tc>
        <w:tc>
          <w:tcPr>
            <w:tcW w:w="960" w:type="dxa"/>
            <w:vAlign w:val="bottom"/>
            <w:vMerge w:val="restart"/>
            <w:shd w:val="clear" w:color="auto" w:fill="4C4C4C"/>
          </w:tcPr>
          <w:p>
            <w:pPr>
              <w:jc w:val="right"/>
              <w:ind w:right="212"/>
              <w:spacing w:after="0" w:line="157" w:lineRule="exact"/>
              <w:rPr>
                <w:sz w:val="20"/>
                <w:szCs w:val="20"/>
                <w:color w:val="auto"/>
              </w:rPr>
            </w:pPr>
            <w:r>
              <w:rPr>
                <w:rFonts w:ascii="Times New Roman" w:cs="Times New Roman" w:eastAsia="Times New Roman" w:hAnsi="Times New Roman"/>
                <w:sz w:val="16"/>
                <w:szCs w:val="16"/>
                <w:b w:val="1"/>
                <w:bCs w:val="1"/>
                <w:color w:val="FFFFFF"/>
              </w:rPr>
              <w:t>Europe</w:t>
            </w:r>
          </w:p>
        </w:tc>
        <w:tc>
          <w:tcPr>
            <w:tcW w:w="980" w:type="dxa"/>
            <w:vAlign w:val="bottom"/>
            <w:vMerge w:val="restart"/>
            <w:shd w:val="clear" w:color="auto" w:fill="4C4C4C"/>
          </w:tcPr>
          <w:p>
            <w:pPr>
              <w:jc w:val="right"/>
              <w:ind w:right="292"/>
              <w:spacing w:after="0" w:line="157" w:lineRule="exact"/>
              <w:rPr>
                <w:sz w:val="20"/>
                <w:szCs w:val="20"/>
                <w:color w:val="auto"/>
              </w:rPr>
            </w:pPr>
            <w:r>
              <w:rPr>
                <w:rFonts w:ascii="Times New Roman" w:cs="Times New Roman" w:eastAsia="Times New Roman" w:hAnsi="Times New Roman"/>
                <w:sz w:val="16"/>
                <w:szCs w:val="16"/>
                <w:b w:val="1"/>
                <w:bCs w:val="1"/>
                <w:color w:val="FFFFFF"/>
              </w:rPr>
              <w:t>Africa</w:t>
            </w:r>
          </w:p>
        </w:tc>
        <w:tc>
          <w:tcPr>
            <w:tcW w:w="840" w:type="dxa"/>
            <w:vAlign w:val="bottom"/>
            <w:vMerge w:val="restart"/>
            <w:shd w:val="clear" w:color="auto" w:fill="4C4C4C"/>
          </w:tcPr>
          <w:p>
            <w:pPr>
              <w:jc w:val="right"/>
              <w:ind w:right="252"/>
              <w:spacing w:after="0" w:line="157" w:lineRule="exact"/>
              <w:rPr>
                <w:sz w:val="20"/>
                <w:szCs w:val="20"/>
                <w:color w:val="auto"/>
              </w:rPr>
            </w:pPr>
            <w:r>
              <w:rPr>
                <w:rFonts w:ascii="Times New Roman" w:cs="Times New Roman" w:eastAsia="Times New Roman" w:hAnsi="Times New Roman"/>
                <w:sz w:val="16"/>
                <w:szCs w:val="16"/>
                <w:b w:val="1"/>
                <w:bCs w:val="1"/>
                <w:color w:val="FFFFFF"/>
              </w:rPr>
              <w:t>Asia</w:t>
            </w:r>
          </w:p>
        </w:tc>
        <w:tc>
          <w:tcPr>
            <w:tcW w:w="960" w:type="dxa"/>
            <w:vAlign w:val="bottom"/>
            <w:vMerge w:val="continue"/>
            <w:shd w:val="clear" w:color="auto" w:fill="4C4C4C"/>
          </w:tcPr>
          <w:p>
            <w:pPr>
              <w:spacing w:after="0"/>
              <w:rPr>
                <w:sz w:val="7"/>
                <w:szCs w:val="7"/>
                <w:color w:val="auto"/>
              </w:rPr>
            </w:pPr>
          </w:p>
        </w:tc>
        <w:tc>
          <w:tcPr>
            <w:tcW w:w="880" w:type="dxa"/>
            <w:vAlign w:val="bottom"/>
            <w:vMerge w:val="restart"/>
            <w:shd w:val="clear" w:color="auto" w:fill="4C4C4C"/>
          </w:tcPr>
          <w:p>
            <w:pPr>
              <w:jc w:val="right"/>
              <w:ind w:right="172"/>
              <w:spacing w:after="0" w:line="157" w:lineRule="exact"/>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76"/>
        </w:trPr>
        <w:tc>
          <w:tcPr>
            <w:tcW w:w="390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60" w:type="dxa"/>
            <w:vAlign w:val="bottom"/>
            <w:vMerge w:val="restart"/>
            <w:shd w:val="clear" w:color="auto" w:fill="4C4C4C"/>
          </w:tcPr>
          <w:p>
            <w:pPr>
              <w:jc w:val="right"/>
              <w:ind w:right="253"/>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940" w:type="dxa"/>
            <w:vAlign w:val="bottom"/>
            <w:vMerge w:val="continue"/>
            <w:shd w:val="clear" w:color="auto" w:fill="4C4C4C"/>
          </w:tcPr>
          <w:p>
            <w:pPr>
              <w:spacing w:after="0"/>
              <w:rPr>
                <w:sz w:val="6"/>
                <w:szCs w:val="6"/>
                <w:color w:val="auto"/>
              </w:rPr>
            </w:pPr>
          </w:p>
        </w:tc>
        <w:tc>
          <w:tcPr>
            <w:tcW w:w="960" w:type="dxa"/>
            <w:vAlign w:val="bottom"/>
            <w:vMerge w:val="continue"/>
            <w:shd w:val="clear" w:color="auto" w:fill="4C4C4C"/>
          </w:tcPr>
          <w:p>
            <w:pPr>
              <w:spacing w:after="0"/>
              <w:rPr>
                <w:sz w:val="6"/>
                <w:szCs w:val="6"/>
                <w:color w:val="auto"/>
              </w:rPr>
            </w:pPr>
          </w:p>
        </w:tc>
        <w:tc>
          <w:tcPr>
            <w:tcW w:w="980" w:type="dxa"/>
            <w:vAlign w:val="bottom"/>
            <w:vMerge w:val="continue"/>
            <w:shd w:val="clear" w:color="auto" w:fill="4C4C4C"/>
          </w:tcPr>
          <w:p>
            <w:pPr>
              <w:spacing w:after="0"/>
              <w:rPr>
                <w:sz w:val="6"/>
                <w:szCs w:val="6"/>
                <w:color w:val="auto"/>
              </w:rPr>
            </w:pPr>
          </w:p>
        </w:tc>
        <w:tc>
          <w:tcPr>
            <w:tcW w:w="840" w:type="dxa"/>
            <w:vAlign w:val="bottom"/>
            <w:vMerge w:val="continue"/>
            <w:shd w:val="clear" w:color="auto" w:fill="4C4C4C"/>
          </w:tcPr>
          <w:p>
            <w:pPr>
              <w:spacing w:after="0"/>
              <w:rPr>
                <w:sz w:val="6"/>
                <w:szCs w:val="6"/>
                <w:color w:val="auto"/>
              </w:rPr>
            </w:pPr>
          </w:p>
        </w:tc>
        <w:tc>
          <w:tcPr>
            <w:tcW w:w="960" w:type="dxa"/>
            <w:vAlign w:val="bottom"/>
            <w:vMerge w:val="restart"/>
            <w:shd w:val="clear" w:color="auto" w:fill="4C4C4C"/>
          </w:tcPr>
          <w:p>
            <w:pPr>
              <w:jc w:val="right"/>
              <w:ind w:right="153"/>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880" w:type="dxa"/>
            <w:vAlign w:val="bottom"/>
            <w:vMerge w:val="continue"/>
            <w:shd w:val="clear" w:color="auto" w:fill="4C4C4C"/>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900" w:type="dxa"/>
            <w:vAlign w:val="bottom"/>
            <w:vMerge w:val="continue"/>
            <w:shd w:val="clear" w:color="auto" w:fill="4C4C4C"/>
          </w:tcPr>
          <w:p>
            <w:pPr>
              <w:spacing w:after="0"/>
              <w:rPr>
                <w:sz w:val="11"/>
                <w:szCs w:val="11"/>
                <w:color w:val="auto"/>
              </w:rPr>
            </w:pPr>
          </w:p>
        </w:tc>
        <w:tc>
          <w:tcPr>
            <w:tcW w:w="1060" w:type="dxa"/>
            <w:vAlign w:val="bottom"/>
            <w:vMerge w:val="continue"/>
            <w:shd w:val="clear" w:color="auto" w:fill="4C4C4C"/>
          </w:tcPr>
          <w:p>
            <w:pPr>
              <w:spacing w:after="0"/>
              <w:rPr>
                <w:sz w:val="11"/>
                <w:szCs w:val="11"/>
                <w:color w:val="auto"/>
              </w:rPr>
            </w:pPr>
          </w:p>
        </w:tc>
        <w:tc>
          <w:tcPr>
            <w:tcW w:w="940" w:type="dxa"/>
            <w:vAlign w:val="bottom"/>
            <w:vMerge w:val="restart"/>
            <w:shd w:val="clear" w:color="auto" w:fill="4C4C4C"/>
          </w:tcPr>
          <w:p>
            <w:pPr>
              <w:jc w:val="center"/>
              <w:ind w:right="33"/>
              <w:spacing w:after="0"/>
              <w:rPr>
                <w:sz w:val="20"/>
                <w:szCs w:val="20"/>
                <w:color w:val="auto"/>
              </w:rPr>
            </w:pPr>
            <w:r>
              <w:rPr>
                <w:rFonts w:ascii="Times New Roman" w:cs="Times New Roman" w:eastAsia="Times New Roman" w:hAnsi="Times New Roman"/>
                <w:sz w:val="16"/>
                <w:szCs w:val="16"/>
                <w:b w:val="1"/>
                <w:bCs w:val="1"/>
                <w:color w:val="FFFFFF"/>
                <w:w w:val="95"/>
              </w:rPr>
              <w:t>Americas</w:t>
            </w:r>
          </w:p>
        </w:tc>
        <w:tc>
          <w:tcPr>
            <w:tcW w:w="960" w:type="dxa"/>
            <w:vAlign w:val="bottom"/>
            <w:shd w:val="clear" w:color="auto" w:fill="4C4C4C"/>
          </w:tcPr>
          <w:p>
            <w:pPr>
              <w:spacing w:after="0"/>
              <w:rPr>
                <w:sz w:val="11"/>
                <w:szCs w:val="11"/>
                <w:color w:val="auto"/>
              </w:rPr>
            </w:pPr>
          </w:p>
        </w:tc>
        <w:tc>
          <w:tcPr>
            <w:tcW w:w="980" w:type="dxa"/>
            <w:vAlign w:val="bottom"/>
            <w:shd w:val="clear" w:color="auto" w:fill="4C4C4C"/>
          </w:tcPr>
          <w:p>
            <w:pPr>
              <w:spacing w:after="0"/>
              <w:rPr>
                <w:sz w:val="11"/>
                <w:szCs w:val="11"/>
                <w:color w:val="auto"/>
              </w:rPr>
            </w:pPr>
          </w:p>
        </w:tc>
        <w:tc>
          <w:tcPr>
            <w:tcW w:w="840" w:type="dxa"/>
            <w:vAlign w:val="bottom"/>
            <w:shd w:val="clear" w:color="auto" w:fill="4C4C4C"/>
          </w:tcPr>
          <w:p>
            <w:pPr>
              <w:spacing w:after="0"/>
              <w:rPr>
                <w:sz w:val="11"/>
                <w:szCs w:val="11"/>
                <w:color w:val="auto"/>
              </w:rPr>
            </w:pPr>
          </w:p>
        </w:tc>
        <w:tc>
          <w:tcPr>
            <w:tcW w:w="960" w:type="dxa"/>
            <w:vAlign w:val="bottom"/>
            <w:vMerge w:val="continue"/>
            <w:shd w:val="clear" w:color="auto" w:fill="4C4C4C"/>
          </w:tcPr>
          <w:p>
            <w:pPr>
              <w:spacing w:after="0"/>
              <w:rPr>
                <w:sz w:val="11"/>
                <w:szCs w:val="11"/>
                <w:color w:val="auto"/>
              </w:rPr>
            </w:pPr>
          </w:p>
        </w:tc>
        <w:tc>
          <w:tcPr>
            <w:tcW w:w="880" w:type="dxa"/>
            <w:vAlign w:val="bottom"/>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900" w:type="dxa"/>
            <w:vAlign w:val="bottom"/>
            <w:shd w:val="clear" w:color="auto" w:fill="4C4C4C"/>
          </w:tcPr>
          <w:p>
            <w:pPr>
              <w:spacing w:after="0"/>
              <w:rPr>
                <w:sz w:val="7"/>
                <w:szCs w:val="7"/>
                <w:color w:val="auto"/>
              </w:rPr>
            </w:pPr>
          </w:p>
        </w:tc>
        <w:tc>
          <w:tcPr>
            <w:tcW w:w="1060" w:type="dxa"/>
            <w:vAlign w:val="bottom"/>
            <w:shd w:val="clear" w:color="auto" w:fill="4C4C4C"/>
          </w:tcPr>
          <w:p>
            <w:pPr>
              <w:spacing w:after="0"/>
              <w:rPr>
                <w:sz w:val="7"/>
                <w:szCs w:val="7"/>
                <w:color w:val="auto"/>
              </w:rPr>
            </w:pPr>
          </w:p>
        </w:tc>
        <w:tc>
          <w:tcPr>
            <w:tcW w:w="940" w:type="dxa"/>
            <w:vAlign w:val="bottom"/>
            <w:vMerge w:val="continue"/>
            <w:shd w:val="clear" w:color="auto" w:fill="4C4C4C"/>
          </w:tcPr>
          <w:p>
            <w:pPr>
              <w:spacing w:after="0"/>
              <w:rPr>
                <w:sz w:val="7"/>
                <w:szCs w:val="7"/>
                <w:color w:val="auto"/>
              </w:rPr>
            </w:pPr>
          </w:p>
        </w:tc>
        <w:tc>
          <w:tcPr>
            <w:tcW w:w="960" w:type="dxa"/>
            <w:vAlign w:val="bottom"/>
            <w:shd w:val="clear" w:color="auto" w:fill="4C4C4C"/>
          </w:tcPr>
          <w:p>
            <w:pPr>
              <w:spacing w:after="0"/>
              <w:rPr>
                <w:sz w:val="7"/>
                <w:szCs w:val="7"/>
                <w:color w:val="auto"/>
              </w:rPr>
            </w:pPr>
          </w:p>
        </w:tc>
        <w:tc>
          <w:tcPr>
            <w:tcW w:w="980" w:type="dxa"/>
            <w:vAlign w:val="bottom"/>
            <w:shd w:val="clear" w:color="auto" w:fill="4C4C4C"/>
          </w:tcPr>
          <w:p>
            <w:pPr>
              <w:spacing w:after="0"/>
              <w:rPr>
                <w:sz w:val="7"/>
                <w:szCs w:val="7"/>
                <w:color w:val="auto"/>
              </w:rPr>
            </w:pPr>
          </w:p>
        </w:tc>
        <w:tc>
          <w:tcPr>
            <w:tcW w:w="840" w:type="dxa"/>
            <w:vAlign w:val="bottom"/>
            <w:shd w:val="clear" w:color="auto" w:fill="4C4C4C"/>
          </w:tcPr>
          <w:p>
            <w:pPr>
              <w:spacing w:after="0"/>
              <w:rPr>
                <w:sz w:val="7"/>
                <w:szCs w:val="7"/>
                <w:color w:val="auto"/>
              </w:rPr>
            </w:pPr>
          </w:p>
        </w:tc>
        <w:tc>
          <w:tcPr>
            <w:tcW w:w="960" w:type="dxa"/>
            <w:vAlign w:val="bottom"/>
            <w:shd w:val="clear" w:color="auto" w:fill="4C4C4C"/>
          </w:tcPr>
          <w:p>
            <w:pPr>
              <w:spacing w:after="0"/>
              <w:rPr>
                <w:sz w:val="7"/>
                <w:szCs w:val="7"/>
                <w:color w:val="auto"/>
              </w:rPr>
            </w:pPr>
          </w:p>
        </w:tc>
        <w:tc>
          <w:tcPr>
            <w:tcW w:w="880" w:type="dxa"/>
            <w:vAlign w:val="bottom"/>
            <w:shd w:val="clear" w:color="auto" w:fill="4C4C4C"/>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2023</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shd w:val="clear" w:color="auto" w:fill="F0F0F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to third parties</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5,098</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4,027</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1,345</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2,490</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4,588</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13,378</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11,474</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tcBorders>
              <w:bottom w:val="single" w:sz="8" w:color="4C4C4C"/>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6,355</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10,779</w:t>
            </w:r>
          </w:p>
        </w:tc>
        <w:tc>
          <w:tcPr>
            <w:tcW w:w="96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600</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18,476</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15,501</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1,392</w:t>
            </w:r>
          </w:p>
        </w:tc>
        <w:tc>
          <w:tcPr>
            <w:tcW w:w="980" w:type="dxa"/>
            <w:vAlign w:val="bottom"/>
            <w:tcBorders>
              <w:bottom w:val="single" w:sz="8" w:color="4C4C4C"/>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6,653</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13,269</w:t>
            </w:r>
          </w:p>
        </w:tc>
        <w:tc>
          <w:tcPr>
            <w:tcW w:w="96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5,188</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60,479</w:t>
            </w:r>
          </w:p>
        </w:tc>
        <w:tc>
          <w:tcPr>
            <w:tcW w:w="0" w:type="dxa"/>
            <w:vAlign w:val="bottom"/>
          </w:tcPr>
          <w:p>
            <w:pPr>
              <w:spacing w:after="0"/>
              <w:rPr>
                <w:sz w:val="1"/>
                <w:szCs w:val="1"/>
                <w:color w:val="auto"/>
              </w:rPr>
            </w:pPr>
          </w:p>
        </w:tc>
      </w:tr>
      <w:tr>
        <w:trPr>
          <w:trHeight w:val="324"/>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Production costs excluding taxes</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4,164</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4,943</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623</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1,146</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511</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0" w:type="dxa"/>
            <w:vAlign w:val="bottom"/>
          </w:tcPr>
          <w:p>
            <w:pPr>
              <w:spacing w:after="0"/>
              <w:rPr>
                <w:sz w:val="1"/>
                <w:szCs w:val="1"/>
                <w:color w:val="auto"/>
              </w:rPr>
            </w:pPr>
          </w:p>
        </w:tc>
      </w:tr>
      <w:tr>
        <w:trPr>
          <w:trHeight w:val="25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expenses</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505</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5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8,479</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2,866</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1,519</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755</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0" w:type="dxa"/>
            <w:vAlign w:val="bottom"/>
          </w:tcPr>
          <w:p>
            <w:pPr>
              <w:spacing w:after="0"/>
              <w:rPr>
                <w:sz w:val="1"/>
                <w:szCs w:val="1"/>
                <w:color w:val="auto"/>
              </w:rPr>
            </w:pPr>
          </w:p>
        </w:tc>
      </w:tr>
      <w:tr>
        <w:trPr>
          <w:trHeight w:val="25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1,701</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117</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1,936</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358</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Related income tax</w:t>
            </w:r>
          </w:p>
        </w:tc>
        <w:tc>
          <w:tcPr>
            <w:tcW w:w="106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703</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1,196</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315</w:t>
            </w:r>
          </w:p>
        </w:tc>
        <w:tc>
          <w:tcPr>
            <w:tcW w:w="980" w:type="dxa"/>
            <w:vAlign w:val="bottom"/>
            <w:tcBorders>
              <w:bottom w:val="single" w:sz="8" w:color="4C4C4C"/>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1,299</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6,498</w:t>
            </w:r>
          </w:p>
        </w:tc>
        <w:tc>
          <w:tcPr>
            <w:tcW w:w="96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1,078</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0" w:type="dxa"/>
            <w:vAlign w:val="bottom"/>
          </w:tcPr>
          <w:p>
            <w:pPr>
              <w:spacing w:after="0"/>
              <w:rPr>
                <w:sz w:val="1"/>
                <w:szCs w:val="1"/>
                <w:color w:val="auto"/>
              </w:rPr>
            </w:pPr>
          </w:p>
        </w:tc>
      </w:tr>
      <w:tr>
        <w:trPr>
          <w:trHeight w:val="168"/>
        </w:trPr>
        <w:tc>
          <w:tcPr>
            <w:tcW w:w="3900" w:type="dxa"/>
            <w:vAlign w:val="bottom"/>
          </w:tcPr>
          <w:p>
            <w:pPr>
              <w:ind w:left="60"/>
              <w:spacing w:after="0" w:line="168" w:lineRule="exact"/>
              <w:rPr>
                <w:sz w:val="20"/>
                <w:szCs w:val="20"/>
                <w:color w:val="auto"/>
              </w:rPr>
            </w:pPr>
            <w:r>
              <w:rPr>
                <w:rFonts w:ascii="Times New Roman" w:cs="Times New Roman" w:eastAsia="Times New Roman" w:hAnsi="Times New Roman"/>
                <w:sz w:val="18"/>
                <w:szCs w:val="18"/>
                <w:b w:val="1"/>
                <w:bCs w:val="1"/>
                <w:color w:val="auto"/>
              </w:rPr>
              <w:t>Results of producing activities for consolidated</w:t>
            </w:r>
          </w:p>
        </w:tc>
        <w:tc>
          <w:tcPr>
            <w:tcW w:w="106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3,385</w:t>
            </w:r>
          </w:p>
        </w:tc>
        <w:tc>
          <w:tcPr>
            <w:tcW w:w="9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5,874</w:t>
            </w: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285</w:t>
            </w: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1,443</w:t>
            </w: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2,152</w:t>
            </w:r>
          </w:p>
        </w:tc>
        <w:tc>
          <w:tcPr>
            <w:tcW w:w="9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2,451</w:t>
            </w:r>
          </w:p>
        </w:tc>
        <w:tc>
          <w:tcPr>
            <w:tcW w:w="8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15,590</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060" w:type="dxa"/>
            <w:vAlign w:val="bottom"/>
            <w:tcBorders>
              <w:bottom w:val="single" w:sz="8" w:color="4C4C4C"/>
            </w:tcBorders>
            <w:vMerge w:val="continue"/>
          </w:tcPr>
          <w:p>
            <w:pPr>
              <w:spacing w:after="0"/>
              <w:rPr>
                <w:sz w:val="20"/>
                <w:szCs w:val="20"/>
                <w:color w:val="auto"/>
              </w:rPr>
            </w:pPr>
          </w:p>
        </w:tc>
        <w:tc>
          <w:tcPr>
            <w:tcW w:w="94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980" w:type="dxa"/>
            <w:vAlign w:val="bottom"/>
            <w:tcBorders>
              <w:bottom w:val="single" w:sz="8" w:color="4C4C4C"/>
            </w:tcBorders>
            <w:vMerge w:val="continue"/>
          </w:tcPr>
          <w:p>
            <w:pPr>
              <w:spacing w:after="0"/>
              <w:rPr>
                <w:sz w:val="20"/>
                <w:szCs w:val="20"/>
                <w:color w:val="auto"/>
              </w:rPr>
            </w:pPr>
          </w:p>
        </w:tc>
        <w:tc>
          <w:tcPr>
            <w:tcW w:w="84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880" w:type="dxa"/>
            <w:vAlign w:val="bottom"/>
            <w:tcBorders>
              <w:bottom w:val="single" w:sz="8" w:color="4C4C4C"/>
            </w:tcBorders>
            <w:vMerge w:val="continue"/>
            <w:shd w:val="clear" w:color="auto" w:fill="F0F0F0"/>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to third parties</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182</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1,211</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14,653</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tcBorders>
              <w:bottom w:val="single" w:sz="8" w:color="4C4C4C"/>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265</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1,240</w:t>
            </w:r>
          </w:p>
        </w:tc>
        <w:tc>
          <w:tcPr>
            <w:tcW w:w="980" w:type="dxa"/>
            <w:vAlign w:val="bottom"/>
            <w:tcBorders>
              <w:bottom w:val="single" w:sz="8" w:color="4C4C4C"/>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214</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14,885</w:t>
            </w:r>
          </w:p>
        </w:tc>
        <w:tc>
          <w:tcPr>
            <w:tcW w:w="96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5"/>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Production costs excluding taxes</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239</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419</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714</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46"/>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expenses</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605</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2"/>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5,049</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Related income tax</w:t>
            </w:r>
          </w:p>
        </w:tc>
        <w:tc>
          <w:tcPr>
            <w:tcW w:w="106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w:t>
            </w:r>
          </w:p>
        </w:tc>
        <w:tc>
          <w:tcPr>
            <w:tcW w:w="980" w:type="dxa"/>
            <w:vAlign w:val="bottom"/>
            <w:tcBorders>
              <w:bottom w:val="single" w:sz="8" w:color="4C4C4C"/>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2,904</w:t>
            </w:r>
          </w:p>
        </w:tc>
        <w:tc>
          <w:tcPr>
            <w:tcW w:w="96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168"/>
        </w:trPr>
        <w:tc>
          <w:tcPr>
            <w:tcW w:w="3900" w:type="dxa"/>
            <w:vAlign w:val="bottom"/>
          </w:tcPr>
          <w:p>
            <w:pPr>
              <w:ind w:left="60"/>
              <w:spacing w:after="0" w:line="168" w:lineRule="exact"/>
              <w:rPr>
                <w:sz w:val="20"/>
                <w:szCs w:val="20"/>
                <w:color w:val="auto"/>
              </w:rPr>
            </w:pPr>
            <w:r>
              <w:rPr>
                <w:rFonts w:ascii="Times New Roman" w:cs="Times New Roman" w:eastAsia="Times New Roman" w:hAnsi="Times New Roman"/>
                <w:sz w:val="18"/>
                <w:szCs w:val="18"/>
                <w:b w:val="1"/>
                <w:bCs w:val="1"/>
                <w:color w:val="auto"/>
              </w:rPr>
              <w:t>Results of producing activities for equity</w:t>
            </w:r>
          </w:p>
        </w:tc>
        <w:tc>
          <w:tcPr>
            <w:tcW w:w="10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(44)</w:t>
            </w:r>
          </w:p>
        </w:tc>
        <w:tc>
          <w:tcPr>
            <w:tcW w:w="9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565</w:t>
            </w: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103</w:t>
            </w: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5,613</w:t>
            </w:r>
          </w:p>
        </w:tc>
        <w:tc>
          <w:tcPr>
            <w:tcW w:w="9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6,237</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060" w:type="dxa"/>
            <w:vAlign w:val="bottom"/>
            <w:tcBorders>
              <w:bottom w:val="single" w:sz="8" w:color="4C4C4C"/>
            </w:tcBorders>
            <w:vMerge w:val="continue"/>
          </w:tcPr>
          <w:p>
            <w:pPr>
              <w:spacing w:after="0"/>
              <w:rPr>
                <w:sz w:val="20"/>
                <w:szCs w:val="20"/>
                <w:color w:val="auto"/>
              </w:rPr>
            </w:pPr>
          </w:p>
        </w:tc>
        <w:tc>
          <w:tcPr>
            <w:tcW w:w="94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980" w:type="dxa"/>
            <w:vAlign w:val="bottom"/>
            <w:tcBorders>
              <w:bottom w:val="single" w:sz="8" w:color="4C4C4C"/>
            </w:tcBorders>
            <w:vMerge w:val="continue"/>
          </w:tcPr>
          <w:p>
            <w:pPr>
              <w:spacing w:after="0"/>
              <w:rPr>
                <w:sz w:val="20"/>
                <w:szCs w:val="20"/>
                <w:color w:val="auto"/>
              </w:rPr>
            </w:pPr>
          </w:p>
        </w:tc>
        <w:tc>
          <w:tcPr>
            <w:tcW w:w="84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880" w:type="dxa"/>
            <w:vAlign w:val="bottom"/>
            <w:tcBorders>
              <w:bottom w:val="single" w:sz="8" w:color="4C4C4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900" w:type="dxa"/>
            <w:vAlign w:val="bottom"/>
            <w:tcBorders>
              <w:bottom w:val="single" w:sz="8" w:color="4C4C4C"/>
            </w:tcBorders>
          </w:tcPr>
          <w:p>
            <w:pPr>
              <w:spacing w:after="0"/>
              <w:rPr>
                <w:sz w:val="7"/>
                <w:szCs w:val="7"/>
                <w:color w:val="auto"/>
              </w:rPr>
            </w:pPr>
          </w:p>
        </w:tc>
        <w:tc>
          <w:tcPr>
            <w:tcW w:w="1060" w:type="dxa"/>
            <w:vAlign w:val="bottom"/>
            <w:tcBorders>
              <w:bottom w:val="single" w:sz="8" w:color="4C4C4C"/>
            </w:tcBorders>
          </w:tcPr>
          <w:p>
            <w:pPr>
              <w:spacing w:after="0"/>
              <w:rPr>
                <w:sz w:val="7"/>
                <w:szCs w:val="7"/>
                <w:color w:val="auto"/>
              </w:rPr>
            </w:pPr>
          </w:p>
        </w:tc>
        <w:tc>
          <w:tcPr>
            <w:tcW w:w="940" w:type="dxa"/>
            <w:vAlign w:val="bottom"/>
            <w:tcBorders>
              <w:bottom w:val="single" w:sz="8" w:color="4C4C4C"/>
            </w:tcBorders>
          </w:tcPr>
          <w:p>
            <w:pPr>
              <w:spacing w:after="0"/>
              <w:rPr>
                <w:sz w:val="7"/>
                <w:szCs w:val="7"/>
                <w:color w:val="auto"/>
              </w:rPr>
            </w:pPr>
          </w:p>
        </w:tc>
        <w:tc>
          <w:tcPr>
            <w:tcW w:w="960" w:type="dxa"/>
            <w:vAlign w:val="bottom"/>
            <w:tcBorders>
              <w:bottom w:val="single" w:sz="8" w:color="4C4C4C"/>
            </w:tcBorders>
          </w:tcPr>
          <w:p>
            <w:pPr>
              <w:spacing w:after="0"/>
              <w:rPr>
                <w:sz w:val="7"/>
                <w:szCs w:val="7"/>
                <w:color w:val="auto"/>
              </w:rPr>
            </w:pPr>
          </w:p>
        </w:tc>
        <w:tc>
          <w:tcPr>
            <w:tcW w:w="980" w:type="dxa"/>
            <w:vAlign w:val="bottom"/>
            <w:tcBorders>
              <w:bottom w:val="single" w:sz="8" w:color="4C4C4C"/>
            </w:tcBorders>
          </w:tcPr>
          <w:p>
            <w:pPr>
              <w:spacing w:after="0"/>
              <w:rPr>
                <w:sz w:val="7"/>
                <w:szCs w:val="7"/>
                <w:color w:val="auto"/>
              </w:rPr>
            </w:pPr>
          </w:p>
        </w:tc>
        <w:tc>
          <w:tcPr>
            <w:tcW w:w="840" w:type="dxa"/>
            <w:vAlign w:val="bottom"/>
            <w:tcBorders>
              <w:bottom w:val="single" w:sz="8" w:color="4C4C4C"/>
            </w:tcBorders>
          </w:tcPr>
          <w:p>
            <w:pPr>
              <w:spacing w:after="0"/>
              <w:rPr>
                <w:sz w:val="7"/>
                <w:szCs w:val="7"/>
                <w:color w:val="auto"/>
              </w:rPr>
            </w:pPr>
          </w:p>
        </w:tc>
        <w:tc>
          <w:tcPr>
            <w:tcW w:w="960" w:type="dxa"/>
            <w:vAlign w:val="bottom"/>
            <w:tcBorders>
              <w:bottom w:val="single" w:sz="8" w:color="4C4C4C"/>
            </w:tcBorders>
          </w:tcPr>
          <w:p>
            <w:pPr>
              <w:spacing w:after="0"/>
              <w:rPr>
                <w:sz w:val="7"/>
                <w:szCs w:val="7"/>
                <w:color w:val="auto"/>
              </w:rPr>
            </w:pPr>
          </w:p>
        </w:tc>
        <w:tc>
          <w:tcPr>
            <w:tcW w:w="88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results of operations</w:t>
            </w:r>
          </w:p>
        </w:tc>
        <w:tc>
          <w:tcPr>
            <w:tcW w:w="106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3,341</w:t>
            </w:r>
          </w:p>
        </w:tc>
        <w:tc>
          <w:tcPr>
            <w:tcW w:w="9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5,874</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850</w:t>
            </w:r>
          </w:p>
        </w:tc>
        <w:tc>
          <w:tcPr>
            <w:tcW w:w="980" w:type="dxa"/>
            <w:vAlign w:val="bottom"/>
            <w:tcBorders>
              <w:bottom w:val="single" w:sz="8" w:color="4C4C4C"/>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1,546</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7,765</w:t>
            </w:r>
          </w:p>
        </w:tc>
        <w:tc>
          <w:tcPr>
            <w:tcW w:w="96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2,451</w:t>
            </w:r>
          </w:p>
        </w:tc>
        <w:tc>
          <w:tcPr>
            <w:tcW w:w="880" w:type="dxa"/>
            <w:vAlign w:val="bottom"/>
            <w:tcBorders>
              <w:bottom w:val="single" w:sz="8" w:color="4C4C4C"/>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21,827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6129655</wp:posOffset>
            </wp:positionH>
            <wp:positionV relativeFrom="paragraph">
              <wp:posOffset>-833755</wp:posOffset>
            </wp:positionV>
            <wp:extent cx="585470" cy="675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29">
                      <a:extLst>
                        <a:ext uri="{28A0092B-C50C-407E-A947-70E740481C1C}"/>
                      </a:extLst>
                    </a:blip>
                    <a:srcRect/>
                    <a:stretch>
                      <a:fillRect/>
                    </a:stretch>
                  </pic:blipFill>
                  <pic:spPr bwMode="auto">
                    <a:xfrm>
                      <a:off x="0" y="0"/>
                      <a:ext cx="585470" cy="675640"/>
                    </a:xfrm>
                    <a:prstGeom prst="rect">
                      <a:avLst/>
                    </a:prstGeom>
                    <a:noFill/>
                  </pic:spPr>
                </pic:pic>
              </a:graphicData>
            </a:graphic>
          </wp:anchor>
        </w:drawing>
      </w: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880" w:h="15480" w:orient="portrait"/>
          <w:cols w:equalWidth="0" w:num="1">
            <w:col w:w="10600"/>
          </w:cols>
          <w:pgMar w:left="640" w:top="724" w:right="640" w:bottom="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84"/>
        </w:trPr>
        <w:tc>
          <w:tcPr>
            <w:tcW w:w="388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8"/>
                <w:szCs w:val="18"/>
                <w:b w:val="1"/>
                <w:bCs w:val="1"/>
                <w:color w:val="FFFFFF"/>
              </w:rPr>
              <w:t>Results of Operations</w:t>
            </w:r>
          </w:p>
        </w:tc>
        <w:tc>
          <w:tcPr>
            <w:tcW w:w="1020" w:type="dxa"/>
            <w:vAlign w:val="bottom"/>
            <w:vMerge w:val="restart"/>
            <w:shd w:val="clear" w:color="auto" w:fill="4C4C4C"/>
          </w:tcPr>
          <w:p>
            <w:pPr>
              <w:jc w:val="right"/>
              <w:ind w:right="192"/>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980" w:type="dxa"/>
            <w:vAlign w:val="bottom"/>
            <w:shd w:val="clear" w:color="auto" w:fill="4C4C4C"/>
          </w:tcPr>
          <w:p>
            <w:pPr>
              <w:jc w:val="center"/>
              <w:ind w:right="13"/>
              <w:spacing w:after="0"/>
              <w:rPr>
                <w:sz w:val="20"/>
                <w:szCs w:val="20"/>
                <w:color w:val="auto"/>
              </w:rPr>
            </w:pPr>
            <w:r>
              <w:rPr>
                <w:rFonts w:ascii="Times New Roman" w:cs="Times New Roman" w:eastAsia="Times New Roman" w:hAnsi="Times New Roman"/>
                <w:sz w:val="16"/>
                <w:szCs w:val="16"/>
                <w:b w:val="1"/>
                <w:bCs w:val="1"/>
                <w:color w:val="FFFFFF"/>
                <w:w w:val="96"/>
              </w:rPr>
              <w:t>Canada/</w:t>
            </w:r>
          </w:p>
        </w:tc>
        <w:tc>
          <w:tcPr>
            <w:tcW w:w="960" w:type="dxa"/>
            <w:vAlign w:val="bottom"/>
            <w:shd w:val="clear" w:color="auto" w:fill="4C4C4C"/>
          </w:tcPr>
          <w:p>
            <w:pPr>
              <w:spacing w:after="0"/>
              <w:rPr>
                <w:sz w:val="16"/>
                <w:szCs w:val="16"/>
                <w:color w:val="auto"/>
              </w:rPr>
            </w:pPr>
          </w:p>
        </w:tc>
        <w:tc>
          <w:tcPr>
            <w:tcW w:w="1000" w:type="dxa"/>
            <w:vAlign w:val="bottom"/>
            <w:shd w:val="clear" w:color="auto" w:fill="4C4C4C"/>
          </w:tcPr>
          <w:p>
            <w:pPr>
              <w:spacing w:after="0"/>
              <w:rPr>
                <w:sz w:val="16"/>
                <w:szCs w:val="16"/>
                <w:color w:val="auto"/>
              </w:rPr>
            </w:pPr>
          </w:p>
        </w:tc>
        <w:tc>
          <w:tcPr>
            <w:tcW w:w="840" w:type="dxa"/>
            <w:vAlign w:val="bottom"/>
            <w:shd w:val="clear" w:color="auto" w:fill="4C4C4C"/>
          </w:tcPr>
          <w:p>
            <w:pPr>
              <w:spacing w:after="0"/>
              <w:rPr>
                <w:sz w:val="16"/>
                <w:szCs w:val="16"/>
                <w:color w:val="auto"/>
              </w:rPr>
            </w:pPr>
          </w:p>
        </w:tc>
        <w:tc>
          <w:tcPr>
            <w:tcW w:w="1000" w:type="dxa"/>
            <w:vAlign w:val="bottom"/>
            <w:vMerge w:val="restart"/>
            <w:shd w:val="clear" w:color="auto" w:fill="4C4C4C"/>
          </w:tcPr>
          <w:p>
            <w:pPr>
              <w:jc w:val="right"/>
              <w:ind w:right="152"/>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800" w:type="dxa"/>
            <w:vAlign w:val="bottom"/>
            <w:shd w:val="clear" w:color="auto" w:fill="4C4C4C"/>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80" w:type="dxa"/>
            <w:vAlign w:val="bottom"/>
            <w:vMerge w:val="continue"/>
            <w:shd w:val="clear" w:color="auto" w:fill="4C4C4C"/>
          </w:tcPr>
          <w:p>
            <w:pPr>
              <w:spacing w:after="0"/>
              <w:rPr>
                <w:sz w:val="7"/>
                <w:szCs w:val="7"/>
                <w:color w:val="auto"/>
              </w:rPr>
            </w:pPr>
          </w:p>
        </w:tc>
        <w:tc>
          <w:tcPr>
            <w:tcW w:w="1020" w:type="dxa"/>
            <w:vAlign w:val="bottom"/>
            <w:vMerge w:val="continue"/>
            <w:shd w:val="clear" w:color="auto" w:fill="4C4C4C"/>
          </w:tcPr>
          <w:p>
            <w:pPr>
              <w:spacing w:after="0"/>
              <w:rPr>
                <w:sz w:val="7"/>
                <w:szCs w:val="7"/>
                <w:color w:val="auto"/>
              </w:rPr>
            </w:pPr>
          </w:p>
        </w:tc>
        <w:tc>
          <w:tcPr>
            <w:tcW w:w="980" w:type="dxa"/>
            <w:vAlign w:val="bottom"/>
            <w:vMerge w:val="restart"/>
            <w:shd w:val="clear" w:color="auto" w:fill="4C4C4C"/>
          </w:tcPr>
          <w:p>
            <w:pPr>
              <w:jc w:val="center"/>
              <w:ind w:right="13"/>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Other</w:t>
            </w:r>
          </w:p>
        </w:tc>
        <w:tc>
          <w:tcPr>
            <w:tcW w:w="960" w:type="dxa"/>
            <w:vAlign w:val="bottom"/>
            <w:vMerge w:val="restart"/>
            <w:shd w:val="clear" w:color="auto" w:fill="4C4C4C"/>
          </w:tcPr>
          <w:p>
            <w:pPr>
              <w:jc w:val="right"/>
              <w:ind w:right="212"/>
              <w:spacing w:after="0" w:line="157" w:lineRule="exact"/>
              <w:rPr>
                <w:sz w:val="20"/>
                <w:szCs w:val="20"/>
                <w:color w:val="auto"/>
              </w:rPr>
            </w:pPr>
            <w:r>
              <w:rPr>
                <w:rFonts w:ascii="Times New Roman" w:cs="Times New Roman" w:eastAsia="Times New Roman" w:hAnsi="Times New Roman"/>
                <w:sz w:val="16"/>
                <w:szCs w:val="16"/>
                <w:b w:val="1"/>
                <w:bCs w:val="1"/>
                <w:color w:val="FFFFFF"/>
              </w:rPr>
              <w:t>Europe</w:t>
            </w:r>
          </w:p>
        </w:tc>
        <w:tc>
          <w:tcPr>
            <w:tcW w:w="1000" w:type="dxa"/>
            <w:vAlign w:val="bottom"/>
            <w:vMerge w:val="restart"/>
            <w:shd w:val="clear" w:color="auto" w:fill="4C4C4C"/>
          </w:tcPr>
          <w:p>
            <w:pPr>
              <w:jc w:val="right"/>
              <w:ind w:right="312"/>
              <w:spacing w:after="0" w:line="157" w:lineRule="exact"/>
              <w:rPr>
                <w:sz w:val="20"/>
                <w:szCs w:val="20"/>
                <w:color w:val="auto"/>
              </w:rPr>
            </w:pPr>
            <w:r>
              <w:rPr>
                <w:rFonts w:ascii="Times New Roman" w:cs="Times New Roman" w:eastAsia="Times New Roman" w:hAnsi="Times New Roman"/>
                <w:sz w:val="16"/>
                <w:szCs w:val="16"/>
                <w:b w:val="1"/>
                <w:bCs w:val="1"/>
                <w:color w:val="FFFFFF"/>
              </w:rPr>
              <w:t>Africa</w:t>
            </w:r>
          </w:p>
        </w:tc>
        <w:tc>
          <w:tcPr>
            <w:tcW w:w="840" w:type="dxa"/>
            <w:vAlign w:val="bottom"/>
            <w:vMerge w:val="restart"/>
            <w:shd w:val="clear" w:color="auto" w:fill="4C4C4C"/>
          </w:tcPr>
          <w:p>
            <w:pPr>
              <w:jc w:val="right"/>
              <w:ind w:right="272"/>
              <w:spacing w:after="0" w:line="157" w:lineRule="exact"/>
              <w:rPr>
                <w:sz w:val="20"/>
                <w:szCs w:val="20"/>
                <w:color w:val="auto"/>
              </w:rPr>
            </w:pPr>
            <w:r>
              <w:rPr>
                <w:rFonts w:ascii="Times New Roman" w:cs="Times New Roman" w:eastAsia="Times New Roman" w:hAnsi="Times New Roman"/>
                <w:sz w:val="16"/>
                <w:szCs w:val="16"/>
                <w:b w:val="1"/>
                <w:bCs w:val="1"/>
                <w:color w:val="FFFFFF"/>
              </w:rPr>
              <w:t>Asia</w:t>
            </w:r>
          </w:p>
        </w:tc>
        <w:tc>
          <w:tcPr>
            <w:tcW w:w="1000" w:type="dxa"/>
            <w:vAlign w:val="bottom"/>
            <w:vMerge w:val="continue"/>
            <w:shd w:val="clear" w:color="auto" w:fill="4C4C4C"/>
          </w:tcPr>
          <w:p>
            <w:pPr>
              <w:spacing w:after="0"/>
              <w:rPr>
                <w:sz w:val="7"/>
                <w:szCs w:val="7"/>
                <w:color w:val="auto"/>
              </w:rPr>
            </w:pPr>
          </w:p>
        </w:tc>
        <w:tc>
          <w:tcPr>
            <w:tcW w:w="800" w:type="dxa"/>
            <w:vAlign w:val="bottom"/>
            <w:vMerge w:val="restart"/>
            <w:shd w:val="clear" w:color="auto" w:fill="4C4C4C"/>
          </w:tcPr>
          <w:p>
            <w:pPr>
              <w:jc w:val="right"/>
              <w:ind w:right="172"/>
              <w:spacing w:after="0" w:line="157" w:lineRule="exact"/>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76"/>
        </w:trPr>
        <w:tc>
          <w:tcPr>
            <w:tcW w:w="388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1020" w:type="dxa"/>
            <w:vAlign w:val="bottom"/>
            <w:vMerge w:val="restart"/>
            <w:shd w:val="clear" w:color="auto" w:fill="4C4C4C"/>
          </w:tcPr>
          <w:p>
            <w:pPr>
              <w:jc w:val="right"/>
              <w:ind w:right="212"/>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980" w:type="dxa"/>
            <w:vAlign w:val="bottom"/>
            <w:vMerge w:val="continue"/>
            <w:shd w:val="clear" w:color="auto" w:fill="4C4C4C"/>
          </w:tcPr>
          <w:p>
            <w:pPr>
              <w:spacing w:after="0"/>
              <w:rPr>
                <w:sz w:val="6"/>
                <w:szCs w:val="6"/>
                <w:color w:val="auto"/>
              </w:rPr>
            </w:pPr>
          </w:p>
        </w:tc>
        <w:tc>
          <w:tcPr>
            <w:tcW w:w="960" w:type="dxa"/>
            <w:vAlign w:val="bottom"/>
            <w:vMerge w:val="continue"/>
            <w:shd w:val="clear" w:color="auto" w:fill="4C4C4C"/>
          </w:tcPr>
          <w:p>
            <w:pPr>
              <w:spacing w:after="0"/>
              <w:rPr>
                <w:sz w:val="6"/>
                <w:szCs w:val="6"/>
                <w:color w:val="auto"/>
              </w:rPr>
            </w:pPr>
          </w:p>
        </w:tc>
        <w:tc>
          <w:tcPr>
            <w:tcW w:w="1000" w:type="dxa"/>
            <w:vAlign w:val="bottom"/>
            <w:vMerge w:val="continue"/>
            <w:shd w:val="clear" w:color="auto" w:fill="4C4C4C"/>
          </w:tcPr>
          <w:p>
            <w:pPr>
              <w:spacing w:after="0"/>
              <w:rPr>
                <w:sz w:val="6"/>
                <w:szCs w:val="6"/>
                <w:color w:val="auto"/>
              </w:rPr>
            </w:pPr>
          </w:p>
        </w:tc>
        <w:tc>
          <w:tcPr>
            <w:tcW w:w="840" w:type="dxa"/>
            <w:vAlign w:val="bottom"/>
            <w:vMerge w:val="continue"/>
            <w:shd w:val="clear" w:color="auto" w:fill="4C4C4C"/>
          </w:tcPr>
          <w:p>
            <w:pPr>
              <w:spacing w:after="0"/>
              <w:rPr>
                <w:sz w:val="6"/>
                <w:szCs w:val="6"/>
                <w:color w:val="auto"/>
              </w:rPr>
            </w:pPr>
          </w:p>
        </w:tc>
        <w:tc>
          <w:tcPr>
            <w:tcW w:w="1000" w:type="dxa"/>
            <w:vAlign w:val="bottom"/>
            <w:vMerge w:val="restart"/>
            <w:shd w:val="clear" w:color="auto" w:fill="4C4C4C"/>
          </w:tcPr>
          <w:p>
            <w:pPr>
              <w:jc w:val="right"/>
              <w:ind w:right="212"/>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800" w:type="dxa"/>
            <w:vAlign w:val="bottom"/>
            <w:vMerge w:val="continue"/>
            <w:shd w:val="clear" w:color="auto" w:fill="4C4C4C"/>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880" w:type="dxa"/>
            <w:vAlign w:val="bottom"/>
            <w:vMerge w:val="continue"/>
            <w:shd w:val="clear" w:color="auto" w:fill="4C4C4C"/>
          </w:tcPr>
          <w:p>
            <w:pPr>
              <w:spacing w:after="0"/>
              <w:rPr>
                <w:sz w:val="11"/>
                <w:szCs w:val="11"/>
                <w:color w:val="auto"/>
              </w:rPr>
            </w:pPr>
          </w:p>
        </w:tc>
        <w:tc>
          <w:tcPr>
            <w:tcW w:w="1020" w:type="dxa"/>
            <w:vAlign w:val="bottom"/>
            <w:vMerge w:val="continue"/>
            <w:shd w:val="clear" w:color="auto" w:fill="4C4C4C"/>
          </w:tcPr>
          <w:p>
            <w:pPr>
              <w:spacing w:after="0"/>
              <w:rPr>
                <w:sz w:val="11"/>
                <w:szCs w:val="11"/>
                <w:color w:val="auto"/>
              </w:rPr>
            </w:pPr>
          </w:p>
        </w:tc>
        <w:tc>
          <w:tcPr>
            <w:tcW w:w="980" w:type="dxa"/>
            <w:vAlign w:val="bottom"/>
            <w:vMerge w:val="restart"/>
            <w:shd w:val="clear" w:color="auto" w:fill="4C4C4C"/>
          </w:tcPr>
          <w:p>
            <w:pPr>
              <w:jc w:val="center"/>
              <w:ind w:right="13"/>
              <w:spacing w:after="0"/>
              <w:rPr>
                <w:sz w:val="20"/>
                <w:szCs w:val="20"/>
                <w:color w:val="auto"/>
              </w:rPr>
            </w:pPr>
            <w:r>
              <w:rPr>
                <w:rFonts w:ascii="Times New Roman" w:cs="Times New Roman" w:eastAsia="Times New Roman" w:hAnsi="Times New Roman"/>
                <w:sz w:val="16"/>
                <w:szCs w:val="16"/>
                <w:b w:val="1"/>
                <w:bCs w:val="1"/>
                <w:color w:val="FFFFFF"/>
                <w:w w:val="98"/>
              </w:rPr>
              <w:t>Americas</w:t>
            </w:r>
          </w:p>
        </w:tc>
        <w:tc>
          <w:tcPr>
            <w:tcW w:w="960" w:type="dxa"/>
            <w:vAlign w:val="bottom"/>
            <w:shd w:val="clear" w:color="auto" w:fill="4C4C4C"/>
          </w:tcPr>
          <w:p>
            <w:pPr>
              <w:spacing w:after="0"/>
              <w:rPr>
                <w:sz w:val="11"/>
                <w:szCs w:val="11"/>
                <w:color w:val="auto"/>
              </w:rPr>
            </w:pPr>
          </w:p>
        </w:tc>
        <w:tc>
          <w:tcPr>
            <w:tcW w:w="1000" w:type="dxa"/>
            <w:vAlign w:val="bottom"/>
            <w:shd w:val="clear" w:color="auto" w:fill="4C4C4C"/>
          </w:tcPr>
          <w:p>
            <w:pPr>
              <w:spacing w:after="0"/>
              <w:rPr>
                <w:sz w:val="11"/>
                <w:szCs w:val="11"/>
                <w:color w:val="auto"/>
              </w:rPr>
            </w:pPr>
          </w:p>
        </w:tc>
        <w:tc>
          <w:tcPr>
            <w:tcW w:w="840" w:type="dxa"/>
            <w:vAlign w:val="bottom"/>
            <w:shd w:val="clear" w:color="auto" w:fill="4C4C4C"/>
          </w:tcPr>
          <w:p>
            <w:pPr>
              <w:spacing w:after="0"/>
              <w:rPr>
                <w:sz w:val="11"/>
                <w:szCs w:val="11"/>
                <w:color w:val="auto"/>
              </w:rPr>
            </w:pPr>
          </w:p>
        </w:tc>
        <w:tc>
          <w:tcPr>
            <w:tcW w:w="1000" w:type="dxa"/>
            <w:vAlign w:val="bottom"/>
            <w:vMerge w:val="continue"/>
            <w:shd w:val="clear" w:color="auto" w:fill="4C4C4C"/>
          </w:tcPr>
          <w:p>
            <w:pPr>
              <w:spacing w:after="0"/>
              <w:rPr>
                <w:sz w:val="11"/>
                <w:szCs w:val="11"/>
                <w:color w:val="auto"/>
              </w:rPr>
            </w:pPr>
          </w:p>
        </w:tc>
        <w:tc>
          <w:tcPr>
            <w:tcW w:w="800" w:type="dxa"/>
            <w:vAlign w:val="bottom"/>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80" w:type="dxa"/>
            <w:vAlign w:val="bottom"/>
            <w:shd w:val="clear" w:color="auto" w:fill="4C4C4C"/>
          </w:tcPr>
          <w:p>
            <w:pPr>
              <w:spacing w:after="0"/>
              <w:rPr>
                <w:sz w:val="6"/>
                <w:szCs w:val="6"/>
                <w:color w:val="auto"/>
              </w:rPr>
            </w:pPr>
          </w:p>
        </w:tc>
        <w:tc>
          <w:tcPr>
            <w:tcW w:w="1020" w:type="dxa"/>
            <w:vAlign w:val="bottom"/>
            <w:shd w:val="clear" w:color="auto" w:fill="4C4C4C"/>
          </w:tcPr>
          <w:p>
            <w:pPr>
              <w:spacing w:after="0"/>
              <w:rPr>
                <w:sz w:val="6"/>
                <w:szCs w:val="6"/>
                <w:color w:val="auto"/>
              </w:rPr>
            </w:pPr>
          </w:p>
        </w:tc>
        <w:tc>
          <w:tcPr>
            <w:tcW w:w="980" w:type="dxa"/>
            <w:vAlign w:val="bottom"/>
            <w:vMerge w:val="continue"/>
            <w:shd w:val="clear" w:color="auto" w:fill="4C4C4C"/>
          </w:tcPr>
          <w:p>
            <w:pPr>
              <w:spacing w:after="0"/>
              <w:rPr>
                <w:sz w:val="6"/>
                <w:szCs w:val="6"/>
                <w:color w:val="auto"/>
              </w:rPr>
            </w:pPr>
          </w:p>
        </w:tc>
        <w:tc>
          <w:tcPr>
            <w:tcW w:w="960" w:type="dxa"/>
            <w:vAlign w:val="bottom"/>
            <w:shd w:val="clear" w:color="auto" w:fill="4C4C4C"/>
          </w:tcPr>
          <w:p>
            <w:pPr>
              <w:spacing w:after="0"/>
              <w:rPr>
                <w:sz w:val="6"/>
                <w:szCs w:val="6"/>
                <w:color w:val="auto"/>
              </w:rPr>
            </w:pPr>
          </w:p>
        </w:tc>
        <w:tc>
          <w:tcPr>
            <w:tcW w:w="1000" w:type="dxa"/>
            <w:vAlign w:val="bottom"/>
            <w:shd w:val="clear" w:color="auto" w:fill="4C4C4C"/>
          </w:tcPr>
          <w:p>
            <w:pPr>
              <w:spacing w:after="0"/>
              <w:rPr>
                <w:sz w:val="6"/>
                <w:szCs w:val="6"/>
                <w:color w:val="auto"/>
              </w:rPr>
            </w:pPr>
          </w:p>
        </w:tc>
        <w:tc>
          <w:tcPr>
            <w:tcW w:w="840" w:type="dxa"/>
            <w:vAlign w:val="bottom"/>
            <w:shd w:val="clear" w:color="auto" w:fill="4C4C4C"/>
          </w:tcPr>
          <w:p>
            <w:pPr>
              <w:spacing w:after="0"/>
              <w:rPr>
                <w:sz w:val="6"/>
                <w:szCs w:val="6"/>
                <w:color w:val="auto"/>
              </w:rPr>
            </w:pPr>
          </w:p>
        </w:tc>
        <w:tc>
          <w:tcPr>
            <w:tcW w:w="1000" w:type="dxa"/>
            <w:vAlign w:val="bottom"/>
            <w:shd w:val="clear" w:color="auto" w:fill="4C4C4C"/>
          </w:tcPr>
          <w:p>
            <w:pPr>
              <w:spacing w:after="0"/>
              <w:rPr>
                <w:sz w:val="6"/>
                <w:szCs w:val="6"/>
                <w:color w:val="auto"/>
              </w:rPr>
            </w:pPr>
          </w:p>
        </w:tc>
        <w:tc>
          <w:tcPr>
            <w:tcW w:w="800" w:type="dxa"/>
            <w:vAlign w:val="bottom"/>
            <w:shd w:val="clear" w:color="auto" w:fill="4C4C4C"/>
          </w:tcPr>
          <w:p>
            <w:pPr>
              <w:spacing w:after="0"/>
              <w:rPr>
                <w:sz w:val="6"/>
                <w:szCs w:val="6"/>
                <w:color w:val="auto"/>
              </w:rPr>
            </w:pPr>
          </w:p>
        </w:tc>
        <w:tc>
          <w:tcPr>
            <w:tcW w:w="0" w:type="dxa"/>
            <w:vAlign w:val="bottom"/>
          </w:tcPr>
          <w:p>
            <w:pPr>
              <w:spacing w:after="0"/>
              <w:rPr>
                <w:sz w:val="1"/>
                <w:szCs w:val="1"/>
                <w:color w:val="auto"/>
              </w:rPr>
            </w:pPr>
          </w:p>
        </w:tc>
      </w:tr>
      <w:tr>
        <w:trPr>
          <w:trHeight w:val="3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2022</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to third parties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8,801</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4,401</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2,388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463</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2,710</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6,222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Transfers</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17,020</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12,568</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8,634</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12,274</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996</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51,552</w:t>
            </w:r>
          </w:p>
        </w:tc>
        <w:tc>
          <w:tcPr>
            <w:tcW w:w="0" w:type="dxa"/>
            <w:vAlign w:val="bottom"/>
          </w:tcPr>
          <w:p>
            <w:pPr>
              <w:spacing w:after="0"/>
              <w:rPr>
                <w:sz w:val="1"/>
                <w:szCs w:val="1"/>
                <w:color w:val="auto"/>
              </w:rPr>
            </w:pPr>
          </w:p>
        </w:tc>
      </w:tr>
      <w:tr>
        <w:trPr>
          <w:trHeight w:val="232"/>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25,821</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16,969</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2,448</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9,097</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14,984</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7,218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76,537</w:t>
            </w:r>
          </w:p>
        </w:tc>
        <w:tc>
          <w:tcPr>
            <w:tcW w:w="0" w:type="dxa"/>
            <w:vAlign w:val="bottom"/>
          </w:tcPr>
          <w:p>
            <w:pPr>
              <w:spacing w:after="0"/>
              <w:rPr>
                <w:sz w:val="1"/>
                <w:szCs w:val="1"/>
                <w:color w:val="auto"/>
              </w:rPr>
            </w:pPr>
          </w:p>
        </w:tc>
      </w:tr>
      <w:tr>
        <w:trPr>
          <w:trHeight w:val="225"/>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Production costs excluding taxes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3,965</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5,519</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464</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1,965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1,492</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0" w:type="dxa"/>
            <w:vAlign w:val="bottom"/>
          </w:tcPr>
          <w:p>
            <w:pPr>
              <w:spacing w:after="0"/>
              <w:rPr>
                <w:sz w:val="1"/>
                <w:szCs w:val="1"/>
                <w:color w:val="auto"/>
              </w:rPr>
            </w:pPr>
          </w:p>
        </w:tc>
      </w:tr>
      <w:tr>
        <w:trPr>
          <w:trHeight w:val="24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698</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168</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5,472</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3,700</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193</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2,293</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5,672</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2,314</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120</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140</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729</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2,312</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689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Related income tax</w:t>
            </w:r>
          </w:p>
        </w:tc>
        <w:tc>
          <w:tcPr>
            <w:tcW w:w="10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3,294</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1,112</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1,048</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2,004</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6,008</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1,549</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0" w:type="dxa"/>
            <w:vAlign w:val="bottom"/>
          </w:tcPr>
          <w:p>
            <w:pPr>
              <w:spacing w:after="0"/>
              <w:rPr>
                <w:sz w:val="1"/>
                <w:szCs w:val="1"/>
                <w:color w:val="auto"/>
              </w:rPr>
            </w:pPr>
          </w:p>
        </w:tc>
      </w:tr>
      <w:tr>
        <w:trPr>
          <w:trHeight w:val="168"/>
        </w:trPr>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8"/>
                <w:szCs w:val="18"/>
                <w:b w:val="1"/>
                <w:bCs w:val="1"/>
                <w:color w:val="auto"/>
              </w:rPr>
              <w:t>Results of producing activities for consolidated</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10,758</w:t>
            </w:r>
          </w:p>
        </w:tc>
        <w:tc>
          <w:tcPr>
            <w:tcW w:w="98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5,820</w:t>
            </w: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1,938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3,576</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22,116</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020" w:type="dxa"/>
            <w:vAlign w:val="bottom"/>
            <w:tcBorders>
              <w:bottom w:val="single" w:sz="8" w:color="4C4C4C"/>
            </w:tcBorders>
            <w:vMerge w:val="continue"/>
          </w:tcPr>
          <w:p>
            <w:pPr>
              <w:spacing w:after="0"/>
              <w:rPr>
                <w:sz w:val="20"/>
                <w:szCs w:val="20"/>
                <w:color w:val="auto"/>
              </w:rPr>
            </w:pPr>
          </w:p>
        </w:tc>
        <w:tc>
          <w:tcPr>
            <w:tcW w:w="98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4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00" w:type="dxa"/>
            <w:vAlign w:val="bottom"/>
            <w:tcBorders>
              <w:bottom w:val="single" w:sz="8" w:color="4C4C4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to third parties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820</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2,791</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20,750</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24,371</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Transfers</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640</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316</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2"/>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1,460</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2,842</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21,066</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25,378</w:t>
            </w:r>
          </w:p>
        </w:tc>
        <w:tc>
          <w:tcPr>
            <w:tcW w:w="0" w:type="dxa"/>
            <w:vAlign w:val="bottom"/>
          </w:tcPr>
          <w:p>
            <w:pPr>
              <w:spacing w:after="0"/>
              <w:rPr>
                <w:sz w:val="1"/>
                <w:szCs w:val="1"/>
                <w:color w:val="auto"/>
              </w:rPr>
            </w:pPr>
          </w:p>
        </w:tc>
      </w:tr>
      <w:tr>
        <w:trPr>
          <w:trHeight w:val="225"/>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Production costs excluding taxes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607</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379</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4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717</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232</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6,857</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Related income tax</w:t>
            </w:r>
          </w:p>
        </w:tc>
        <w:tc>
          <w:tcPr>
            <w:tcW w:w="10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1,413</w:t>
            </w:r>
          </w:p>
        </w:tc>
        <w:tc>
          <w:tcPr>
            <w:tcW w:w="100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4,559</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168"/>
        </w:trPr>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8"/>
                <w:szCs w:val="18"/>
                <w:b w:val="1"/>
                <w:bCs w:val="1"/>
                <w:color w:val="auto"/>
              </w:rPr>
              <w:t>Results of producing activities for equity</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476</w:t>
            </w:r>
          </w:p>
        </w:tc>
        <w:tc>
          <w:tcPr>
            <w:tcW w:w="98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541</w:t>
            </w:r>
          </w:p>
        </w:tc>
        <w:tc>
          <w:tcPr>
            <w:tcW w:w="10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8,554</w:t>
            </w: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9,561</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020" w:type="dxa"/>
            <w:vAlign w:val="bottom"/>
            <w:tcBorders>
              <w:bottom w:val="single" w:sz="8" w:color="4C4C4C"/>
            </w:tcBorders>
            <w:vMerge w:val="continue"/>
          </w:tcPr>
          <w:p>
            <w:pPr>
              <w:spacing w:after="0"/>
              <w:rPr>
                <w:sz w:val="20"/>
                <w:szCs w:val="20"/>
                <w:color w:val="auto"/>
              </w:rPr>
            </w:pPr>
          </w:p>
        </w:tc>
        <w:tc>
          <w:tcPr>
            <w:tcW w:w="98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4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00" w:type="dxa"/>
            <w:vAlign w:val="bottom"/>
            <w:tcBorders>
              <w:bottom w:val="single" w:sz="8" w:color="4C4C4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4C4C4C"/>
            </w:tcBorders>
          </w:tcPr>
          <w:p>
            <w:pPr>
              <w:spacing w:after="0"/>
              <w:rPr>
                <w:sz w:val="7"/>
                <w:szCs w:val="7"/>
                <w:color w:val="auto"/>
              </w:rPr>
            </w:pPr>
          </w:p>
        </w:tc>
        <w:tc>
          <w:tcPr>
            <w:tcW w:w="1020" w:type="dxa"/>
            <w:vAlign w:val="bottom"/>
            <w:tcBorders>
              <w:bottom w:val="single" w:sz="8" w:color="4C4C4C"/>
            </w:tcBorders>
          </w:tcPr>
          <w:p>
            <w:pPr>
              <w:spacing w:after="0"/>
              <w:rPr>
                <w:sz w:val="7"/>
                <w:szCs w:val="7"/>
                <w:color w:val="auto"/>
              </w:rPr>
            </w:pPr>
          </w:p>
        </w:tc>
        <w:tc>
          <w:tcPr>
            <w:tcW w:w="980" w:type="dxa"/>
            <w:vAlign w:val="bottom"/>
            <w:tcBorders>
              <w:bottom w:val="single" w:sz="8" w:color="4C4C4C"/>
            </w:tcBorders>
          </w:tcPr>
          <w:p>
            <w:pPr>
              <w:spacing w:after="0"/>
              <w:rPr>
                <w:sz w:val="7"/>
                <w:szCs w:val="7"/>
                <w:color w:val="auto"/>
              </w:rPr>
            </w:pPr>
          </w:p>
        </w:tc>
        <w:tc>
          <w:tcPr>
            <w:tcW w:w="960" w:type="dxa"/>
            <w:vAlign w:val="bottom"/>
            <w:tcBorders>
              <w:bottom w:val="single" w:sz="8" w:color="4C4C4C"/>
            </w:tcBorders>
          </w:tcPr>
          <w:p>
            <w:pPr>
              <w:spacing w:after="0"/>
              <w:rPr>
                <w:sz w:val="7"/>
                <w:szCs w:val="7"/>
                <w:color w:val="auto"/>
              </w:rPr>
            </w:pPr>
          </w:p>
        </w:tc>
        <w:tc>
          <w:tcPr>
            <w:tcW w:w="1000" w:type="dxa"/>
            <w:vAlign w:val="bottom"/>
            <w:tcBorders>
              <w:bottom w:val="single" w:sz="8" w:color="4C4C4C"/>
            </w:tcBorders>
          </w:tcPr>
          <w:p>
            <w:pPr>
              <w:spacing w:after="0"/>
              <w:rPr>
                <w:sz w:val="7"/>
                <w:szCs w:val="7"/>
                <w:color w:val="auto"/>
              </w:rPr>
            </w:pPr>
          </w:p>
        </w:tc>
        <w:tc>
          <w:tcPr>
            <w:tcW w:w="840" w:type="dxa"/>
            <w:vAlign w:val="bottom"/>
            <w:tcBorders>
              <w:bottom w:val="single" w:sz="8" w:color="4C4C4C"/>
            </w:tcBorders>
          </w:tcPr>
          <w:p>
            <w:pPr>
              <w:spacing w:after="0"/>
              <w:rPr>
                <w:sz w:val="7"/>
                <w:szCs w:val="7"/>
                <w:color w:val="auto"/>
              </w:rPr>
            </w:pPr>
          </w:p>
        </w:tc>
        <w:tc>
          <w:tcPr>
            <w:tcW w:w="1000" w:type="dxa"/>
            <w:vAlign w:val="bottom"/>
            <w:tcBorders>
              <w:bottom w:val="single" w:sz="8" w:color="4C4C4C"/>
            </w:tcBorders>
          </w:tcPr>
          <w:p>
            <w:pPr>
              <w:spacing w:after="0"/>
              <w:rPr>
                <w:sz w:val="7"/>
                <w:szCs w:val="7"/>
                <w:color w:val="auto"/>
              </w:rPr>
            </w:pPr>
          </w:p>
        </w:tc>
        <w:tc>
          <w:tcPr>
            <w:tcW w:w="80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results of operations</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11,234</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5,820</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1,116</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1,928</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8,003</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3,576</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31,677</w:t>
            </w:r>
          </w:p>
        </w:tc>
        <w:tc>
          <w:tcPr>
            <w:tcW w:w="0" w:type="dxa"/>
            <w:vAlign w:val="bottom"/>
          </w:tcPr>
          <w:p>
            <w:pPr>
              <w:spacing w:after="0"/>
              <w:rPr>
                <w:sz w:val="1"/>
                <w:szCs w:val="1"/>
                <w:color w:val="auto"/>
              </w:rPr>
            </w:pPr>
          </w:p>
        </w:tc>
      </w:tr>
      <w:tr>
        <w:trPr>
          <w:trHeight w:val="51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2021</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to third parties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5,797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2,480</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1,628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253</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2,110</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3,182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Transfers</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10,938</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8,492</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412</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6,087</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8,829</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812</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35,570</w:t>
            </w:r>
          </w:p>
        </w:tc>
        <w:tc>
          <w:tcPr>
            <w:tcW w:w="0" w:type="dxa"/>
            <w:vAlign w:val="bottom"/>
          </w:tcPr>
          <w:p>
            <w:pPr>
              <w:spacing w:after="0"/>
              <w:rPr>
                <w:sz w:val="1"/>
                <w:szCs w:val="1"/>
                <w:color w:val="auto"/>
              </w:rPr>
            </w:pPr>
          </w:p>
        </w:tc>
      </w:tr>
      <w:tr>
        <w:trPr>
          <w:trHeight w:val="232"/>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16,735</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10,972</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2,040</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6,340</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10,939</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3,994</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51,020</w:t>
            </w:r>
          </w:p>
        </w:tc>
        <w:tc>
          <w:tcPr>
            <w:tcW w:w="0" w:type="dxa"/>
            <w:vAlign w:val="bottom"/>
          </w:tcPr>
          <w:p>
            <w:pPr>
              <w:spacing w:after="0"/>
              <w:rPr>
                <w:sz w:val="1"/>
                <w:szCs w:val="1"/>
                <w:color w:val="auto"/>
              </w:rPr>
            </w:pPr>
          </w:p>
        </w:tc>
      </w:tr>
      <w:tr>
        <w:trPr>
          <w:trHeight w:val="225"/>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Production costs excluding taxes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3,436</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4,867</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754</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1,759</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1,471</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0" w:type="dxa"/>
            <w:vAlign w:val="bottom"/>
          </w:tcPr>
          <w:p>
            <w:pPr>
              <w:spacing w:after="0"/>
              <w:rPr>
                <w:sz w:val="1"/>
                <w:szCs w:val="1"/>
                <w:color w:val="auto"/>
              </w:rPr>
            </w:pPr>
          </w:p>
        </w:tc>
      </w:tr>
      <w:tr>
        <w:trPr>
          <w:trHeight w:val="24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464</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359</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146</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6,185</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2,690</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2,799</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1,965</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1,002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490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1,258</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Related income tax</w:t>
            </w:r>
          </w:p>
        </w:tc>
        <w:tc>
          <w:tcPr>
            <w:tcW w:w="10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1,276</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311</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3,858</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610</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168"/>
        </w:trPr>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8"/>
                <w:szCs w:val="18"/>
                <w:b w:val="1"/>
                <w:bCs w:val="1"/>
                <w:color w:val="auto"/>
              </w:rPr>
              <w:t>Results of producing activities for consolidated</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4,452</w:t>
            </w:r>
          </w:p>
        </w:tc>
        <w:tc>
          <w:tcPr>
            <w:tcW w:w="98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2,783</w:t>
            </w: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606</w:t>
            </w:r>
          </w:p>
        </w:tc>
        <w:tc>
          <w:tcPr>
            <w:tcW w:w="1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622</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2,241</w:t>
            </w: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1,438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12,142</w:t>
            </w:r>
          </w:p>
        </w:tc>
        <w:tc>
          <w:tcPr>
            <w:tcW w:w="0" w:type="dxa"/>
            <w:vAlign w:val="bottom"/>
          </w:tcPr>
          <w:p>
            <w:pPr>
              <w:spacing w:after="0"/>
              <w:rPr>
                <w:sz w:val="1"/>
                <w:szCs w:val="1"/>
                <w:color w:val="auto"/>
              </w:rPr>
            </w:pPr>
          </w:p>
        </w:tc>
      </w:tr>
      <w:tr>
        <w:trPr>
          <w:trHeight w:val="240"/>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020" w:type="dxa"/>
            <w:vAlign w:val="bottom"/>
            <w:tcBorders>
              <w:bottom w:val="single" w:sz="8" w:color="4C4C4C"/>
            </w:tcBorders>
            <w:vMerge w:val="continue"/>
          </w:tcPr>
          <w:p>
            <w:pPr>
              <w:spacing w:after="0"/>
              <w:rPr>
                <w:sz w:val="20"/>
                <w:szCs w:val="20"/>
                <w:color w:val="auto"/>
              </w:rPr>
            </w:pPr>
          </w:p>
        </w:tc>
        <w:tc>
          <w:tcPr>
            <w:tcW w:w="98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4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00" w:type="dxa"/>
            <w:vAlign w:val="bottom"/>
            <w:tcBorders>
              <w:bottom w:val="single" w:sz="8" w:color="4C4C4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to third parties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620</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1,332</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12,239</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Transfers</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479</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151</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2"/>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1,099</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1,365</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12,390</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0" w:type="dxa"/>
            <w:vAlign w:val="bottom"/>
          </w:tcPr>
          <w:p>
            <w:pPr>
              <w:spacing w:after="0"/>
              <w:rPr>
                <w:sz w:val="1"/>
                <w:szCs w:val="1"/>
                <w:color w:val="auto"/>
              </w:rPr>
            </w:pPr>
          </w:p>
        </w:tc>
      </w:tr>
      <w:tr>
        <w:trPr>
          <w:trHeight w:val="225"/>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Production costs excluding taxes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538</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1,065</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4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509</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611</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5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3,749</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color w:val="auto"/>
              </w:rPr>
              <w:t>Related income tax</w:t>
            </w:r>
          </w:p>
        </w:tc>
        <w:tc>
          <w:tcPr>
            <w:tcW w:w="10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color w:val="auto"/>
              </w:rPr>
              <w:t>2,652</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168"/>
        </w:trPr>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8"/>
                <w:szCs w:val="18"/>
                <w:b w:val="1"/>
                <w:bCs w:val="1"/>
                <w:color w:val="auto"/>
              </w:rPr>
              <w:t>Results of producing activities for equity</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19</w:t>
            </w:r>
          </w:p>
        </w:tc>
        <w:tc>
          <w:tcPr>
            <w:tcW w:w="98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43</w:t>
            </w:r>
          </w:p>
        </w:tc>
        <w:tc>
          <w:tcPr>
            <w:tcW w:w="10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4,965</w:t>
            </w: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0" w:type="dxa"/>
            <w:vAlign w:val="bottom"/>
          </w:tcPr>
          <w:p>
            <w:pPr>
              <w:spacing w:after="0"/>
              <w:rPr>
                <w:sz w:val="1"/>
                <w:szCs w:val="1"/>
                <w:color w:val="auto"/>
              </w:rPr>
            </w:pPr>
          </w:p>
        </w:tc>
      </w:tr>
      <w:tr>
        <w:trPr>
          <w:trHeight w:val="240"/>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020" w:type="dxa"/>
            <w:vAlign w:val="bottom"/>
            <w:tcBorders>
              <w:bottom w:val="single" w:sz="8" w:color="4C4C4C"/>
            </w:tcBorders>
            <w:vMerge w:val="continue"/>
          </w:tcPr>
          <w:p>
            <w:pPr>
              <w:spacing w:after="0"/>
              <w:rPr>
                <w:sz w:val="20"/>
                <w:szCs w:val="20"/>
                <w:color w:val="auto"/>
              </w:rPr>
            </w:pPr>
          </w:p>
        </w:tc>
        <w:tc>
          <w:tcPr>
            <w:tcW w:w="980" w:type="dxa"/>
            <w:vAlign w:val="bottom"/>
            <w:tcBorders>
              <w:bottom w:val="single" w:sz="8" w:color="4C4C4C"/>
            </w:tcBorders>
            <w:vMerge w:val="continue"/>
          </w:tcPr>
          <w:p>
            <w:pPr>
              <w:spacing w:after="0"/>
              <w:rPr>
                <w:sz w:val="20"/>
                <w:szCs w:val="20"/>
                <w:color w:val="auto"/>
              </w:rPr>
            </w:pPr>
          </w:p>
        </w:tc>
        <w:tc>
          <w:tcPr>
            <w:tcW w:w="96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40" w:type="dxa"/>
            <w:vAlign w:val="bottom"/>
            <w:tcBorders>
              <w:bottom w:val="single" w:sz="8" w:color="4C4C4C"/>
            </w:tcBorders>
            <w:vMerge w:val="continue"/>
          </w:tcPr>
          <w:p>
            <w:pPr>
              <w:spacing w:after="0"/>
              <w:rPr>
                <w:sz w:val="20"/>
                <w:szCs w:val="20"/>
                <w:color w:val="auto"/>
              </w:rPr>
            </w:pPr>
          </w:p>
        </w:tc>
        <w:tc>
          <w:tcPr>
            <w:tcW w:w="1000" w:type="dxa"/>
            <w:vAlign w:val="bottom"/>
            <w:tcBorders>
              <w:bottom w:val="single" w:sz="8" w:color="4C4C4C"/>
            </w:tcBorders>
            <w:vMerge w:val="continue"/>
          </w:tcPr>
          <w:p>
            <w:pPr>
              <w:spacing w:after="0"/>
              <w:rPr>
                <w:sz w:val="20"/>
                <w:szCs w:val="20"/>
                <w:color w:val="auto"/>
              </w:rPr>
            </w:pPr>
          </w:p>
        </w:tc>
        <w:tc>
          <w:tcPr>
            <w:tcW w:w="800" w:type="dxa"/>
            <w:vAlign w:val="bottom"/>
            <w:tcBorders>
              <w:bottom w:val="single" w:sz="8" w:color="4C4C4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4C4C4C"/>
            </w:tcBorders>
          </w:tcPr>
          <w:p>
            <w:pPr>
              <w:spacing w:after="0"/>
              <w:rPr>
                <w:sz w:val="7"/>
                <w:szCs w:val="7"/>
                <w:color w:val="auto"/>
              </w:rPr>
            </w:pPr>
          </w:p>
        </w:tc>
        <w:tc>
          <w:tcPr>
            <w:tcW w:w="1020" w:type="dxa"/>
            <w:vAlign w:val="bottom"/>
            <w:tcBorders>
              <w:bottom w:val="single" w:sz="8" w:color="4C4C4C"/>
            </w:tcBorders>
          </w:tcPr>
          <w:p>
            <w:pPr>
              <w:spacing w:after="0"/>
              <w:rPr>
                <w:sz w:val="7"/>
                <w:szCs w:val="7"/>
                <w:color w:val="auto"/>
              </w:rPr>
            </w:pPr>
          </w:p>
        </w:tc>
        <w:tc>
          <w:tcPr>
            <w:tcW w:w="980" w:type="dxa"/>
            <w:vAlign w:val="bottom"/>
            <w:tcBorders>
              <w:bottom w:val="single" w:sz="8" w:color="4C4C4C"/>
            </w:tcBorders>
          </w:tcPr>
          <w:p>
            <w:pPr>
              <w:spacing w:after="0"/>
              <w:rPr>
                <w:sz w:val="7"/>
                <w:szCs w:val="7"/>
                <w:color w:val="auto"/>
              </w:rPr>
            </w:pPr>
          </w:p>
        </w:tc>
        <w:tc>
          <w:tcPr>
            <w:tcW w:w="960" w:type="dxa"/>
            <w:vAlign w:val="bottom"/>
            <w:tcBorders>
              <w:bottom w:val="single" w:sz="8" w:color="4C4C4C"/>
            </w:tcBorders>
          </w:tcPr>
          <w:p>
            <w:pPr>
              <w:spacing w:after="0"/>
              <w:rPr>
                <w:sz w:val="7"/>
                <w:szCs w:val="7"/>
                <w:color w:val="auto"/>
              </w:rPr>
            </w:pPr>
          </w:p>
        </w:tc>
        <w:tc>
          <w:tcPr>
            <w:tcW w:w="1000" w:type="dxa"/>
            <w:vAlign w:val="bottom"/>
            <w:tcBorders>
              <w:bottom w:val="single" w:sz="8" w:color="4C4C4C"/>
            </w:tcBorders>
          </w:tcPr>
          <w:p>
            <w:pPr>
              <w:spacing w:after="0"/>
              <w:rPr>
                <w:sz w:val="7"/>
                <w:szCs w:val="7"/>
                <w:color w:val="auto"/>
              </w:rPr>
            </w:pPr>
          </w:p>
        </w:tc>
        <w:tc>
          <w:tcPr>
            <w:tcW w:w="840" w:type="dxa"/>
            <w:vAlign w:val="bottom"/>
            <w:tcBorders>
              <w:bottom w:val="single" w:sz="8" w:color="4C4C4C"/>
            </w:tcBorders>
          </w:tcPr>
          <w:p>
            <w:pPr>
              <w:spacing w:after="0"/>
              <w:rPr>
                <w:sz w:val="7"/>
                <w:szCs w:val="7"/>
                <w:color w:val="auto"/>
              </w:rPr>
            </w:pPr>
          </w:p>
        </w:tc>
        <w:tc>
          <w:tcPr>
            <w:tcW w:w="1000" w:type="dxa"/>
            <w:vAlign w:val="bottom"/>
            <w:tcBorders>
              <w:bottom w:val="single" w:sz="8" w:color="4C4C4C"/>
            </w:tcBorders>
          </w:tcPr>
          <w:p>
            <w:pPr>
              <w:spacing w:after="0"/>
              <w:rPr>
                <w:sz w:val="7"/>
                <w:szCs w:val="7"/>
                <w:color w:val="auto"/>
              </w:rPr>
            </w:pPr>
          </w:p>
        </w:tc>
        <w:tc>
          <w:tcPr>
            <w:tcW w:w="80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results of operations</w:t>
            </w:r>
          </w:p>
        </w:tc>
        <w:tc>
          <w:tcPr>
            <w:tcW w:w="102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4,471</w:t>
            </w:r>
          </w:p>
        </w:tc>
        <w:tc>
          <w:tcPr>
            <w:tcW w:w="98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2,783</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649</w:t>
            </w:r>
          </w:p>
        </w:tc>
        <w:tc>
          <w:tcPr>
            <w:tcW w:w="1000" w:type="dxa"/>
            <w:vAlign w:val="bottom"/>
            <w:tcBorders>
              <w:bottom w:val="single" w:sz="8" w:color="4C4C4C"/>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608</w:t>
            </w:r>
          </w:p>
        </w:tc>
        <w:tc>
          <w:tcPr>
            <w:tcW w:w="84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7,206</w:t>
            </w:r>
          </w:p>
        </w:tc>
        <w:tc>
          <w:tcPr>
            <w:tcW w:w="10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1,438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763"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ectPr>
          <w:pgSz w:w="11880" w:h="15480" w:orient="portrait"/>
          <w:cols w:equalWidth="0" w:num="1">
            <w:col w:w="10480"/>
          </w:cols>
          <w:pgMar w:left="700" w:top="763" w:right="700"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4C4C4C"/>
        </w:rPr>
        <w:t>Oil and Gas Exploration and Production Costs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amounts shown for net capitalized costs of consolidated subsidiaries are $10,769 million less at year-end 2023 and $10,785 million less at year-end 2022 than the amounts reported as investments in property, plant and equipment for the Upstream in Note 9. This is due to the exclusion from capitalized costs of certain transportation and research assets and assets relating to LNG operations. Assets related to oil sands and oil shale mining operations are included in the capitalized costs in accordance with Financial Accounting Standards Board rules.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8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8"/>
                <w:szCs w:val="18"/>
                <w:b w:val="1"/>
                <w:bCs w:val="1"/>
                <w:color w:val="FFFFFF"/>
              </w:rPr>
              <w:t>Capitalized Costs</w:t>
            </w:r>
          </w:p>
        </w:tc>
        <w:tc>
          <w:tcPr>
            <w:tcW w:w="2080" w:type="dxa"/>
            <w:vAlign w:val="bottom"/>
            <w:shd w:val="clear" w:color="auto" w:fill="4C4C4C"/>
          </w:tcPr>
          <w:p>
            <w:pPr>
              <w:spacing w:after="0"/>
              <w:rPr>
                <w:sz w:val="16"/>
                <w:szCs w:val="16"/>
                <w:color w:val="auto"/>
              </w:rPr>
            </w:pPr>
          </w:p>
        </w:tc>
        <w:tc>
          <w:tcPr>
            <w:tcW w:w="1060" w:type="dxa"/>
            <w:vAlign w:val="bottom"/>
            <w:vMerge w:val="restart"/>
            <w:shd w:val="clear" w:color="auto" w:fill="4C4C4C"/>
          </w:tcPr>
          <w:p>
            <w:pPr>
              <w:jc w:val="right"/>
              <w:ind w:right="152"/>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9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rPr>
              <w:t>Canada/</w:t>
            </w:r>
          </w:p>
        </w:tc>
        <w:tc>
          <w:tcPr>
            <w:tcW w:w="920" w:type="dxa"/>
            <w:vAlign w:val="bottom"/>
            <w:shd w:val="clear" w:color="auto" w:fill="4C4C4C"/>
          </w:tcPr>
          <w:p>
            <w:pPr>
              <w:spacing w:after="0"/>
              <w:rPr>
                <w:sz w:val="16"/>
                <w:szCs w:val="16"/>
                <w:color w:val="auto"/>
              </w:rPr>
            </w:pPr>
          </w:p>
        </w:tc>
        <w:tc>
          <w:tcPr>
            <w:tcW w:w="920" w:type="dxa"/>
            <w:vAlign w:val="bottom"/>
            <w:shd w:val="clear" w:color="auto" w:fill="4C4C4C"/>
          </w:tcPr>
          <w:p>
            <w:pPr>
              <w:spacing w:after="0"/>
              <w:rPr>
                <w:sz w:val="16"/>
                <w:szCs w:val="16"/>
                <w:color w:val="auto"/>
              </w:rPr>
            </w:pPr>
          </w:p>
        </w:tc>
        <w:tc>
          <w:tcPr>
            <w:tcW w:w="820" w:type="dxa"/>
            <w:vAlign w:val="bottom"/>
            <w:shd w:val="clear" w:color="auto" w:fill="4C4C4C"/>
          </w:tcPr>
          <w:p>
            <w:pPr>
              <w:spacing w:after="0"/>
              <w:rPr>
                <w:sz w:val="16"/>
                <w:szCs w:val="16"/>
                <w:color w:val="auto"/>
              </w:rPr>
            </w:pPr>
          </w:p>
        </w:tc>
        <w:tc>
          <w:tcPr>
            <w:tcW w:w="940" w:type="dxa"/>
            <w:vAlign w:val="bottom"/>
            <w:vMerge w:val="restart"/>
            <w:shd w:val="clear" w:color="auto" w:fill="4C4C4C"/>
          </w:tcPr>
          <w:p>
            <w:pPr>
              <w:jc w:val="right"/>
              <w:ind w:right="92"/>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800" w:type="dxa"/>
            <w:vAlign w:val="bottom"/>
            <w:shd w:val="clear" w:color="auto" w:fill="4C4C4C"/>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vMerge w:val="continue"/>
            <w:shd w:val="clear" w:color="auto" w:fill="4C4C4C"/>
          </w:tcPr>
          <w:p>
            <w:pPr>
              <w:spacing w:after="0"/>
              <w:rPr>
                <w:sz w:val="7"/>
                <w:szCs w:val="7"/>
                <w:color w:val="auto"/>
              </w:rPr>
            </w:pPr>
          </w:p>
        </w:tc>
        <w:tc>
          <w:tcPr>
            <w:tcW w:w="2080" w:type="dxa"/>
            <w:vAlign w:val="bottom"/>
            <w:shd w:val="clear" w:color="auto" w:fill="4C4C4C"/>
          </w:tcPr>
          <w:p>
            <w:pPr>
              <w:spacing w:after="0"/>
              <w:rPr>
                <w:sz w:val="7"/>
                <w:szCs w:val="7"/>
                <w:color w:val="auto"/>
              </w:rPr>
            </w:pPr>
          </w:p>
        </w:tc>
        <w:tc>
          <w:tcPr>
            <w:tcW w:w="1060" w:type="dxa"/>
            <w:vAlign w:val="bottom"/>
            <w:vMerge w:val="continue"/>
            <w:shd w:val="clear" w:color="auto" w:fill="4C4C4C"/>
          </w:tcPr>
          <w:p>
            <w:pPr>
              <w:spacing w:after="0"/>
              <w:rPr>
                <w:sz w:val="7"/>
                <w:szCs w:val="7"/>
                <w:color w:val="auto"/>
              </w:rPr>
            </w:pPr>
          </w:p>
        </w:tc>
        <w:tc>
          <w:tcPr>
            <w:tcW w:w="920" w:type="dxa"/>
            <w:vAlign w:val="bottom"/>
            <w:vMerge w:val="restart"/>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FFFFFF"/>
                <w:w w:val="97"/>
              </w:rPr>
              <w:t>Other</w:t>
            </w:r>
          </w:p>
        </w:tc>
        <w:tc>
          <w:tcPr>
            <w:tcW w:w="920" w:type="dxa"/>
            <w:vAlign w:val="bottom"/>
            <w:vMerge w:val="restart"/>
            <w:shd w:val="clear" w:color="auto" w:fill="4C4C4C"/>
          </w:tcPr>
          <w:p>
            <w:pPr>
              <w:jc w:val="right"/>
              <w:ind w:right="172"/>
              <w:spacing w:after="0" w:line="157" w:lineRule="exact"/>
              <w:rPr>
                <w:sz w:val="20"/>
                <w:szCs w:val="20"/>
                <w:color w:val="auto"/>
              </w:rPr>
            </w:pPr>
            <w:r>
              <w:rPr>
                <w:rFonts w:ascii="Times New Roman" w:cs="Times New Roman" w:eastAsia="Times New Roman" w:hAnsi="Times New Roman"/>
                <w:sz w:val="16"/>
                <w:szCs w:val="16"/>
                <w:b w:val="1"/>
                <w:bCs w:val="1"/>
                <w:color w:val="FFFFFF"/>
              </w:rPr>
              <w:t>Europe</w:t>
            </w:r>
          </w:p>
        </w:tc>
        <w:tc>
          <w:tcPr>
            <w:tcW w:w="920" w:type="dxa"/>
            <w:vAlign w:val="bottom"/>
            <w:vMerge w:val="restart"/>
            <w:shd w:val="clear" w:color="auto" w:fill="4C4C4C"/>
          </w:tcPr>
          <w:p>
            <w:pPr>
              <w:jc w:val="right"/>
              <w:ind w:right="232"/>
              <w:spacing w:after="0" w:line="157" w:lineRule="exact"/>
              <w:rPr>
                <w:sz w:val="20"/>
                <w:szCs w:val="20"/>
                <w:color w:val="auto"/>
              </w:rPr>
            </w:pPr>
            <w:r>
              <w:rPr>
                <w:rFonts w:ascii="Times New Roman" w:cs="Times New Roman" w:eastAsia="Times New Roman" w:hAnsi="Times New Roman"/>
                <w:sz w:val="16"/>
                <w:szCs w:val="16"/>
                <w:b w:val="1"/>
                <w:bCs w:val="1"/>
                <w:color w:val="FFFFFF"/>
              </w:rPr>
              <w:t>Africa</w:t>
            </w:r>
          </w:p>
        </w:tc>
        <w:tc>
          <w:tcPr>
            <w:tcW w:w="820" w:type="dxa"/>
            <w:vAlign w:val="bottom"/>
            <w:vMerge w:val="restart"/>
            <w:shd w:val="clear" w:color="auto" w:fill="4C4C4C"/>
          </w:tcPr>
          <w:p>
            <w:pPr>
              <w:jc w:val="right"/>
              <w:ind w:right="232"/>
              <w:spacing w:after="0" w:line="157" w:lineRule="exact"/>
              <w:rPr>
                <w:sz w:val="20"/>
                <w:szCs w:val="20"/>
                <w:color w:val="auto"/>
              </w:rPr>
            </w:pPr>
            <w:r>
              <w:rPr>
                <w:rFonts w:ascii="Times New Roman" w:cs="Times New Roman" w:eastAsia="Times New Roman" w:hAnsi="Times New Roman"/>
                <w:sz w:val="16"/>
                <w:szCs w:val="16"/>
                <w:b w:val="1"/>
                <w:bCs w:val="1"/>
                <w:color w:val="FFFFFF"/>
              </w:rPr>
              <w:t>Asia</w:t>
            </w:r>
          </w:p>
        </w:tc>
        <w:tc>
          <w:tcPr>
            <w:tcW w:w="940" w:type="dxa"/>
            <w:vAlign w:val="bottom"/>
            <w:vMerge w:val="continue"/>
            <w:shd w:val="clear" w:color="auto" w:fill="4C4C4C"/>
          </w:tcPr>
          <w:p>
            <w:pPr>
              <w:spacing w:after="0"/>
              <w:rPr>
                <w:sz w:val="7"/>
                <w:szCs w:val="7"/>
                <w:color w:val="auto"/>
              </w:rPr>
            </w:pPr>
          </w:p>
        </w:tc>
        <w:tc>
          <w:tcPr>
            <w:tcW w:w="800" w:type="dxa"/>
            <w:vAlign w:val="bottom"/>
            <w:vMerge w:val="restart"/>
            <w:shd w:val="clear" w:color="auto" w:fill="4C4C4C"/>
          </w:tcPr>
          <w:p>
            <w:pPr>
              <w:jc w:val="right"/>
              <w:ind w:right="152"/>
              <w:spacing w:after="0" w:line="157" w:lineRule="exact"/>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76"/>
        </w:trPr>
        <w:tc>
          <w:tcPr>
            <w:tcW w:w="208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2080" w:type="dxa"/>
            <w:vAlign w:val="bottom"/>
            <w:shd w:val="clear" w:color="auto" w:fill="4C4C4C"/>
          </w:tcPr>
          <w:p>
            <w:pPr>
              <w:spacing w:after="0"/>
              <w:rPr>
                <w:sz w:val="6"/>
                <w:szCs w:val="6"/>
                <w:color w:val="auto"/>
              </w:rPr>
            </w:pPr>
          </w:p>
        </w:tc>
        <w:tc>
          <w:tcPr>
            <w:tcW w:w="1060" w:type="dxa"/>
            <w:vAlign w:val="bottom"/>
            <w:vMerge w:val="restart"/>
            <w:shd w:val="clear" w:color="auto" w:fill="4C4C4C"/>
          </w:tcPr>
          <w:p>
            <w:pPr>
              <w:jc w:val="right"/>
              <w:ind w:right="172"/>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920" w:type="dxa"/>
            <w:vAlign w:val="bottom"/>
            <w:vMerge w:val="continue"/>
            <w:shd w:val="clear" w:color="auto" w:fill="4C4C4C"/>
          </w:tcPr>
          <w:p>
            <w:pPr>
              <w:spacing w:after="0"/>
              <w:rPr>
                <w:sz w:val="6"/>
                <w:szCs w:val="6"/>
                <w:color w:val="auto"/>
              </w:rPr>
            </w:pPr>
          </w:p>
        </w:tc>
        <w:tc>
          <w:tcPr>
            <w:tcW w:w="920" w:type="dxa"/>
            <w:vAlign w:val="bottom"/>
            <w:vMerge w:val="continue"/>
            <w:shd w:val="clear" w:color="auto" w:fill="4C4C4C"/>
          </w:tcPr>
          <w:p>
            <w:pPr>
              <w:spacing w:after="0"/>
              <w:rPr>
                <w:sz w:val="6"/>
                <w:szCs w:val="6"/>
                <w:color w:val="auto"/>
              </w:rPr>
            </w:pPr>
          </w:p>
        </w:tc>
        <w:tc>
          <w:tcPr>
            <w:tcW w:w="920" w:type="dxa"/>
            <w:vAlign w:val="bottom"/>
            <w:vMerge w:val="continue"/>
            <w:shd w:val="clear" w:color="auto" w:fill="4C4C4C"/>
          </w:tcPr>
          <w:p>
            <w:pPr>
              <w:spacing w:after="0"/>
              <w:rPr>
                <w:sz w:val="6"/>
                <w:szCs w:val="6"/>
                <w:color w:val="auto"/>
              </w:rPr>
            </w:pPr>
          </w:p>
        </w:tc>
        <w:tc>
          <w:tcPr>
            <w:tcW w:w="820" w:type="dxa"/>
            <w:vAlign w:val="bottom"/>
            <w:vMerge w:val="continue"/>
            <w:shd w:val="clear" w:color="auto" w:fill="4C4C4C"/>
          </w:tcPr>
          <w:p>
            <w:pPr>
              <w:spacing w:after="0"/>
              <w:rPr>
                <w:sz w:val="6"/>
                <w:szCs w:val="6"/>
                <w:color w:val="auto"/>
              </w:rPr>
            </w:pPr>
          </w:p>
        </w:tc>
        <w:tc>
          <w:tcPr>
            <w:tcW w:w="940" w:type="dxa"/>
            <w:vAlign w:val="bottom"/>
            <w:vMerge w:val="restart"/>
            <w:shd w:val="clear" w:color="auto" w:fill="4C4C4C"/>
          </w:tcPr>
          <w:p>
            <w:pPr>
              <w:jc w:val="right"/>
              <w:ind w:right="152"/>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800" w:type="dxa"/>
            <w:vAlign w:val="bottom"/>
            <w:vMerge w:val="continue"/>
            <w:shd w:val="clear" w:color="auto" w:fill="4C4C4C"/>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80" w:type="dxa"/>
            <w:vAlign w:val="bottom"/>
            <w:vMerge w:val="continue"/>
            <w:shd w:val="clear" w:color="auto" w:fill="4C4C4C"/>
          </w:tcPr>
          <w:p>
            <w:pPr>
              <w:spacing w:after="0"/>
              <w:rPr>
                <w:sz w:val="11"/>
                <w:szCs w:val="11"/>
                <w:color w:val="auto"/>
              </w:rPr>
            </w:pPr>
          </w:p>
        </w:tc>
        <w:tc>
          <w:tcPr>
            <w:tcW w:w="2080" w:type="dxa"/>
            <w:vAlign w:val="bottom"/>
            <w:shd w:val="clear" w:color="auto" w:fill="4C4C4C"/>
          </w:tcPr>
          <w:p>
            <w:pPr>
              <w:spacing w:after="0"/>
              <w:rPr>
                <w:sz w:val="11"/>
                <w:szCs w:val="11"/>
                <w:color w:val="auto"/>
              </w:rPr>
            </w:pPr>
          </w:p>
        </w:tc>
        <w:tc>
          <w:tcPr>
            <w:tcW w:w="1060" w:type="dxa"/>
            <w:vAlign w:val="bottom"/>
            <w:vMerge w:val="continue"/>
            <w:shd w:val="clear" w:color="auto" w:fill="4C4C4C"/>
          </w:tcPr>
          <w:p>
            <w:pPr>
              <w:spacing w:after="0"/>
              <w:rPr>
                <w:sz w:val="11"/>
                <w:szCs w:val="11"/>
                <w:color w:val="auto"/>
              </w:rPr>
            </w:pPr>
          </w:p>
        </w:tc>
        <w:tc>
          <w:tcPr>
            <w:tcW w:w="92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Americas</w:t>
            </w:r>
          </w:p>
        </w:tc>
        <w:tc>
          <w:tcPr>
            <w:tcW w:w="920" w:type="dxa"/>
            <w:vAlign w:val="bottom"/>
            <w:shd w:val="clear" w:color="auto" w:fill="4C4C4C"/>
          </w:tcPr>
          <w:p>
            <w:pPr>
              <w:spacing w:after="0"/>
              <w:rPr>
                <w:sz w:val="11"/>
                <w:szCs w:val="11"/>
                <w:color w:val="auto"/>
              </w:rPr>
            </w:pPr>
          </w:p>
        </w:tc>
        <w:tc>
          <w:tcPr>
            <w:tcW w:w="920" w:type="dxa"/>
            <w:vAlign w:val="bottom"/>
            <w:shd w:val="clear" w:color="auto" w:fill="4C4C4C"/>
          </w:tcPr>
          <w:p>
            <w:pPr>
              <w:spacing w:after="0"/>
              <w:rPr>
                <w:sz w:val="11"/>
                <w:szCs w:val="11"/>
                <w:color w:val="auto"/>
              </w:rPr>
            </w:pPr>
          </w:p>
        </w:tc>
        <w:tc>
          <w:tcPr>
            <w:tcW w:w="820" w:type="dxa"/>
            <w:vAlign w:val="bottom"/>
            <w:shd w:val="clear" w:color="auto" w:fill="4C4C4C"/>
          </w:tcPr>
          <w:p>
            <w:pPr>
              <w:spacing w:after="0"/>
              <w:rPr>
                <w:sz w:val="11"/>
                <w:szCs w:val="11"/>
                <w:color w:val="auto"/>
              </w:rPr>
            </w:pPr>
          </w:p>
        </w:tc>
        <w:tc>
          <w:tcPr>
            <w:tcW w:w="940" w:type="dxa"/>
            <w:vAlign w:val="bottom"/>
            <w:vMerge w:val="continue"/>
            <w:shd w:val="clear" w:color="auto" w:fill="4C4C4C"/>
          </w:tcPr>
          <w:p>
            <w:pPr>
              <w:spacing w:after="0"/>
              <w:rPr>
                <w:sz w:val="11"/>
                <w:szCs w:val="11"/>
                <w:color w:val="auto"/>
              </w:rPr>
            </w:pPr>
          </w:p>
        </w:tc>
        <w:tc>
          <w:tcPr>
            <w:tcW w:w="800" w:type="dxa"/>
            <w:vAlign w:val="bottom"/>
            <w:shd w:val="clear" w:color="auto" w:fill="4C4C4C"/>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80" w:type="dxa"/>
            <w:vAlign w:val="bottom"/>
            <w:tcBorders>
              <w:bottom w:val="single" w:sz="8" w:color="4C4C4C"/>
            </w:tcBorders>
            <w:shd w:val="clear" w:color="auto" w:fill="4C4C4C"/>
          </w:tcPr>
          <w:p>
            <w:pPr>
              <w:spacing w:after="0"/>
              <w:rPr>
                <w:sz w:val="7"/>
                <w:szCs w:val="7"/>
                <w:color w:val="auto"/>
              </w:rPr>
            </w:pPr>
          </w:p>
        </w:tc>
        <w:tc>
          <w:tcPr>
            <w:tcW w:w="2080" w:type="dxa"/>
            <w:vAlign w:val="bottom"/>
            <w:tcBorders>
              <w:bottom w:val="single" w:sz="8" w:color="4C4C4C"/>
            </w:tcBorders>
            <w:shd w:val="clear" w:color="auto" w:fill="4C4C4C"/>
          </w:tcPr>
          <w:p>
            <w:pPr>
              <w:spacing w:after="0"/>
              <w:rPr>
                <w:sz w:val="7"/>
                <w:szCs w:val="7"/>
                <w:color w:val="auto"/>
              </w:rPr>
            </w:pPr>
          </w:p>
        </w:tc>
        <w:tc>
          <w:tcPr>
            <w:tcW w:w="1060" w:type="dxa"/>
            <w:vAlign w:val="bottom"/>
            <w:tcBorders>
              <w:bottom w:val="single" w:sz="8" w:color="4C4C4C"/>
            </w:tcBorders>
            <w:shd w:val="clear" w:color="auto" w:fill="4C4C4C"/>
          </w:tcPr>
          <w:p>
            <w:pPr>
              <w:spacing w:after="0"/>
              <w:rPr>
                <w:sz w:val="7"/>
                <w:szCs w:val="7"/>
                <w:color w:val="auto"/>
              </w:rPr>
            </w:pPr>
          </w:p>
        </w:tc>
        <w:tc>
          <w:tcPr>
            <w:tcW w:w="920" w:type="dxa"/>
            <w:vAlign w:val="bottom"/>
            <w:tcBorders>
              <w:bottom w:val="single" w:sz="8" w:color="4C4C4C"/>
            </w:tcBorders>
            <w:vMerge w:val="continue"/>
            <w:shd w:val="clear" w:color="auto" w:fill="4C4C4C"/>
          </w:tcPr>
          <w:p>
            <w:pPr>
              <w:spacing w:after="0"/>
              <w:rPr>
                <w:sz w:val="7"/>
                <w:szCs w:val="7"/>
                <w:color w:val="auto"/>
              </w:rPr>
            </w:pPr>
          </w:p>
        </w:tc>
        <w:tc>
          <w:tcPr>
            <w:tcW w:w="920" w:type="dxa"/>
            <w:vAlign w:val="bottom"/>
            <w:tcBorders>
              <w:bottom w:val="single" w:sz="8" w:color="4C4C4C"/>
            </w:tcBorders>
            <w:shd w:val="clear" w:color="auto" w:fill="4C4C4C"/>
          </w:tcPr>
          <w:p>
            <w:pPr>
              <w:spacing w:after="0"/>
              <w:rPr>
                <w:sz w:val="7"/>
                <w:szCs w:val="7"/>
                <w:color w:val="auto"/>
              </w:rPr>
            </w:pPr>
          </w:p>
        </w:tc>
        <w:tc>
          <w:tcPr>
            <w:tcW w:w="920" w:type="dxa"/>
            <w:vAlign w:val="bottom"/>
            <w:tcBorders>
              <w:bottom w:val="single" w:sz="8" w:color="4C4C4C"/>
            </w:tcBorders>
            <w:shd w:val="clear" w:color="auto" w:fill="4C4C4C"/>
          </w:tcPr>
          <w:p>
            <w:pPr>
              <w:spacing w:after="0"/>
              <w:rPr>
                <w:sz w:val="7"/>
                <w:szCs w:val="7"/>
                <w:color w:val="auto"/>
              </w:rPr>
            </w:pPr>
          </w:p>
        </w:tc>
        <w:tc>
          <w:tcPr>
            <w:tcW w:w="820" w:type="dxa"/>
            <w:vAlign w:val="bottom"/>
            <w:tcBorders>
              <w:bottom w:val="single" w:sz="8" w:color="4C4C4C"/>
            </w:tcBorders>
            <w:shd w:val="clear" w:color="auto" w:fill="4C4C4C"/>
          </w:tcPr>
          <w:p>
            <w:pPr>
              <w:spacing w:after="0"/>
              <w:rPr>
                <w:sz w:val="7"/>
                <w:szCs w:val="7"/>
                <w:color w:val="auto"/>
              </w:rPr>
            </w:pPr>
          </w:p>
        </w:tc>
        <w:tc>
          <w:tcPr>
            <w:tcW w:w="940" w:type="dxa"/>
            <w:vAlign w:val="bottom"/>
            <w:tcBorders>
              <w:bottom w:val="single" w:sz="8" w:color="4C4C4C"/>
            </w:tcBorders>
            <w:shd w:val="clear" w:color="auto" w:fill="4C4C4C"/>
          </w:tcPr>
          <w:p>
            <w:pPr>
              <w:spacing w:after="0"/>
              <w:rPr>
                <w:sz w:val="7"/>
                <w:szCs w:val="7"/>
                <w:color w:val="auto"/>
              </w:rPr>
            </w:pPr>
          </w:p>
        </w:tc>
        <w:tc>
          <w:tcPr>
            <w:tcW w:w="800" w:type="dxa"/>
            <w:vAlign w:val="bottom"/>
            <w:tcBorders>
              <w:bottom w:val="single" w:sz="8" w:color="4C4C4C"/>
            </w:tcBorders>
            <w:shd w:val="clear" w:color="auto" w:fill="4C4C4C"/>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2023</w:t>
            </w: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2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(acreage) costs</w:t>
            </w:r>
          </w:p>
        </w:tc>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14,758</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3,420</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1,512</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23,409</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spacing w:after="0"/>
              <w:rPr>
                <w:sz w:val="22"/>
                <w:szCs w:val="22"/>
                <w:color w:val="auto"/>
              </w:rPr>
            </w:pPr>
          </w:p>
        </w:tc>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11,220</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3,035</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122</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2,660</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property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25,978</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6,455</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1,634</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3,018</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3,359</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0" w:type="dxa"/>
            <w:vAlign w:val="bottom"/>
          </w:tcPr>
          <w:p>
            <w:pPr>
              <w:spacing w:after="0"/>
              <w:rPr>
                <w:sz w:val="1"/>
                <w:szCs w:val="1"/>
                <w:color w:val="auto"/>
              </w:rPr>
            </w:pPr>
          </w:p>
        </w:tc>
      </w:tr>
      <w:tr>
        <w:trPr>
          <w:trHeight w:val="226"/>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Producing assets</w:t>
            </w:r>
          </w:p>
        </w:tc>
        <w:tc>
          <w:tcPr>
            <w:tcW w:w="20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100,167</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53,019</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12,676</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52,243</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45,260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15,306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278,671</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Incomplete construction</w:t>
            </w:r>
          </w:p>
        </w:tc>
        <w:tc>
          <w:tcPr>
            <w:tcW w:w="2080" w:type="dxa"/>
            <w:vAlign w:val="bottom"/>
            <w:tcBorders>
              <w:bottom w:val="single" w:sz="8" w:color="4C4C4C"/>
            </w:tcBorders>
          </w:tcPr>
          <w:p>
            <w:pPr>
              <w:spacing w:after="0"/>
              <w:rPr>
                <w:sz w:val="22"/>
                <w:szCs w:val="22"/>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5,460</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9,712</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172</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1,393</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3,178</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2,402</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capitalized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131,605</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69,186</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12,892</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55,270</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51,456</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21,067</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341,476</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Accumulated depreciation and depletion</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72,548</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27,224</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12,289</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48,751</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32,764</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10,424</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capitalized costs for consolidated subsidiaries</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59,057</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41,962</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603</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6,519</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18,692</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10,643</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137,476</w:t>
            </w:r>
          </w:p>
        </w:tc>
        <w:tc>
          <w:tcPr>
            <w:tcW w:w="0" w:type="dxa"/>
            <w:vAlign w:val="bottom"/>
          </w:tcPr>
          <w:p>
            <w:pPr>
              <w:spacing w:after="0"/>
              <w:rPr>
                <w:sz w:val="1"/>
                <w:szCs w:val="1"/>
                <w:color w:val="auto"/>
              </w:rPr>
            </w:pPr>
          </w:p>
        </w:tc>
      </w:tr>
      <w:tr>
        <w:trPr>
          <w:trHeight w:val="325"/>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(acreage) costs</w:t>
            </w:r>
          </w:p>
        </w:tc>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309</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spacing w:after="0"/>
              <w:rPr>
                <w:sz w:val="22"/>
                <w:szCs w:val="22"/>
                <w:color w:val="auto"/>
              </w:rPr>
            </w:pPr>
          </w:p>
        </w:tc>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3,111</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property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3,420</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26"/>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Producing assets</w:t>
            </w:r>
          </w:p>
        </w:tc>
        <w:tc>
          <w:tcPr>
            <w:tcW w:w="20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1,332</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5,493</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288</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10,153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Incomplete construction</w:t>
            </w:r>
          </w:p>
        </w:tc>
        <w:tc>
          <w:tcPr>
            <w:tcW w:w="2080" w:type="dxa"/>
            <w:vAlign w:val="bottom"/>
            <w:tcBorders>
              <w:bottom w:val="single" w:sz="8" w:color="4C4C4C"/>
            </w:tcBorders>
          </w:tcPr>
          <w:p>
            <w:pPr>
              <w:spacing w:after="0"/>
              <w:rPr>
                <w:sz w:val="22"/>
                <w:szCs w:val="22"/>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550</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13,083</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capitalized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1,333</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5,508</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4,258</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23,236</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Accumulated depreciation and depletion</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789</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5,177</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7,768</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capitalized costs for equity companies</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544</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331</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4,216</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15,468</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20,559</w:t>
            </w:r>
          </w:p>
        </w:tc>
        <w:tc>
          <w:tcPr>
            <w:tcW w:w="0" w:type="dxa"/>
            <w:vAlign w:val="bottom"/>
          </w:tcPr>
          <w:p>
            <w:pPr>
              <w:spacing w:after="0"/>
              <w:rPr>
                <w:sz w:val="1"/>
                <w:szCs w:val="1"/>
                <w:color w:val="auto"/>
              </w:rPr>
            </w:pPr>
          </w:p>
        </w:tc>
      </w:tr>
      <w:tr>
        <w:trPr>
          <w:trHeight w:val="516"/>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2022</w:t>
            </w: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2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(acreage) costs</w:t>
            </w:r>
          </w:p>
        </w:tc>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15,547</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3,427</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spacing w:after="0"/>
              <w:rPr>
                <w:sz w:val="22"/>
                <w:szCs w:val="22"/>
                <w:color w:val="auto"/>
              </w:rPr>
            </w:pPr>
          </w:p>
        </w:tc>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13,797</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3,011</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119</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2,659</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property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29,344</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6,438</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1,629</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3,028</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3,354</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43,839</w:t>
            </w:r>
          </w:p>
        </w:tc>
        <w:tc>
          <w:tcPr>
            <w:tcW w:w="0" w:type="dxa"/>
            <w:vAlign w:val="bottom"/>
          </w:tcPr>
          <w:p>
            <w:pPr>
              <w:spacing w:after="0"/>
              <w:rPr>
                <w:sz w:val="1"/>
                <w:szCs w:val="1"/>
                <w:color w:val="auto"/>
              </w:rPr>
            </w:pPr>
          </w:p>
        </w:tc>
      </w:tr>
      <w:tr>
        <w:trPr>
          <w:trHeight w:val="226"/>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Producing assets</w:t>
            </w:r>
          </w:p>
        </w:tc>
        <w:tc>
          <w:tcPr>
            <w:tcW w:w="20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96,209</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49,923</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12,156</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53,164</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45,405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14,296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271,153</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Incomplete construction</w:t>
            </w:r>
          </w:p>
        </w:tc>
        <w:tc>
          <w:tcPr>
            <w:tcW w:w="2080" w:type="dxa"/>
            <w:vAlign w:val="bottom"/>
            <w:tcBorders>
              <w:bottom w:val="single" w:sz="8" w:color="4C4C4C"/>
            </w:tcBorders>
          </w:tcPr>
          <w:p>
            <w:pPr>
              <w:spacing w:after="0"/>
              <w:rPr>
                <w:sz w:val="22"/>
                <w:szCs w:val="22"/>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4,169</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7,774</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172</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1,404</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3,043</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2,276</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18,838</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capitalized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129,722</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64,135</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12,374</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56,197</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51,476</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19,926</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333,830</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Accumulated depreciation and depletion</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72,686</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25,852</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11,752</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48,606</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32,025</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9,548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200,469</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capitalized costs for consolidated subsidiaries</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57,036</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38,283</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622</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7,591</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19,451</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10,378</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133,361</w:t>
            </w:r>
          </w:p>
        </w:tc>
        <w:tc>
          <w:tcPr>
            <w:tcW w:w="0" w:type="dxa"/>
            <w:vAlign w:val="bottom"/>
          </w:tcPr>
          <w:p>
            <w:pPr>
              <w:spacing w:after="0"/>
              <w:rPr>
                <w:sz w:val="1"/>
                <w:szCs w:val="1"/>
                <w:color w:val="auto"/>
              </w:rPr>
            </w:pPr>
          </w:p>
        </w:tc>
      </w:tr>
      <w:tr>
        <w:trPr>
          <w:trHeight w:val="325"/>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(acreage) costs</w:t>
            </w:r>
          </w:p>
        </w:tc>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309</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spacing w:after="0"/>
              <w:rPr>
                <w:sz w:val="22"/>
                <w:szCs w:val="22"/>
                <w:color w:val="auto"/>
              </w:rPr>
            </w:pPr>
          </w:p>
        </w:tc>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3,111</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property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3,420</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26"/>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Producing assets</w:t>
            </w:r>
          </w:p>
        </w:tc>
        <w:tc>
          <w:tcPr>
            <w:tcW w:w="20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6,882</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5,243</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281</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10,177</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Incomplete construction</w:t>
            </w:r>
          </w:p>
        </w:tc>
        <w:tc>
          <w:tcPr>
            <w:tcW w:w="2080" w:type="dxa"/>
            <w:vAlign w:val="bottom"/>
            <w:tcBorders>
              <w:bottom w:val="single" w:sz="8" w:color="4C4C4C"/>
            </w:tcBorders>
          </w:tcPr>
          <w:p>
            <w:pPr>
              <w:spacing w:after="0"/>
              <w:rPr>
                <w:sz w:val="22"/>
                <w:szCs w:val="22"/>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550</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11,709</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Total capitalized costs</w:t>
            </w:r>
          </w:p>
        </w:tc>
        <w:tc>
          <w:tcPr>
            <w:tcW w:w="208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7,143</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5,281</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4,251</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21,886</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Accumulated depreciation and depletion</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4,512</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4,934</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7,171</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capitalized costs for equity companies</w:t>
            </w:r>
          </w:p>
        </w:tc>
        <w:tc>
          <w:tcPr>
            <w:tcW w:w="10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2,631</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347</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4,251</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14,715</w:t>
            </w:r>
          </w:p>
        </w:tc>
        <w:tc>
          <w:tcPr>
            <w:tcW w:w="94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880" w:h="15480" w:orient="portrait"/>
          <w:cols w:equalWidth="0" w:num="1">
            <w:col w:w="10600"/>
          </w:cols>
          <w:pgMar w:left="640" w:top="724" w:right="64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4C4C4C"/>
        </w:rPr>
        <w:t>Oil and Gas Exploration and Production Costs (continued)</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amounts reported as costs incurred include both capitalized costs and costs charged to expense during the year. Costs incurred also include new asset retirement obligations established in the current year, as well as increases or decreases to the asset retirement obligation resulting from changes in cost estimates or abandonment date. Total consolidated costs incurred in 2023 were $20,952 million, up $6,439 million from 2022, due primarily to higher development costs and the Denbury acquisition. In 2022, costs were $14,513 million, up $4,636 million from 2021, due primarily to higher development costs. Total equity company costs incurred in 2023 were $1,510 million, down $259 million from 2022, due to lower development costs.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40" w:type="dxa"/>
            <w:vAlign w:val="bottom"/>
            <w:gridSpan w:val="2"/>
            <w:shd w:val="clear" w:color="auto" w:fill="4C4C4C"/>
          </w:tcPr>
          <w:p>
            <w:pPr>
              <w:ind w:left="60"/>
              <w:spacing w:after="0"/>
              <w:rPr>
                <w:sz w:val="20"/>
                <w:szCs w:val="20"/>
                <w:color w:val="auto"/>
              </w:rPr>
            </w:pPr>
            <w:r>
              <w:rPr>
                <w:rFonts w:ascii="Times New Roman" w:cs="Times New Roman" w:eastAsia="Times New Roman" w:hAnsi="Times New Roman"/>
                <w:sz w:val="18"/>
                <w:szCs w:val="18"/>
                <w:b w:val="1"/>
                <w:bCs w:val="1"/>
                <w:color w:val="FFFFFF"/>
              </w:rPr>
              <w:t>Costs Incurred in Property Acquisitions,</w:t>
            </w:r>
          </w:p>
        </w:tc>
        <w:tc>
          <w:tcPr>
            <w:tcW w:w="1080" w:type="dxa"/>
            <w:vAlign w:val="bottom"/>
            <w:vMerge w:val="restart"/>
            <w:shd w:val="clear" w:color="auto" w:fill="4C4C4C"/>
          </w:tcPr>
          <w:p>
            <w:pPr>
              <w:jc w:val="right"/>
              <w:ind w:right="152"/>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92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rPr>
              <w:t>Canada/</w:t>
            </w:r>
          </w:p>
        </w:tc>
        <w:tc>
          <w:tcPr>
            <w:tcW w:w="920" w:type="dxa"/>
            <w:vAlign w:val="bottom"/>
            <w:shd w:val="clear" w:color="auto" w:fill="4C4C4C"/>
          </w:tcPr>
          <w:p>
            <w:pPr>
              <w:spacing w:after="0"/>
              <w:rPr>
                <w:sz w:val="17"/>
                <w:szCs w:val="17"/>
                <w:color w:val="auto"/>
              </w:rPr>
            </w:pPr>
          </w:p>
        </w:tc>
        <w:tc>
          <w:tcPr>
            <w:tcW w:w="920" w:type="dxa"/>
            <w:vAlign w:val="bottom"/>
            <w:shd w:val="clear" w:color="auto" w:fill="4C4C4C"/>
          </w:tcPr>
          <w:p>
            <w:pPr>
              <w:spacing w:after="0"/>
              <w:rPr>
                <w:sz w:val="17"/>
                <w:szCs w:val="17"/>
                <w:color w:val="auto"/>
              </w:rPr>
            </w:pPr>
          </w:p>
        </w:tc>
        <w:tc>
          <w:tcPr>
            <w:tcW w:w="820" w:type="dxa"/>
            <w:vAlign w:val="bottom"/>
            <w:shd w:val="clear" w:color="auto" w:fill="4C4C4C"/>
          </w:tcPr>
          <w:p>
            <w:pPr>
              <w:spacing w:after="0"/>
              <w:rPr>
                <w:sz w:val="17"/>
                <w:szCs w:val="17"/>
                <w:color w:val="auto"/>
              </w:rPr>
            </w:pPr>
          </w:p>
        </w:tc>
        <w:tc>
          <w:tcPr>
            <w:tcW w:w="960" w:type="dxa"/>
            <w:vAlign w:val="bottom"/>
            <w:vMerge w:val="restart"/>
            <w:shd w:val="clear" w:color="auto" w:fill="4C4C4C"/>
          </w:tcPr>
          <w:p>
            <w:pPr>
              <w:jc w:val="right"/>
              <w:ind w:right="112"/>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78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4140" w:type="dxa"/>
            <w:vAlign w:val="bottom"/>
            <w:gridSpan w:val="2"/>
            <w:vMerge w:val="restart"/>
            <w:shd w:val="clear" w:color="auto" w:fill="4C4C4C"/>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FFFFFF"/>
              </w:rPr>
              <w:t>Exploration and Development Activities</w:t>
            </w:r>
          </w:p>
        </w:tc>
        <w:tc>
          <w:tcPr>
            <w:tcW w:w="1080" w:type="dxa"/>
            <w:vAlign w:val="bottom"/>
            <w:vMerge w:val="continue"/>
            <w:shd w:val="clear" w:color="auto" w:fill="4C4C4C"/>
          </w:tcPr>
          <w:p>
            <w:pPr>
              <w:spacing w:after="0"/>
              <w:rPr>
                <w:sz w:val="7"/>
                <w:szCs w:val="7"/>
                <w:color w:val="auto"/>
              </w:rPr>
            </w:pPr>
          </w:p>
        </w:tc>
        <w:tc>
          <w:tcPr>
            <w:tcW w:w="920" w:type="dxa"/>
            <w:vAlign w:val="bottom"/>
            <w:vMerge w:val="restart"/>
            <w:shd w:val="clear" w:color="auto" w:fill="4C4C4C"/>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FFFFFF"/>
                <w:w w:val="97"/>
              </w:rPr>
              <w:t>Other</w:t>
            </w:r>
          </w:p>
        </w:tc>
        <w:tc>
          <w:tcPr>
            <w:tcW w:w="920" w:type="dxa"/>
            <w:vAlign w:val="bottom"/>
            <w:vMerge w:val="restart"/>
            <w:shd w:val="clear" w:color="auto" w:fill="4C4C4C"/>
          </w:tcPr>
          <w:p>
            <w:pPr>
              <w:jc w:val="right"/>
              <w:ind w:right="172"/>
              <w:spacing w:after="0" w:line="177" w:lineRule="exact"/>
              <w:rPr>
                <w:sz w:val="20"/>
                <w:szCs w:val="20"/>
                <w:color w:val="auto"/>
              </w:rPr>
            </w:pPr>
            <w:r>
              <w:rPr>
                <w:rFonts w:ascii="Times New Roman" w:cs="Times New Roman" w:eastAsia="Times New Roman" w:hAnsi="Times New Roman"/>
                <w:sz w:val="16"/>
                <w:szCs w:val="16"/>
                <w:b w:val="1"/>
                <w:bCs w:val="1"/>
                <w:color w:val="FFFFFF"/>
              </w:rPr>
              <w:t>Europe</w:t>
            </w:r>
          </w:p>
        </w:tc>
        <w:tc>
          <w:tcPr>
            <w:tcW w:w="920" w:type="dxa"/>
            <w:vAlign w:val="bottom"/>
            <w:vMerge w:val="restart"/>
            <w:shd w:val="clear" w:color="auto" w:fill="4C4C4C"/>
          </w:tcPr>
          <w:p>
            <w:pPr>
              <w:jc w:val="right"/>
              <w:ind w:right="232"/>
              <w:spacing w:after="0" w:line="177" w:lineRule="exact"/>
              <w:rPr>
                <w:sz w:val="20"/>
                <w:szCs w:val="20"/>
                <w:color w:val="auto"/>
              </w:rPr>
            </w:pPr>
            <w:r>
              <w:rPr>
                <w:rFonts w:ascii="Times New Roman" w:cs="Times New Roman" w:eastAsia="Times New Roman" w:hAnsi="Times New Roman"/>
                <w:sz w:val="16"/>
                <w:szCs w:val="16"/>
                <w:b w:val="1"/>
                <w:bCs w:val="1"/>
                <w:color w:val="FFFFFF"/>
              </w:rPr>
              <w:t>Africa</w:t>
            </w:r>
          </w:p>
        </w:tc>
        <w:tc>
          <w:tcPr>
            <w:tcW w:w="820" w:type="dxa"/>
            <w:vAlign w:val="bottom"/>
            <w:vMerge w:val="restart"/>
            <w:shd w:val="clear" w:color="auto" w:fill="4C4C4C"/>
          </w:tcPr>
          <w:p>
            <w:pPr>
              <w:jc w:val="right"/>
              <w:ind w:right="232"/>
              <w:spacing w:after="0" w:line="177" w:lineRule="exact"/>
              <w:rPr>
                <w:sz w:val="20"/>
                <w:szCs w:val="20"/>
                <w:color w:val="auto"/>
              </w:rPr>
            </w:pPr>
            <w:r>
              <w:rPr>
                <w:rFonts w:ascii="Times New Roman" w:cs="Times New Roman" w:eastAsia="Times New Roman" w:hAnsi="Times New Roman"/>
                <w:sz w:val="16"/>
                <w:szCs w:val="16"/>
                <w:b w:val="1"/>
                <w:bCs w:val="1"/>
                <w:color w:val="FFFFFF"/>
              </w:rPr>
              <w:t>Asia</w:t>
            </w:r>
          </w:p>
        </w:tc>
        <w:tc>
          <w:tcPr>
            <w:tcW w:w="960" w:type="dxa"/>
            <w:vAlign w:val="bottom"/>
            <w:vMerge w:val="continue"/>
            <w:shd w:val="clear" w:color="auto" w:fill="4C4C4C"/>
          </w:tcPr>
          <w:p>
            <w:pPr>
              <w:spacing w:after="0"/>
              <w:rPr>
                <w:sz w:val="7"/>
                <w:szCs w:val="7"/>
                <w:color w:val="auto"/>
              </w:rPr>
            </w:pPr>
          </w:p>
        </w:tc>
        <w:tc>
          <w:tcPr>
            <w:tcW w:w="780" w:type="dxa"/>
            <w:vAlign w:val="bottom"/>
            <w:vMerge w:val="restart"/>
            <w:shd w:val="clear" w:color="auto" w:fill="4C4C4C"/>
          </w:tcPr>
          <w:p>
            <w:pPr>
              <w:jc w:val="right"/>
              <w:ind w:right="152"/>
              <w:spacing w:after="0" w:line="177" w:lineRule="exact"/>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90"/>
        </w:trPr>
        <w:tc>
          <w:tcPr>
            <w:tcW w:w="4140" w:type="dxa"/>
            <w:vAlign w:val="bottom"/>
            <w:gridSpan w:val="2"/>
            <w:vMerge w:val="continue"/>
            <w:shd w:val="clear" w:color="auto" w:fill="4C4C4C"/>
          </w:tcPr>
          <w:p>
            <w:pPr>
              <w:spacing w:after="0"/>
              <w:rPr>
                <w:sz w:val="7"/>
                <w:szCs w:val="7"/>
                <w:color w:val="auto"/>
              </w:rPr>
            </w:pPr>
          </w:p>
        </w:tc>
        <w:tc>
          <w:tcPr>
            <w:tcW w:w="1080" w:type="dxa"/>
            <w:vAlign w:val="bottom"/>
            <w:vMerge w:val="restart"/>
            <w:shd w:val="clear" w:color="auto" w:fill="4C4C4C"/>
          </w:tcPr>
          <w:p>
            <w:pPr>
              <w:jc w:val="right"/>
              <w:ind w:right="172"/>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920" w:type="dxa"/>
            <w:vAlign w:val="bottom"/>
            <w:vMerge w:val="continue"/>
            <w:shd w:val="clear" w:color="auto" w:fill="4C4C4C"/>
          </w:tcPr>
          <w:p>
            <w:pPr>
              <w:spacing w:after="0"/>
              <w:rPr>
                <w:sz w:val="7"/>
                <w:szCs w:val="7"/>
                <w:color w:val="auto"/>
              </w:rPr>
            </w:pPr>
          </w:p>
        </w:tc>
        <w:tc>
          <w:tcPr>
            <w:tcW w:w="920" w:type="dxa"/>
            <w:vAlign w:val="bottom"/>
            <w:vMerge w:val="continue"/>
            <w:shd w:val="clear" w:color="auto" w:fill="4C4C4C"/>
          </w:tcPr>
          <w:p>
            <w:pPr>
              <w:spacing w:after="0"/>
              <w:rPr>
                <w:sz w:val="7"/>
                <w:szCs w:val="7"/>
                <w:color w:val="auto"/>
              </w:rPr>
            </w:pPr>
          </w:p>
        </w:tc>
        <w:tc>
          <w:tcPr>
            <w:tcW w:w="920" w:type="dxa"/>
            <w:vAlign w:val="bottom"/>
            <w:vMerge w:val="continue"/>
            <w:shd w:val="clear" w:color="auto" w:fill="4C4C4C"/>
          </w:tcPr>
          <w:p>
            <w:pPr>
              <w:spacing w:after="0"/>
              <w:rPr>
                <w:sz w:val="7"/>
                <w:szCs w:val="7"/>
                <w:color w:val="auto"/>
              </w:rPr>
            </w:pPr>
          </w:p>
        </w:tc>
        <w:tc>
          <w:tcPr>
            <w:tcW w:w="820" w:type="dxa"/>
            <w:vAlign w:val="bottom"/>
            <w:vMerge w:val="continue"/>
            <w:shd w:val="clear" w:color="auto" w:fill="4C4C4C"/>
          </w:tcPr>
          <w:p>
            <w:pPr>
              <w:spacing w:after="0"/>
              <w:rPr>
                <w:sz w:val="7"/>
                <w:szCs w:val="7"/>
                <w:color w:val="auto"/>
              </w:rPr>
            </w:pPr>
          </w:p>
        </w:tc>
        <w:tc>
          <w:tcPr>
            <w:tcW w:w="960" w:type="dxa"/>
            <w:vAlign w:val="bottom"/>
            <w:vMerge w:val="restart"/>
            <w:shd w:val="clear" w:color="auto" w:fill="4C4C4C"/>
          </w:tcPr>
          <w:p>
            <w:pPr>
              <w:jc w:val="right"/>
              <w:ind w:right="172"/>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780" w:type="dxa"/>
            <w:vAlign w:val="bottom"/>
            <w:vMerge w:val="continue"/>
            <w:shd w:val="clear" w:color="auto" w:fill="4C4C4C"/>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80" w:type="dxa"/>
            <w:vAlign w:val="bottom"/>
            <w:vMerge w:val="restart"/>
            <w:shd w:val="clear" w:color="auto" w:fill="4C4C4C"/>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2060" w:type="dxa"/>
            <w:vAlign w:val="bottom"/>
            <w:shd w:val="clear" w:color="auto" w:fill="4C4C4C"/>
          </w:tcPr>
          <w:p>
            <w:pPr>
              <w:spacing w:after="0"/>
              <w:rPr>
                <w:sz w:val="10"/>
                <w:szCs w:val="10"/>
                <w:color w:val="auto"/>
              </w:rPr>
            </w:pPr>
          </w:p>
        </w:tc>
        <w:tc>
          <w:tcPr>
            <w:tcW w:w="1080" w:type="dxa"/>
            <w:vAlign w:val="bottom"/>
            <w:vMerge w:val="continue"/>
            <w:shd w:val="clear" w:color="auto" w:fill="4C4C4C"/>
          </w:tcPr>
          <w:p>
            <w:pPr>
              <w:spacing w:after="0"/>
              <w:rPr>
                <w:sz w:val="10"/>
                <w:szCs w:val="10"/>
                <w:color w:val="auto"/>
              </w:rPr>
            </w:pPr>
          </w:p>
        </w:tc>
        <w:tc>
          <w:tcPr>
            <w:tcW w:w="92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Americas</w:t>
            </w:r>
          </w:p>
        </w:tc>
        <w:tc>
          <w:tcPr>
            <w:tcW w:w="920" w:type="dxa"/>
            <w:vAlign w:val="bottom"/>
            <w:shd w:val="clear" w:color="auto" w:fill="4C4C4C"/>
          </w:tcPr>
          <w:p>
            <w:pPr>
              <w:spacing w:after="0"/>
              <w:rPr>
                <w:sz w:val="10"/>
                <w:szCs w:val="10"/>
                <w:color w:val="auto"/>
              </w:rPr>
            </w:pPr>
          </w:p>
        </w:tc>
        <w:tc>
          <w:tcPr>
            <w:tcW w:w="920" w:type="dxa"/>
            <w:vAlign w:val="bottom"/>
            <w:shd w:val="clear" w:color="auto" w:fill="4C4C4C"/>
          </w:tcPr>
          <w:p>
            <w:pPr>
              <w:spacing w:after="0"/>
              <w:rPr>
                <w:sz w:val="10"/>
                <w:szCs w:val="10"/>
                <w:color w:val="auto"/>
              </w:rPr>
            </w:pPr>
          </w:p>
        </w:tc>
        <w:tc>
          <w:tcPr>
            <w:tcW w:w="820" w:type="dxa"/>
            <w:vAlign w:val="bottom"/>
            <w:shd w:val="clear" w:color="auto" w:fill="4C4C4C"/>
          </w:tcPr>
          <w:p>
            <w:pPr>
              <w:spacing w:after="0"/>
              <w:rPr>
                <w:sz w:val="10"/>
                <w:szCs w:val="10"/>
                <w:color w:val="auto"/>
              </w:rPr>
            </w:pPr>
          </w:p>
        </w:tc>
        <w:tc>
          <w:tcPr>
            <w:tcW w:w="960" w:type="dxa"/>
            <w:vAlign w:val="bottom"/>
            <w:vMerge w:val="continue"/>
            <w:shd w:val="clear" w:color="auto" w:fill="4C4C4C"/>
          </w:tcPr>
          <w:p>
            <w:pPr>
              <w:spacing w:after="0"/>
              <w:rPr>
                <w:sz w:val="10"/>
                <w:szCs w:val="10"/>
                <w:color w:val="auto"/>
              </w:rPr>
            </w:pPr>
          </w:p>
        </w:tc>
        <w:tc>
          <w:tcPr>
            <w:tcW w:w="780" w:type="dxa"/>
            <w:vAlign w:val="bottom"/>
            <w:shd w:val="clear" w:color="auto" w:fill="4C4C4C"/>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80" w:type="dxa"/>
            <w:vAlign w:val="bottom"/>
            <w:tcBorders>
              <w:bottom w:val="single" w:sz="8" w:color="4C4C4C"/>
            </w:tcBorders>
            <w:vMerge w:val="continue"/>
            <w:shd w:val="clear" w:color="auto" w:fill="4C4C4C"/>
          </w:tcPr>
          <w:p>
            <w:pPr>
              <w:spacing w:after="0"/>
              <w:rPr>
                <w:sz w:val="8"/>
                <w:szCs w:val="8"/>
                <w:color w:val="auto"/>
              </w:rPr>
            </w:pPr>
          </w:p>
        </w:tc>
        <w:tc>
          <w:tcPr>
            <w:tcW w:w="2060" w:type="dxa"/>
            <w:vAlign w:val="bottom"/>
            <w:tcBorders>
              <w:bottom w:val="single" w:sz="8" w:color="4C4C4C"/>
            </w:tcBorders>
            <w:shd w:val="clear" w:color="auto" w:fill="4C4C4C"/>
          </w:tcPr>
          <w:p>
            <w:pPr>
              <w:spacing w:after="0"/>
              <w:rPr>
                <w:sz w:val="8"/>
                <w:szCs w:val="8"/>
                <w:color w:val="auto"/>
              </w:rPr>
            </w:pPr>
          </w:p>
        </w:tc>
        <w:tc>
          <w:tcPr>
            <w:tcW w:w="1080" w:type="dxa"/>
            <w:vAlign w:val="bottom"/>
            <w:tcBorders>
              <w:bottom w:val="single" w:sz="8" w:color="4C4C4C"/>
            </w:tcBorders>
            <w:shd w:val="clear" w:color="auto" w:fill="4C4C4C"/>
          </w:tcPr>
          <w:p>
            <w:pPr>
              <w:spacing w:after="0"/>
              <w:rPr>
                <w:sz w:val="8"/>
                <w:szCs w:val="8"/>
                <w:color w:val="auto"/>
              </w:rPr>
            </w:pPr>
          </w:p>
        </w:tc>
        <w:tc>
          <w:tcPr>
            <w:tcW w:w="920" w:type="dxa"/>
            <w:vAlign w:val="bottom"/>
            <w:tcBorders>
              <w:bottom w:val="single" w:sz="8" w:color="4C4C4C"/>
            </w:tcBorders>
            <w:vMerge w:val="continue"/>
            <w:shd w:val="clear" w:color="auto" w:fill="4C4C4C"/>
          </w:tcPr>
          <w:p>
            <w:pPr>
              <w:spacing w:after="0"/>
              <w:rPr>
                <w:sz w:val="8"/>
                <w:szCs w:val="8"/>
                <w:color w:val="auto"/>
              </w:rPr>
            </w:pPr>
          </w:p>
        </w:tc>
        <w:tc>
          <w:tcPr>
            <w:tcW w:w="920" w:type="dxa"/>
            <w:vAlign w:val="bottom"/>
            <w:tcBorders>
              <w:bottom w:val="single" w:sz="8" w:color="4C4C4C"/>
            </w:tcBorders>
            <w:shd w:val="clear" w:color="auto" w:fill="4C4C4C"/>
          </w:tcPr>
          <w:p>
            <w:pPr>
              <w:spacing w:after="0"/>
              <w:rPr>
                <w:sz w:val="8"/>
                <w:szCs w:val="8"/>
                <w:color w:val="auto"/>
              </w:rPr>
            </w:pPr>
          </w:p>
        </w:tc>
        <w:tc>
          <w:tcPr>
            <w:tcW w:w="920" w:type="dxa"/>
            <w:vAlign w:val="bottom"/>
            <w:tcBorders>
              <w:bottom w:val="single" w:sz="8" w:color="4C4C4C"/>
            </w:tcBorders>
            <w:shd w:val="clear" w:color="auto" w:fill="4C4C4C"/>
          </w:tcPr>
          <w:p>
            <w:pPr>
              <w:spacing w:after="0"/>
              <w:rPr>
                <w:sz w:val="8"/>
                <w:szCs w:val="8"/>
                <w:color w:val="auto"/>
              </w:rPr>
            </w:pPr>
          </w:p>
        </w:tc>
        <w:tc>
          <w:tcPr>
            <w:tcW w:w="820" w:type="dxa"/>
            <w:vAlign w:val="bottom"/>
            <w:tcBorders>
              <w:bottom w:val="single" w:sz="8" w:color="4C4C4C"/>
            </w:tcBorders>
            <w:shd w:val="clear" w:color="auto" w:fill="4C4C4C"/>
          </w:tcPr>
          <w:p>
            <w:pPr>
              <w:spacing w:after="0"/>
              <w:rPr>
                <w:sz w:val="8"/>
                <w:szCs w:val="8"/>
                <w:color w:val="auto"/>
              </w:rPr>
            </w:pPr>
          </w:p>
        </w:tc>
        <w:tc>
          <w:tcPr>
            <w:tcW w:w="960" w:type="dxa"/>
            <w:vAlign w:val="bottom"/>
            <w:tcBorders>
              <w:bottom w:val="single" w:sz="8" w:color="4C4C4C"/>
            </w:tcBorders>
            <w:shd w:val="clear" w:color="auto" w:fill="4C4C4C"/>
          </w:tcPr>
          <w:p>
            <w:pPr>
              <w:spacing w:after="0"/>
              <w:rPr>
                <w:sz w:val="8"/>
                <w:szCs w:val="8"/>
                <w:color w:val="auto"/>
              </w:rPr>
            </w:pPr>
          </w:p>
        </w:tc>
        <w:tc>
          <w:tcPr>
            <w:tcW w:w="780" w:type="dxa"/>
            <w:vAlign w:val="bottom"/>
            <w:tcBorders>
              <w:bottom w:val="single" w:sz="8" w:color="4C4C4C"/>
            </w:tcBorders>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During 2023</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2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2,456</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costs</w:t>
            </w:r>
          </w:p>
        </w:tc>
        <w:tc>
          <w:tcPr>
            <w:tcW w:w="20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693</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117</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2060" w:type="dxa"/>
            <w:vAlign w:val="bottom"/>
            <w:tcBorders>
              <w:bottom w:val="single" w:sz="8" w:color="4C4C4C"/>
            </w:tcBorders>
          </w:tcPr>
          <w:p>
            <w:pPr>
              <w:spacing w:after="0"/>
              <w:rPr>
                <w:sz w:val="22"/>
                <w:szCs w:val="22"/>
                <w:color w:val="auto"/>
              </w:rPr>
            </w:pP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8,978</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5,914</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562</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822</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1,046</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costs incurred for consolidated subsidiaries</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11,659</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6,607</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78</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687</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840</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1,081</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20,952</w:t>
            </w:r>
          </w:p>
        </w:tc>
        <w:tc>
          <w:tcPr>
            <w:tcW w:w="0" w:type="dxa"/>
            <w:vAlign w:val="bottom"/>
          </w:tcPr>
          <w:p>
            <w:pPr>
              <w:spacing w:after="0"/>
              <w:rPr>
                <w:sz w:val="1"/>
                <w:szCs w:val="1"/>
                <w:color w:val="auto"/>
              </w:rPr>
            </w:pPr>
          </w:p>
        </w:tc>
      </w:tr>
      <w:tr>
        <w:trPr>
          <w:trHeight w:val="325"/>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costs</w:t>
            </w:r>
          </w:p>
        </w:tc>
        <w:tc>
          <w:tcPr>
            <w:tcW w:w="20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2060" w:type="dxa"/>
            <w:vAlign w:val="bottom"/>
            <w:tcBorders>
              <w:bottom w:val="single" w:sz="8" w:color="4C4C4C"/>
            </w:tcBorders>
          </w:tcPr>
          <w:p>
            <w:pPr>
              <w:spacing w:after="0"/>
              <w:rPr>
                <w:sz w:val="22"/>
                <w:szCs w:val="22"/>
                <w:color w:val="auto"/>
              </w:rPr>
            </w:pP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1,488</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costs incurred for equity companies</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1,488</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1,510</w:t>
            </w:r>
          </w:p>
        </w:tc>
        <w:tc>
          <w:tcPr>
            <w:tcW w:w="0" w:type="dxa"/>
            <w:vAlign w:val="bottom"/>
          </w:tcPr>
          <w:p>
            <w:pPr>
              <w:spacing w:after="0"/>
              <w:rPr>
                <w:sz w:val="1"/>
                <w:szCs w:val="1"/>
                <w:color w:val="auto"/>
              </w:rPr>
            </w:pPr>
          </w:p>
        </w:tc>
      </w:tr>
      <w:tr>
        <w:trPr>
          <w:trHeight w:val="516"/>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During 2022</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2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costs</w:t>
            </w:r>
          </w:p>
        </w:tc>
        <w:tc>
          <w:tcPr>
            <w:tcW w:w="20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736</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145</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2060" w:type="dxa"/>
            <w:vAlign w:val="bottom"/>
            <w:tcBorders>
              <w:bottom w:val="single" w:sz="8" w:color="4C4C4C"/>
            </w:tcBorders>
          </w:tcPr>
          <w:p>
            <w:pPr>
              <w:spacing w:after="0"/>
              <w:rPr>
                <w:sz w:val="22"/>
                <w:szCs w:val="22"/>
                <w:color w:val="auto"/>
              </w:rPr>
            </w:pP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5,821</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4,759</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161</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533</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1,490</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440</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costs incurred for consolidated subsidiaries</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5,877</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5,506</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232</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829</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1,560</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509</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14,513</w:t>
            </w:r>
          </w:p>
        </w:tc>
        <w:tc>
          <w:tcPr>
            <w:tcW w:w="0" w:type="dxa"/>
            <w:vAlign w:val="bottom"/>
          </w:tcPr>
          <w:p>
            <w:pPr>
              <w:spacing w:after="0"/>
              <w:rPr>
                <w:sz w:val="1"/>
                <w:szCs w:val="1"/>
                <w:color w:val="auto"/>
              </w:rPr>
            </w:pPr>
          </w:p>
        </w:tc>
      </w:tr>
      <w:tr>
        <w:trPr>
          <w:trHeight w:val="325"/>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costs</w:t>
            </w:r>
          </w:p>
        </w:tc>
        <w:tc>
          <w:tcPr>
            <w:tcW w:w="20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2060" w:type="dxa"/>
            <w:vAlign w:val="bottom"/>
            <w:tcBorders>
              <w:bottom w:val="single" w:sz="8" w:color="4C4C4C"/>
            </w:tcBorders>
          </w:tcPr>
          <w:p>
            <w:pPr>
              <w:spacing w:after="0"/>
              <w:rPr>
                <w:sz w:val="22"/>
                <w:szCs w:val="22"/>
                <w:color w:val="auto"/>
              </w:rPr>
            </w:pP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1,638</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costs incurred for equity companies</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95</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22</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1,638</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0" w:type="dxa"/>
            <w:vAlign w:val="bottom"/>
          </w:tcPr>
          <w:p>
            <w:pPr>
              <w:spacing w:after="0"/>
              <w:rPr>
                <w:sz w:val="1"/>
                <w:szCs w:val="1"/>
                <w:color w:val="auto"/>
              </w:rPr>
            </w:pPr>
          </w:p>
        </w:tc>
      </w:tr>
      <w:tr>
        <w:trPr>
          <w:trHeight w:val="516"/>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During 2021</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2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575</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costs</w:t>
            </w:r>
          </w:p>
        </w:tc>
        <w:tc>
          <w:tcPr>
            <w:tcW w:w="20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903</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185</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2060" w:type="dxa"/>
            <w:vAlign w:val="bottom"/>
            <w:tcBorders>
              <w:bottom w:val="single" w:sz="8" w:color="4C4C4C"/>
            </w:tcBorders>
          </w:tcPr>
          <w:p>
            <w:pPr>
              <w:spacing w:after="0"/>
              <w:rPr>
                <w:sz w:val="22"/>
                <w:szCs w:val="22"/>
                <w:color w:val="auto"/>
              </w:rPr>
            </w:pP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3,352</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2,619</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207</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389</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805</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435</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costs incurred for consolidated subsidiaries</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3,486</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4,097</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253</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664</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867</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510</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9,877</w:t>
            </w:r>
          </w:p>
        </w:tc>
        <w:tc>
          <w:tcPr>
            <w:tcW w:w="0" w:type="dxa"/>
            <w:vAlign w:val="bottom"/>
          </w:tcPr>
          <w:p>
            <w:pPr>
              <w:spacing w:after="0"/>
              <w:rPr>
                <w:sz w:val="1"/>
                <w:szCs w:val="1"/>
                <w:color w:val="auto"/>
              </w:rPr>
            </w:pPr>
          </w:p>
        </w:tc>
      </w:tr>
      <w:tr>
        <w:trPr>
          <w:trHeight w:val="325"/>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Equity Companies</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Unproved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costs</w:t>
            </w:r>
          </w:p>
        </w:tc>
        <w:tc>
          <w:tcPr>
            <w:tcW w:w="20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4"/>
        </w:trPr>
        <w:tc>
          <w:tcPr>
            <w:tcW w:w="208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2060" w:type="dxa"/>
            <w:vAlign w:val="bottom"/>
            <w:tcBorders>
              <w:bottom w:val="single" w:sz="8" w:color="4C4C4C"/>
            </w:tcBorders>
          </w:tcPr>
          <w:p>
            <w:pPr>
              <w:spacing w:after="0"/>
              <w:rPr>
                <w:sz w:val="22"/>
                <w:szCs w:val="22"/>
                <w:color w:val="auto"/>
              </w:rPr>
            </w:pP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88</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1,334</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4C4C4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costs incurred for equity companies</w:t>
            </w:r>
          </w:p>
        </w:tc>
        <w:tc>
          <w:tcPr>
            <w:tcW w:w="10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w:t>
            </w:r>
          </w:p>
        </w:tc>
        <w:tc>
          <w:tcPr>
            <w:tcW w:w="9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21</w:t>
            </w:r>
          </w:p>
        </w:tc>
        <w:tc>
          <w:tcPr>
            <w:tcW w:w="92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88</w:t>
            </w:r>
          </w:p>
        </w:tc>
        <w:tc>
          <w:tcPr>
            <w:tcW w:w="82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1,334</w:t>
            </w:r>
          </w:p>
        </w:tc>
        <w:tc>
          <w:tcPr>
            <w:tcW w:w="9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ectPr>
          <w:pgSz w:w="11880" w:h="15480" w:orient="portrait"/>
          <w:cols w:equalWidth="0" w:num="1">
            <w:col w:w="10600"/>
          </w:cols>
          <w:pgMar w:left="640" w:top="724" w:right="64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4C4C4C"/>
        </w:rPr>
        <w:t>Oil and Gas Reserves</w:t>
      </w:r>
    </w:p>
    <w:p>
      <w:pPr>
        <w:spacing w:after="0" w:line="1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following information describes changes during the years and balances of proved oil and gas reserves at year-end 2021, 2022, and 2023.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definitions used are in accordance with the Securities and Exchange Commission’s Rule 4-10 (a) of Regulation S-X.</w:t>
      </w:r>
    </w:p>
    <w:p>
      <w:pPr>
        <w:spacing w:after="0" w:line="1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Proved oil and natural gas reserves are those quantities of oil and natural gas,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In some cases, substantial new investments in additional wells and related facilities will be required to recover these proved reserves.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accordance with the Securities and Exchange Commission’s (SEC) rules, the Corporation’s year-end reserves volumes as well as the reserves change categories shown in the following tables are required to be calculated on the basis of average prices during the 12-month period prior to the ending date of the period covered by the report, determined as an unweighted arithmetic average of the first-day-of-the-month price for each month within such period. These reserves quantities are also used in calculating unit-of-production depreciation rates and in calculating the standardized measure of discounted net cash flows.</w:t>
      </w:r>
    </w:p>
    <w:p>
      <w:pPr>
        <w:spacing w:after="0" w:line="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Revisions can include upward or downward changes in previously estimated volumes of proved reserves for existing fields due to the evaluation or re-evaluation of (1) already available geologic, reservoir or production data, (2) new geologic, reservoir or production data or (3) changes in the average of first-of-month oil and natural gas prices and/or costs that are used in the estimation of reserves. Revisions can also result from significant changes in either development strategy or production equipment/facility capacity.</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Proved reserves include 100 percent of each majority-owned affiliate’s participation in proved reserves and ExxonMobil’s ownership percentage of the proved reserves of equity companies, but exclude royalties and quantities due others. Natural gas reserves exclude the gaseous equivalent of liquids expected to be removed from the natural gas on leases, at field facilities and at gas processing plants. These liquids are included in net proved reserves of crude oil and natural gas liquids.</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 the proved reserves tables, consolidated reserves and equity company reserves are reported separately. However, the Corporation does not view equity company reserves any differently than those from consolidated companies.</w:t>
      </w:r>
    </w:p>
    <w:p>
      <w:pPr>
        <w:spacing w:after="0" w:line="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Reserves reported under production sharing and other nonconcessionary agreements are based on the economic interest as defined by the specific fiscal terms in the agreement. The production and reserves reported for these types of arrangements typically vary inversely with oil and natural gas price changes. As oil and natural gas prices increase, the cash flow and value received by the company increase; however, the production volumes and reserves required to achieve this value will typically be lower because of the higher prices. When prices decrease, the opposite effect generally occurs. The percentage of total proved reserves (consolidated subsidiaries plus equity companies) at year-end 2023 that were associated with production sharing contract arrangements was 13 percent on an oil-equivalent basis (natural gas is converted to an oil-equivalent basis at six billion cubic feet per one million barrels).</w:t>
      </w:r>
    </w:p>
    <w:p>
      <w:pPr>
        <w:spacing w:after="0" w:line="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proved developed reserves are those volumes that are expected to be recovered through existing wells with existing equipment and operating methods or in which the cost of the required equipment is relatively minor compared to the cost of a new well. Net proved undeveloped reserves are those volumes that are expected to be recovered from new wells on undrilled acreage, or from existing wells where a relatively major expenditure is required for recompletion.</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Crude oil, natural gas liquids, and natural gas production quantities shown are the net volumes withdrawn from ExxonMobil’s oil and natural gas reserves. The natural gas quantities differ from the quantities of natural gas delivered for sale by the producing function as reported in the Upstream Operational Results due to volumes consumed or flared and inventory changes.</w:t>
      </w:r>
    </w:p>
    <w:p>
      <w:pPr>
        <w:spacing w:after="0" w:line="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changes between 2023 year-end proved reserves and 2022 year-end proved reserves include worldwide production of 1.4 billion oil-equivalent barrels (GOEB), asset sales of 0.2 GOEB primarily in the United States, and downward revisions of 0.4 GOEB. Additions to proved reserves include 1.1 GOEB from extensions and discoveries primarily in the United States and Guyana and 0.2 GOEB related to the Denbury acquisition.</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changes between 2022 year-end proved reserves and 2021 year-end proved reserves include worldwide production of 1.4 GOEB, asset sales of 0.4 GOEB primarily in the United States, and other downward revisions of 1.2 GOEB including the impact of the Russia expropriation (0.2 GOEB). Additions to proved reserves include 0.7 GOEB from purchases in Asia and 1.4 GOEB from extensions and discoveries primarily in the United States and Guyana.</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changes between 2021 year-end proved reserves and 2020 year-end proved reserves reflect upward revisions of 2.4 billion barrels of bitumen at Kearl and 0.5 billion barrels of bitumen at Cold Lake, primarily as a result of improved prices. In addition, extensions and discoveries of approximately 1.3 GOEB occurred primarily in the United States (0.9 GOEB), Brazil (0.2 GOEB) and Guyana (0.1 GOEB). Worldwide production in 2021 was 1.4 GOEB.</w:t>
      </w: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880" w:h="15480" w:orient="portrait"/>
          <w:cols w:equalWidth="0" w:num="1">
            <w:col w:w="10600"/>
          </w:cols>
          <w:pgMar w:left="640" w:top="724" w:right="640" w:bottom="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b w:val="1"/>
          <w:bCs w:val="1"/>
          <w:color w:val="4C4C4C"/>
        </w:rPr>
        <w:t>Crude Oil, Natural Gas Liquids, Bitumen and Synthetic Oil Proved Reserves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Borders>
              <w:top w:val="single" w:sz="8" w:color="auto"/>
            </w:tcBorders>
            <w:shd w:val="clear" w:color="auto" w:fill="4C4C4C"/>
          </w:tcPr>
          <w:p>
            <w:pPr>
              <w:spacing w:after="0"/>
              <w:rPr>
                <w:sz w:val="13"/>
                <w:szCs w:val="13"/>
                <w:color w:val="auto"/>
              </w:rPr>
            </w:pPr>
          </w:p>
        </w:tc>
        <w:tc>
          <w:tcPr>
            <w:tcW w:w="680" w:type="dxa"/>
            <w:vAlign w:val="bottom"/>
            <w:tcBorders>
              <w:top w:val="single" w:sz="8" w:color="auto"/>
            </w:tcBorders>
            <w:shd w:val="clear" w:color="auto" w:fill="4C4C4C"/>
          </w:tcPr>
          <w:p>
            <w:pPr>
              <w:spacing w:after="0"/>
              <w:rPr>
                <w:sz w:val="13"/>
                <w:szCs w:val="13"/>
                <w:color w:val="auto"/>
              </w:rPr>
            </w:pPr>
          </w:p>
        </w:tc>
        <w:tc>
          <w:tcPr>
            <w:tcW w:w="800" w:type="dxa"/>
            <w:vAlign w:val="bottom"/>
            <w:tcBorders>
              <w:top w:val="single" w:sz="8" w:color="auto"/>
            </w:tcBorders>
            <w:shd w:val="clear" w:color="auto" w:fill="4C4C4C"/>
          </w:tcPr>
          <w:p>
            <w:pPr>
              <w:spacing w:after="0"/>
              <w:rPr>
                <w:sz w:val="13"/>
                <w:szCs w:val="13"/>
                <w:color w:val="auto"/>
              </w:rPr>
            </w:pPr>
          </w:p>
        </w:tc>
        <w:tc>
          <w:tcPr>
            <w:tcW w:w="660" w:type="dxa"/>
            <w:vAlign w:val="bottom"/>
            <w:tcBorders>
              <w:top w:val="single" w:sz="8" w:color="auto"/>
            </w:tcBorders>
            <w:shd w:val="clear" w:color="auto" w:fill="4C4C4C"/>
          </w:tcPr>
          <w:p>
            <w:pPr>
              <w:spacing w:after="0"/>
              <w:rPr>
                <w:sz w:val="13"/>
                <w:szCs w:val="13"/>
                <w:color w:val="auto"/>
              </w:rPr>
            </w:pPr>
          </w:p>
        </w:tc>
        <w:tc>
          <w:tcPr>
            <w:tcW w:w="780" w:type="dxa"/>
            <w:vAlign w:val="bottom"/>
            <w:tcBorders>
              <w:top w:val="single" w:sz="8" w:color="auto"/>
            </w:tcBorders>
            <w:shd w:val="clear" w:color="auto" w:fill="4C4C4C"/>
          </w:tcPr>
          <w:p>
            <w:pPr>
              <w:spacing w:after="0"/>
              <w:rPr>
                <w:sz w:val="13"/>
                <w:szCs w:val="13"/>
                <w:color w:val="auto"/>
              </w:rPr>
            </w:pPr>
          </w:p>
        </w:tc>
        <w:tc>
          <w:tcPr>
            <w:tcW w:w="660" w:type="dxa"/>
            <w:vAlign w:val="bottom"/>
            <w:tcBorders>
              <w:top w:val="single" w:sz="8" w:color="auto"/>
            </w:tcBorders>
            <w:shd w:val="clear" w:color="auto" w:fill="4C4C4C"/>
          </w:tcPr>
          <w:p>
            <w:pPr>
              <w:spacing w:after="0"/>
              <w:rPr>
                <w:sz w:val="13"/>
                <w:szCs w:val="13"/>
                <w:color w:val="auto"/>
              </w:rPr>
            </w:pPr>
          </w:p>
        </w:tc>
        <w:tc>
          <w:tcPr>
            <w:tcW w:w="840" w:type="dxa"/>
            <w:vAlign w:val="bottom"/>
            <w:tcBorders>
              <w:top w:val="single" w:sz="8" w:color="auto"/>
            </w:tcBorders>
            <w:shd w:val="clear" w:color="auto" w:fill="4C4C4C"/>
          </w:tcPr>
          <w:p>
            <w:pPr>
              <w:spacing w:after="0"/>
              <w:rPr>
                <w:sz w:val="13"/>
                <w:szCs w:val="13"/>
                <w:color w:val="auto"/>
              </w:rPr>
            </w:pPr>
          </w:p>
        </w:tc>
        <w:tc>
          <w:tcPr>
            <w:tcW w:w="640" w:type="dxa"/>
            <w:vAlign w:val="bottom"/>
            <w:tcBorders>
              <w:top w:val="single" w:sz="8" w:color="auto"/>
            </w:tcBorders>
            <w:shd w:val="clear" w:color="auto" w:fill="4C4C4C"/>
          </w:tcPr>
          <w:p>
            <w:pPr>
              <w:spacing w:after="0"/>
              <w:rPr>
                <w:sz w:val="13"/>
                <w:szCs w:val="13"/>
                <w:color w:val="auto"/>
              </w:rPr>
            </w:pPr>
          </w:p>
        </w:tc>
        <w:tc>
          <w:tcPr>
            <w:tcW w:w="880" w:type="dxa"/>
            <w:vAlign w:val="bottom"/>
            <w:tcBorders>
              <w:top w:val="single" w:sz="8" w:color="auto"/>
            </w:tcBorders>
            <w:shd w:val="clear" w:color="auto" w:fill="4C4C4C"/>
          </w:tcPr>
          <w:p>
            <w:pPr>
              <w:jc w:val="center"/>
              <w:spacing w:after="0" w:line="161" w:lineRule="exact"/>
              <w:rPr>
                <w:sz w:val="20"/>
                <w:szCs w:val="20"/>
                <w:color w:val="auto"/>
              </w:rPr>
            </w:pPr>
            <w:r>
              <w:rPr>
                <w:rFonts w:ascii="Times New Roman" w:cs="Times New Roman" w:eastAsia="Times New Roman" w:hAnsi="Times New Roman"/>
                <w:sz w:val="16"/>
                <w:szCs w:val="16"/>
                <w:color w:val="FFFFFF"/>
                <w:w w:val="95"/>
              </w:rPr>
              <w:t>Natural</w:t>
            </w:r>
          </w:p>
        </w:tc>
        <w:tc>
          <w:tcPr>
            <w:tcW w:w="760" w:type="dxa"/>
            <w:vAlign w:val="bottom"/>
            <w:tcBorders>
              <w:top w:val="single" w:sz="8" w:color="auto"/>
            </w:tcBorders>
            <w:shd w:val="clear" w:color="auto" w:fill="4C4C4C"/>
          </w:tcPr>
          <w:p>
            <w:pPr>
              <w:spacing w:after="0"/>
              <w:rPr>
                <w:sz w:val="13"/>
                <w:szCs w:val="13"/>
                <w:color w:val="auto"/>
              </w:rPr>
            </w:pPr>
          </w:p>
        </w:tc>
        <w:tc>
          <w:tcPr>
            <w:tcW w:w="760" w:type="dxa"/>
            <w:vAlign w:val="bottom"/>
            <w:tcBorders>
              <w:top w:val="single" w:sz="8" w:color="auto"/>
            </w:tcBorders>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9"/>
              </w:rPr>
              <w:t>Synthetic</w:t>
            </w:r>
          </w:p>
        </w:tc>
        <w:tc>
          <w:tcPr>
            <w:tcW w:w="620" w:type="dxa"/>
            <w:vAlign w:val="bottom"/>
            <w:tcBorders>
              <w:top w:val="single" w:sz="8" w:color="auto"/>
            </w:tcBorders>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00" w:type="dxa"/>
            <w:vAlign w:val="bottom"/>
            <w:shd w:val="clear" w:color="auto" w:fill="4C4C4C"/>
          </w:tcPr>
          <w:p>
            <w:pPr>
              <w:spacing w:after="0"/>
              <w:rPr>
                <w:sz w:val="13"/>
                <w:szCs w:val="13"/>
                <w:color w:val="auto"/>
              </w:rPr>
            </w:pPr>
          </w:p>
        </w:tc>
        <w:tc>
          <w:tcPr>
            <w:tcW w:w="680" w:type="dxa"/>
            <w:vAlign w:val="bottom"/>
            <w:shd w:val="clear" w:color="auto" w:fill="4C4C4C"/>
          </w:tcPr>
          <w:p>
            <w:pPr>
              <w:spacing w:after="0"/>
              <w:rPr>
                <w:sz w:val="13"/>
                <w:szCs w:val="13"/>
                <w:color w:val="auto"/>
              </w:rPr>
            </w:pPr>
          </w:p>
        </w:tc>
        <w:tc>
          <w:tcPr>
            <w:tcW w:w="800" w:type="dxa"/>
            <w:vAlign w:val="bottom"/>
            <w:shd w:val="clear" w:color="auto" w:fill="4C4C4C"/>
          </w:tcPr>
          <w:p>
            <w:pPr>
              <w:spacing w:after="0"/>
              <w:rPr>
                <w:sz w:val="13"/>
                <w:szCs w:val="13"/>
                <w:color w:val="auto"/>
              </w:rPr>
            </w:pPr>
          </w:p>
        </w:tc>
        <w:tc>
          <w:tcPr>
            <w:tcW w:w="660" w:type="dxa"/>
            <w:vAlign w:val="bottom"/>
            <w:shd w:val="clear" w:color="auto" w:fill="4C4C4C"/>
          </w:tcPr>
          <w:p>
            <w:pPr>
              <w:spacing w:after="0"/>
              <w:rPr>
                <w:sz w:val="13"/>
                <w:szCs w:val="13"/>
                <w:color w:val="auto"/>
              </w:rPr>
            </w:pPr>
          </w:p>
        </w:tc>
        <w:tc>
          <w:tcPr>
            <w:tcW w:w="780" w:type="dxa"/>
            <w:vAlign w:val="bottom"/>
            <w:vMerge w:val="restart"/>
            <w:shd w:val="clear" w:color="auto" w:fill="4C4C4C"/>
          </w:tcPr>
          <w:p>
            <w:pPr>
              <w:jc w:val="right"/>
              <w:ind w:right="32"/>
              <w:spacing w:after="0"/>
              <w:rPr>
                <w:sz w:val="20"/>
                <w:szCs w:val="20"/>
                <w:color w:val="auto"/>
              </w:rPr>
            </w:pPr>
            <w:r>
              <w:rPr>
                <w:rFonts w:ascii="Times New Roman" w:cs="Times New Roman" w:eastAsia="Times New Roman" w:hAnsi="Times New Roman"/>
                <w:sz w:val="16"/>
                <w:szCs w:val="16"/>
                <w:color w:val="FFFFFF"/>
              </w:rPr>
              <w:t>Crude Oil</w:t>
            </w:r>
          </w:p>
        </w:tc>
        <w:tc>
          <w:tcPr>
            <w:tcW w:w="660" w:type="dxa"/>
            <w:vAlign w:val="bottom"/>
            <w:shd w:val="clear" w:color="auto" w:fill="4C4C4C"/>
          </w:tcPr>
          <w:p>
            <w:pPr>
              <w:spacing w:after="0"/>
              <w:rPr>
                <w:sz w:val="13"/>
                <w:szCs w:val="13"/>
                <w:color w:val="auto"/>
              </w:rPr>
            </w:pPr>
          </w:p>
        </w:tc>
        <w:tc>
          <w:tcPr>
            <w:tcW w:w="840" w:type="dxa"/>
            <w:vAlign w:val="bottom"/>
            <w:shd w:val="clear" w:color="auto" w:fill="4C4C4C"/>
          </w:tcPr>
          <w:p>
            <w:pPr>
              <w:spacing w:after="0"/>
              <w:rPr>
                <w:sz w:val="13"/>
                <w:szCs w:val="13"/>
                <w:color w:val="auto"/>
              </w:rPr>
            </w:pPr>
          </w:p>
        </w:tc>
        <w:tc>
          <w:tcPr>
            <w:tcW w:w="640" w:type="dxa"/>
            <w:vAlign w:val="bottom"/>
            <w:shd w:val="clear" w:color="auto" w:fill="4C4C4C"/>
          </w:tcPr>
          <w:p>
            <w:pPr>
              <w:spacing w:after="0"/>
              <w:rPr>
                <w:sz w:val="13"/>
                <w:szCs w:val="13"/>
                <w:color w:val="auto"/>
              </w:rPr>
            </w:pPr>
          </w:p>
        </w:tc>
        <w:tc>
          <w:tcPr>
            <w:tcW w:w="8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6"/>
              </w:rPr>
              <w:t>Gas</w:t>
            </w:r>
          </w:p>
        </w:tc>
        <w:tc>
          <w:tcPr>
            <w:tcW w:w="76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7"/>
              </w:rPr>
              <w:t>Bitumen</w:t>
            </w:r>
          </w:p>
        </w:tc>
        <w:tc>
          <w:tcPr>
            <w:tcW w:w="760" w:type="dxa"/>
            <w:vAlign w:val="bottom"/>
            <w:vMerge w:val="continue"/>
            <w:shd w:val="clear" w:color="auto" w:fill="4C4C4C"/>
          </w:tcPr>
          <w:p>
            <w:pPr>
              <w:spacing w:after="0"/>
              <w:rPr>
                <w:sz w:val="13"/>
                <w:szCs w:val="13"/>
                <w:color w:val="auto"/>
              </w:rPr>
            </w:pPr>
          </w:p>
        </w:tc>
        <w:tc>
          <w:tcPr>
            <w:tcW w:w="620" w:type="dxa"/>
            <w:vAlign w:val="bottom"/>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00" w:type="dxa"/>
            <w:vAlign w:val="bottom"/>
            <w:shd w:val="clear" w:color="auto" w:fill="4C4C4C"/>
          </w:tcPr>
          <w:p>
            <w:pPr>
              <w:spacing w:after="0"/>
              <w:rPr>
                <w:sz w:val="17"/>
                <w:szCs w:val="17"/>
                <w:color w:val="auto"/>
              </w:rPr>
            </w:pPr>
          </w:p>
        </w:tc>
        <w:tc>
          <w:tcPr>
            <w:tcW w:w="680" w:type="dxa"/>
            <w:vAlign w:val="bottom"/>
            <w:shd w:val="clear" w:color="auto" w:fill="4C4C4C"/>
          </w:tcPr>
          <w:p>
            <w:pPr>
              <w:spacing w:after="0"/>
              <w:rPr>
                <w:sz w:val="17"/>
                <w:szCs w:val="17"/>
                <w:color w:val="auto"/>
              </w:rPr>
            </w:pPr>
          </w:p>
        </w:tc>
        <w:tc>
          <w:tcPr>
            <w:tcW w:w="800" w:type="dxa"/>
            <w:vAlign w:val="bottom"/>
            <w:shd w:val="clear" w:color="auto" w:fill="4C4C4C"/>
          </w:tcPr>
          <w:p>
            <w:pPr>
              <w:spacing w:after="0"/>
              <w:rPr>
                <w:sz w:val="17"/>
                <w:szCs w:val="17"/>
                <w:color w:val="auto"/>
              </w:rPr>
            </w:pPr>
          </w:p>
        </w:tc>
        <w:tc>
          <w:tcPr>
            <w:tcW w:w="660" w:type="dxa"/>
            <w:vAlign w:val="bottom"/>
            <w:shd w:val="clear" w:color="auto" w:fill="4C4C4C"/>
          </w:tcPr>
          <w:p>
            <w:pPr>
              <w:spacing w:after="0"/>
              <w:rPr>
                <w:sz w:val="17"/>
                <w:szCs w:val="17"/>
                <w:color w:val="auto"/>
              </w:rPr>
            </w:pPr>
          </w:p>
        </w:tc>
        <w:tc>
          <w:tcPr>
            <w:tcW w:w="780" w:type="dxa"/>
            <w:vAlign w:val="bottom"/>
            <w:vMerge w:val="continue"/>
            <w:shd w:val="clear" w:color="auto" w:fill="4C4C4C"/>
          </w:tcPr>
          <w:p>
            <w:pPr>
              <w:spacing w:after="0"/>
              <w:rPr>
                <w:sz w:val="17"/>
                <w:szCs w:val="17"/>
                <w:color w:val="auto"/>
              </w:rPr>
            </w:pPr>
          </w:p>
        </w:tc>
        <w:tc>
          <w:tcPr>
            <w:tcW w:w="660" w:type="dxa"/>
            <w:vAlign w:val="bottom"/>
            <w:shd w:val="clear" w:color="auto" w:fill="4C4C4C"/>
          </w:tcPr>
          <w:p>
            <w:pPr>
              <w:spacing w:after="0"/>
              <w:rPr>
                <w:sz w:val="17"/>
                <w:szCs w:val="17"/>
                <w:color w:val="auto"/>
              </w:rPr>
            </w:pPr>
          </w:p>
        </w:tc>
        <w:tc>
          <w:tcPr>
            <w:tcW w:w="840" w:type="dxa"/>
            <w:vAlign w:val="bottom"/>
            <w:shd w:val="clear" w:color="auto" w:fill="4C4C4C"/>
          </w:tcPr>
          <w:p>
            <w:pPr>
              <w:spacing w:after="0"/>
              <w:rPr>
                <w:sz w:val="17"/>
                <w:szCs w:val="17"/>
                <w:color w:val="auto"/>
              </w:rPr>
            </w:pPr>
          </w:p>
        </w:tc>
        <w:tc>
          <w:tcPr>
            <w:tcW w:w="640" w:type="dxa"/>
            <w:vAlign w:val="bottom"/>
            <w:shd w:val="clear" w:color="auto" w:fill="4C4C4C"/>
          </w:tcPr>
          <w:p>
            <w:pPr>
              <w:spacing w:after="0"/>
              <w:rPr>
                <w:sz w:val="17"/>
                <w:szCs w:val="17"/>
                <w:color w:val="auto"/>
              </w:rPr>
            </w:pPr>
          </w:p>
        </w:tc>
        <w:tc>
          <w:tcPr>
            <w:tcW w:w="8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8"/>
              </w:rPr>
              <w:t>Liquids</w:t>
            </w:r>
          </w:p>
        </w:tc>
        <w:tc>
          <w:tcPr>
            <w:tcW w:w="760" w:type="dxa"/>
            <w:vAlign w:val="bottom"/>
            <w:vMerge w:val="continue"/>
            <w:shd w:val="clear" w:color="auto" w:fill="4C4C4C"/>
          </w:tcPr>
          <w:p>
            <w:pPr>
              <w:spacing w:after="0"/>
              <w:rPr>
                <w:sz w:val="17"/>
                <w:szCs w:val="17"/>
                <w:color w:val="auto"/>
              </w:rPr>
            </w:pPr>
          </w:p>
        </w:tc>
        <w:tc>
          <w:tcPr>
            <w:tcW w:w="7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7"/>
              </w:rPr>
              <w:t>Oil</w:t>
            </w:r>
          </w:p>
        </w:tc>
        <w:tc>
          <w:tcPr>
            <w:tcW w:w="6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00" w:type="dxa"/>
            <w:vAlign w:val="bottom"/>
            <w:shd w:val="clear" w:color="auto" w:fill="4C4C4C"/>
          </w:tcPr>
          <w:p>
            <w:pPr>
              <w:spacing w:after="0"/>
              <w:rPr>
                <w:sz w:val="15"/>
                <w:szCs w:val="15"/>
                <w:color w:val="auto"/>
              </w:rPr>
            </w:pPr>
          </w:p>
        </w:tc>
        <w:tc>
          <w:tcPr>
            <w:tcW w:w="680" w:type="dxa"/>
            <w:vAlign w:val="bottom"/>
            <w:vMerge w:val="restart"/>
            <w:shd w:val="clear" w:color="auto" w:fill="4C4C4C"/>
          </w:tcPr>
          <w:p>
            <w:pPr>
              <w:jc w:val="right"/>
              <w:ind w:right="72"/>
              <w:spacing w:after="0"/>
              <w:rPr>
                <w:sz w:val="20"/>
                <w:szCs w:val="20"/>
                <w:color w:val="auto"/>
              </w:rPr>
            </w:pPr>
            <w:r>
              <w:rPr>
                <w:rFonts w:ascii="Times New Roman" w:cs="Times New Roman" w:eastAsia="Times New Roman" w:hAnsi="Times New Roman"/>
                <w:sz w:val="16"/>
                <w:szCs w:val="16"/>
                <w:color w:val="FFFFFF"/>
              </w:rPr>
              <w:t>United</w:t>
            </w:r>
          </w:p>
        </w:tc>
        <w:tc>
          <w:tcPr>
            <w:tcW w:w="800" w:type="dxa"/>
            <w:vAlign w:val="bottom"/>
            <w:shd w:val="clear" w:color="auto" w:fill="4C4C4C"/>
          </w:tcPr>
          <w:p>
            <w:pPr>
              <w:jc w:val="center"/>
              <w:spacing w:after="0" w:line="181" w:lineRule="exact"/>
              <w:rPr>
                <w:sz w:val="20"/>
                <w:szCs w:val="20"/>
                <w:color w:val="auto"/>
              </w:rPr>
            </w:pPr>
            <w:r>
              <w:rPr>
                <w:rFonts w:ascii="Times New Roman" w:cs="Times New Roman" w:eastAsia="Times New Roman" w:hAnsi="Times New Roman"/>
                <w:sz w:val="16"/>
                <w:szCs w:val="16"/>
                <w:color w:val="FFFFFF"/>
                <w:w w:val="95"/>
              </w:rPr>
              <w:t>Canada/</w:t>
            </w:r>
          </w:p>
        </w:tc>
        <w:tc>
          <w:tcPr>
            <w:tcW w:w="660" w:type="dxa"/>
            <w:vAlign w:val="bottom"/>
            <w:shd w:val="clear" w:color="auto" w:fill="4C4C4C"/>
          </w:tcPr>
          <w:p>
            <w:pPr>
              <w:spacing w:after="0"/>
              <w:rPr>
                <w:sz w:val="15"/>
                <w:szCs w:val="15"/>
                <w:color w:val="auto"/>
              </w:rPr>
            </w:pPr>
          </w:p>
        </w:tc>
        <w:tc>
          <w:tcPr>
            <w:tcW w:w="780" w:type="dxa"/>
            <w:vAlign w:val="bottom"/>
            <w:shd w:val="clear" w:color="auto" w:fill="4C4C4C"/>
          </w:tcPr>
          <w:p>
            <w:pPr>
              <w:spacing w:after="0"/>
              <w:rPr>
                <w:sz w:val="15"/>
                <w:szCs w:val="15"/>
                <w:color w:val="auto"/>
              </w:rPr>
            </w:pPr>
          </w:p>
        </w:tc>
        <w:tc>
          <w:tcPr>
            <w:tcW w:w="660" w:type="dxa"/>
            <w:vAlign w:val="bottom"/>
            <w:shd w:val="clear" w:color="auto" w:fill="4C4C4C"/>
          </w:tcPr>
          <w:p>
            <w:pPr>
              <w:spacing w:after="0"/>
              <w:rPr>
                <w:sz w:val="15"/>
                <w:szCs w:val="15"/>
                <w:color w:val="auto"/>
              </w:rPr>
            </w:pPr>
          </w:p>
        </w:tc>
        <w:tc>
          <w:tcPr>
            <w:tcW w:w="840" w:type="dxa"/>
            <w:vAlign w:val="bottom"/>
            <w:vMerge w:val="restart"/>
            <w:shd w:val="clear" w:color="auto" w:fill="4C4C4C"/>
          </w:tcPr>
          <w:p>
            <w:pPr>
              <w:jc w:val="right"/>
              <w:ind w:right="72"/>
              <w:spacing w:after="0"/>
              <w:rPr>
                <w:sz w:val="20"/>
                <w:szCs w:val="20"/>
                <w:color w:val="auto"/>
              </w:rPr>
            </w:pPr>
            <w:r>
              <w:rPr>
                <w:rFonts w:ascii="Times New Roman" w:cs="Times New Roman" w:eastAsia="Times New Roman" w:hAnsi="Times New Roman"/>
                <w:sz w:val="16"/>
                <w:szCs w:val="16"/>
                <w:color w:val="FFFFFF"/>
              </w:rPr>
              <w:t>Australia/</w:t>
            </w:r>
          </w:p>
        </w:tc>
        <w:tc>
          <w:tcPr>
            <w:tcW w:w="640" w:type="dxa"/>
            <w:vAlign w:val="bottom"/>
            <w:shd w:val="clear" w:color="auto" w:fill="4C4C4C"/>
          </w:tcPr>
          <w:p>
            <w:pPr>
              <w:spacing w:after="0"/>
              <w:rPr>
                <w:sz w:val="15"/>
                <w:szCs w:val="15"/>
                <w:color w:val="auto"/>
              </w:rPr>
            </w:pPr>
          </w:p>
        </w:tc>
        <w:tc>
          <w:tcPr>
            <w:tcW w:w="880" w:type="dxa"/>
            <w:vAlign w:val="bottom"/>
            <w:shd w:val="clear" w:color="auto" w:fill="4C4C4C"/>
          </w:tcPr>
          <w:p>
            <w:pPr>
              <w:spacing w:after="0"/>
              <w:rPr>
                <w:sz w:val="15"/>
                <w:szCs w:val="15"/>
                <w:color w:val="auto"/>
              </w:rPr>
            </w:pPr>
          </w:p>
        </w:tc>
        <w:tc>
          <w:tcPr>
            <w:tcW w:w="760" w:type="dxa"/>
            <w:vAlign w:val="bottom"/>
            <w:shd w:val="clear" w:color="auto" w:fill="4C4C4C"/>
          </w:tcPr>
          <w:p>
            <w:pPr>
              <w:jc w:val="center"/>
              <w:spacing w:after="0" w:line="181" w:lineRule="exact"/>
              <w:rPr>
                <w:sz w:val="20"/>
                <w:szCs w:val="20"/>
                <w:color w:val="auto"/>
              </w:rPr>
            </w:pPr>
            <w:r>
              <w:rPr>
                <w:rFonts w:ascii="Times New Roman" w:cs="Times New Roman" w:eastAsia="Times New Roman" w:hAnsi="Times New Roman"/>
                <w:sz w:val="16"/>
                <w:szCs w:val="16"/>
                <w:color w:val="FFFFFF"/>
                <w:w w:val="99"/>
              </w:rPr>
              <w:t>Canada/</w:t>
            </w:r>
          </w:p>
        </w:tc>
        <w:tc>
          <w:tcPr>
            <w:tcW w:w="760" w:type="dxa"/>
            <w:vAlign w:val="bottom"/>
            <w:shd w:val="clear" w:color="auto" w:fill="4C4C4C"/>
          </w:tcPr>
          <w:p>
            <w:pPr>
              <w:jc w:val="center"/>
              <w:spacing w:after="0" w:line="181" w:lineRule="exact"/>
              <w:rPr>
                <w:sz w:val="20"/>
                <w:szCs w:val="20"/>
                <w:color w:val="auto"/>
              </w:rPr>
            </w:pPr>
            <w:r>
              <w:rPr>
                <w:rFonts w:ascii="Times New Roman" w:cs="Times New Roman" w:eastAsia="Times New Roman" w:hAnsi="Times New Roman"/>
                <w:sz w:val="16"/>
                <w:szCs w:val="16"/>
                <w:color w:val="FFFFFF"/>
                <w:w w:val="99"/>
              </w:rPr>
              <w:t>Canada/</w:t>
            </w:r>
          </w:p>
        </w:tc>
        <w:tc>
          <w:tcPr>
            <w:tcW w:w="620" w:type="dxa"/>
            <w:vAlign w:val="bottom"/>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600" w:type="dxa"/>
            <w:vAlign w:val="bottom"/>
            <w:vMerge w:val="restart"/>
            <w:shd w:val="clear" w:color="auto" w:fill="4C4C4C"/>
          </w:tcPr>
          <w:p>
            <w:pPr>
              <w:ind w:left="100"/>
              <w:spacing w:after="0"/>
              <w:rPr>
                <w:sz w:val="20"/>
                <w:szCs w:val="20"/>
                <w:color w:val="auto"/>
              </w:rPr>
            </w:pPr>
            <w:r>
              <w:rPr>
                <w:rFonts w:ascii="Times New Roman" w:cs="Times New Roman" w:eastAsia="Times New Roman" w:hAnsi="Times New Roman"/>
                <w:sz w:val="16"/>
                <w:szCs w:val="16"/>
                <w:i w:val="1"/>
                <w:iCs w:val="1"/>
                <w:color w:val="FFFFFF"/>
              </w:rPr>
              <w:t>(millions of barrels)</w:t>
            </w:r>
          </w:p>
        </w:tc>
        <w:tc>
          <w:tcPr>
            <w:tcW w:w="680" w:type="dxa"/>
            <w:vAlign w:val="bottom"/>
            <w:vMerge w:val="continue"/>
            <w:shd w:val="clear" w:color="auto" w:fill="4C4C4C"/>
          </w:tcPr>
          <w:p>
            <w:pPr>
              <w:spacing w:after="0"/>
              <w:rPr>
                <w:sz w:val="13"/>
                <w:szCs w:val="13"/>
                <w:color w:val="auto"/>
              </w:rPr>
            </w:pPr>
          </w:p>
        </w:tc>
        <w:tc>
          <w:tcPr>
            <w:tcW w:w="80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3"/>
              </w:rPr>
              <w:t>Other</w:t>
            </w:r>
          </w:p>
        </w:tc>
        <w:tc>
          <w:tcPr>
            <w:tcW w:w="660" w:type="dxa"/>
            <w:vAlign w:val="bottom"/>
            <w:vMerge w:val="restart"/>
            <w:shd w:val="clear" w:color="auto" w:fill="4C4C4C"/>
          </w:tcPr>
          <w:p>
            <w:pPr>
              <w:jc w:val="right"/>
              <w:ind w:right="32"/>
              <w:spacing w:after="0"/>
              <w:rPr>
                <w:sz w:val="20"/>
                <w:szCs w:val="20"/>
                <w:color w:val="auto"/>
              </w:rPr>
            </w:pPr>
            <w:r>
              <w:rPr>
                <w:rFonts w:ascii="Times New Roman" w:cs="Times New Roman" w:eastAsia="Times New Roman" w:hAnsi="Times New Roman"/>
                <w:sz w:val="16"/>
                <w:szCs w:val="16"/>
                <w:color w:val="FFFFFF"/>
              </w:rPr>
              <w:t>Europe</w:t>
            </w:r>
          </w:p>
        </w:tc>
        <w:tc>
          <w:tcPr>
            <w:tcW w:w="780" w:type="dxa"/>
            <w:vAlign w:val="bottom"/>
            <w:vMerge w:val="restart"/>
            <w:shd w:val="clear" w:color="auto" w:fill="4C4C4C"/>
          </w:tcPr>
          <w:p>
            <w:pPr>
              <w:jc w:val="right"/>
              <w:ind w:right="132"/>
              <w:spacing w:after="0"/>
              <w:rPr>
                <w:sz w:val="20"/>
                <w:szCs w:val="20"/>
                <w:color w:val="auto"/>
              </w:rPr>
            </w:pPr>
            <w:r>
              <w:rPr>
                <w:rFonts w:ascii="Times New Roman" w:cs="Times New Roman" w:eastAsia="Times New Roman" w:hAnsi="Times New Roman"/>
                <w:sz w:val="16"/>
                <w:szCs w:val="16"/>
                <w:color w:val="FFFFFF"/>
              </w:rPr>
              <w:t>Africa</w:t>
            </w:r>
          </w:p>
        </w:tc>
        <w:tc>
          <w:tcPr>
            <w:tcW w:w="660" w:type="dxa"/>
            <w:vAlign w:val="bottom"/>
            <w:vMerge w:val="restart"/>
            <w:shd w:val="clear" w:color="auto" w:fill="4C4C4C"/>
          </w:tcPr>
          <w:p>
            <w:pPr>
              <w:jc w:val="right"/>
              <w:ind w:right="152"/>
              <w:spacing w:after="0"/>
              <w:rPr>
                <w:sz w:val="20"/>
                <w:szCs w:val="20"/>
                <w:color w:val="auto"/>
              </w:rPr>
            </w:pPr>
            <w:r>
              <w:rPr>
                <w:rFonts w:ascii="Times New Roman" w:cs="Times New Roman" w:eastAsia="Times New Roman" w:hAnsi="Times New Roman"/>
                <w:sz w:val="16"/>
                <w:szCs w:val="16"/>
                <w:color w:val="FFFFFF"/>
              </w:rPr>
              <w:t>Asia</w:t>
            </w:r>
          </w:p>
        </w:tc>
        <w:tc>
          <w:tcPr>
            <w:tcW w:w="840" w:type="dxa"/>
            <w:vAlign w:val="bottom"/>
            <w:vMerge w:val="continue"/>
            <w:shd w:val="clear" w:color="auto" w:fill="4C4C4C"/>
          </w:tcPr>
          <w:p>
            <w:pPr>
              <w:spacing w:after="0"/>
              <w:rPr>
                <w:sz w:val="13"/>
                <w:szCs w:val="13"/>
                <w:color w:val="auto"/>
              </w:rPr>
            </w:pPr>
          </w:p>
        </w:tc>
        <w:tc>
          <w:tcPr>
            <w:tcW w:w="640" w:type="dxa"/>
            <w:vAlign w:val="bottom"/>
            <w:vMerge w:val="restart"/>
            <w:shd w:val="clear" w:color="auto" w:fill="4C4C4C"/>
          </w:tcPr>
          <w:p>
            <w:pPr>
              <w:jc w:val="right"/>
              <w:ind w:right="112"/>
              <w:spacing w:after="0"/>
              <w:rPr>
                <w:sz w:val="20"/>
                <w:szCs w:val="20"/>
                <w:color w:val="auto"/>
              </w:rPr>
            </w:pPr>
            <w:r>
              <w:rPr>
                <w:rFonts w:ascii="Times New Roman" w:cs="Times New Roman" w:eastAsia="Times New Roman" w:hAnsi="Times New Roman"/>
                <w:sz w:val="16"/>
                <w:szCs w:val="16"/>
                <w:color w:val="FFFFFF"/>
              </w:rPr>
              <w:t>Total</w:t>
            </w:r>
          </w:p>
        </w:tc>
        <w:tc>
          <w:tcPr>
            <w:tcW w:w="88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7"/>
              </w:rPr>
              <w:t>Worldwide</w:t>
            </w:r>
          </w:p>
        </w:tc>
        <w:tc>
          <w:tcPr>
            <w:tcW w:w="76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8"/>
              </w:rPr>
              <w:t>Other</w:t>
            </w:r>
          </w:p>
        </w:tc>
        <w:tc>
          <w:tcPr>
            <w:tcW w:w="76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8"/>
              </w:rPr>
              <w:t>Other</w:t>
            </w:r>
          </w:p>
        </w:tc>
        <w:tc>
          <w:tcPr>
            <w:tcW w:w="620" w:type="dxa"/>
            <w:vAlign w:val="bottom"/>
            <w:vMerge w:val="restart"/>
            <w:shd w:val="clear" w:color="auto" w:fill="4C4C4C"/>
          </w:tcPr>
          <w:p>
            <w:pPr>
              <w:jc w:val="right"/>
              <w:ind w:right="52"/>
              <w:spacing w:after="0"/>
              <w:rPr>
                <w:sz w:val="20"/>
                <w:szCs w:val="20"/>
                <w:color w:val="auto"/>
              </w:rPr>
            </w:pPr>
            <w:r>
              <w:rPr>
                <w:rFonts w:ascii="Times New Roman" w:cs="Times New Roman" w:eastAsia="Times New Roman" w:hAnsi="Times New Roman"/>
                <w:sz w:val="16"/>
                <w:szCs w:val="16"/>
                <w:color w:val="FFFFFF"/>
              </w:rPr>
              <w:t>Total</w:t>
            </w:r>
          </w:p>
        </w:tc>
        <w:tc>
          <w:tcPr>
            <w:tcW w:w="0" w:type="dxa"/>
            <w:vAlign w:val="bottom"/>
          </w:tcPr>
          <w:p>
            <w:pPr>
              <w:spacing w:after="0"/>
              <w:rPr>
                <w:sz w:val="1"/>
                <w:szCs w:val="1"/>
                <w:color w:val="auto"/>
              </w:rPr>
            </w:pPr>
          </w:p>
        </w:tc>
      </w:tr>
      <w:tr>
        <w:trPr>
          <w:trHeight w:val="220"/>
        </w:trPr>
        <w:tc>
          <w:tcPr>
            <w:tcW w:w="2600" w:type="dxa"/>
            <w:vAlign w:val="bottom"/>
            <w:vMerge w:val="continue"/>
            <w:shd w:val="clear" w:color="auto" w:fill="4C4C4C"/>
          </w:tcPr>
          <w:p>
            <w:pPr>
              <w:spacing w:after="0"/>
              <w:rPr>
                <w:sz w:val="19"/>
                <w:szCs w:val="19"/>
                <w:color w:val="auto"/>
              </w:rPr>
            </w:pPr>
          </w:p>
        </w:tc>
        <w:tc>
          <w:tcPr>
            <w:tcW w:w="680" w:type="dxa"/>
            <w:vAlign w:val="bottom"/>
            <w:shd w:val="clear" w:color="auto" w:fill="4C4C4C"/>
          </w:tcPr>
          <w:p>
            <w:pPr>
              <w:jc w:val="right"/>
              <w:ind w:right="92"/>
              <w:spacing w:after="0"/>
              <w:rPr>
                <w:sz w:val="20"/>
                <w:szCs w:val="20"/>
                <w:color w:val="auto"/>
              </w:rPr>
            </w:pPr>
            <w:r>
              <w:rPr>
                <w:rFonts w:ascii="Times New Roman" w:cs="Times New Roman" w:eastAsia="Times New Roman" w:hAnsi="Times New Roman"/>
                <w:sz w:val="16"/>
                <w:szCs w:val="16"/>
                <w:color w:val="FFFFFF"/>
              </w:rPr>
              <w:t>States</w:t>
            </w:r>
          </w:p>
        </w:tc>
        <w:tc>
          <w:tcPr>
            <w:tcW w:w="8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rPr>
              <w:t>Americas</w:t>
            </w:r>
          </w:p>
        </w:tc>
        <w:tc>
          <w:tcPr>
            <w:tcW w:w="660" w:type="dxa"/>
            <w:vAlign w:val="bottom"/>
            <w:vMerge w:val="continue"/>
            <w:shd w:val="clear" w:color="auto" w:fill="4C4C4C"/>
          </w:tcPr>
          <w:p>
            <w:pPr>
              <w:spacing w:after="0"/>
              <w:rPr>
                <w:sz w:val="19"/>
                <w:szCs w:val="19"/>
                <w:color w:val="auto"/>
              </w:rPr>
            </w:pPr>
          </w:p>
        </w:tc>
        <w:tc>
          <w:tcPr>
            <w:tcW w:w="780" w:type="dxa"/>
            <w:vAlign w:val="bottom"/>
            <w:vMerge w:val="continue"/>
            <w:shd w:val="clear" w:color="auto" w:fill="4C4C4C"/>
          </w:tcPr>
          <w:p>
            <w:pPr>
              <w:spacing w:after="0"/>
              <w:rPr>
                <w:sz w:val="19"/>
                <w:szCs w:val="19"/>
                <w:color w:val="auto"/>
              </w:rPr>
            </w:pPr>
          </w:p>
        </w:tc>
        <w:tc>
          <w:tcPr>
            <w:tcW w:w="660" w:type="dxa"/>
            <w:vAlign w:val="bottom"/>
            <w:vMerge w:val="continue"/>
            <w:shd w:val="clear" w:color="auto" w:fill="4C4C4C"/>
          </w:tcPr>
          <w:p>
            <w:pPr>
              <w:spacing w:after="0"/>
              <w:rPr>
                <w:sz w:val="19"/>
                <w:szCs w:val="19"/>
                <w:color w:val="auto"/>
              </w:rPr>
            </w:pPr>
          </w:p>
        </w:tc>
        <w:tc>
          <w:tcPr>
            <w:tcW w:w="840" w:type="dxa"/>
            <w:vAlign w:val="bottom"/>
            <w:shd w:val="clear" w:color="auto" w:fill="4C4C4C"/>
          </w:tcPr>
          <w:p>
            <w:pPr>
              <w:jc w:val="right"/>
              <w:ind w:right="132"/>
              <w:spacing w:after="0"/>
              <w:rPr>
                <w:sz w:val="20"/>
                <w:szCs w:val="20"/>
                <w:color w:val="auto"/>
              </w:rPr>
            </w:pPr>
            <w:r>
              <w:rPr>
                <w:rFonts w:ascii="Times New Roman" w:cs="Times New Roman" w:eastAsia="Times New Roman" w:hAnsi="Times New Roman"/>
                <w:sz w:val="16"/>
                <w:szCs w:val="16"/>
                <w:color w:val="FFFFFF"/>
              </w:rPr>
              <w:t>Oceania</w:t>
            </w:r>
          </w:p>
        </w:tc>
        <w:tc>
          <w:tcPr>
            <w:tcW w:w="640" w:type="dxa"/>
            <w:vAlign w:val="bottom"/>
            <w:vMerge w:val="continue"/>
            <w:shd w:val="clear" w:color="auto" w:fill="4C4C4C"/>
          </w:tcPr>
          <w:p>
            <w:pPr>
              <w:spacing w:after="0"/>
              <w:rPr>
                <w:sz w:val="19"/>
                <w:szCs w:val="19"/>
                <w:color w:val="auto"/>
              </w:rPr>
            </w:pPr>
          </w:p>
        </w:tc>
        <w:tc>
          <w:tcPr>
            <w:tcW w:w="880" w:type="dxa"/>
            <w:vAlign w:val="bottom"/>
            <w:vMerge w:val="continue"/>
            <w:shd w:val="clear" w:color="auto" w:fill="4C4C4C"/>
          </w:tcPr>
          <w:p>
            <w:pPr>
              <w:spacing w:after="0"/>
              <w:rPr>
                <w:sz w:val="19"/>
                <w:szCs w:val="19"/>
                <w:color w:val="auto"/>
              </w:rPr>
            </w:pPr>
          </w:p>
        </w:tc>
        <w:tc>
          <w:tcPr>
            <w:tcW w:w="7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76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620" w:type="dxa"/>
            <w:vAlign w:val="bottom"/>
            <w:vMerge w:val="continue"/>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Net proved developed and</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4C4C4C"/>
              </w:rPr>
              <w:t>undeveloped reserves of</w:t>
            </w: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1, 2021</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1,959</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497</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356</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3,150</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6,058</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1,054</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Revisions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2,944</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Improved recovery</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Extensions/discoveries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499</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329</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828</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2,307</w:t>
            </w:r>
          </w:p>
        </w:tc>
        <w:tc>
          <w:tcPr>
            <w:tcW w:w="8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769</w:t>
            </w:r>
          </w:p>
        </w:tc>
        <w:tc>
          <w:tcPr>
            <w:tcW w:w="66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w:t>
            </w:r>
          </w:p>
        </w:tc>
        <w:tc>
          <w:tcPr>
            <w:tcW w:w="78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335</w:t>
            </w:r>
          </w:p>
        </w:tc>
        <w:tc>
          <w:tcPr>
            <w:tcW w:w="66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3,037</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74</w:t>
            </w:r>
          </w:p>
        </w:tc>
        <w:tc>
          <w:tcPr>
            <w:tcW w:w="6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6,525</w:t>
            </w:r>
          </w:p>
        </w:tc>
        <w:tc>
          <w:tcPr>
            <w:tcW w:w="88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1,136</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2,894</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438</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10,993</w:t>
            </w:r>
          </w:p>
        </w:tc>
        <w:tc>
          <w:tcPr>
            <w:tcW w:w="0" w:type="dxa"/>
            <w:vAlign w:val="bottom"/>
          </w:tcPr>
          <w:p>
            <w:pPr>
              <w:spacing w:after="0"/>
              <w:rPr>
                <w:sz w:val="1"/>
                <w:szCs w:val="1"/>
                <w:color w:val="auto"/>
              </w:rPr>
            </w:pPr>
          </w:p>
        </w:tc>
      </w:tr>
      <w:tr>
        <w:trPr>
          <w:trHeight w:val="208"/>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Attributable to noncontrolling interests</w:t>
            </w:r>
          </w:p>
        </w:tc>
        <w:tc>
          <w:tcPr>
            <w:tcW w:w="68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6"/>
                <w:szCs w:val="16"/>
                <w:i w:val="1"/>
                <w:iCs w:val="1"/>
                <w:color w:val="auto"/>
              </w:rPr>
              <w:t>9</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6"/>
                <w:szCs w:val="16"/>
                <w:i w:val="1"/>
                <w:iCs w:val="1"/>
                <w:color w:val="auto"/>
              </w:rPr>
              <w:t>1</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6"/>
                <w:szCs w:val="16"/>
                <w:i w:val="1"/>
                <w:iCs w:val="1"/>
                <w:color w:val="auto"/>
              </w:rPr>
              <w:t>674</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6"/>
                <w:szCs w:val="16"/>
                <w:i w:val="1"/>
                <w:iCs w:val="1"/>
                <w:color w:val="auto"/>
              </w:rPr>
              <w:t>133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3"/>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Proportional interest in proved</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4C4C4C"/>
              </w:rPr>
              <w:t>reserves of equity companies</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1, 2021</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825</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971</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277</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Revisions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Improved recovery</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Extensions/discoveries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3"/>
        </w:trPr>
        <w:tc>
          <w:tcPr>
            <w:tcW w:w="2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155</w:t>
            </w:r>
          </w:p>
        </w:tc>
        <w:tc>
          <w:tcPr>
            <w:tcW w:w="8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w:t>
            </w:r>
          </w:p>
        </w:tc>
        <w:tc>
          <w:tcPr>
            <w:tcW w:w="78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w:t>
            </w:r>
          </w:p>
        </w:tc>
        <w:tc>
          <w:tcPr>
            <w:tcW w:w="66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741</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911</w:t>
            </w:r>
          </w:p>
        </w:tc>
        <w:tc>
          <w:tcPr>
            <w:tcW w:w="88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270</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0" w:type="dxa"/>
            <w:vAlign w:val="bottom"/>
          </w:tcPr>
          <w:p>
            <w:pPr>
              <w:spacing w:after="0"/>
              <w:rPr>
                <w:sz w:val="1"/>
                <w:szCs w:val="1"/>
                <w:color w:val="auto"/>
              </w:rPr>
            </w:pPr>
          </w:p>
        </w:tc>
      </w:tr>
      <w:tr>
        <w:trPr>
          <w:trHeight w:val="165"/>
        </w:trPr>
        <w:tc>
          <w:tcPr>
            <w:tcW w:w="2600" w:type="dxa"/>
            <w:vAlign w:val="bottom"/>
          </w:tcPr>
          <w:p>
            <w:pPr>
              <w:ind w:left="60"/>
              <w:spacing w:after="0" w:line="165" w:lineRule="exact"/>
              <w:rPr>
                <w:sz w:val="20"/>
                <w:szCs w:val="20"/>
                <w:color w:val="auto"/>
              </w:rPr>
            </w:pPr>
            <w:r>
              <w:rPr>
                <w:rFonts w:ascii="Times New Roman" w:cs="Times New Roman" w:eastAsia="Times New Roman" w:hAnsi="Times New Roman"/>
                <w:sz w:val="18"/>
                <w:szCs w:val="18"/>
                <w:b w:val="1"/>
                <w:bCs w:val="1"/>
                <w:color w:val="auto"/>
              </w:rPr>
              <w:t>Total liquids proved reserves at</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2,462</w:t>
            </w:r>
          </w:p>
        </w:tc>
        <w:tc>
          <w:tcPr>
            <w:tcW w:w="80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769</w:t>
            </w: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340</w:t>
            </w: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3,778</w:t>
            </w: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74</w:t>
            </w: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7,436</w:t>
            </w:r>
          </w:p>
        </w:tc>
        <w:tc>
          <w:tcPr>
            <w:tcW w:w="8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1,406</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2,894</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438</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12,174</w:t>
            </w:r>
          </w:p>
        </w:tc>
        <w:tc>
          <w:tcPr>
            <w:tcW w:w="0" w:type="dxa"/>
            <w:vAlign w:val="bottom"/>
          </w:tcPr>
          <w:p>
            <w:pPr>
              <w:spacing w:after="0"/>
              <w:rPr>
                <w:sz w:val="1"/>
                <w:szCs w:val="1"/>
                <w:color w:val="auto"/>
              </w:rPr>
            </w:pPr>
          </w:p>
        </w:tc>
      </w:tr>
      <w:tr>
        <w:trPr>
          <w:trHeight w:val="244"/>
        </w:trPr>
        <w:tc>
          <w:tcPr>
            <w:tcW w:w="260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80" w:type="dxa"/>
            <w:vAlign w:val="bottom"/>
            <w:tcBorders>
              <w:bottom w:val="single" w:sz="8" w:color="4C4C4C"/>
            </w:tcBorders>
            <w:vMerge w:val="continue"/>
          </w:tcPr>
          <w:p>
            <w:pPr>
              <w:spacing w:after="0"/>
              <w:rPr>
                <w:sz w:val="21"/>
                <w:szCs w:val="21"/>
                <w:color w:val="auto"/>
              </w:rPr>
            </w:pPr>
          </w:p>
        </w:tc>
        <w:tc>
          <w:tcPr>
            <w:tcW w:w="800" w:type="dxa"/>
            <w:vAlign w:val="bottom"/>
            <w:tcBorders>
              <w:bottom w:val="single" w:sz="8" w:color="4C4C4C"/>
            </w:tcBorders>
            <w:vMerge w:val="continue"/>
          </w:tcPr>
          <w:p>
            <w:pPr>
              <w:spacing w:after="0"/>
              <w:rPr>
                <w:sz w:val="21"/>
                <w:szCs w:val="21"/>
                <w:color w:val="auto"/>
              </w:rPr>
            </w:pPr>
          </w:p>
        </w:tc>
        <w:tc>
          <w:tcPr>
            <w:tcW w:w="660" w:type="dxa"/>
            <w:vAlign w:val="bottom"/>
            <w:tcBorders>
              <w:bottom w:val="single" w:sz="8" w:color="4C4C4C"/>
            </w:tcBorders>
            <w:vMerge w:val="continue"/>
          </w:tcPr>
          <w:p>
            <w:pPr>
              <w:spacing w:after="0"/>
              <w:rPr>
                <w:sz w:val="21"/>
                <w:szCs w:val="21"/>
                <w:color w:val="auto"/>
              </w:rPr>
            </w:pPr>
          </w:p>
        </w:tc>
        <w:tc>
          <w:tcPr>
            <w:tcW w:w="780" w:type="dxa"/>
            <w:vAlign w:val="bottom"/>
            <w:tcBorders>
              <w:bottom w:val="single" w:sz="8" w:color="4C4C4C"/>
            </w:tcBorders>
            <w:vMerge w:val="continue"/>
          </w:tcPr>
          <w:p>
            <w:pPr>
              <w:spacing w:after="0"/>
              <w:rPr>
                <w:sz w:val="21"/>
                <w:szCs w:val="21"/>
                <w:color w:val="auto"/>
              </w:rPr>
            </w:pPr>
          </w:p>
        </w:tc>
        <w:tc>
          <w:tcPr>
            <w:tcW w:w="660" w:type="dxa"/>
            <w:vAlign w:val="bottom"/>
            <w:tcBorders>
              <w:bottom w:val="single" w:sz="8" w:color="4C4C4C"/>
            </w:tcBorders>
            <w:vMerge w:val="continue"/>
          </w:tcPr>
          <w:p>
            <w:pPr>
              <w:spacing w:after="0"/>
              <w:rPr>
                <w:sz w:val="21"/>
                <w:szCs w:val="21"/>
                <w:color w:val="auto"/>
              </w:rPr>
            </w:pPr>
          </w:p>
        </w:tc>
        <w:tc>
          <w:tcPr>
            <w:tcW w:w="840" w:type="dxa"/>
            <w:vAlign w:val="bottom"/>
            <w:tcBorders>
              <w:bottom w:val="single" w:sz="8" w:color="4C4C4C"/>
            </w:tcBorders>
            <w:vMerge w:val="continue"/>
          </w:tcPr>
          <w:p>
            <w:pPr>
              <w:spacing w:after="0"/>
              <w:rPr>
                <w:sz w:val="21"/>
                <w:szCs w:val="21"/>
                <w:color w:val="auto"/>
              </w:rPr>
            </w:pPr>
          </w:p>
        </w:tc>
        <w:tc>
          <w:tcPr>
            <w:tcW w:w="640" w:type="dxa"/>
            <w:vAlign w:val="bottom"/>
            <w:tcBorders>
              <w:bottom w:val="single" w:sz="8" w:color="4C4C4C"/>
            </w:tcBorders>
            <w:vMerge w:val="continue"/>
          </w:tcPr>
          <w:p>
            <w:pPr>
              <w:spacing w:after="0"/>
              <w:rPr>
                <w:sz w:val="21"/>
                <w:szCs w:val="21"/>
                <w:color w:val="auto"/>
              </w:rPr>
            </w:pPr>
          </w:p>
        </w:tc>
        <w:tc>
          <w:tcPr>
            <w:tcW w:w="880" w:type="dxa"/>
            <w:vAlign w:val="bottom"/>
            <w:tcBorders>
              <w:bottom w:val="single" w:sz="8" w:color="4C4C4C"/>
            </w:tcBorders>
            <w:vMerge w:val="continue"/>
          </w:tcPr>
          <w:p>
            <w:pPr>
              <w:spacing w:after="0"/>
              <w:rPr>
                <w:sz w:val="21"/>
                <w:szCs w:val="21"/>
                <w:color w:val="auto"/>
              </w:rPr>
            </w:pPr>
          </w:p>
        </w:tc>
        <w:tc>
          <w:tcPr>
            <w:tcW w:w="760" w:type="dxa"/>
            <w:vAlign w:val="bottom"/>
            <w:tcBorders>
              <w:bottom w:val="single" w:sz="8" w:color="4C4C4C"/>
            </w:tcBorders>
            <w:vMerge w:val="continue"/>
          </w:tcPr>
          <w:p>
            <w:pPr>
              <w:spacing w:after="0"/>
              <w:rPr>
                <w:sz w:val="21"/>
                <w:szCs w:val="21"/>
                <w:color w:val="auto"/>
              </w:rPr>
            </w:pPr>
          </w:p>
        </w:tc>
        <w:tc>
          <w:tcPr>
            <w:tcW w:w="760" w:type="dxa"/>
            <w:vAlign w:val="bottom"/>
            <w:tcBorders>
              <w:bottom w:val="single" w:sz="8" w:color="4C4C4C"/>
            </w:tcBorders>
            <w:vMerge w:val="continue"/>
          </w:tcPr>
          <w:p>
            <w:pPr>
              <w:spacing w:after="0"/>
              <w:rPr>
                <w:sz w:val="21"/>
                <w:szCs w:val="21"/>
                <w:color w:val="auto"/>
              </w:rPr>
            </w:pPr>
          </w:p>
        </w:tc>
        <w:tc>
          <w:tcPr>
            <w:tcW w:w="620" w:type="dxa"/>
            <w:vAlign w:val="bottom"/>
            <w:tcBorders>
              <w:bottom w:val="single" w:sz="8" w:color="4C4C4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6"/>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Net proved developed and</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4C4C4C"/>
              </w:rPr>
              <w:t>undeveloped reserves of</w:t>
            </w: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1, 2022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2,307</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769</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3,037</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6,525</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1,136</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2,894</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269"/>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Revisions </w:t>
            </w:r>
            <w:r>
              <w:rPr>
                <w:rFonts w:ascii="Times New Roman" w:cs="Times New Roman" w:eastAsia="Times New Roman" w:hAnsi="Times New Roman"/>
                <w:sz w:val="22"/>
                <w:szCs w:val="22"/>
                <w:i w:val="1"/>
                <w:iCs w:val="1"/>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1"/>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Improved recovery</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Extensions/discoveries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465</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208</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673</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33"/>
        </w:trPr>
        <w:tc>
          <w:tcPr>
            <w:tcW w:w="2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2,204</w:t>
            </w:r>
          </w:p>
        </w:tc>
        <w:tc>
          <w:tcPr>
            <w:tcW w:w="8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945</w:t>
            </w:r>
          </w:p>
        </w:tc>
        <w:tc>
          <w:tcPr>
            <w:tcW w:w="66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w:t>
            </w:r>
          </w:p>
        </w:tc>
        <w:tc>
          <w:tcPr>
            <w:tcW w:w="78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271</w:t>
            </w:r>
          </w:p>
        </w:tc>
        <w:tc>
          <w:tcPr>
            <w:tcW w:w="66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2,794</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66</w:t>
            </w:r>
          </w:p>
        </w:tc>
        <w:tc>
          <w:tcPr>
            <w:tcW w:w="6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6,285</w:t>
            </w:r>
          </w:p>
        </w:tc>
        <w:tc>
          <w:tcPr>
            <w:tcW w:w="88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1,176</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2,420</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353</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10,234</w:t>
            </w:r>
          </w:p>
        </w:tc>
        <w:tc>
          <w:tcPr>
            <w:tcW w:w="0" w:type="dxa"/>
            <w:vAlign w:val="bottom"/>
          </w:tcPr>
          <w:p>
            <w:pPr>
              <w:spacing w:after="0"/>
              <w:rPr>
                <w:sz w:val="1"/>
                <w:szCs w:val="1"/>
                <w:color w:val="auto"/>
              </w:rPr>
            </w:pPr>
          </w:p>
        </w:tc>
      </w:tr>
      <w:tr>
        <w:trPr>
          <w:trHeight w:val="208"/>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Attributable to noncontrolling interests</w:t>
            </w:r>
          </w:p>
        </w:tc>
        <w:tc>
          <w:tcPr>
            <w:tcW w:w="68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6"/>
                <w:szCs w:val="16"/>
                <w:i w:val="1"/>
                <w:iCs w:val="1"/>
                <w:color w:val="auto"/>
              </w:rPr>
              <w:t>14</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6"/>
                <w:szCs w:val="16"/>
                <w:i w:val="1"/>
                <w:iCs w:val="1"/>
                <w:color w:val="auto"/>
              </w:rPr>
              <w:t>554</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6"/>
                <w:szCs w:val="16"/>
                <w:i w:val="1"/>
                <w:iCs w:val="1"/>
                <w:color w:val="auto"/>
              </w:rPr>
              <w:t>107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Proportional interest in proved</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4C4C4C"/>
              </w:rPr>
              <w:t>reserves of equity companies</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1, 2022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741</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911</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Revisions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Improved recovery</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110</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Extensions/discoveries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3"/>
        </w:trPr>
        <w:tc>
          <w:tcPr>
            <w:tcW w:w="2600" w:type="dxa"/>
            <w:vAlign w:val="bottom"/>
            <w:tcBorders>
              <w:bottom w:val="single" w:sz="8" w:color="4C4C4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w:t>
            </w:r>
          </w:p>
        </w:tc>
        <w:tc>
          <w:tcPr>
            <w:tcW w:w="80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w:t>
            </w:r>
          </w:p>
        </w:tc>
        <w:tc>
          <w:tcPr>
            <w:tcW w:w="78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w:t>
            </w:r>
          </w:p>
        </w:tc>
        <w:tc>
          <w:tcPr>
            <w:tcW w:w="66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756</w:t>
            </w:r>
          </w:p>
        </w:tc>
        <w:tc>
          <w:tcPr>
            <w:tcW w:w="84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882</w:t>
            </w:r>
          </w:p>
        </w:tc>
        <w:tc>
          <w:tcPr>
            <w:tcW w:w="88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355</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w:t>
            </w:r>
          </w:p>
        </w:tc>
        <w:tc>
          <w:tcPr>
            <w:tcW w:w="0" w:type="dxa"/>
            <w:vAlign w:val="bottom"/>
          </w:tcPr>
          <w:p>
            <w:pPr>
              <w:spacing w:after="0"/>
              <w:rPr>
                <w:sz w:val="1"/>
                <w:szCs w:val="1"/>
                <w:color w:val="auto"/>
              </w:rPr>
            </w:pPr>
          </w:p>
        </w:tc>
      </w:tr>
      <w:tr>
        <w:trPr>
          <w:trHeight w:val="165"/>
        </w:trPr>
        <w:tc>
          <w:tcPr>
            <w:tcW w:w="2600" w:type="dxa"/>
            <w:vAlign w:val="bottom"/>
          </w:tcPr>
          <w:p>
            <w:pPr>
              <w:ind w:left="60"/>
              <w:spacing w:after="0" w:line="165" w:lineRule="exact"/>
              <w:rPr>
                <w:sz w:val="20"/>
                <w:szCs w:val="20"/>
                <w:color w:val="auto"/>
              </w:rPr>
            </w:pPr>
            <w:r>
              <w:rPr>
                <w:rFonts w:ascii="Times New Roman" w:cs="Times New Roman" w:eastAsia="Times New Roman" w:hAnsi="Times New Roman"/>
                <w:sz w:val="18"/>
                <w:szCs w:val="18"/>
                <w:b w:val="1"/>
                <w:bCs w:val="1"/>
                <w:color w:val="auto"/>
              </w:rPr>
              <w:t>Total liquids proved reserves at</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2,323</w:t>
            </w:r>
          </w:p>
        </w:tc>
        <w:tc>
          <w:tcPr>
            <w:tcW w:w="80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945</w:t>
            </w: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276</w:t>
            </w: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3,550</w:t>
            </w: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66</w:t>
            </w: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7,167</w:t>
            </w:r>
          </w:p>
        </w:tc>
        <w:tc>
          <w:tcPr>
            <w:tcW w:w="8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1,531</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2,420</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353</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11,471</w:t>
            </w:r>
          </w:p>
        </w:tc>
        <w:tc>
          <w:tcPr>
            <w:tcW w:w="0" w:type="dxa"/>
            <w:vAlign w:val="bottom"/>
          </w:tcPr>
          <w:p>
            <w:pPr>
              <w:spacing w:after="0"/>
              <w:rPr>
                <w:sz w:val="1"/>
                <w:szCs w:val="1"/>
                <w:color w:val="auto"/>
              </w:rPr>
            </w:pPr>
          </w:p>
        </w:tc>
      </w:tr>
      <w:tr>
        <w:trPr>
          <w:trHeight w:val="23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1645285</wp:posOffset>
                </wp:positionH>
                <wp:positionV relativeFrom="paragraph">
                  <wp:posOffset>-8187055</wp:posOffset>
                </wp:positionV>
                <wp:extent cx="318262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2620"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55pt,-644.6499pt" to="380.15pt,-644.6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4865370</wp:posOffset>
                </wp:positionH>
                <wp:positionV relativeFrom="paragraph">
                  <wp:posOffset>-8187055</wp:posOffset>
                </wp:positionV>
                <wp:extent cx="52260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60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1pt,-644.6499pt" to="424.25pt,-644.6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5425440</wp:posOffset>
                </wp:positionH>
                <wp:positionV relativeFrom="paragraph">
                  <wp:posOffset>-8187055</wp:posOffset>
                </wp:positionV>
                <wp:extent cx="44831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8310"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2pt,-644.6499pt" to="462.5pt,-644.6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5911215</wp:posOffset>
                </wp:positionH>
                <wp:positionV relativeFrom="paragraph">
                  <wp:posOffset>-8187055</wp:posOffset>
                </wp:positionV>
                <wp:extent cx="44767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45pt,-644.6499pt" to="500.7pt,-644.6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8255</wp:posOffset>
                </wp:positionV>
                <wp:extent cx="677735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7355" cy="4763"/>
                        </a:xfrm>
                        <a:prstGeom prst="line">
                          <a:avLst/>
                        </a:prstGeom>
                        <a:solidFill>
                          <a:srgbClr val="FFFFFF"/>
                        </a:solidFill>
                        <a:ln w="18669">
                          <a:solidFill>
                            <a:srgbClr val="4C4C4C"/>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0.65pt" to="533.8pt,0.65pt" o:allowincell="f" strokecolor="#4C4C4C" strokeweight="1.47pt"/>
            </w:pict>
          </mc:Fallback>
        </mc:AlternateContent>
      </w:r>
    </w:p>
    <w:p>
      <w:pPr>
        <w:ind w:left="220" w:hanging="165"/>
        <w:spacing w:after="0" w:line="237" w:lineRule="auto"/>
        <w:tabs>
          <w:tab w:leader="none" w:pos="220" w:val="left"/>
        </w:tabs>
        <w:numPr>
          <w:ilvl w:val="0"/>
          <w:numId w:val="58"/>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Includes (118) million barrels in Russia which were expropriated. See Note 2: Russia.</w:t>
      </w:r>
    </w:p>
    <w:p>
      <w:pPr>
        <w:sectPr>
          <w:pgSz w:w="11880" w:h="15480" w:orient="portrait"/>
          <w:cols w:equalWidth="0" w:num="1">
            <w:col w:w="10680"/>
          </w:cols>
          <w:pgMar w:left="600" w:top="795" w:right="600" w:bottom="0"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1880" w:h="15480" w:orient="portrait"/>
          <w:cols w:equalWidth="0" w:num="1">
            <w:col w:w="10680"/>
          </w:cols>
          <w:pgMar w:left="600" w:top="795" w:right="600" w:bottom="0" w:gutter="0" w:footer="0" w:header="0"/>
          <w:type w:val="continuous"/>
        </w:sectPr>
      </w:pPr>
    </w:p>
    <w:bookmarkStart w:id="135" w:name="page136"/>
    <w:bookmarkEnd w:id="135"/>
    <w:p>
      <w:pPr>
        <w:ind w:left="40"/>
        <w:spacing w:after="0"/>
        <w:rPr>
          <w:sz w:val="20"/>
          <w:szCs w:val="20"/>
          <w:color w:val="auto"/>
        </w:rPr>
      </w:pPr>
      <w:r>
        <w:rPr>
          <w:rFonts w:ascii="Times New Roman" w:cs="Times New Roman" w:eastAsia="Times New Roman" w:hAnsi="Times New Roman"/>
          <w:sz w:val="18"/>
          <w:szCs w:val="18"/>
          <w:b w:val="1"/>
          <w:bCs w:val="1"/>
          <w:color w:val="4C4C4C"/>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12700</wp:posOffset>
            </wp:positionV>
            <wp:extent cx="6736715" cy="7162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0">
                      <a:extLst>
                        <a:ext uri="{28A0092B-C50C-407E-A947-70E740481C1C}"/>
                      </a:extLst>
                    </a:blip>
                    <a:srcRect/>
                    <a:stretch>
                      <a:fillRect/>
                    </a:stretch>
                  </pic:blipFill>
                  <pic:spPr bwMode="auto">
                    <a:xfrm>
                      <a:off x="0" y="0"/>
                      <a:ext cx="6736715" cy="7162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Borders>
              <w:top w:val="single" w:sz="8" w:color="auto"/>
            </w:tcBorders>
            <w:shd w:val="clear" w:color="auto" w:fill="4C4C4C"/>
          </w:tcPr>
          <w:p>
            <w:pPr>
              <w:spacing w:after="0"/>
              <w:rPr>
                <w:sz w:val="13"/>
                <w:szCs w:val="13"/>
                <w:color w:val="auto"/>
              </w:rPr>
            </w:pPr>
          </w:p>
        </w:tc>
        <w:tc>
          <w:tcPr>
            <w:tcW w:w="700" w:type="dxa"/>
            <w:vAlign w:val="bottom"/>
            <w:tcBorders>
              <w:top w:val="single" w:sz="8" w:color="auto"/>
            </w:tcBorders>
            <w:shd w:val="clear" w:color="auto" w:fill="4C4C4C"/>
          </w:tcPr>
          <w:p>
            <w:pPr>
              <w:spacing w:after="0"/>
              <w:rPr>
                <w:sz w:val="13"/>
                <w:szCs w:val="13"/>
                <w:color w:val="auto"/>
              </w:rPr>
            </w:pPr>
          </w:p>
        </w:tc>
        <w:tc>
          <w:tcPr>
            <w:tcW w:w="780" w:type="dxa"/>
            <w:vAlign w:val="bottom"/>
            <w:tcBorders>
              <w:top w:val="single" w:sz="8" w:color="auto"/>
            </w:tcBorders>
            <w:shd w:val="clear" w:color="auto" w:fill="4C4C4C"/>
          </w:tcPr>
          <w:p>
            <w:pPr>
              <w:spacing w:after="0"/>
              <w:rPr>
                <w:sz w:val="13"/>
                <w:szCs w:val="13"/>
                <w:color w:val="auto"/>
              </w:rPr>
            </w:pPr>
          </w:p>
        </w:tc>
        <w:tc>
          <w:tcPr>
            <w:tcW w:w="640" w:type="dxa"/>
            <w:vAlign w:val="bottom"/>
            <w:tcBorders>
              <w:top w:val="single" w:sz="8" w:color="auto"/>
            </w:tcBorders>
            <w:shd w:val="clear" w:color="auto" w:fill="4C4C4C"/>
          </w:tcPr>
          <w:p>
            <w:pPr>
              <w:spacing w:after="0"/>
              <w:rPr>
                <w:sz w:val="13"/>
                <w:szCs w:val="13"/>
                <w:color w:val="auto"/>
              </w:rPr>
            </w:pPr>
          </w:p>
        </w:tc>
        <w:tc>
          <w:tcPr>
            <w:tcW w:w="740" w:type="dxa"/>
            <w:vAlign w:val="bottom"/>
            <w:tcBorders>
              <w:top w:val="single" w:sz="8" w:color="auto"/>
            </w:tcBorders>
            <w:shd w:val="clear" w:color="auto" w:fill="4C4C4C"/>
          </w:tcPr>
          <w:p>
            <w:pPr>
              <w:spacing w:after="0"/>
              <w:rPr>
                <w:sz w:val="13"/>
                <w:szCs w:val="13"/>
                <w:color w:val="auto"/>
              </w:rPr>
            </w:pPr>
          </w:p>
        </w:tc>
        <w:tc>
          <w:tcPr>
            <w:tcW w:w="600" w:type="dxa"/>
            <w:vAlign w:val="bottom"/>
            <w:tcBorders>
              <w:top w:val="single" w:sz="8" w:color="auto"/>
            </w:tcBorders>
            <w:shd w:val="clear" w:color="auto" w:fill="4C4C4C"/>
          </w:tcPr>
          <w:p>
            <w:pPr>
              <w:spacing w:after="0"/>
              <w:rPr>
                <w:sz w:val="13"/>
                <w:szCs w:val="13"/>
                <w:color w:val="auto"/>
              </w:rPr>
            </w:pPr>
          </w:p>
        </w:tc>
        <w:tc>
          <w:tcPr>
            <w:tcW w:w="860" w:type="dxa"/>
            <w:vAlign w:val="bottom"/>
            <w:tcBorders>
              <w:top w:val="single" w:sz="8" w:color="auto"/>
            </w:tcBorders>
            <w:shd w:val="clear" w:color="auto" w:fill="4C4C4C"/>
          </w:tcPr>
          <w:p>
            <w:pPr>
              <w:spacing w:after="0"/>
              <w:rPr>
                <w:sz w:val="13"/>
                <w:szCs w:val="13"/>
                <w:color w:val="auto"/>
              </w:rPr>
            </w:pPr>
          </w:p>
        </w:tc>
        <w:tc>
          <w:tcPr>
            <w:tcW w:w="660" w:type="dxa"/>
            <w:vAlign w:val="bottom"/>
            <w:tcBorders>
              <w:top w:val="single" w:sz="8" w:color="auto"/>
              <w:right w:val="single" w:sz="8" w:color="4C4C4C"/>
            </w:tcBorders>
            <w:shd w:val="clear" w:color="auto" w:fill="4C4C4C"/>
          </w:tcPr>
          <w:p>
            <w:pPr>
              <w:spacing w:after="0"/>
              <w:rPr>
                <w:sz w:val="13"/>
                <w:szCs w:val="13"/>
                <w:color w:val="auto"/>
              </w:rPr>
            </w:pPr>
          </w:p>
        </w:tc>
        <w:tc>
          <w:tcPr>
            <w:tcW w:w="8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FFFFFF"/>
                <w:w w:val="99"/>
              </w:rPr>
              <w:t>Natural</w:t>
            </w:r>
          </w:p>
        </w:tc>
        <w:tc>
          <w:tcPr>
            <w:tcW w:w="7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FFFFFF"/>
                <w:w w:val="95"/>
              </w:rPr>
              <w:t>Synthetic</w:t>
            </w: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4C4C4C"/>
          </w:tcPr>
          <w:p>
            <w:pPr>
              <w:spacing w:after="0"/>
              <w:rPr>
                <w:sz w:val="13"/>
                <w:szCs w:val="13"/>
                <w:color w:val="auto"/>
              </w:rPr>
            </w:pPr>
          </w:p>
        </w:tc>
        <w:tc>
          <w:tcPr>
            <w:tcW w:w="700" w:type="dxa"/>
            <w:vAlign w:val="bottom"/>
            <w:shd w:val="clear" w:color="auto" w:fill="4C4C4C"/>
          </w:tcPr>
          <w:p>
            <w:pPr>
              <w:spacing w:after="0"/>
              <w:rPr>
                <w:sz w:val="13"/>
                <w:szCs w:val="13"/>
                <w:color w:val="auto"/>
              </w:rPr>
            </w:pPr>
          </w:p>
        </w:tc>
        <w:tc>
          <w:tcPr>
            <w:tcW w:w="780" w:type="dxa"/>
            <w:vAlign w:val="bottom"/>
            <w:shd w:val="clear" w:color="auto" w:fill="4C4C4C"/>
          </w:tcPr>
          <w:p>
            <w:pPr>
              <w:spacing w:after="0"/>
              <w:rPr>
                <w:sz w:val="13"/>
                <w:szCs w:val="13"/>
                <w:color w:val="auto"/>
              </w:rPr>
            </w:pPr>
          </w:p>
        </w:tc>
        <w:tc>
          <w:tcPr>
            <w:tcW w:w="640" w:type="dxa"/>
            <w:vAlign w:val="bottom"/>
            <w:shd w:val="clear" w:color="auto" w:fill="4C4C4C"/>
          </w:tcPr>
          <w:p>
            <w:pPr>
              <w:spacing w:after="0"/>
              <w:rPr>
                <w:sz w:val="13"/>
                <w:szCs w:val="13"/>
                <w:color w:val="auto"/>
              </w:rPr>
            </w:pPr>
          </w:p>
        </w:tc>
        <w:tc>
          <w:tcPr>
            <w:tcW w:w="740" w:type="dxa"/>
            <w:vAlign w:val="bottom"/>
            <w:vMerge w:val="restart"/>
            <w:shd w:val="clear" w:color="auto" w:fill="4C4C4C"/>
          </w:tcPr>
          <w:p>
            <w:pPr>
              <w:jc w:val="right"/>
              <w:ind w:right="13"/>
              <w:spacing w:after="0"/>
              <w:rPr>
                <w:sz w:val="20"/>
                <w:szCs w:val="20"/>
                <w:color w:val="auto"/>
              </w:rPr>
            </w:pPr>
            <w:r>
              <w:rPr>
                <w:rFonts w:ascii="Times New Roman" w:cs="Times New Roman" w:eastAsia="Times New Roman" w:hAnsi="Times New Roman"/>
                <w:sz w:val="16"/>
                <w:szCs w:val="16"/>
                <w:color w:val="FFFFFF"/>
                <w:w w:val="97"/>
              </w:rPr>
              <w:t>Crude Oil</w:t>
            </w:r>
          </w:p>
        </w:tc>
        <w:tc>
          <w:tcPr>
            <w:tcW w:w="600" w:type="dxa"/>
            <w:vAlign w:val="bottom"/>
            <w:shd w:val="clear" w:color="auto" w:fill="4C4C4C"/>
          </w:tcPr>
          <w:p>
            <w:pPr>
              <w:spacing w:after="0"/>
              <w:rPr>
                <w:sz w:val="13"/>
                <w:szCs w:val="13"/>
                <w:color w:val="auto"/>
              </w:rPr>
            </w:pPr>
          </w:p>
        </w:tc>
        <w:tc>
          <w:tcPr>
            <w:tcW w:w="860" w:type="dxa"/>
            <w:vAlign w:val="bottom"/>
            <w:shd w:val="clear" w:color="auto" w:fill="4C4C4C"/>
          </w:tcPr>
          <w:p>
            <w:pPr>
              <w:spacing w:after="0"/>
              <w:rPr>
                <w:sz w:val="13"/>
                <w:szCs w:val="13"/>
                <w:color w:val="auto"/>
              </w:rPr>
            </w:pPr>
          </w:p>
        </w:tc>
        <w:tc>
          <w:tcPr>
            <w:tcW w:w="660" w:type="dxa"/>
            <w:vAlign w:val="bottom"/>
            <w:tcBorders>
              <w:right w:val="single" w:sz="8" w:color="4C4C4C"/>
            </w:tcBorders>
            <w:shd w:val="clear" w:color="auto" w:fill="4C4C4C"/>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6"/>
              </w:rPr>
              <w:t>Gas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FFFFFF"/>
                <w:w w:val="97"/>
              </w:rPr>
              <w:t>Bitumen</w:t>
            </w: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580" w:type="dxa"/>
            <w:vAlign w:val="bottom"/>
            <w:shd w:val="clear" w:color="auto" w:fill="4C4C4C"/>
          </w:tcPr>
          <w:p>
            <w:pPr>
              <w:spacing w:after="0"/>
              <w:rPr>
                <w:sz w:val="19"/>
                <w:szCs w:val="19"/>
                <w:color w:val="auto"/>
              </w:rPr>
            </w:pPr>
          </w:p>
        </w:tc>
        <w:tc>
          <w:tcPr>
            <w:tcW w:w="700" w:type="dxa"/>
            <w:vAlign w:val="bottom"/>
            <w:shd w:val="clear" w:color="auto" w:fill="4C4C4C"/>
          </w:tcPr>
          <w:p>
            <w:pPr>
              <w:spacing w:after="0"/>
              <w:rPr>
                <w:sz w:val="19"/>
                <w:szCs w:val="19"/>
                <w:color w:val="auto"/>
              </w:rPr>
            </w:pPr>
          </w:p>
        </w:tc>
        <w:tc>
          <w:tcPr>
            <w:tcW w:w="780" w:type="dxa"/>
            <w:vAlign w:val="bottom"/>
            <w:shd w:val="clear" w:color="auto" w:fill="4C4C4C"/>
          </w:tcPr>
          <w:p>
            <w:pPr>
              <w:spacing w:after="0"/>
              <w:rPr>
                <w:sz w:val="19"/>
                <w:szCs w:val="19"/>
                <w:color w:val="auto"/>
              </w:rPr>
            </w:pPr>
          </w:p>
        </w:tc>
        <w:tc>
          <w:tcPr>
            <w:tcW w:w="640" w:type="dxa"/>
            <w:vAlign w:val="bottom"/>
            <w:shd w:val="clear" w:color="auto" w:fill="4C4C4C"/>
          </w:tcPr>
          <w:p>
            <w:pPr>
              <w:spacing w:after="0"/>
              <w:rPr>
                <w:sz w:val="19"/>
                <w:szCs w:val="19"/>
                <w:color w:val="auto"/>
              </w:rPr>
            </w:pPr>
          </w:p>
        </w:tc>
        <w:tc>
          <w:tcPr>
            <w:tcW w:w="740" w:type="dxa"/>
            <w:vAlign w:val="bottom"/>
            <w:vMerge w:val="continue"/>
            <w:shd w:val="clear" w:color="auto" w:fill="4C4C4C"/>
          </w:tcPr>
          <w:p>
            <w:pPr>
              <w:spacing w:after="0"/>
              <w:rPr>
                <w:sz w:val="19"/>
                <w:szCs w:val="19"/>
                <w:color w:val="auto"/>
              </w:rPr>
            </w:pPr>
          </w:p>
        </w:tc>
        <w:tc>
          <w:tcPr>
            <w:tcW w:w="600" w:type="dxa"/>
            <w:vAlign w:val="bottom"/>
            <w:shd w:val="clear" w:color="auto" w:fill="4C4C4C"/>
          </w:tcPr>
          <w:p>
            <w:pPr>
              <w:spacing w:after="0"/>
              <w:rPr>
                <w:sz w:val="19"/>
                <w:szCs w:val="19"/>
                <w:color w:val="auto"/>
              </w:rPr>
            </w:pPr>
          </w:p>
        </w:tc>
        <w:tc>
          <w:tcPr>
            <w:tcW w:w="860" w:type="dxa"/>
            <w:vAlign w:val="bottom"/>
            <w:shd w:val="clear" w:color="auto" w:fill="4C4C4C"/>
          </w:tcPr>
          <w:p>
            <w:pPr>
              <w:spacing w:after="0"/>
              <w:rPr>
                <w:sz w:val="19"/>
                <w:szCs w:val="19"/>
                <w:color w:val="auto"/>
              </w:rPr>
            </w:pPr>
          </w:p>
        </w:tc>
        <w:tc>
          <w:tcPr>
            <w:tcW w:w="660" w:type="dxa"/>
            <w:vAlign w:val="bottom"/>
            <w:tcBorders>
              <w:right w:val="single" w:sz="8" w:color="4C4C4C"/>
            </w:tcBorders>
            <w:shd w:val="clear" w:color="auto" w:fill="4C4C4C"/>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8"/>
              </w:rPr>
              <w:t>Liquids</w:t>
            </w:r>
          </w:p>
        </w:tc>
        <w:tc>
          <w:tcPr>
            <w:tcW w:w="780" w:type="dxa"/>
            <w:vAlign w:val="bottom"/>
            <w:vMerge w:val="continue"/>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7"/>
              </w:rPr>
              <w:t>Oil</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580" w:type="dxa"/>
            <w:vAlign w:val="bottom"/>
          </w:tcPr>
          <w:p>
            <w:pPr>
              <w:spacing w:after="0"/>
              <w:rPr>
                <w:sz w:val="14"/>
                <w:szCs w:val="14"/>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FFFFFF"/>
              </w:rPr>
              <w:t>United</w:t>
            </w:r>
          </w:p>
        </w:tc>
        <w:tc>
          <w:tcPr>
            <w:tcW w:w="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FFFFFF"/>
                <w:w w:val="99"/>
              </w:rPr>
              <w:t>Canada/</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FFFFFF"/>
              </w:rPr>
              <w:t>Australia/</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FFFFFF"/>
                <w:w w:val="99"/>
              </w:rPr>
              <w:t>Canada/</w:t>
            </w:r>
          </w:p>
        </w:tc>
        <w:tc>
          <w:tcPr>
            <w:tcW w:w="700" w:type="dxa"/>
            <w:vAlign w:val="bottom"/>
            <w:shd w:val="clear" w:color="auto" w:fill="4C4C4C"/>
          </w:tcPr>
          <w:p>
            <w:pPr>
              <w:jc w:val="center"/>
              <w:spacing w:after="0" w:line="168" w:lineRule="exact"/>
              <w:rPr>
                <w:sz w:val="20"/>
                <w:szCs w:val="20"/>
                <w:color w:val="auto"/>
              </w:rPr>
            </w:pPr>
            <w:r>
              <w:rPr>
                <w:rFonts w:ascii="Times New Roman" w:cs="Times New Roman" w:eastAsia="Times New Roman" w:hAnsi="Times New Roman"/>
                <w:sz w:val="16"/>
                <w:szCs w:val="16"/>
                <w:color w:val="FFFFFF"/>
                <w:w w:val="95"/>
              </w:rPr>
              <w:t>Canada/</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80" w:type="dxa"/>
            <w:vAlign w:val="bottom"/>
            <w:vMerge w:val="restart"/>
          </w:tcPr>
          <w:p>
            <w:pPr>
              <w:ind w:left="80"/>
              <w:spacing w:after="0"/>
              <w:rPr>
                <w:sz w:val="20"/>
                <w:szCs w:val="20"/>
                <w:color w:val="auto"/>
              </w:rPr>
            </w:pPr>
            <w:r>
              <w:rPr>
                <w:rFonts w:ascii="Times New Roman" w:cs="Times New Roman" w:eastAsia="Times New Roman" w:hAnsi="Times New Roman"/>
                <w:sz w:val="16"/>
                <w:szCs w:val="16"/>
                <w:i w:val="1"/>
                <w:iCs w:val="1"/>
                <w:color w:val="FFFFFF"/>
              </w:rPr>
              <w:t>(millions of barrels)</w:t>
            </w:r>
          </w:p>
        </w:tc>
        <w:tc>
          <w:tcPr>
            <w:tcW w:w="700" w:type="dxa"/>
            <w:vAlign w:val="bottom"/>
            <w:vMerge w:val="continue"/>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8"/>
              </w:rPr>
              <w:t>Other</w:t>
            </w:r>
          </w:p>
        </w:tc>
        <w:tc>
          <w:tcPr>
            <w:tcW w:w="64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color w:val="FFFFFF"/>
              </w:rPr>
              <w:t>Europe</w:t>
            </w:r>
          </w:p>
        </w:tc>
        <w:tc>
          <w:tcPr>
            <w:tcW w:w="7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color w:val="FFFFFF"/>
              </w:rPr>
              <w:t>Africa</w:t>
            </w:r>
          </w:p>
        </w:tc>
        <w:tc>
          <w:tcPr>
            <w:tcW w:w="60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color w:val="FFFFFF"/>
              </w:rPr>
              <w:t>Asia</w:t>
            </w:r>
          </w:p>
        </w:tc>
        <w:tc>
          <w:tcPr>
            <w:tcW w:w="860" w:type="dxa"/>
            <w:vAlign w:val="bottom"/>
            <w:vMerge w:val="continue"/>
          </w:tcPr>
          <w:p>
            <w:pPr>
              <w:spacing w:after="0"/>
              <w:rPr>
                <w:sz w:val="13"/>
                <w:szCs w:val="13"/>
                <w:color w:val="auto"/>
              </w:rPr>
            </w:pPr>
          </w:p>
        </w:tc>
        <w:tc>
          <w:tcPr>
            <w:tcW w:w="66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color w:val="FFFFFF"/>
              </w:rPr>
              <w:t>Total</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FFFFFF"/>
                <w:w w:val="97"/>
              </w:rPr>
              <w:t>Worldwide</w:t>
            </w:r>
          </w:p>
        </w:tc>
        <w:tc>
          <w:tcPr>
            <w:tcW w:w="7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8"/>
              </w:rPr>
              <w:t>Other</w:t>
            </w:r>
          </w:p>
        </w:tc>
        <w:tc>
          <w:tcPr>
            <w:tcW w:w="70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3"/>
              </w:rPr>
              <w:t>Other</w:t>
            </w:r>
          </w:p>
        </w:tc>
        <w:tc>
          <w:tcPr>
            <w:tcW w:w="60" w:type="dxa"/>
            <w:vAlign w:val="bottom"/>
          </w:tcPr>
          <w:p>
            <w:pPr>
              <w:spacing w:after="0"/>
              <w:rPr>
                <w:sz w:val="13"/>
                <w:szCs w:val="13"/>
                <w:color w:val="auto"/>
              </w:rPr>
            </w:pPr>
          </w:p>
        </w:tc>
        <w:tc>
          <w:tcPr>
            <w:tcW w:w="60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color w:val="FFFFFF"/>
              </w:rPr>
              <w:t>Total</w:t>
            </w:r>
          </w:p>
        </w:tc>
        <w:tc>
          <w:tcPr>
            <w:tcW w:w="0" w:type="dxa"/>
            <w:vAlign w:val="bottom"/>
          </w:tcPr>
          <w:p>
            <w:pPr>
              <w:spacing w:after="0"/>
              <w:rPr>
                <w:sz w:val="1"/>
                <w:szCs w:val="1"/>
                <w:color w:val="auto"/>
              </w:rPr>
            </w:pPr>
          </w:p>
        </w:tc>
      </w:tr>
      <w:tr>
        <w:trPr>
          <w:trHeight w:val="220"/>
        </w:trPr>
        <w:tc>
          <w:tcPr>
            <w:tcW w:w="2580" w:type="dxa"/>
            <w:vAlign w:val="bottom"/>
            <w:vMerge w:val="continue"/>
          </w:tcPr>
          <w:p>
            <w:pPr>
              <w:spacing w:after="0"/>
              <w:rPr>
                <w:sz w:val="19"/>
                <w:szCs w:val="19"/>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6"/>
                <w:szCs w:val="16"/>
                <w:color w:val="FFFFFF"/>
              </w:rPr>
              <w:t>States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6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6"/>
                <w:szCs w:val="16"/>
                <w:color w:val="FFFFFF"/>
              </w:rPr>
              <w:t>Oceania</w:t>
            </w:r>
          </w:p>
        </w:tc>
        <w:tc>
          <w:tcPr>
            <w:tcW w:w="6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7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Net proved developed and</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4C4C4C"/>
              </w:rPr>
              <w:t>undeveloped reserves of</w:t>
            </w: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4C4C4C"/>
              </w:rPr>
              <w:t>consolidated subsidiaries</w:t>
            </w: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2023</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2,204</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2,794</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66</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6,285</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1,176</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2,420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Revisions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Improved recovery</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156</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Extensions/discoveries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355</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460</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56"/>
        </w:trPr>
        <w:tc>
          <w:tcPr>
            <w:tcW w:w="258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Production</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33"/>
        </w:trPr>
        <w:tc>
          <w:tcPr>
            <w:tcW w:w="25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2,102</w:t>
            </w:r>
          </w:p>
        </w:tc>
        <w:tc>
          <w:tcPr>
            <w:tcW w:w="780" w:type="dxa"/>
            <w:vAlign w:val="bottom"/>
            <w:tcBorders>
              <w:bottom w:val="single" w:sz="8" w:color="4C4C4C"/>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994</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740" w:type="dxa"/>
            <w:vAlign w:val="bottom"/>
            <w:tcBorders>
              <w:bottom w:val="single" w:sz="8" w:color="4C4C4C"/>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224</w:t>
            </w:r>
          </w:p>
        </w:tc>
        <w:tc>
          <w:tcPr>
            <w:tcW w:w="6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2,667</w:t>
            </w:r>
          </w:p>
        </w:tc>
        <w:tc>
          <w:tcPr>
            <w:tcW w:w="860" w:type="dxa"/>
            <w:vAlign w:val="bottom"/>
            <w:tcBorders>
              <w:bottom w:val="single" w:sz="8" w:color="4C4C4C"/>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61</w:t>
            </w:r>
          </w:p>
        </w:tc>
        <w:tc>
          <w:tcPr>
            <w:tcW w:w="66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6,052</w:t>
            </w:r>
          </w:p>
        </w:tc>
        <w:tc>
          <w:tcPr>
            <w:tcW w:w="860" w:type="dxa"/>
            <w:vAlign w:val="bottom"/>
            <w:tcBorders>
              <w:bottom w:val="single" w:sz="8" w:color="4C4C4C"/>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1,236</w:t>
            </w:r>
          </w:p>
        </w:tc>
        <w:tc>
          <w:tcPr>
            <w:tcW w:w="780" w:type="dxa"/>
            <w:vAlign w:val="bottom"/>
            <w:tcBorders>
              <w:bottom w:val="single" w:sz="8" w:color="4C4C4C"/>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2,414</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66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10,056</w:t>
            </w:r>
          </w:p>
        </w:tc>
        <w:tc>
          <w:tcPr>
            <w:tcW w:w="0" w:type="dxa"/>
            <w:vAlign w:val="bottom"/>
          </w:tcPr>
          <w:p>
            <w:pPr>
              <w:spacing w:after="0"/>
              <w:rPr>
                <w:sz w:val="1"/>
                <w:szCs w:val="1"/>
                <w:color w:val="auto"/>
              </w:rPr>
            </w:pPr>
          </w:p>
        </w:tc>
      </w:tr>
      <w:tr>
        <w:trPr>
          <w:trHeight w:val="208"/>
        </w:trPr>
        <w:tc>
          <w:tcPr>
            <w:tcW w:w="25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Attributable to noncontrolling interests</w:t>
            </w:r>
          </w:p>
        </w:tc>
        <w:tc>
          <w:tcPr>
            <w:tcW w:w="70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6"/>
                <w:szCs w:val="16"/>
                <w:i w:val="1"/>
                <w:iCs w:val="1"/>
                <w:color w:val="auto"/>
              </w:rPr>
              <w:t>1</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6"/>
                <w:szCs w:val="16"/>
                <w:i w:val="1"/>
                <w:iCs w:val="1"/>
                <w:color w:val="auto"/>
              </w:rPr>
              <w:t>551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Proportional interest in proved</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4C4C4C"/>
              </w:rPr>
              <w:t>reserves of equity companies</w:t>
            </w: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2023</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119</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756</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882</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355</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Revisions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Improved recovery</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50"/>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Extensions/discoveries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8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Production</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Borders>
              <w:bottom w:val="single" w:sz="8" w:color="4C4C4C"/>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60" w:type="dxa"/>
            <w:vAlign w:val="bottom"/>
            <w:tcBorders>
              <w:bottom w:val="single" w:sz="8" w:color="4C4C4C"/>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Borders>
              <w:bottom w:val="single" w:sz="8" w:color="4C4C4C"/>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3"/>
        </w:trPr>
        <w:tc>
          <w:tcPr>
            <w:tcW w:w="258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w:t>
            </w:r>
          </w:p>
        </w:tc>
        <w:tc>
          <w:tcPr>
            <w:tcW w:w="780" w:type="dxa"/>
            <w:vAlign w:val="bottom"/>
            <w:tcBorders>
              <w:bottom w:val="single" w:sz="8" w:color="4C4C4C"/>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740" w:type="dxa"/>
            <w:vAlign w:val="bottom"/>
            <w:tcBorders>
              <w:bottom w:val="single" w:sz="8" w:color="4C4C4C"/>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780</w:t>
            </w:r>
          </w:p>
        </w:tc>
        <w:tc>
          <w:tcPr>
            <w:tcW w:w="860" w:type="dxa"/>
            <w:vAlign w:val="bottom"/>
            <w:tcBorders>
              <w:bottom w:val="single" w:sz="8" w:color="4C4C4C"/>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4C4C4C"/>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795</w:t>
            </w:r>
          </w:p>
        </w:tc>
        <w:tc>
          <w:tcPr>
            <w:tcW w:w="860" w:type="dxa"/>
            <w:vAlign w:val="bottom"/>
            <w:tcBorders>
              <w:bottom w:val="single" w:sz="8" w:color="4C4C4C"/>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333</w:t>
            </w:r>
          </w:p>
        </w:tc>
        <w:tc>
          <w:tcPr>
            <w:tcW w:w="780" w:type="dxa"/>
            <w:vAlign w:val="bottom"/>
            <w:tcBorders>
              <w:bottom w:val="single" w:sz="8" w:color="4C4C4C"/>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4C4C4C"/>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0" w:type="dxa"/>
            <w:vAlign w:val="bottom"/>
          </w:tcPr>
          <w:p>
            <w:pPr>
              <w:spacing w:after="0"/>
              <w:rPr>
                <w:sz w:val="1"/>
                <w:szCs w:val="1"/>
                <w:color w:val="auto"/>
              </w:rPr>
            </w:pPr>
          </w:p>
        </w:tc>
      </w:tr>
      <w:tr>
        <w:trPr>
          <w:trHeight w:val="165"/>
        </w:trPr>
        <w:tc>
          <w:tcPr>
            <w:tcW w:w="2580" w:type="dxa"/>
            <w:vAlign w:val="bottom"/>
          </w:tcPr>
          <w:p>
            <w:pPr>
              <w:ind w:left="40"/>
              <w:spacing w:after="0" w:line="165" w:lineRule="exact"/>
              <w:rPr>
                <w:sz w:val="20"/>
                <w:szCs w:val="20"/>
                <w:color w:val="auto"/>
              </w:rPr>
            </w:pPr>
            <w:r>
              <w:rPr>
                <w:rFonts w:ascii="Times New Roman" w:cs="Times New Roman" w:eastAsia="Times New Roman" w:hAnsi="Times New Roman"/>
                <w:sz w:val="18"/>
                <w:szCs w:val="18"/>
                <w:b w:val="1"/>
                <w:bCs w:val="1"/>
                <w:color w:val="auto"/>
              </w:rPr>
              <w:t>Total liquids proved reserves at</w:t>
            </w: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2,109</w:t>
            </w:r>
          </w:p>
        </w:tc>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994</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74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229</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3,447</w:t>
            </w:r>
          </w:p>
        </w:tc>
        <w:tc>
          <w:tcPr>
            <w:tcW w:w="8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61</w:t>
            </w: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6,847</w:t>
            </w:r>
          </w:p>
        </w:tc>
        <w:tc>
          <w:tcPr>
            <w:tcW w:w="8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1,569</w:t>
            </w:r>
          </w:p>
        </w:tc>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2,414</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11,184</w:t>
            </w:r>
          </w:p>
        </w:tc>
        <w:tc>
          <w:tcPr>
            <w:tcW w:w="0" w:type="dxa"/>
            <w:vAlign w:val="bottom"/>
          </w:tcPr>
          <w:p>
            <w:pPr>
              <w:spacing w:after="0"/>
              <w:rPr>
                <w:sz w:val="1"/>
                <w:szCs w:val="1"/>
                <w:color w:val="auto"/>
              </w:rPr>
            </w:pPr>
          </w:p>
        </w:tc>
      </w:tr>
      <w:tr>
        <w:trPr>
          <w:trHeight w:val="244"/>
        </w:trPr>
        <w:tc>
          <w:tcPr>
            <w:tcW w:w="258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4C4C4C"/>
            </w:tcBorders>
            <w:vMerge w:val="continue"/>
          </w:tcPr>
          <w:p>
            <w:pPr>
              <w:spacing w:after="0"/>
              <w:rPr>
                <w:sz w:val="21"/>
                <w:szCs w:val="21"/>
                <w:color w:val="auto"/>
              </w:rPr>
            </w:pPr>
          </w:p>
        </w:tc>
        <w:tc>
          <w:tcPr>
            <w:tcW w:w="780" w:type="dxa"/>
            <w:vAlign w:val="bottom"/>
            <w:tcBorders>
              <w:bottom w:val="single" w:sz="8" w:color="4C4C4C"/>
            </w:tcBorders>
            <w:vMerge w:val="continue"/>
          </w:tcPr>
          <w:p>
            <w:pPr>
              <w:spacing w:after="0"/>
              <w:rPr>
                <w:sz w:val="21"/>
                <w:szCs w:val="21"/>
                <w:color w:val="auto"/>
              </w:rPr>
            </w:pPr>
          </w:p>
        </w:tc>
        <w:tc>
          <w:tcPr>
            <w:tcW w:w="640" w:type="dxa"/>
            <w:vAlign w:val="bottom"/>
            <w:tcBorders>
              <w:bottom w:val="single" w:sz="8" w:color="4C4C4C"/>
            </w:tcBorders>
            <w:vMerge w:val="continue"/>
          </w:tcPr>
          <w:p>
            <w:pPr>
              <w:spacing w:after="0"/>
              <w:rPr>
                <w:sz w:val="21"/>
                <w:szCs w:val="21"/>
                <w:color w:val="auto"/>
              </w:rPr>
            </w:pPr>
          </w:p>
        </w:tc>
        <w:tc>
          <w:tcPr>
            <w:tcW w:w="740" w:type="dxa"/>
            <w:vAlign w:val="bottom"/>
            <w:tcBorders>
              <w:bottom w:val="single" w:sz="8" w:color="4C4C4C"/>
            </w:tcBorders>
            <w:vMerge w:val="continue"/>
          </w:tcPr>
          <w:p>
            <w:pPr>
              <w:spacing w:after="0"/>
              <w:rPr>
                <w:sz w:val="21"/>
                <w:szCs w:val="21"/>
                <w:color w:val="auto"/>
              </w:rPr>
            </w:pPr>
          </w:p>
        </w:tc>
        <w:tc>
          <w:tcPr>
            <w:tcW w:w="600" w:type="dxa"/>
            <w:vAlign w:val="bottom"/>
            <w:tcBorders>
              <w:bottom w:val="single" w:sz="8" w:color="4C4C4C"/>
            </w:tcBorders>
            <w:vMerge w:val="continue"/>
          </w:tcPr>
          <w:p>
            <w:pPr>
              <w:spacing w:after="0"/>
              <w:rPr>
                <w:sz w:val="21"/>
                <w:szCs w:val="21"/>
                <w:color w:val="auto"/>
              </w:rPr>
            </w:pPr>
          </w:p>
        </w:tc>
        <w:tc>
          <w:tcPr>
            <w:tcW w:w="860" w:type="dxa"/>
            <w:vAlign w:val="bottom"/>
            <w:tcBorders>
              <w:bottom w:val="single" w:sz="8" w:color="4C4C4C"/>
            </w:tcBorders>
            <w:vMerge w:val="continue"/>
          </w:tcPr>
          <w:p>
            <w:pPr>
              <w:spacing w:after="0"/>
              <w:rPr>
                <w:sz w:val="21"/>
                <w:szCs w:val="21"/>
                <w:color w:val="auto"/>
              </w:rPr>
            </w:pPr>
          </w:p>
        </w:tc>
        <w:tc>
          <w:tcPr>
            <w:tcW w:w="660" w:type="dxa"/>
            <w:vAlign w:val="bottom"/>
            <w:tcBorders>
              <w:bottom w:val="single" w:sz="8" w:color="4C4C4C"/>
            </w:tcBorders>
            <w:vMerge w:val="continue"/>
          </w:tcPr>
          <w:p>
            <w:pPr>
              <w:spacing w:after="0"/>
              <w:rPr>
                <w:sz w:val="21"/>
                <w:szCs w:val="21"/>
                <w:color w:val="auto"/>
              </w:rPr>
            </w:pPr>
          </w:p>
        </w:tc>
        <w:tc>
          <w:tcPr>
            <w:tcW w:w="860" w:type="dxa"/>
            <w:vAlign w:val="bottom"/>
            <w:tcBorders>
              <w:bottom w:val="single" w:sz="8" w:color="4C4C4C"/>
            </w:tcBorders>
            <w:vMerge w:val="continue"/>
          </w:tcPr>
          <w:p>
            <w:pPr>
              <w:spacing w:after="0"/>
              <w:rPr>
                <w:sz w:val="21"/>
                <w:szCs w:val="21"/>
                <w:color w:val="auto"/>
              </w:rPr>
            </w:pPr>
          </w:p>
        </w:tc>
        <w:tc>
          <w:tcPr>
            <w:tcW w:w="780" w:type="dxa"/>
            <w:vAlign w:val="bottom"/>
            <w:tcBorders>
              <w:bottom w:val="single" w:sz="8" w:color="4C4C4C"/>
            </w:tcBorders>
            <w:vMerge w:val="continue"/>
          </w:tcPr>
          <w:p>
            <w:pPr>
              <w:spacing w:after="0"/>
              <w:rPr>
                <w:sz w:val="21"/>
                <w:szCs w:val="21"/>
                <w:color w:val="auto"/>
              </w:rPr>
            </w:pPr>
          </w:p>
        </w:tc>
        <w:tc>
          <w:tcPr>
            <w:tcW w:w="700" w:type="dxa"/>
            <w:vAlign w:val="bottom"/>
            <w:tcBorders>
              <w:bottom w:val="single" w:sz="8" w:color="4C4C4C"/>
            </w:tcBorders>
            <w:vMerge w:val="continue"/>
          </w:tcPr>
          <w:p>
            <w:pPr>
              <w:spacing w:after="0"/>
              <w:rPr>
                <w:sz w:val="21"/>
                <w:szCs w:val="21"/>
                <w:color w:val="auto"/>
              </w:rPr>
            </w:pPr>
          </w:p>
        </w:tc>
        <w:tc>
          <w:tcPr>
            <w:tcW w:w="660" w:type="dxa"/>
            <w:vAlign w:val="bottom"/>
            <w:tcBorders>
              <w:bottom w:val="single" w:sz="8" w:color="4C4C4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560"/>
          </w:cols>
          <w:pgMar w:left="660" w:top="79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ectPr>
          <w:pgSz w:w="11880" w:h="15480" w:orient="portrait"/>
          <w:cols w:equalWidth="0" w:num="1">
            <w:col w:w="10560"/>
          </w:cols>
          <w:pgMar w:left="660" w:top="795" w:right="660" w:bottom="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b w:val="1"/>
          <w:bCs w:val="1"/>
          <w:color w:val="4C4C4C"/>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12700</wp:posOffset>
            </wp:positionV>
            <wp:extent cx="6680835" cy="6223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1">
                      <a:extLst>
                        <a:ext uri="{28A0092B-C50C-407E-A947-70E740481C1C}"/>
                      </a:extLst>
                    </a:blip>
                    <a:srcRect/>
                    <a:stretch>
                      <a:fillRect/>
                    </a:stretch>
                  </pic:blipFill>
                  <pic:spPr bwMode="auto">
                    <a:xfrm>
                      <a:off x="0" y="0"/>
                      <a:ext cx="6680835" cy="62230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Borders>
              <w:top w:val="single" w:sz="8" w:color="auto"/>
            </w:tcBorders>
            <w:shd w:val="clear" w:color="auto" w:fill="4C4C4C"/>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6"/>
                <w:szCs w:val="16"/>
                <w:color w:val="FFFFFF"/>
                <w:w w:val="99"/>
              </w:rPr>
              <w:t>Crude Oil and Natural Gas Liquids</w:t>
            </w:r>
          </w:p>
        </w:tc>
        <w:tc>
          <w:tcPr>
            <w:tcW w:w="7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center"/>
              <w:ind w:left="156"/>
              <w:spacing w:after="0"/>
              <w:rPr>
                <w:sz w:val="20"/>
                <w:szCs w:val="20"/>
                <w:color w:val="auto"/>
              </w:rPr>
            </w:pPr>
            <w:r>
              <w:rPr>
                <w:rFonts w:ascii="Times New Roman" w:cs="Times New Roman" w:eastAsia="Times New Roman" w:hAnsi="Times New Roman"/>
                <w:sz w:val="16"/>
                <w:szCs w:val="16"/>
                <w:color w:val="FFFFFF"/>
                <w:w w:val="97"/>
              </w:rPr>
              <w:t>Bitumen</w:t>
            </w:r>
          </w:p>
        </w:tc>
        <w:tc>
          <w:tcPr>
            <w:tcW w:w="7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FFFFFF"/>
                <w:w w:val="95"/>
              </w:rPr>
              <w:t>Synthetic</w:t>
            </w: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640" w:type="dxa"/>
            <w:vAlign w:val="bottom"/>
            <w:shd w:val="clear" w:color="auto" w:fill="4C4C4C"/>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FFFFFF"/>
              </w:rPr>
              <w:t>Oil</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FFFFFF"/>
              </w:rPr>
              <w:t>United</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FFFFFF"/>
                <w:w w:val="99"/>
              </w:rPr>
              <w:t>Canada/</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FFFFFF"/>
                <w:w w:val="95"/>
              </w:rPr>
              <w:t>Australia/</w:t>
            </w:r>
          </w:p>
        </w:tc>
        <w:tc>
          <w:tcPr>
            <w:tcW w:w="700" w:type="dxa"/>
            <w:vAlign w:val="bottom"/>
          </w:tcPr>
          <w:p>
            <w:pPr>
              <w:spacing w:after="0"/>
              <w:rPr>
                <w:sz w:val="14"/>
                <w:szCs w:val="14"/>
                <w:color w:val="auto"/>
              </w:rPr>
            </w:pPr>
          </w:p>
        </w:tc>
        <w:tc>
          <w:tcPr>
            <w:tcW w:w="1060" w:type="dxa"/>
            <w:vAlign w:val="bottom"/>
          </w:tcPr>
          <w:p>
            <w:pPr>
              <w:jc w:val="center"/>
              <w:ind w:left="176"/>
              <w:spacing w:after="0" w:line="162" w:lineRule="exact"/>
              <w:rPr>
                <w:sz w:val="20"/>
                <w:szCs w:val="20"/>
                <w:color w:val="auto"/>
              </w:rPr>
            </w:pPr>
            <w:r>
              <w:rPr>
                <w:rFonts w:ascii="Times New Roman" w:cs="Times New Roman" w:eastAsia="Times New Roman" w:hAnsi="Times New Roman"/>
                <w:sz w:val="16"/>
                <w:szCs w:val="16"/>
                <w:color w:val="FFFFFF"/>
                <w:w w:val="99"/>
              </w:rPr>
              <w:t>Canada/</w:t>
            </w:r>
          </w:p>
        </w:tc>
        <w:tc>
          <w:tcPr>
            <w:tcW w:w="780" w:type="dxa"/>
            <w:vAlign w:val="bottom"/>
            <w:shd w:val="clear" w:color="auto" w:fill="4C4C4C"/>
          </w:tcPr>
          <w:p>
            <w:pPr>
              <w:jc w:val="center"/>
              <w:spacing w:after="0" w:line="162" w:lineRule="exact"/>
              <w:rPr>
                <w:sz w:val="20"/>
                <w:szCs w:val="20"/>
                <w:color w:val="auto"/>
              </w:rPr>
            </w:pPr>
            <w:r>
              <w:rPr>
                <w:rFonts w:ascii="Times New Roman" w:cs="Times New Roman" w:eastAsia="Times New Roman" w:hAnsi="Times New Roman"/>
                <w:sz w:val="16"/>
                <w:szCs w:val="16"/>
                <w:color w:val="FFFFFF"/>
                <w:w w:val="95"/>
              </w:rPr>
              <w:t>Canada/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i w:val="1"/>
                <w:iCs w:val="1"/>
                <w:color w:val="FFFFFF"/>
              </w:rPr>
              <w:t>(millions of barrels)</w:t>
            </w:r>
          </w:p>
        </w:tc>
        <w:tc>
          <w:tcPr>
            <w:tcW w:w="680" w:type="dxa"/>
            <w:vAlign w:val="bottom"/>
            <w:vMerge w:val="continue"/>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8"/>
              </w:rPr>
              <w:t>Other</w:t>
            </w:r>
          </w:p>
        </w:tc>
        <w:tc>
          <w:tcPr>
            <w:tcW w:w="76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FFFFFF"/>
              </w:rPr>
              <w:t>Europe</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color w:val="FFFFFF"/>
              </w:rPr>
              <w:t>Africa</w:t>
            </w: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FFFFFF"/>
              </w:rPr>
              <w:t>Asia</w:t>
            </w:r>
          </w:p>
        </w:tc>
        <w:tc>
          <w:tcPr>
            <w:tcW w:w="780" w:type="dxa"/>
            <w:vAlign w:val="bottom"/>
            <w:vMerge w:val="continue"/>
          </w:tcPr>
          <w:p>
            <w:pPr>
              <w:spacing w:after="0"/>
              <w:rPr>
                <w:sz w:val="13"/>
                <w:szCs w:val="13"/>
                <w:color w:val="auto"/>
              </w:rPr>
            </w:pP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color w:val="FFFFFF"/>
              </w:rPr>
              <w:t>Total</w:t>
            </w:r>
          </w:p>
        </w:tc>
        <w:tc>
          <w:tcPr>
            <w:tcW w:w="1060" w:type="dxa"/>
            <w:vAlign w:val="bottom"/>
          </w:tcPr>
          <w:p>
            <w:pPr>
              <w:jc w:val="center"/>
              <w:ind w:left="176"/>
              <w:spacing w:after="0" w:line="157" w:lineRule="exact"/>
              <w:rPr>
                <w:sz w:val="20"/>
                <w:szCs w:val="20"/>
                <w:color w:val="auto"/>
              </w:rPr>
            </w:pPr>
            <w:r>
              <w:rPr>
                <w:rFonts w:ascii="Times New Roman" w:cs="Times New Roman" w:eastAsia="Times New Roman" w:hAnsi="Times New Roman"/>
                <w:sz w:val="16"/>
                <w:szCs w:val="16"/>
                <w:color w:val="FFFFFF"/>
                <w:w w:val="98"/>
              </w:rPr>
              <w:t>Other</w:t>
            </w:r>
          </w:p>
        </w:tc>
        <w:tc>
          <w:tcPr>
            <w:tcW w:w="780" w:type="dxa"/>
            <w:vAlign w:val="bottom"/>
            <w:shd w:val="clear" w:color="auto" w:fill="4C4C4C"/>
          </w:tcPr>
          <w:p>
            <w:pPr>
              <w:jc w:val="center"/>
              <w:spacing w:after="0" w:line="157" w:lineRule="exact"/>
              <w:rPr>
                <w:sz w:val="20"/>
                <w:szCs w:val="20"/>
                <w:color w:val="auto"/>
              </w:rPr>
            </w:pPr>
            <w:r>
              <w:rPr>
                <w:rFonts w:ascii="Times New Roman" w:cs="Times New Roman" w:eastAsia="Times New Roman" w:hAnsi="Times New Roman"/>
                <w:sz w:val="16"/>
                <w:szCs w:val="16"/>
                <w:color w:val="FFFFFF"/>
                <w:w w:val="93"/>
              </w:rPr>
              <w:t>Other</w:t>
            </w:r>
          </w:p>
        </w:tc>
        <w:tc>
          <w:tcPr>
            <w:tcW w:w="60" w:type="dxa"/>
            <w:vAlign w:val="bottom"/>
          </w:tcPr>
          <w:p>
            <w:pPr>
              <w:spacing w:after="0"/>
              <w:rPr>
                <w:sz w:val="13"/>
                <w:szCs w:val="13"/>
                <w:color w:val="auto"/>
              </w:rPr>
            </w:pPr>
          </w:p>
        </w:tc>
        <w:tc>
          <w:tcPr>
            <w:tcW w:w="7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FFFFFF"/>
              </w:rPr>
              <w:t>Total</w:t>
            </w:r>
          </w:p>
        </w:tc>
        <w:tc>
          <w:tcPr>
            <w:tcW w:w="0" w:type="dxa"/>
            <w:vAlign w:val="bottom"/>
          </w:tcPr>
          <w:p>
            <w:pPr>
              <w:spacing w:after="0"/>
              <w:rPr>
                <w:sz w:val="1"/>
                <w:szCs w:val="1"/>
                <w:color w:val="auto"/>
              </w:rPr>
            </w:pPr>
          </w:p>
        </w:tc>
      </w:tr>
      <w:tr>
        <w:trPr>
          <w:trHeight w:val="220"/>
        </w:trPr>
        <w:tc>
          <w:tcPr>
            <w:tcW w:w="2640" w:type="dxa"/>
            <w:vAlign w:val="bottom"/>
            <w:vMerge w:val="continue"/>
          </w:tcPr>
          <w:p>
            <w:pPr>
              <w:spacing w:after="0"/>
              <w:rPr>
                <w:sz w:val="19"/>
                <w:szCs w:val="19"/>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6"/>
                <w:szCs w:val="16"/>
                <w:color w:val="FFFFFF"/>
              </w:rPr>
              <w:t>States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7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6"/>
                <w:szCs w:val="16"/>
                <w:color w:val="FFFFFF"/>
              </w:rPr>
              <w:t>Oceania</w:t>
            </w:r>
          </w:p>
        </w:tc>
        <w:tc>
          <w:tcPr>
            <w:tcW w:w="700" w:type="dxa"/>
            <w:vAlign w:val="bottom"/>
            <w:vMerge w:val="continue"/>
          </w:tcPr>
          <w:p>
            <w:pPr>
              <w:spacing w:after="0"/>
              <w:rPr>
                <w:sz w:val="19"/>
                <w:szCs w:val="19"/>
                <w:color w:val="auto"/>
              </w:rPr>
            </w:pPr>
          </w:p>
        </w:tc>
        <w:tc>
          <w:tcPr>
            <w:tcW w:w="1060" w:type="dxa"/>
            <w:vAlign w:val="bottom"/>
          </w:tcPr>
          <w:p>
            <w:pPr>
              <w:jc w:val="center"/>
              <w:ind w:left="176"/>
              <w:spacing w:after="0"/>
              <w:rPr>
                <w:sz w:val="20"/>
                <w:szCs w:val="20"/>
                <w:color w:val="auto"/>
              </w:rPr>
            </w:pPr>
            <w:r>
              <w:rPr>
                <w:rFonts w:ascii="Times New Roman" w:cs="Times New Roman" w:eastAsia="Times New Roman" w:hAnsi="Times New Roman"/>
                <w:sz w:val="16"/>
                <w:szCs w:val="16"/>
                <w:color w:val="FFFFFF"/>
                <w:w w:val="97"/>
              </w:rPr>
              <w:t>Americas</w:t>
            </w:r>
          </w:p>
        </w:tc>
        <w:tc>
          <w:tcPr>
            <w:tcW w:w="78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color w:val="FFFFFF"/>
              </w:rPr>
              <w:t>Americas</w:t>
            </w:r>
          </w:p>
        </w:tc>
        <w:tc>
          <w:tcPr>
            <w:tcW w:w="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2021</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330</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2,154</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2,635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7,442</w:t>
            </w:r>
          </w:p>
        </w:tc>
        <w:tc>
          <w:tcPr>
            <w:tcW w:w="0" w:type="dxa"/>
            <w:vAlign w:val="bottom"/>
          </w:tcPr>
          <w:p>
            <w:pPr>
              <w:spacing w:after="0"/>
              <w:rPr>
                <w:sz w:val="1"/>
                <w:szCs w:val="1"/>
                <w:color w:val="auto"/>
              </w:rPr>
            </w:pPr>
          </w:p>
        </w:tc>
      </w:tr>
      <w:tr>
        <w:trPr>
          <w:trHeight w:val="250"/>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474</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8"/>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988</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56"/>
        </w:trPr>
        <w:tc>
          <w:tcPr>
            <w:tcW w:w="26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Equity companies</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531</w:t>
            </w:r>
          </w:p>
        </w:tc>
        <w:tc>
          <w:tcPr>
            <w:tcW w:w="780" w:type="dxa"/>
            <w:vAlign w:val="bottom"/>
            <w:tcBorders>
              <w:bottom w:val="single" w:sz="8" w:color="4C4C4C"/>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60" w:type="dxa"/>
            <w:vAlign w:val="bottom"/>
            <w:tcBorders>
              <w:bottom w:val="single" w:sz="8" w:color="4C4C4C"/>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168"/>
        </w:trPr>
        <w:tc>
          <w:tcPr>
            <w:tcW w:w="2640" w:type="dxa"/>
            <w:vAlign w:val="bottom"/>
          </w:tcPr>
          <w:p>
            <w:pPr>
              <w:ind w:left="60"/>
              <w:spacing w:after="0" w:line="168" w:lineRule="exact"/>
              <w:rPr>
                <w:sz w:val="20"/>
                <w:szCs w:val="20"/>
                <w:color w:val="auto"/>
              </w:rPr>
            </w:pPr>
            <w:r>
              <w:rPr>
                <w:rFonts w:ascii="Times New Roman" w:cs="Times New Roman" w:eastAsia="Times New Roman" w:hAnsi="Times New Roman"/>
                <w:sz w:val="18"/>
                <w:szCs w:val="18"/>
                <w:b w:val="1"/>
                <w:bCs w:val="1"/>
                <w:color w:val="auto"/>
              </w:rPr>
              <w:t>Total liquids proved reserves at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3,445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w:t>
            </w: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366</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4,147</w:t>
            </w: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95</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8,842</w:t>
            </w:r>
          </w:p>
        </w:tc>
        <w:tc>
          <w:tcPr>
            <w:tcW w:w="10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2,894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8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12,174</w:t>
            </w:r>
          </w:p>
        </w:tc>
        <w:tc>
          <w:tcPr>
            <w:tcW w:w="0" w:type="dxa"/>
            <w:vAlign w:val="bottom"/>
          </w:tcPr>
          <w:p>
            <w:pPr>
              <w:spacing w:after="0"/>
              <w:rPr>
                <w:sz w:val="1"/>
                <w:szCs w:val="1"/>
                <w:color w:val="auto"/>
              </w:rPr>
            </w:pPr>
          </w:p>
        </w:tc>
      </w:tr>
      <w:tr>
        <w:trPr>
          <w:trHeight w:val="241"/>
        </w:trPr>
        <w:tc>
          <w:tcPr>
            <w:tcW w:w="2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8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80" w:type="dxa"/>
            <w:vAlign w:val="bottom"/>
            <w:tcBorders>
              <w:bottom w:val="single" w:sz="8" w:color="4C4C4C"/>
            </w:tcBorders>
            <w:vMerge w:val="continue"/>
          </w:tcPr>
          <w:p>
            <w:pPr>
              <w:spacing w:after="0"/>
              <w:rPr>
                <w:sz w:val="20"/>
                <w:szCs w:val="20"/>
                <w:color w:val="auto"/>
              </w:rPr>
            </w:pPr>
          </w:p>
        </w:tc>
        <w:tc>
          <w:tcPr>
            <w:tcW w:w="700" w:type="dxa"/>
            <w:vAlign w:val="bottom"/>
            <w:tcBorders>
              <w:bottom w:val="single" w:sz="8" w:color="4C4C4C"/>
            </w:tcBorders>
            <w:vMerge w:val="continue"/>
          </w:tcPr>
          <w:p>
            <w:pPr>
              <w:spacing w:after="0"/>
              <w:rPr>
                <w:sz w:val="20"/>
                <w:szCs w:val="20"/>
                <w:color w:val="auto"/>
              </w:rPr>
            </w:pPr>
          </w:p>
        </w:tc>
        <w:tc>
          <w:tcPr>
            <w:tcW w:w="1060" w:type="dxa"/>
            <w:vAlign w:val="bottom"/>
            <w:tcBorders>
              <w:bottom w:val="single" w:sz="8" w:color="4C4C4C"/>
            </w:tcBorders>
            <w:vMerge w:val="continue"/>
          </w:tcPr>
          <w:p>
            <w:pPr>
              <w:spacing w:after="0"/>
              <w:rPr>
                <w:sz w:val="20"/>
                <w:szCs w:val="20"/>
                <w:color w:val="auto"/>
              </w:rPr>
            </w:pPr>
          </w:p>
        </w:tc>
        <w:tc>
          <w:tcPr>
            <w:tcW w:w="780" w:type="dxa"/>
            <w:vAlign w:val="bottom"/>
            <w:tcBorders>
              <w:bottom w:val="single" w:sz="8" w:color="4C4C4C"/>
            </w:tcBorders>
            <w:vMerge w:val="continue"/>
          </w:tcPr>
          <w:p>
            <w:pPr>
              <w:spacing w:after="0"/>
              <w:rPr>
                <w:sz w:val="20"/>
                <w:szCs w:val="20"/>
                <w:color w:val="auto"/>
              </w:rPr>
            </w:pPr>
          </w:p>
        </w:tc>
        <w:tc>
          <w:tcPr>
            <w:tcW w:w="800" w:type="dxa"/>
            <w:vAlign w:val="bottom"/>
            <w:tcBorders>
              <w:bottom w:val="single" w:sz="8" w:color="4C4C4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4"/>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2022</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259</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2,067</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2,288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6,983</w:t>
            </w:r>
          </w:p>
        </w:tc>
        <w:tc>
          <w:tcPr>
            <w:tcW w:w="0" w:type="dxa"/>
            <w:vAlign w:val="bottom"/>
          </w:tcPr>
          <w:p>
            <w:pPr>
              <w:spacing w:after="0"/>
              <w:rPr>
                <w:sz w:val="1"/>
                <w:szCs w:val="1"/>
                <w:color w:val="auto"/>
              </w:rPr>
            </w:pPr>
          </w:p>
        </w:tc>
      </w:tr>
      <w:tr>
        <w:trPr>
          <w:trHeight w:val="250"/>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360</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48"/>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813</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56"/>
        </w:trPr>
        <w:tc>
          <w:tcPr>
            <w:tcW w:w="26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Equity companies</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744</w:t>
            </w:r>
          </w:p>
        </w:tc>
        <w:tc>
          <w:tcPr>
            <w:tcW w:w="780" w:type="dxa"/>
            <w:vAlign w:val="bottom"/>
            <w:tcBorders>
              <w:bottom w:val="single" w:sz="8" w:color="4C4C4C"/>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60" w:type="dxa"/>
            <w:vAlign w:val="bottom"/>
            <w:tcBorders>
              <w:bottom w:val="single" w:sz="8" w:color="4C4C4C"/>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168"/>
        </w:trPr>
        <w:tc>
          <w:tcPr>
            <w:tcW w:w="2640" w:type="dxa"/>
            <w:vAlign w:val="bottom"/>
          </w:tcPr>
          <w:p>
            <w:pPr>
              <w:ind w:left="60"/>
              <w:spacing w:after="0" w:line="168" w:lineRule="exact"/>
              <w:rPr>
                <w:sz w:val="20"/>
                <w:szCs w:val="20"/>
                <w:color w:val="auto"/>
              </w:rPr>
            </w:pPr>
            <w:r>
              <w:rPr>
                <w:rFonts w:ascii="Times New Roman" w:cs="Times New Roman" w:eastAsia="Times New Roman" w:hAnsi="Times New Roman"/>
                <w:sz w:val="18"/>
                <w:szCs w:val="18"/>
                <w:b w:val="1"/>
                <w:bCs w:val="1"/>
                <w:color w:val="auto"/>
              </w:rPr>
              <w:t>Total liquids proved reserves at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w:t>
            </w: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299</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3,984</w:t>
            </w: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8,698</w:t>
            </w:r>
          </w:p>
        </w:tc>
        <w:tc>
          <w:tcPr>
            <w:tcW w:w="10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2,420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8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11,471</w:t>
            </w:r>
          </w:p>
        </w:tc>
        <w:tc>
          <w:tcPr>
            <w:tcW w:w="0" w:type="dxa"/>
            <w:vAlign w:val="bottom"/>
          </w:tcPr>
          <w:p>
            <w:pPr>
              <w:spacing w:after="0"/>
              <w:rPr>
                <w:sz w:val="1"/>
                <w:szCs w:val="1"/>
                <w:color w:val="auto"/>
              </w:rPr>
            </w:pPr>
          </w:p>
        </w:tc>
      </w:tr>
      <w:tr>
        <w:trPr>
          <w:trHeight w:val="241"/>
        </w:trPr>
        <w:tc>
          <w:tcPr>
            <w:tcW w:w="2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8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60" w:type="dxa"/>
            <w:vAlign w:val="bottom"/>
            <w:tcBorders>
              <w:bottom w:val="single" w:sz="8" w:color="4C4C4C"/>
            </w:tcBorders>
            <w:vMerge w:val="continue"/>
          </w:tcPr>
          <w:p>
            <w:pPr>
              <w:spacing w:after="0"/>
              <w:rPr>
                <w:sz w:val="20"/>
                <w:szCs w:val="20"/>
                <w:color w:val="auto"/>
              </w:rPr>
            </w:pPr>
          </w:p>
        </w:tc>
        <w:tc>
          <w:tcPr>
            <w:tcW w:w="780" w:type="dxa"/>
            <w:vAlign w:val="bottom"/>
            <w:tcBorders>
              <w:bottom w:val="single" w:sz="8" w:color="4C4C4C"/>
            </w:tcBorders>
            <w:vMerge w:val="continue"/>
          </w:tcPr>
          <w:p>
            <w:pPr>
              <w:spacing w:after="0"/>
              <w:rPr>
                <w:sz w:val="20"/>
                <w:szCs w:val="20"/>
                <w:color w:val="auto"/>
              </w:rPr>
            </w:pPr>
          </w:p>
        </w:tc>
        <w:tc>
          <w:tcPr>
            <w:tcW w:w="700" w:type="dxa"/>
            <w:vAlign w:val="bottom"/>
            <w:tcBorders>
              <w:bottom w:val="single" w:sz="8" w:color="4C4C4C"/>
            </w:tcBorders>
            <w:vMerge w:val="continue"/>
          </w:tcPr>
          <w:p>
            <w:pPr>
              <w:spacing w:after="0"/>
              <w:rPr>
                <w:sz w:val="20"/>
                <w:szCs w:val="20"/>
                <w:color w:val="auto"/>
              </w:rPr>
            </w:pPr>
          </w:p>
        </w:tc>
        <w:tc>
          <w:tcPr>
            <w:tcW w:w="1060" w:type="dxa"/>
            <w:vAlign w:val="bottom"/>
            <w:tcBorders>
              <w:bottom w:val="single" w:sz="8" w:color="4C4C4C"/>
            </w:tcBorders>
            <w:vMerge w:val="continue"/>
          </w:tcPr>
          <w:p>
            <w:pPr>
              <w:spacing w:after="0"/>
              <w:rPr>
                <w:sz w:val="20"/>
                <w:szCs w:val="20"/>
                <w:color w:val="auto"/>
              </w:rPr>
            </w:pPr>
          </w:p>
        </w:tc>
        <w:tc>
          <w:tcPr>
            <w:tcW w:w="780" w:type="dxa"/>
            <w:vAlign w:val="bottom"/>
            <w:tcBorders>
              <w:bottom w:val="single" w:sz="8" w:color="4C4C4C"/>
            </w:tcBorders>
            <w:vMerge w:val="continue"/>
          </w:tcPr>
          <w:p>
            <w:pPr>
              <w:spacing w:after="0"/>
              <w:rPr>
                <w:sz w:val="20"/>
                <w:szCs w:val="20"/>
                <w:color w:val="auto"/>
              </w:rPr>
            </w:pPr>
          </w:p>
        </w:tc>
        <w:tc>
          <w:tcPr>
            <w:tcW w:w="800" w:type="dxa"/>
            <w:vAlign w:val="bottom"/>
            <w:tcBorders>
              <w:bottom w:val="single" w:sz="8" w:color="4C4C4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4"/>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4C4C4C"/>
              </w:rPr>
              <w:t>As of December 31, 2023</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217</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1,996</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2,307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50"/>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438</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8"/>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751</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56"/>
        </w:trPr>
        <w:tc>
          <w:tcPr>
            <w:tcW w:w="2640" w:type="dxa"/>
            <w:vAlign w:val="bottom"/>
            <w:tcBorders>
              <w:bottom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Equity companies</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671</w:t>
            </w:r>
          </w:p>
        </w:tc>
        <w:tc>
          <w:tcPr>
            <w:tcW w:w="780" w:type="dxa"/>
            <w:vAlign w:val="bottom"/>
            <w:tcBorders>
              <w:bottom w:val="single" w:sz="8" w:color="4C4C4C"/>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60" w:type="dxa"/>
            <w:vAlign w:val="bottom"/>
            <w:tcBorders>
              <w:bottom w:val="single" w:sz="8" w:color="4C4C4C"/>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4C4C4C"/>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183"/>
        </w:trPr>
        <w:tc>
          <w:tcPr>
            <w:tcW w:w="2640" w:type="dxa"/>
            <w:vAlign w:val="bottom"/>
          </w:tcPr>
          <w:p>
            <w:pPr>
              <w:ind w:left="60"/>
              <w:spacing w:after="0" w:line="183" w:lineRule="exact"/>
              <w:rPr>
                <w:sz w:val="20"/>
                <w:szCs w:val="20"/>
                <w:color w:val="auto"/>
              </w:rPr>
            </w:pPr>
            <w:r>
              <w:rPr>
                <w:rFonts w:ascii="Times New Roman" w:cs="Times New Roman" w:eastAsia="Times New Roman" w:hAnsi="Times New Roman"/>
                <w:sz w:val="18"/>
                <w:szCs w:val="18"/>
                <w:b w:val="1"/>
                <w:bCs w:val="1"/>
                <w:color w:val="auto"/>
              </w:rPr>
              <w:t>Total liquids proved reserves at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w:t>
            </w: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242</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3,856</w:t>
            </w: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8,416</w:t>
            </w:r>
          </w:p>
        </w:tc>
        <w:tc>
          <w:tcPr>
            <w:tcW w:w="1060" w:type="dxa"/>
            <w:vAlign w:val="bottom"/>
          </w:tcPr>
          <w:p>
            <w:pPr>
              <w:jc w:val="right"/>
              <w:ind w:right="796"/>
              <w:spacing w:after="0"/>
              <w:rPr>
                <w:sz w:val="20"/>
                <w:szCs w:val="20"/>
                <w:color w:val="auto"/>
              </w:rPr>
            </w:pPr>
            <w:r>
              <w:rPr>
                <w:rFonts w:ascii="Times New Roman" w:cs="Times New Roman" w:eastAsia="Times New Roman" w:hAnsi="Times New Roman"/>
                <w:sz w:val="10"/>
                <w:szCs w:val="10"/>
                <w:i w:val="1"/>
                <w:iCs w:val="1"/>
                <w:color w:val="auto"/>
              </w:rPr>
              <w:t>(1)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8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11,184</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80" w:type="dxa"/>
            <w:vAlign w:val="bottom"/>
            <w:tcBorders>
              <w:bottom w:val="single" w:sz="8" w:color="4C4C4C"/>
            </w:tcBorders>
            <w:vMerge w:val="continue"/>
          </w:tcPr>
          <w:p>
            <w:pPr>
              <w:spacing w:after="0"/>
              <w:rPr>
                <w:sz w:val="19"/>
                <w:szCs w:val="19"/>
                <w:color w:val="auto"/>
              </w:rPr>
            </w:pPr>
          </w:p>
        </w:tc>
        <w:tc>
          <w:tcPr>
            <w:tcW w:w="760" w:type="dxa"/>
            <w:vAlign w:val="bottom"/>
            <w:tcBorders>
              <w:bottom w:val="single" w:sz="8" w:color="4C4C4C"/>
            </w:tcBorders>
            <w:vMerge w:val="continue"/>
          </w:tcPr>
          <w:p>
            <w:pPr>
              <w:spacing w:after="0"/>
              <w:rPr>
                <w:sz w:val="19"/>
                <w:szCs w:val="19"/>
                <w:color w:val="auto"/>
              </w:rPr>
            </w:pPr>
          </w:p>
        </w:tc>
        <w:tc>
          <w:tcPr>
            <w:tcW w:w="760" w:type="dxa"/>
            <w:vAlign w:val="bottom"/>
            <w:tcBorders>
              <w:bottom w:val="single" w:sz="8" w:color="4C4C4C"/>
            </w:tcBorders>
            <w:vMerge w:val="continue"/>
          </w:tcPr>
          <w:p>
            <w:pPr>
              <w:spacing w:after="0"/>
              <w:rPr>
                <w:sz w:val="19"/>
                <w:szCs w:val="19"/>
                <w:color w:val="auto"/>
              </w:rPr>
            </w:pPr>
          </w:p>
        </w:tc>
        <w:tc>
          <w:tcPr>
            <w:tcW w:w="760" w:type="dxa"/>
            <w:vAlign w:val="bottom"/>
            <w:tcBorders>
              <w:bottom w:val="single" w:sz="8" w:color="4C4C4C"/>
            </w:tcBorders>
            <w:vMerge w:val="continue"/>
          </w:tcPr>
          <w:p>
            <w:pPr>
              <w:spacing w:after="0"/>
              <w:rPr>
                <w:sz w:val="19"/>
                <w:szCs w:val="19"/>
                <w:color w:val="auto"/>
              </w:rPr>
            </w:pPr>
          </w:p>
        </w:tc>
        <w:tc>
          <w:tcPr>
            <w:tcW w:w="760" w:type="dxa"/>
            <w:vAlign w:val="bottom"/>
            <w:tcBorders>
              <w:bottom w:val="single" w:sz="8" w:color="4C4C4C"/>
            </w:tcBorders>
            <w:vMerge w:val="continue"/>
          </w:tcPr>
          <w:p>
            <w:pPr>
              <w:spacing w:after="0"/>
              <w:rPr>
                <w:sz w:val="19"/>
                <w:szCs w:val="19"/>
                <w:color w:val="auto"/>
              </w:rPr>
            </w:pPr>
          </w:p>
        </w:tc>
        <w:tc>
          <w:tcPr>
            <w:tcW w:w="780" w:type="dxa"/>
            <w:vAlign w:val="bottom"/>
            <w:tcBorders>
              <w:bottom w:val="single" w:sz="8" w:color="4C4C4C"/>
            </w:tcBorders>
            <w:vMerge w:val="continue"/>
          </w:tcPr>
          <w:p>
            <w:pPr>
              <w:spacing w:after="0"/>
              <w:rPr>
                <w:sz w:val="19"/>
                <w:szCs w:val="19"/>
                <w:color w:val="auto"/>
              </w:rPr>
            </w:pPr>
          </w:p>
        </w:tc>
        <w:tc>
          <w:tcPr>
            <w:tcW w:w="700" w:type="dxa"/>
            <w:vAlign w:val="bottom"/>
            <w:tcBorders>
              <w:bottom w:val="single" w:sz="8" w:color="4C4C4C"/>
            </w:tcBorders>
            <w:vMerge w:val="continue"/>
          </w:tcPr>
          <w:p>
            <w:pPr>
              <w:spacing w:after="0"/>
              <w:rPr>
                <w:sz w:val="19"/>
                <w:szCs w:val="19"/>
                <w:color w:val="auto"/>
              </w:rPr>
            </w:pPr>
          </w:p>
        </w:tc>
        <w:tc>
          <w:tcPr>
            <w:tcW w:w="1060" w:type="dxa"/>
            <w:vAlign w:val="bottom"/>
            <w:tcBorders>
              <w:bottom w:val="single" w:sz="8" w:color="4C4C4C"/>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2,414</w:t>
            </w:r>
          </w:p>
        </w:tc>
        <w:tc>
          <w:tcPr>
            <w:tcW w:w="780" w:type="dxa"/>
            <w:vAlign w:val="bottom"/>
            <w:tcBorders>
              <w:bottom w:val="single" w:sz="8" w:color="4C4C4C"/>
            </w:tcBorders>
            <w:vMerge w:val="continue"/>
          </w:tcPr>
          <w:p>
            <w:pPr>
              <w:spacing w:after="0"/>
              <w:rPr>
                <w:sz w:val="19"/>
                <w:szCs w:val="19"/>
                <w:color w:val="auto"/>
              </w:rPr>
            </w:pPr>
          </w:p>
        </w:tc>
        <w:tc>
          <w:tcPr>
            <w:tcW w:w="800" w:type="dxa"/>
            <w:vAlign w:val="bottom"/>
            <w:tcBorders>
              <w:bottom w:val="single" w:sz="8" w:color="4C4C4C"/>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0" w:right="120" w:hanging="9"/>
        <w:spacing w:after="0" w:line="229" w:lineRule="auto"/>
        <w:tabs>
          <w:tab w:leader="none" w:pos="218" w:val="left"/>
        </w:tabs>
        <w:numPr>
          <w:ilvl w:val="0"/>
          <w:numId w:val="59"/>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See previous pages for natural gas liquids proved reserves attributable to consolidated subsidiaries and equity companies. For additional information on natural gas liquids proved reserves see "Item 2. Properties" in ExxonMobil’s 2023 Form 10-K.</w:t>
      </w:r>
    </w:p>
    <w:p>
      <w:pPr>
        <w:sectPr>
          <w:pgSz w:w="11880" w:h="15480" w:orient="portrait"/>
          <w:cols w:equalWidth="0" w:num="1">
            <w:col w:w="10480"/>
          </w:cols>
          <w:pgMar w:left="700" w:top="795"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ectPr>
          <w:pgSz w:w="11880" w:h="15480" w:orient="portrait"/>
          <w:cols w:equalWidth="0" w:num="1">
            <w:col w:w="10480"/>
          </w:cols>
          <w:pgMar w:left="700" w:top="795" w:right="700" w:bottom="0" w:gutter="0" w:footer="0" w:header="0"/>
          <w:type w:val="continuous"/>
        </w:sectPr>
      </w:pPr>
    </w:p>
    <w:bookmarkStart w:id="137" w:name="page138"/>
    <w:bookmarkEnd w:id="137"/>
    <w:p>
      <w:pPr>
        <w:ind w:left="40"/>
        <w:spacing w:after="0"/>
        <w:rPr>
          <w:sz w:val="20"/>
          <w:szCs w:val="20"/>
          <w:color w:val="auto"/>
        </w:rPr>
      </w:pPr>
      <w:r>
        <w:rPr>
          <w:rFonts w:ascii="Times New Roman" w:cs="Times New Roman" w:eastAsia="Times New Roman" w:hAnsi="Times New Roman"/>
          <w:sz w:val="18"/>
          <w:szCs w:val="18"/>
          <w:b w:val="1"/>
          <w:bCs w:val="1"/>
          <w:color w:val="4C4C4C"/>
        </w:rPr>
        <w:t>Natural Gas and Oil-Equivalent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2299335</wp:posOffset>
            </wp:positionH>
            <wp:positionV relativeFrom="paragraph">
              <wp:posOffset>12700</wp:posOffset>
            </wp:positionV>
            <wp:extent cx="4422140" cy="669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32">
                      <a:extLst>
                        <a:ext uri="{28A0092B-C50C-407E-A947-70E740481C1C}"/>
                      </a:extLst>
                    </a:blip>
                    <a:srcRect/>
                    <a:stretch>
                      <a:fillRect/>
                    </a:stretch>
                  </pic:blipFill>
                  <pic:spPr bwMode="auto">
                    <a:xfrm>
                      <a:off x="0" y="0"/>
                      <a:ext cx="4422140" cy="6692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shd w:val="clear" w:color="auto" w:fill="4C4C4C"/>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Natural Gas</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Oil-Equivalent</w:t>
            </w:r>
          </w:p>
        </w:tc>
        <w:tc>
          <w:tcPr>
            <w:tcW w:w="0" w:type="dxa"/>
            <w:vAlign w:val="bottom"/>
          </w:tcPr>
          <w:p>
            <w:pPr>
              <w:spacing w:after="0"/>
              <w:rPr>
                <w:sz w:val="1"/>
                <w:szCs w:val="1"/>
                <w:color w:val="auto"/>
              </w:rPr>
            </w:pPr>
          </w:p>
        </w:tc>
      </w:tr>
      <w:tr>
        <w:trPr>
          <w:trHeight w:val="160"/>
        </w:trPr>
        <w:tc>
          <w:tcPr>
            <w:tcW w:w="3640" w:type="dxa"/>
            <w:vAlign w:val="bottom"/>
            <w:shd w:val="clear" w:color="auto" w:fill="4C4C4C"/>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i w:val="1"/>
                <w:iCs w:val="1"/>
                <w:color w:val="FFFFFF"/>
                <w:w w:val="97"/>
              </w:rPr>
              <w:t>(billions of cubic feet)</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FFFFFF"/>
                <w:w w:val="98"/>
              </w:rPr>
              <w:t>Total</w:t>
            </w:r>
          </w:p>
        </w:tc>
        <w:tc>
          <w:tcPr>
            <w:tcW w:w="0" w:type="dxa"/>
            <w:vAlign w:val="bottom"/>
          </w:tcPr>
          <w:p>
            <w:pPr>
              <w:spacing w:after="0"/>
              <w:rPr>
                <w:sz w:val="1"/>
                <w:szCs w:val="1"/>
                <w:color w:val="auto"/>
              </w:rPr>
            </w:pPr>
          </w:p>
        </w:tc>
      </w:tr>
      <w:tr>
        <w:trPr>
          <w:trHeight w:val="273"/>
        </w:trPr>
        <w:tc>
          <w:tcPr>
            <w:tcW w:w="3640" w:type="dxa"/>
            <w:vAlign w:val="bottom"/>
            <w:shd w:val="clear" w:color="auto" w:fill="4C4C4C"/>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9"/>
              </w:rPr>
              <w:t>Canada/</w:t>
            </w: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 xml:space="preserve">All Products </w:t>
            </w:r>
            <w:r>
              <w:rPr>
                <w:rFonts w:ascii="Times New Roman" w:cs="Times New Roman" w:eastAsia="Times New Roman" w:hAnsi="Times New Roman"/>
                <w:sz w:val="20"/>
                <w:szCs w:val="20"/>
                <w:b w:val="1"/>
                <w:bCs w:val="1"/>
                <w:i w:val="1"/>
                <w:iCs w:val="1"/>
                <w:color w:val="FFFFFF"/>
                <w:w w:val="94"/>
                <w:vertAlign w:val="superscript"/>
              </w:rPr>
              <w:t>(1)</w:t>
            </w:r>
          </w:p>
        </w:tc>
        <w:tc>
          <w:tcPr>
            <w:tcW w:w="0" w:type="dxa"/>
            <w:vAlign w:val="bottom"/>
          </w:tcPr>
          <w:p>
            <w:pPr>
              <w:spacing w:after="0"/>
              <w:rPr>
                <w:sz w:val="1"/>
                <w:szCs w:val="1"/>
                <w:color w:val="auto"/>
              </w:rPr>
            </w:pPr>
          </w:p>
        </w:tc>
      </w:tr>
      <w:tr>
        <w:trPr>
          <w:trHeight w:val="159"/>
        </w:trPr>
        <w:tc>
          <w:tcPr>
            <w:tcW w:w="3640" w:type="dxa"/>
            <w:vAlign w:val="bottom"/>
            <w:shd w:val="clear" w:color="auto" w:fill="4C4C4C"/>
          </w:tcPr>
          <w:p>
            <w:pPr>
              <w:spacing w:after="0"/>
              <w:rPr>
                <w:sz w:val="13"/>
                <w:szCs w:val="13"/>
                <w:color w:val="auto"/>
              </w:rPr>
            </w:pPr>
          </w:p>
        </w:tc>
        <w:tc>
          <w:tcPr>
            <w:tcW w:w="760" w:type="dxa"/>
            <w:vAlign w:val="bottom"/>
          </w:tcPr>
          <w:p>
            <w:pPr>
              <w:jc w:val="right"/>
              <w:ind w:right="112"/>
              <w:spacing w:after="0" w:line="159" w:lineRule="exact"/>
              <w:rPr>
                <w:sz w:val="20"/>
                <w:szCs w:val="20"/>
                <w:color w:val="auto"/>
              </w:rPr>
            </w:pPr>
            <w:r>
              <w:rPr>
                <w:rFonts w:ascii="Times New Roman" w:cs="Times New Roman" w:eastAsia="Times New Roman" w:hAnsi="Times New Roman"/>
                <w:sz w:val="16"/>
                <w:szCs w:val="16"/>
                <w:color w:val="FFFFFF"/>
              </w:rPr>
              <w:t>United</w:t>
            </w: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FFFFFF"/>
                <w:w w:val="98"/>
              </w:rPr>
              <w:t>Other</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FFFFFF"/>
              </w:rPr>
              <w:t>Europe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FFFFFF"/>
                <w:w w:val="97"/>
              </w:rPr>
              <w:t>Africa</w:t>
            </w: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color w:val="FFFFFF"/>
              </w:rPr>
              <w:t>Asia</w:t>
            </w:r>
          </w:p>
        </w:tc>
        <w:tc>
          <w:tcPr>
            <w:tcW w:w="860" w:type="dxa"/>
            <w:vAlign w:val="bottom"/>
          </w:tcPr>
          <w:p>
            <w:pPr>
              <w:jc w:val="right"/>
              <w:ind w:right="72"/>
              <w:spacing w:after="0" w:line="159" w:lineRule="exact"/>
              <w:rPr>
                <w:sz w:val="20"/>
                <w:szCs w:val="20"/>
                <w:color w:val="auto"/>
              </w:rPr>
            </w:pPr>
            <w:r>
              <w:rPr>
                <w:rFonts w:ascii="Times New Roman" w:cs="Times New Roman" w:eastAsia="Times New Roman" w:hAnsi="Times New Roman"/>
                <w:sz w:val="16"/>
                <w:szCs w:val="16"/>
                <w:color w:val="FFFFFF"/>
              </w:rPr>
              <w:t>Australia/</w:t>
            </w:r>
          </w:p>
        </w:tc>
        <w:tc>
          <w:tcPr>
            <w:tcW w:w="76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color w:val="FFFFFF"/>
              </w:rPr>
              <w:t>Total</w:t>
            </w:r>
          </w:p>
        </w:tc>
        <w:tc>
          <w:tcPr>
            <w:tcW w:w="14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i w:val="1"/>
                <w:iCs w:val="1"/>
                <w:color w:val="FFFFFF"/>
                <w:w w:val="98"/>
              </w:rPr>
              <w:t>(millions of oil-</w:t>
            </w:r>
          </w:p>
        </w:tc>
        <w:tc>
          <w:tcPr>
            <w:tcW w:w="0" w:type="dxa"/>
            <w:vAlign w:val="bottom"/>
          </w:tcPr>
          <w:p>
            <w:pPr>
              <w:spacing w:after="0"/>
              <w:rPr>
                <w:sz w:val="1"/>
                <w:szCs w:val="1"/>
                <w:color w:val="auto"/>
              </w:rPr>
            </w:pPr>
          </w:p>
        </w:tc>
      </w:tr>
      <w:tr>
        <w:trPr>
          <w:trHeight w:val="220"/>
        </w:trPr>
        <w:tc>
          <w:tcPr>
            <w:tcW w:w="3640" w:type="dxa"/>
            <w:vAlign w:val="bottom"/>
            <w:shd w:val="clear" w:color="auto" w:fill="4C4C4C"/>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6"/>
                <w:szCs w:val="16"/>
                <w:color w:val="FFFFFF"/>
              </w:rPr>
              <w:t>States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6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6"/>
                <w:szCs w:val="16"/>
                <w:color w:val="FFFFFF"/>
              </w:rPr>
              <w:t>Oceania</w:t>
            </w:r>
          </w:p>
        </w:tc>
        <w:tc>
          <w:tcPr>
            <w:tcW w:w="760" w:type="dxa"/>
            <w:vAlign w:val="bottom"/>
            <w:vMerge w:val="continue"/>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FFFFFF"/>
                <w:w w:val="98"/>
              </w:rPr>
              <w:t>equivalent barrels)</w:t>
            </w:r>
          </w:p>
        </w:tc>
        <w:tc>
          <w:tcPr>
            <w:tcW w:w="0" w:type="dxa"/>
            <w:vAlign w:val="bottom"/>
          </w:tcPr>
          <w:p>
            <w:pPr>
              <w:spacing w:after="0"/>
              <w:rPr>
                <w:sz w:val="1"/>
                <w:szCs w:val="1"/>
                <w:color w:val="auto"/>
              </w:rPr>
            </w:pPr>
          </w:p>
        </w:tc>
      </w:tr>
      <w:tr>
        <w:trPr>
          <w:trHeight w:val="27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Net proved developed and undeveloped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reserves of consolidated subsidiaries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2021</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13,439</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561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4,309</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6,134</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25,204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1,432</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712</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Improved recovery</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Extensions/discoveries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1,381</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1,544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Production</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0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(2,208)</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14,988</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919</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9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317</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3,693</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6,363</w:t>
            </w:r>
          </w:p>
        </w:tc>
        <w:tc>
          <w:tcPr>
            <w:tcW w:w="7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26,663</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15,436</w:t>
            </w:r>
          </w:p>
        </w:tc>
        <w:tc>
          <w:tcPr>
            <w:tcW w:w="0" w:type="dxa"/>
            <w:vAlign w:val="bottom"/>
          </w:tcPr>
          <w:p>
            <w:pPr>
              <w:spacing w:after="0"/>
              <w:rPr>
                <w:sz w:val="1"/>
                <w:szCs w:val="1"/>
                <w:color w:val="auto"/>
              </w:rPr>
            </w:pPr>
          </w:p>
        </w:tc>
      </w:tr>
      <w:tr>
        <w:trPr>
          <w:trHeight w:val="223"/>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Attributable to noncontrolling interests</w:t>
            </w:r>
          </w:p>
        </w:tc>
        <w:tc>
          <w:tcPr>
            <w:tcW w:w="7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6"/>
                <w:szCs w:val="16"/>
                <w:i w:val="1"/>
                <w:iCs w:val="1"/>
                <w:color w:val="auto"/>
              </w:rPr>
              <w:t>124</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Proportional interest in proved reserves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of equity companies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2021</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917</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11,377</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12,756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Improved recovery</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Extensions/discoveries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Production</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9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(1,152)</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140</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9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806</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10,158</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11,512</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3,100</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proved reserves at December 31, 2021</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15,128</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919</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9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1,123</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13,851</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6,363</w:t>
            </w:r>
          </w:p>
        </w:tc>
        <w:tc>
          <w:tcPr>
            <w:tcW w:w="7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38,175</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18,536</w:t>
            </w:r>
          </w:p>
        </w:tc>
        <w:tc>
          <w:tcPr>
            <w:tcW w:w="0" w:type="dxa"/>
            <w:vAlign w:val="bottom"/>
          </w:tcPr>
          <w:p>
            <w:pPr>
              <w:spacing w:after="0"/>
              <w:rPr>
                <w:sz w:val="1"/>
                <w:szCs w:val="1"/>
                <w:color w:val="auto"/>
              </w:rPr>
            </w:pPr>
          </w:p>
        </w:tc>
      </w:tr>
      <w:tr>
        <w:trPr>
          <w:trHeight w:val="456"/>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Net proved developed and undeveloped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reserves of consolidated subsidiaries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2022</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14,988</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317</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3,693</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6,363</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26,663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69"/>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Revisions </w:t>
            </w:r>
            <w:r>
              <w:rPr>
                <w:rFonts w:ascii="Times New Roman" w:cs="Times New Roman" w:eastAsia="Times New Roman" w:hAnsi="Times New Roman"/>
                <w:sz w:val="20"/>
                <w:szCs w:val="20"/>
                <w:i w:val="1"/>
                <w:iCs w:val="1"/>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31"/>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Improved recovery</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Extensions/discoveries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2,232</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2,407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Production</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40" w:type="dxa"/>
            <w:vAlign w:val="bottom"/>
            <w:tcBorders>
              <w:bottom w:val="single" w:sz="8" w:color="4C4C4C"/>
            </w:tcBorders>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(2,151)</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13,645</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708</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9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312</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3,061</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6,008</w:t>
            </w:r>
          </w:p>
        </w:tc>
        <w:tc>
          <w:tcPr>
            <w:tcW w:w="7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24,147</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14,258</w:t>
            </w:r>
          </w:p>
        </w:tc>
        <w:tc>
          <w:tcPr>
            <w:tcW w:w="0" w:type="dxa"/>
            <w:vAlign w:val="bottom"/>
          </w:tcPr>
          <w:p>
            <w:pPr>
              <w:spacing w:after="0"/>
              <w:rPr>
                <w:sz w:val="1"/>
                <w:szCs w:val="1"/>
                <w:color w:val="auto"/>
              </w:rPr>
            </w:pPr>
          </w:p>
        </w:tc>
      </w:tr>
      <w:tr>
        <w:trPr>
          <w:trHeight w:val="208"/>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Attributable to noncontrolling interests</w:t>
            </w:r>
          </w:p>
        </w:tc>
        <w:tc>
          <w:tcPr>
            <w:tcW w:w="76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6"/>
                <w:szCs w:val="16"/>
                <w:i w:val="1"/>
                <w:iCs w:val="1"/>
                <w:color w:val="auto"/>
              </w:rPr>
              <w:t>77</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Proportional interest in proved reserves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of equity companies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2022</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806</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10,158</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11,512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Improved recovery</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3,101</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3,101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Extensions/discoveries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Production</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(1,132)</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127</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9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663</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12,309</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13,479</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3,484</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proved reserves at December 31, 2022</w:t>
            </w:r>
          </w:p>
        </w:tc>
        <w:tc>
          <w:tcPr>
            <w:tcW w:w="76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13,772</w:t>
            </w:r>
          </w:p>
        </w:tc>
        <w:tc>
          <w:tcPr>
            <w:tcW w:w="840" w:type="dxa"/>
            <w:vAlign w:val="bottom"/>
            <w:tcBorders>
              <w:bottom w:val="single" w:sz="8" w:color="4C4C4C"/>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708</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900" w:type="dxa"/>
            <w:vAlign w:val="bottom"/>
            <w:tcBorders>
              <w:bottom w:val="single" w:sz="8" w:color="4C4C4C"/>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975</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15,370</w:t>
            </w:r>
          </w:p>
        </w:tc>
        <w:tc>
          <w:tcPr>
            <w:tcW w:w="8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6,008</w:t>
            </w:r>
          </w:p>
        </w:tc>
        <w:tc>
          <w:tcPr>
            <w:tcW w:w="760" w:type="dxa"/>
            <w:vAlign w:val="bottom"/>
            <w:tcBorders>
              <w:bottom w:val="single" w:sz="8" w:color="4C4C4C"/>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37,626</w:t>
            </w:r>
          </w:p>
        </w:tc>
        <w:tc>
          <w:tcPr>
            <w:tcW w:w="14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0" w:hanging="153"/>
        <w:spacing w:after="0"/>
        <w:tabs>
          <w:tab w:leader="none" w:pos="200" w:val="left"/>
        </w:tabs>
        <w:numPr>
          <w:ilvl w:val="0"/>
          <w:numId w:val="6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Natural gas is converted to an oil-equivalent basis at six billion cubic feet per one million barrels.</w:t>
      </w:r>
    </w:p>
    <w:p>
      <w:pPr>
        <w:ind w:left="200" w:hanging="153"/>
        <w:spacing w:after="0" w:line="206" w:lineRule="auto"/>
        <w:tabs>
          <w:tab w:leader="none" w:pos="200" w:val="left"/>
        </w:tabs>
        <w:numPr>
          <w:ilvl w:val="0"/>
          <w:numId w:val="6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Includes (199) billion cubic feet of natural gas and (152) million total oil-equivalent barrels in Russia which were expropriated. See Note 2: Russia.</w:t>
      </w:r>
    </w:p>
    <w:p>
      <w:pPr>
        <w:sectPr>
          <w:pgSz w:w="11880" w:h="15480" w:orient="portrait"/>
          <w:cols w:equalWidth="0" w:num="1">
            <w:col w:w="10560"/>
          </w:cols>
          <w:pgMar w:left="660" w:top="82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ectPr>
          <w:pgSz w:w="11880" w:h="15480" w:orient="portrait"/>
          <w:cols w:equalWidth="0" w:num="1">
            <w:col w:w="10560"/>
          </w:cols>
          <w:pgMar w:left="660" w:top="825" w:right="660" w:bottom="0" w:gutter="0" w:footer="0" w:header="0"/>
          <w:type w:val="continuous"/>
        </w:sectPr>
      </w:pPr>
    </w:p>
    <w:bookmarkStart w:id="138" w:name="page139"/>
    <w:bookmarkEnd w:id="138"/>
    <w:p>
      <w:pPr>
        <w:ind w:left="40"/>
        <w:spacing w:after="0"/>
        <w:rPr>
          <w:sz w:val="20"/>
          <w:szCs w:val="20"/>
          <w:color w:val="auto"/>
        </w:rPr>
      </w:pPr>
      <w:r>
        <w:rPr>
          <w:rFonts w:ascii="Times New Roman" w:cs="Times New Roman" w:eastAsia="Times New Roman" w:hAnsi="Times New Roman"/>
          <w:sz w:val="18"/>
          <w:szCs w:val="18"/>
          <w:b w:val="1"/>
          <w:bCs w:val="1"/>
          <w:color w:val="4C4C4C"/>
        </w:rPr>
        <w:t>Natural Gas and Oil-Equivalent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2299335</wp:posOffset>
            </wp:positionH>
            <wp:positionV relativeFrom="paragraph">
              <wp:posOffset>12700</wp:posOffset>
            </wp:positionV>
            <wp:extent cx="4422140" cy="669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33">
                      <a:extLst>
                        <a:ext uri="{28A0092B-C50C-407E-A947-70E740481C1C}"/>
                      </a:extLst>
                    </a:blip>
                    <a:srcRect/>
                    <a:stretch>
                      <a:fillRect/>
                    </a:stretch>
                  </pic:blipFill>
                  <pic:spPr bwMode="auto">
                    <a:xfrm>
                      <a:off x="0" y="0"/>
                      <a:ext cx="4422140" cy="6692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shd w:val="clear" w:color="auto" w:fill="4C4C4C"/>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FFFFFF"/>
                <w:w w:val="97"/>
              </w:rPr>
              <w:t>Natural Gas</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Oil-Equivalent</w:t>
            </w:r>
          </w:p>
        </w:tc>
        <w:tc>
          <w:tcPr>
            <w:tcW w:w="0" w:type="dxa"/>
            <w:vAlign w:val="bottom"/>
          </w:tcPr>
          <w:p>
            <w:pPr>
              <w:spacing w:after="0"/>
              <w:rPr>
                <w:sz w:val="1"/>
                <w:szCs w:val="1"/>
                <w:color w:val="auto"/>
              </w:rPr>
            </w:pPr>
          </w:p>
        </w:tc>
      </w:tr>
      <w:tr>
        <w:trPr>
          <w:trHeight w:val="160"/>
        </w:trPr>
        <w:tc>
          <w:tcPr>
            <w:tcW w:w="3640" w:type="dxa"/>
            <w:vAlign w:val="bottom"/>
            <w:shd w:val="clear" w:color="auto" w:fill="4C4C4C"/>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6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i w:val="1"/>
                <w:iCs w:val="1"/>
                <w:color w:val="FFFFFF"/>
                <w:w w:val="97"/>
              </w:rPr>
              <w:t>(billions of cubic feet)</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FFFFFF"/>
                <w:w w:val="98"/>
              </w:rPr>
              <w:t>Total</w:t>
            </w:r>
          </w:p>
        </w:tc>
        <w:tc>
          <w:tcPr>
            <w:tcW w:w="0" w:type="dxa"/>
            <w:vAlign w:val="bottom"/>
          </w:tcPr>
          <w:p>
            <w:pPr>
              <w:spacing w:after="0"/>
              <w:rPr>
                <w:sz w:val="1"/>
                <w:szCs w:val="1"/>
                <w:color w:val="auto"/>
              </w:rPr>
            </w:pPr>
          </w:p>
        </w:tc>
      </w:tr>
      <w:tr>
        <w:trPr>
          <w:trHeight w:val="108"/>
        </w:trPr>
        <w:tc>
          <w:tcPr>
            <w:tcW w:w="3640" w:type="dxa"/>
            <w:vAlign w:val="bottom"/>
            <w:shd w:val="clear" w:color="auto" w:fill="4C4C4C"/>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FFFFFF"/>
                <w:w w:val="99"/>
              </w:rPr>
              <w:t>Canada/</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 xml:space="preserve">All Products </w:t>
            </w:r>
            <w:r>
              <w:rPr>
                <w:rFonts w:ascii="Times New Roman" w:cs="Times New Roman" w:eastAsia="Times New Roman" w:hAnsi="Times New Roman"/>
                <w:sz w:val="20"/>
                <w:szCs w:val="20"/>
                <w:b w:val="1"/>
                <w:bCs w:val="1"/>
                <w:i w:val="1"/>
                <w:iCs w:val="1"/>
                <w:color w:val="FFFFFF"/>
                <w:w w:val="94"/>
                <w:vertAlign w:val="superscript"/>
              </w:rPr>
              <w:t>(1)</w:t>
            </w:r>
          </w:p>
        </w:tc>
        <w:tc>
          <w:tcPr>
            <w:tcW w:w="0" w:type="dxa"/>
            <w:vAlign w:val="bottom"/>
          </w:tcPr>
          <w:p>
            <w:pPr>
              <w:spacing w:after="0"/>
              <w:rPr>
                <w:sz w:val="1"/>
                <w:szCs w:val="1"/>
                <w:color w:val="auto"/>
              </w:rPr>
            </w:pPr>
          </w:p>
        </w:tc>
      </w:tr>
      <w:tr>
        <w:trPr>
          <w:trHeight w:val="165"/>
        </w:trPr>
        <w:tc>
          <w:tcPr>
            <w:tcW w:w="3640" w:type="dxa"/>
            <w:vAlign w:val="bottom"/>
            <w:shd w:val="clear" w:color="auto" w:fill="4C4C4C"/>
          </w:tcPr>
          <w:p>
            <w:pPr>
              <w:spacing w:after="0"/>
              <w:rPr>
                <w:sz w:val="14"/>
                <w:szCs w:val="14"/>
                <w:color w:val="auto"/>
              </w:rPr>
            </w:pPr>
          </w:p>
        </w:tc>
        <w:tc>
          <w:tcPr>
            <w:tcW w:w="760" w:type="dxa"/>
            <w:vAlign w:val="bottom"/>
            <w:tcBorders>
              <w:right w:val="single" w:sz="8" w:color="4C4C4C"/>
            </w:tcBorders>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shd w:val="clear" w:color="auto" w:fill="4C4C4C"/>
          </w:tcPr>
          <w:p>
            <w:pPr>
              <w:spacing w:after="0"/>
              <w:rPr>
                <w:sz w:val="14"/>
                <w:szCs w:val="14"/>
                <w:color w:val="auto"/>
              </w:rPr>
            </w:pPr>
          </w:p>
        </w:tc>
        <w:tc>
          <w:tcPr>
            <w:tcW w:w="680" w:type="dxa"/>
            <w:vAlign w:val="bottom"/>
            <w:shd w:val="clear" w:color="auto" w:fill="4C4C4C"/>
          </w:tcPr>
          <w:p>
            <w:pPr>
              <w:spacing w:after="0"/>
              <w:rPr>
                <w:sz w:val="14"/>
                <w:szCs w:val="14"/>
                <w:color w:val="auto"/>
              </w:rPr>
            </w:pPr>
          </w:p>
        </w:tc>
        <w:tc>
          <w:tcPr>
            <w:tcW w:w="820" w:type="dxa"/>
            <w:vAlign w:val="bottom"/>
            <w:tcBorders>
              <w:right w:val="single" w:sz="8" w:color="4C4C4C"/>
            </w:tcBorders>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4C4C4C"/>
          </w:tcPr>
          <w:p>
            <w:pPr>
              <w:spacing w:after="0"/>
              <w:rPr>
                <w:sz w:val="13"/>
                <w:szCs w:val="13"/>
                <w:color w:val="auto"/>
              </w:rPr>
            </w:pPr>
          </w:p>
        </w:tc>
        <w:tc>
          <w:tcPr>
            <w:tcW w:w="760" w:type="dxa"/>
            <w:vAlign w:val="bottom"/>
            <w:tcBorders>
              <w:right w:val="single" w:sz="8" w:color="4C4C4C"/>
            </w:tcBorders>
          </w:tcPr>
          <w:p>
            <w:pPr>
              <w:jc w:val="right"/>
              <w:ind w:right="113"/>
              <w:spacing w:after="0" w:line="159" w:lineRule="exact"/>
              <w:rPr>
                <w:sz w:val="20"/>
                <w:szCs w:val="20"/>
                <w:color w:val="auto"/>
              </w:rPr>
            </w:pPr>
            <w:r>
              <w:rPr>
                <w:rFonts w:ascii="Times New Roman" w:cs="Times New Roman" w:eastAsia="Times New Roman" w:hAnsi="Times New Roman"/>
                <w:sz w:val="16"/>
                <w:szCs w:val="16"/>
                <w:color w:val="FFFFFF"/>
              </w:rPr>
              <w:t>United</w:t>
            </w: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FFFFFF"/>
                <w:w w:val="98"/>
              </w:rPr>
              <w:t>Other</w:t>
            </w: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FFFFFF"/>
              </w:rPr>
              <w:t>Europe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FFFFFF"/>
                <w:w w:val="97"/>
              </w:rPr>
              <w:t>Africa</w:t>
            </w:r>
          </w:p>
        </w:tc>
        <w:tc>
          <w:tcPr>
            <w:tcW w:w="80" w:type="dxa"/>
            <w:vAlign w:val="bottom"/>
            <w:shd w:val="clear" w:color="auto" w:fill="4C4C4C"/>
          </w:tcPr>
          <w:p>
            <w:pPr>
              <w:spacing w:after="0"/>
              <w:rPr>
                <w:sz w:val="13"/>
                <w:szCs w:val="13"/>
                <w:color w:val="auto"/>
              </w:rPr>
            </w:pPr>
          </w:p>
        </w:tc>
        <w:tc>
          <w:tcPr>
            <w:tcW w:w="680" w:type="dxa"/>
            <w:vAlign w:val="bottom"/>
            <w:vMerge w:val="restart"/>
            <w:shd w:val="clear" w:color="auto" w:fill="4C4C4C"/>
          </w:tcPr>
          <w:p>
            <w:pPr>
              <w:jc w:val="right"/>
              <w:ind w:right="172"/>
              <w:spacing w:after="0"/>
              <w:rPr>
                <w:sz w:val="20"/>
                <w:szCs w:val="20"/>
                <w:color w:val="auto"/>
              </w:rPr>
            </w:pPr>
            <w:r>
              <w:rPr>
                <w:rFonts w:ascii="Times New Roman" w:cs="Times New Roman" w:eastAsia="Times New Roman" w:hAnsi="Times New Roman"/>
                <w:sz w:val="16"/>
                <w:szCs w:val="16"/>
                <w:color w:val="FFFFFF"/>
              </w:rPr>
              <w:t>Asia</w:t>
            </w:r>
          </w:p>
        </w:tc>
        <w:tc>
          <w:tcPr>
            <w:tcW w:w="820" w:type="dxa"/>
            <w:vAlign w:val="bottom"/>
            <w:tcBorders>
              <w:right w:val="single" w:sz="8" w:color="4C4C4C"/>
            </w:tcBorders>
          </w:tcPr>
          <w:p>
            <w:pPr>
              <w:jc w:val="right"/>
              <w:ind w:right="33"/>
              <w:spacing w:after="0" w:line="159" w:lineRule="exact"/>
              <w:rPr>
                <w:sz w:val="20"/>
                <w:szCs w:val="20"/>
                <w:color w:val="auto"/>
              </w:rPr>
            </w:pPr>
            <w:r>
              <w:rPr>
                <w:rFonts w:ascii="Times New Roman" w:cs="Times New Roman" w:eastAsia="Times New Roman" w:hAnsi="Times New Roman"/>
                <w:sz w:val="16"/>
                <w:szCs w:val="16"/>
                <w:color w:val="FFFFFF"/>
              </w:rPr>
              <w:t>Australia/</w:t>
            </w: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color w:val="FFFFFF"/>
              </w:rPr>
              <w:t>Total</w:t>
            </w:r>
          </w:p>
        </w:tc>
        <w:tc>
          <w:tcPr>
            <w:tcW w:w="14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i w:val="1"/>
                <w:iCs w:val="1"/>
                <w:color w:val="FFFFFF"/>
                <w:w w:val="98"/>
              </w:rPr>
              <w:t>(millions of oil-</w:t>
            </w:r>
          </w:p>
        </w:tc>
        <w:tc>
          <w:tcPr>
            <w:tcW w:w="0" w:type="dxa"/>
            <w:vAlign w:val="bottom"/>
          </w:tcPr>
          <w:p>
            <w:pPr>
              <w:spacing w:after="0"/>
              <w:rPr>
                <w:sz w:val="1"/>
                <w:szCs w:val="1"/>
                <w:color w:val="auto"/>
              </w:rPr>
            </w:pPr>
          </w:p>
        </w:tc>
      </w:tr>
      <w:tr>
        <w:trPr>
          <w:trHeight w:val="220"/>
        </w:trPr>
        <w:tc>
          <w:tcPr>
            <w:tcW w:w="3640" w:type="dxa"/>
            <w:vAlign w:val="bottom"/>
            <w:shd w:val="clear" w:color="auto" w:fill="4C4C4C"/>
          </w:tcPr>
          <w:p>
            <w:pPr>
              <w:spacing w:after="0"/>
              <w:rPr>
                <w:sz w:val="19"/>
                <w:szCs w:val="19"/>
                <w:color w:val="auto"/>
              </w:rPr>
            </w:pPr>
          </w:p>
        </w:tc>
        <w:tc>
          <w:tcPr>
            <w:tcW w:w="760" w:type="dxa"/>
            <w:vAlign w:val="bottom"/>
            <w:tcBorders>
              <w:right w:val="single" w:sz="8" w:color="4C4C4C"/>
            </w:tcBorders>
          </w:tcPr>
          <w:p>
            <w:pPr>
              <w:jc w:val="right"/>
              <w:ind w:right="133"/>
              <w:spacing w:after="0"/>
              <w:rPr>
                <w:sz w:val="20"/>
                <w:szCs w:val="20"/>
                <w:color w:val="auto"/>
              </w:rPr>
            </w:pPr>
            <w:r>
              <w:rPr>
                <w:rFonts w:ascii="Times New Roman" w:cs="Times New Roman" w:eastAsia="Times New Roman" w:hAnsi="Times New Roman"/>
                <w:sz w:val="16"/>
                <w:szCs w:val="16"/>
                <w:color w:val="FFFFFF"/>
              </w:rPr>
              <w:t>States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6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shd w:val="clear" w:color="auto" w:fill="4C4C4C"/>
          </w:tcPr>
          <w:p>
            <w:pPr>
              <w:spacing w:after="0"/>
              <w:rPr>
                <w:sz w:val="19"/>
                <w:szCs w:val="19"/>
                <w:color w:val="auto"/>
              </w:rPr>
            </w:pPr>
          </w:p>
        </w:tc>
        <w:tc>
          <w:tcPr>
            <w:tcW w:w="680" w:type="dxa"/>
            <w:vAlign w:val="bottom"/>
            <w:vMerge w:val="continue"/>
            <w:shd w:val="clear" w:color="auto" w:fill="4C4C4C"/>
          </w:tcPr>
          <w:p>
            <w:pPr>
              <w:spacing w:after="0"/>
              <w:rPr>
                <w:sz w:val="19"/>
                <w:szCs w:val="19"/>
                <w:color w:val="auto"/>
              </w:rPr>
            </w:pPr>
          </w:p>
        </w:tc>
        <w:tc>
          <w:tcPr>
            <w:tcW w:w="820" w:type="dxa"/>
            <w:vAlign w:val="bottom"/>
            <w:tcBorders>
              <w:right w:val="single" w:sz="8" w:color="4C4C4C"/>
            </w:tcBorders>
          </w:tcPr>
          <w:p>
            <w:pPr>
              <w:jc w:val="right"/>
              <w:ind w:right="93"/>
              <w:spacing w:after="0"/>
              <w:rPr>
                <w:sz w:val="20"/>
                <w:szCs w:val="20"/>
                <w:color w:val="auto"/>
              </w:rPr>
            </w:pPr>
            <w:r>
              <w:rPr>
                <w:rFonts w:ascii="Times New Roman" w:cs="Times New Roman" w:eastAsia="Times New Roman" w:hAnsi="Times New Roman"/>
                <w:sz w:val="16"/>
                <w:szCs w:val="16"/>
                <w:color w:val="FFFFFF"/>
              </w:rPr>
              <w:t>Oceania</w:t>
            </w:r>
          </w:p>
        </w:tc>
        <w:tc>
          <w:tcPr>
            <w:tcW w:w="82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FFFFFF"/>
                <w:w w:val="98"/>
              </w:rPr>
              <w:t>equivalent barrels)</w:t>
            </w:r>
          </w:p>
        </w:tc>
        <w:tc>
          <w:tcPr>
            <w:tcW w:w="0" w:type="dxa"/>
            <w:vAlign w:val="bottom"/>
          </w:tcPr>
          <w:p>
            <w:pPr>
              <w:spacing w:after="0"/>
              <w:rPr>
                <w:sz w:val="1"/>
                <w:szCs w:val="1"/>
                <w:color w:val="auto"/>
              </w:rPr>
            </w:pPr>
          </w:p>
        </w:tc>
      </w:tr>
      <w:tr>
        <w:trPr>
          <w:trHeight w:val="27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Net proved developed and undeveloped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reserves of consolidated subsidiaries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2023</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13,645</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708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3,061</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6,008</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24,147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339</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Improved recovery</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Extensions/discoveries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1,930</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1,997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Production</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40" w:type="dxa"/>
            <w:vAlign w:val="bottom"/>
            <w:tcBorders>
              <w:bottom w:val="single" w:sz="8" w:color="4C4C4C"/>
            </w:tcBorders>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4C4C4C"/>
            </w:tcBorders>
          </w:tcPr>
          <w:p>
            <w:pPr>
              <w:spacing w:after="0"/>
              <w:rPr>
                <w:sz w:val="22"/>
                <w:szCs w:val="22"/>
                <w:color w:val="auto"/>
              </w:rPr>
            </w:pP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2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12,263</w:t>
            </w:r>
          </w:p>
        </w:tc>
        <w:tc>
          <w:tcPr>
            <w:tcW w:w="840" w:type="dxa"/>
            <w:vAlign w:val="bottom"/>
            <w:tcBorders>
              <w:bottom w:val="single" w:sz="8" w:color="4C4C4C"/>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520</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82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220</w:t>
            </w:r>
          </w:p>
        </w:tc>
        <w:tc>
          <w:tcPr>
            <w:tcW w:w="80" w:type="dxa"/>
            <w:vAlign w:val="bottom"/>
            <w:tcBorders>
              <w:bottom w:val="single" w:sz="8" w:color="4C4C4C"/>
            </w:tcBorders>
          </w:tcPr>
          <w:p>
            <w:pPr>
              <w:spacing w:after="0"/>
              <w:rPr>
                <w:sz w:val="20"/>
                <w:szCs w:val="20"/>
                <w:color w:val="auto"/>
              </w:rPr>
            </w:pP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2,794</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5,858</w:t>
            </w:r>
          </w:p>
        </w:tc>
        <w:tc>
          <w:tcPr>
            <w:tcW w:w="82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21,962</w:t>
            </w:r>
          </w:p>
        </w:tc>
        <w:tc>
          <w:tcPr>
            <w:tcW w:w="14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13,716</w:t>
            </w:r>
          </w:p>
        </w:tc>
        <w:tc>
          <w:tcPr>
            <w:tcW w:w="0" w:type="dxa"/>
            <w:vAlign w:val="bottom"/>
          </w:tcPr>
          <w:p>
            <w:pPr>
              <w:spacing w:after="0"/>
              <w:rPr>
                <w:sz w:val="1"/>
                <w:szCs w:val="1"/>
                <w:color w:val="auto"/>
              </w:rPr>
            </w:pPr>
          </w:p>
        </w:tc>
      </w:tr>
      <w:tr>
        <w:trPr>
          <w:trHeight w:val="208"/>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Attributable to noncontrolling interests</w:t>
            </w:r>
          </w:p>
        </w:tc>
        <w:tc>
          <w:tcPr>
            <w:tcW w:w="76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6"/>
                <w:szCs w:val="16"/>
                <w:i w:val="1"/>
                <w:iCs w:val="1"/>
                <w:color w:val="auto"/>
              </w:rPr>
              <w:t>26</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Proportional interest in proved reserves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of equity companies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2023</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12,309</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13,479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Improved recovery</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Extensions/discoveries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40"/>
              <w:spacing w:after="0"/>
              <w:rPr>
                <w:sz w:val="20"/>
                <w:szCs w:val="20"/>
                <w:color w:val="auto"/>
              </w:rPr>
            </w:pPr>
            <w:r>
              <w:rPr>
                <w:rFonts w:ascii="Times New Roman" w:cs="Times New Roman" w:eastAsia="Times New Roman" w:hAnsi="Times New Roman"/>
                <w:sz w:val="18"/>
                <w:szCs w:val="18"/>
                <w:color w:val="auto"/>
              </w:rPr>
              <w:t>Production</w:t>
            </w:r>
          </w:p>
        </w:tc>
        <w:tc>
          <w:tcPr>
            <w:tcW w:w="7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Borders>
              <w:bottom w:val="single" w:sz="8" w:color="4C4C4C"/>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4C4C4C"/>
            </w:tcBorders>
          </w:tcPr>
          <w:p>
            <w:pPr>
              <w:spacing w:after="0"/>
              <w:rPr>
                <w:sz w:val="22"/>
                <w:szCs w:val="22"/>
                <w:color w:val="auto"/>
              </w:rPr>
            </w:pP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4C4C4C"/>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(1,058)</w:t>
            </w:r>
          </w:p>
        </w:tc>
        <w:tc>
          <w:tcPr>
            <w:tcW w:w="14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57</w:t>
            </w:r>
          </w:p>
        </w:tc>
        <w:tc>
          <w:tcPr>
            <w:tcW w:w="840" w:type="dxa"/>
            <w:vAlign w:val="bottom"/>
            <w:tcBorders>
              <w:bottom w:val="single" w:sz="8" w:color="4C4C4C"/>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2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780</w:t>
            </w:r>
          </w:p>
        </w:tc>
        <w:tc>
          <w:tcPr>
            <w:tcW w:w="80" w:type="dxa"/>
            <w:vAlign w:val="bottom"/>
            <w:tcBorders>
              <w:bottom w:val="single" w:sz="8" w:color="4C4C4C"/>
            </w:tcBorders>
          </w:tcPr>
          <w:p>
            <w:pPr>
              <w:spacing w:after="0"/>
              <w:rPr>
                <w:sz w:val="20"/>
                <w:szCs w:val="20"/>
                <w:color w:val="auto"/>
              </w:rPr>
            </w:pP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11,321</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12,502</w:t>
            </w:r>
          </w:p>
        </w:tc>
        <w:tc>
          <w:tcPr>
            <w:tcW w:w="14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3,212</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proved reserves at December 31, 2023</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12,320</w:t>
            </w:r>
          </w:p>
        </w:tc>
        <w:tc>
          <w:tcPr>
            <w:tcW w:w="840" w:type="dxa"/>
            <w:vAlign w:val="bottom"/>
            <w:tcBorders>
              <w:bottom w:val="single" w:sz="8" w:color="4C4C4C"/>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520</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82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bottom w:val="single" w:sz="8" w:color="4C4C4C"/>
            </w:tcBorders>
          </w:tcPr>
          <w:p>
            <w:pPr>
              <w:spacing w:after="0"/>
              <w:rPr>
                <w:sz w:val="20"/>
                <w:szCs w:val="20"/>
                <w:color w:val="auto"/>
              </w:rPr>
            </w:pP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14,115</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5,858</w:t>
            </w:r>
          </w:p>
        </w:tc>
        <w:tc>
          <w:tcPr>
            <w:tcW w:w="820" w:type="dxa"/>
            <w:vAlign w:val="bottom"/>
            <w:tcBorders>
              <w:bottom w:val="single" w:sz="8" w:color="4C4C4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34,464</w:t>
            </w:r>
          </w:p>
        </w:tc>
        <w:tc>
          <w:tcPr>
            <w:tcW w:w="142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16,928</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0" w:hanging="153"/>
        <w:spacing w:after="0"/>
        <w:tabs>
          <w:tab w:leader="none" w:pos="200" w:val="left"/>
        </w:tabs>
        <w:numPr>
          <w:ilvl w:val="0"/>
          <w:numId w:val="6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Natural gas is converted to an oil-equivalent basis at six billion cubic feet per one million barrels.</w:t>
      </w:r>
    </w:p>
    <w:p>
      <w:pPr>
        <w:sectPr>
          <w:pgSz w:w="11880" w:h="15480" w:orient="portrait"/>
          <w:cols w:equalWidth="0" w:num="1">
            <w:col w:w="10560"/>
          </w:cols>
          <w:pgMar w:left="660" w:top="79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ectPr>
          <w:pgSz w:w="11880" w:h="15480" w:orient="portrait"/>
          <w:cols w:equalWidth="0" w:num="1">
            <w:col w:w="10560"/>
          </w:cols>
          <w:pgMar w:left="660" w:top="795" w:right="660" w:bottom="0" w:gutter="0" w:footer="0" w:header="0"/>
          <w:type w:val="continuous"/>
        </w:sectPr>
      </w:pPr>
    </w:p>
    <w:bookmarkStart w:id="139" w:name="page140"/>
    <w:bookmarkEnd w:id="139"/>
    <w:p>
      <w:pPr>
        <w:ind w:left="40"/>
        <w:spacing w:after="0"/>
        <w:rPr>
          <w:sz w:val="20"/>
          <w:szCs w:val="20"/>
          <w:color w:val="auto"/>
        </w:rPr>
      </w:pPr>
      <w:r>
        <w:rPr>
          <w:rFonts w:ascii="Times New Roman" w:cs="Times New Roman" w:eastAsia="Times New Roman" w:hAnsi="Times New Roman"/>
          <w:sz w:val="18"/>
          <w:szCs w:val="18"/>
          <w:b w:val="1"/>
          <w:bCs w:val="1"/>
          <w:color w:val="4C4C4C"/>
        </w:rPr>
        <w:t>Natural Gas and Oil-Equivalent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2299335</wp:posOffset>
            </wp:positionH>
            <wp:positionV relativeFrom="paragraph">
              <wp:posOffset>12700</wp:posOffset>
            </wp:positionV>
            <wp:extent cx="4422140" cy="669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34">
                      <a:extLst>
                        <a:ext uri="{28A0092B-C50C-407E-A947-70E740481C1C}"/>
                      </a:extLst>
                    </a:blip>
                    <a:srcRect/>
                    <a:stretch>
                      <a:fillRect/>
                    </a:stretch>
                  </pic:blipFill>
                  <pic:spPr bwMode="auto">
                    <a:xfrm>
                      <a:off x="0" y="0"/>
                      <a:ext cx="4422140" cy="6692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shd w:val="clear" w:color="auto" w:fill="4C4C4C"/>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FFFFFF"/>
                <w:w w:val="97"/>
              </w:rPr>
              <w:t>Natural Gas</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Oil-Equivalent</w:t>
            </w:r>
          </w:p>
        </w:tc>
        <w:tc>
          <w:tcPr>
            <w:tcW w:w="0" w:type="dxa"/>
            <w:vAlign w:val="bottom"/>
          </w:tcPr>
          <w:p>
            <w:pPr>
              <w:spacing w:after="0"/>
              <w:rPr>
                <w:sz w:val="1"/>
                <w:szCs w:val="1"/>
                <w:color w:val="auto"/>
              </w:rPr>
            </w:pPr>
          </w:p>
        </w:tc>
      </w:tr>
      <w:tr>
        <w:trPr>
          <w:trHeight w:val="160"/>
        </w:trPr>
        <w:tc>
          <w:tcPr>
            <w:tcW w:w="3640" w:type="dxa"/>
            <w:vAlign w:val="bottom"/>
            <w:shd w:val="clear" w:color="auto" w:fill="4C4C4C"/>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8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i w:val="1"/>
                <w:iCs w:val="1"/>
                <w:color w:val="FFFFFF"/>
                <w:w w:val="97"/>
              </w:rPr>
              <w:t>(billions of cubic feet)</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FFFFFF"/>
                <w:w w:val="98"/>
              </w:rPr>
              <w:t>Total</w:t>
            </w:r>
          </w:p>
        </w:tc>
        <w:tc>
          <w:tcPr>
            <w:tcW w:w="0" w:type="dxa"/>
            <w:vAlign w:val="bottom"/>
          </w:tcPr>
          <w:p>
            <w:pPr>
              <w:spacing w:after="0"/>
              <w:rPr>
                <w:sz w:val="1"/>
                <w:szCs w:val="1"/>
                <w:color w:val="auto"/>
              </w:rPr>
            </w:pPr>
          </w:p>
        </w:tc>
      </w:tr>
      <w:tr>
        <w:trPr>
          <w:trHeight w:val="108"/>
        </w:trPr>
        <w:tc>
          <w:tcPr>
            <w:tcW w:w="3640" w:type="dxa"/>
            <w:vAlign w:val="bottom"/>
            <w:shd w:val="clear" w:color="auto" w:fill="4C4C4C"/>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FFFFFF"/>
                <w:w w:val="99"/>
              </w:rPr>
              <w:t>Canada/</w:t>
            </w: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 xml:space="preserve">All Products </w:t>
            </w:r>
            <w:r>
              <w:rPr>
                <w:rFonts w:ascii="Times New Roman" w:cs="Times New Roman" w:eastAsia="Times New Roman" w:hAnsi="Times New Roman"/>
                <w:sz w:val="20"/>
                <w:szCs w:val="20"/>
                <w:b w:val="1"/>
                <w:bCs w:val="1"/>
                <w:i w:val="1"/>
                <w:iCs w:val="1"/>
                <w:color w:val="FFFFFF"/>
                <w:w w:val="94"/>
                <w:vertAlign w:val="superscript"/>
              </w:rPr>
              <w:t>(1)</w:t>
            </w:r>
          </w:p>
        </w:tc>
        <w:tc>
          <w:tcPr>
            <w:tcW w:w="0" w:type="dxa"/>
            <w:vAlign w:val="bottom"/>
          </w:tcPr>
          <w:p>
            <w:pPr>
              <w:spacing w:after="0"/>
              <w:rPr>
                <w:sz w:val="1"/>
                <w:szCs w:val="1"/>
                <w:color w:val="auto"/>
              </w:rPr>
            </w:pPr>
          </w:p>
        </w:tc>
      </w:tr>
      <w:tr>
        <w:trPr>
          <w:trHeight w:val="165"/>
        </w:trPr>
        <w:tc>
          <w:tcPr>
            <w:tcW w:w="3640" w:type="dxa"/>
            <w:vAlign w:val="bottom"/>
            <w:shd w:val="clear" w:color="auto" w:fill="4C4C4C"/>
          </w:tcPr>
          <w:p>
            <w:pPr>
              <w:spacing w:after="0"/>
              <w:rPr>
                <w:sz w:val="14"/>
                <w:szCs w:val="14"/>
                <w:color w:val="auto"/>
              </w:rPr>
            </w:pPr>
          </w:p>
        </w:tc>
        <w:tc>
          <w:tcPr>
            <w:tcW w:w="760" w:type="dxa"/>
            <w:vAlign w:val="bottom"/>
            <w:tcBorders>
              <w:right w:val="single" w:sz="8" w:color="4C4C4C"/>
            </w:tcBorders>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shd w:val="clear" w:color="auto" w:fill="4C4C4C"/>
          </w:tcPr>
          <w:p>
            <w:pPr>
              <w:spacing w:after="0"/>
              <w:rPr>
                <w:sz w:val="14"/>
                <w:szCs w:val="14"/>
                <w:color w:val="auto"/>
              </w:rPr>
            </w:pPr>
          </w:p>
        </w:tc>
        <w:tc>
          <w:tcPr>
            <w:tcW w:w="680" w:type="dxa"/>
            <w:vAlign w:val="bottom"/>
            <w:shd w:val="clear" w:color="auto" w:fill="4C4C4C"/>
          </w:tcPr>
          <w:p>
            <w:pPr>
              <w:spacing w:after="0"/>
              <w:rPr>
                <w:sz w:val="14"/>
                <w:szCs w:val="14"/>
                <w:color w:val="auto"/>
              </w:rPr>
            </w:pPr>
          </w:p>
        </w:tc>
        <w:tc>
          <w:tcPr>
            <w:tcW w:w="820" w:type="dxa"/>
            <w:vAlign w:val="bottom"/>
            <w:tcBorders>
              <w:right w:val="single" w:sz="8" w:color="4C4C4C"/>
            </w:tcBorders>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4C4C4C"/>
          </w:tcPr>
          <w:p>
            <w:pPr>
              <w:spacing w:after="0"/>
              <w:rPr>
                <w:sz w:val="13"/>
                <w:szCs w:val="13"/>
                <w:color w:val="auto"/>
              </w:rPr>
            </w:pPr>
          </w:p>
        </w:tc>
        <w:tc>
          <w:tcPr>
            <w:tcW w:w="760" w:type="dxa"/>
            <w:vAlign w:val="bottom"/>
            <w:tcBorders>
              <w:right w:val="single" w:sz="8" w:color="4C4C4C"/>
            </w:tcBorders>
          </w:tcPr>
          <w:p>
            <w:pPr>
              <w:jc w:val="right"/>
              <w:ind w:right="113"/>
              <w:spacing w:after="0" w:line="159" w:lineRule="exact"/>
              <w:rPr>
                <w:sz w:val="20"/>
                <w:szCs w:val="20"/>
                <w:color w:val="auto"/>
              </w:rPr>
            </w:pPr>
            <w:r>
              <w:rPr>
                <w:rFonts w:ascii="Times New Roman" w:cs="Times New Roman" w:eastAsia="Times New Roman" w:hAnsi="Times New Roman"/>
                <w:sz w:val="16"/>
                <w:szCs w:val="16"/>
                <w:color w:val="FFFFFF"/>
              </w:rPr>
              <w:t>United</w:t>
            </w:r>
          </w:p>
        </w:tc>
        <w:tc>
          <w:tcPr>
            <w:tcW w:w="8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FFFFFF"/>
                <w:w w:val="98"/>
              </w:rPr>
              <w:t>Other</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FFFFFF"/>
              </w:rPr>
              <w:t>Europe</w:t>
            </w:r>
          </w:p>
        </w:tc>
        <w:tc>
          <w:tcPr>
            <w:tcW w:w="84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color w:val="FFFFFF"/>
              </w:rPr>
              <w:t>Africa</w:t>
            </w:r>
          </w:p>
        </w:tc>
        <w:tc>
          <w:tcPr>
            <w:tcW w:w="80" w:type="dxa"/>
            <w:vAlign w:val="bottom"/>
            <w:shd w:val="clear" w:color="auto" w:fill="4C4C4C"/>
          </w:tcPr>
          <w:p>
            <w:pPr>
              <w:spacing w:after="0"/>
              <w:rPr>
                <w:sz w:val="13"/>
                <w:szCs w:val="13"/>
                <w:color w:val="auto"/>
              </w:rPr>
            </w:pPr>
          </w:p>
        </w:tc>
        <w:tc>
          <w:tcPr>
            <w:tcW w:w="680" w:type="dxa"/>
            <w:vAlign w:val="bottom"/>
            <w:vMerge w:val="restart"/>
            <w:shd w:val="clear" w:color="auto" w:fill="4C4C4C"/>
          </w:tcPr>
          <w:p>
            <w:pPr>
              <w:jc w:val="right"/>
              <w:ind w:right="172"/>
              <w:spacing w:after="0"/>
              <w:rPr>
                <w:sz w:val="20"/>
                <w:szCs w:val="20"/>
                <w:color w:val="auto"/>
              </w:rPr>
            </w:pPr>
            <w:r>
              <w:rPr>
                <w:rFonts w:ascii="Times New Roman" w:cs="Times New Roman" w:eastAsia="Times New Roman" w:hAnsi="Times New Roman"/>
                <w:sz w:val="16"/>
                <w:szCs w:val="16"/>
                <w:color w:val="FFFFFF"/>
              </w:rPr>
              <w:t>Asia</w:t>
            </w:r>
          </w:p>
        </w:tc>
        <w:tc>
          <w:tcPr>
            <w:tcW w:w="820" w:type="dxa"/>
            <w:vAlign w:val="bottom"/>
            <w:tcBorders>
              <w:right w:val="single" w:sz="8" w:color="4C4C4C"/>
            </w:tcBorders>
          </w:tcPr>
          <w:p>
            <w:pPr>
              <w:jc w:val="right"/>
              <w:ind w:right="33"/>
              <w:spacing w:after="0" w:line="159" w:lineRule="exact"/>
              <w:rPr>
                <w:sz w:val="20"/>
                <w:szCs w:val="20"/>
                <w:color w:val="auto"/>
              </w:rPr>
            </w:pPr>
            <w:r>
              <w:rPr>
                <w:rFonts w:ascii="Times New Roman" w:cs="Times New Roman" w:eastAsia="Times New Roman" w:hAnsi="Times New Roman"/>
                <w:sz w:val="16"/>
                <w:szCs w:val="16"/>
                <w:color w:val="FFFFFF"/>
              </w:rPr>
              <w:t>Australia/</w:t>
            </w: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color w:val="FFFFFF"/>
              </w:rPr>
              <w:t>Total</w:t>
            </w:r>
          </w:p>
        </w:tc>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i w:val="1"/>
                <w:iCs w:val="1"/>
                <w:color w:val="FFFFFF"/>
                <w:w w:val="98"/>
              </w:rPr>
              <w:t>(millions of oil-</w:t>
            </w:r>
          </w:p>
        </w:tc>
        <w:tc>
          <w:tcPr>
            <w:tcW w:w="0" w:type="dxa"/>
            <w:vAlign w:val="bottom"/>
          </w:tcPr>
          <w:p>
            <w:pPr>
              <w:spacing w:after="0"/>
              <w:rPr>
                <w:sz w:val="1"/>
                <w:szCs w:val="1"/>
                <w:color w:val="auto"/>
              </w:rPr>
            </w:pPr>
          </w:p>
        </w:tc>
      </w:tr>
      <w:tr>
        <w:trPr>
          <w:trHeight w:val="211"/>
        </w:trPr>
        <w:tc>
          <w:tcPr>
            <w:tcW w:w="3640" w:type="dxa"/>
            <w:vAlign w:val="bottom"/>
            <w:tcBorders>
              <w:bottom w:val="single" w:sz="8" w:color="auto"/>
            </w:tcBorders>
            <w:shd w:val="clear" w:color="auto" w:fill="4C4C4C"/>
          </w:tcPr>
          <w:p>
            <w:pPr>
              <w:spacing w:after="0"/>
              <w:rPr>
                <w:sz w:val="18"/>
                <w:szCs w:val="18"/>
                <w:color w:val="auto"/>
              </w:rPr>
            </w:pPr>
          </w:p>
        </w:tc>
        <w:tc>
          <w:tcPr>
            <w:tcW w:w="760" w:type="dxa"/>
            <w:vAlign w:val="bottom"/>
            <w:tcBorders>
              <w:bottom w:val="single" w:sz="8" w:color="auto"/>
              <w:right w:val="single" w:sz="8" w:color="4C4C4C"/>
            </w:tcBorders>
          </w:tcPr>
          <w:p>
            <w:pPr>
              <w:jc w:val="right"/>
              <w:ind w:right="133"/>
              <w:spacing w:after="0"/>
              <w:rPr>
                <w:sz w:val="20"/>
                <w:szCs w:val="20"/>
                <w:color w:val="auto"/>
              </w:rPr>
            </w:pPr>
            <w:r>
              <w:rPr>
                <w:rFonts w:ascii="Times New Roman" w:cs="Times New Roman" w:eastAsia="Times New Roman" w:hAnsi="Times New Roman"/>
                <w:sz w:val="16"/>
                <w:szCs w:val="16"/>
                <w:color w:val="FFFFFF"/>
              </w:rPr>
              <w:t>States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FFFFFF"/>
                <w:w w:val="97"/>
              </w:rPr>
              <w:t>Americas</w:t>
            </w:r>
          </w:p>
        </w:tc>
        <w:tc>
          <w:tcPr>
            <w:tcW w:w="6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shd w:val="clear" w:color="auto" w:fill="4C4C4C"/>
          </w:tcPr>
          <w:p>
            <w:pPr>
              <w:spacing w:after="0"/>
              <w:rPr>
                <w:sz w:val="18"/>
                <w:szCs w:val="18"/>
                <w:color w:val="auto"/>
              </w:rPr>
            </w:pPr>
          </w:p>
        </w:tc>
        <w:tc>
          <w:tcPr>
            <w:tcW w:w="680" w:type="dxa"/>
            <w:vAlign w:val="bottom"/>
            <w:tcBorders>
              <w:bottom w:val="single" w:sz="8" w:color="auto"/>
            </w:tcBorders>
            <w:vMerge w:val="continue"/>
            <w:shd w:val="clear" w:color="auto" w:fill="4C4C4C"/>
          </w:tcPr>
          <w:p>
            <w:pPr>
              <w:spacing w:after="0"/>
              <w:rPr>
                <w:sz w:val="18"/>
                <w:szCs w:val="18"/>
                <w:color w:val="auto"/>
              </w:rPr>
            </w:pPr>
          </w:p>
        </w:tc>
        <w:tc>
          <w:tcPr>
            <w:tcW w:w="820" w:type="dxa"/>
            <w:vAlign w:val="bottom"/>
            <w:tcBorders>
              <w:bottom w:val="single" w:sz="8" w:color="auto"/>
              <w:right w:val="single" w:sz="8" w:color="4C4C4C"/>
            </w:tcBorders>
          </w:tcPr>
          <w:p>
            <w:pPr>
              <w:jc w:val="right"/>
              <w:ind w:right="93"/>
              <w:spacing w:after="0"/>
              <w:rPr>
                <w:sz w:val="20"/>
                <w:szCs w:val="20"/>
                <w:color w:val="auto"/>
              </w:rPr>
            </w:pPr>
            <w:r>
              <w:rPr>
                <w:rFonts w:ascii="Times New Roman" w:cs="Times New Roman" w:eastAsia="Times New Roman" w:hAnsi="Times New Roman"/>
                <w:sz w:val="16"/>
                <w:szCs w:val="16"/>
                <w:color w:val="FFFFFF"/>
              </w:rPr>
              <w:t>Oceania</w:t>
            </w:r>
          </w:p>
        </w:tc>
        <w:tc>
          <w:tcPr>
            <w:tcW w:w="740" w:type="dxa"/>
            <w:vAlign w:val="bottom"/>
            <w:tcBorders>
              <w:bottom w:val="single" w:sz="8" w:color="auto"/>
            </w:tcBorders>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FFFFFF"/>
                <w:w w:val="98"/>
              </w:rPr>
              <w:t>equivalent barrels)</w:t>
            </w:r>
          </w:p>
        </w:tc>
        <w:tc>
          <w:tcPr>
            <w:tcW w:w="0" w:type="dxa"/>
            <w:vAlign w:val="bottom"/>
          </w:tcPr>
          <w:p>
            <w:pPr>
              <w:spacing w:after="0"/>
              <w:rPr>
                <w:sz w:val="1"/>
                <w:szCs w:val="1"/>
                <w:color w:val="auto"/>
              </w:rPr>
            </w:pPr>
          </w:p>
        </w:tc>
      </w:tr>
      <w:tr>
        <w:trPr>
          <w:trHeight w:val="322"/>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As of December 31, 2021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11,287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574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0" w:type="dxa"/>
            <w:vAlign w:val="bottom"/>
          </w:tcPr>
          <w:p>
            <w:pPr>
              <w:spacing w:after="0"/>
              <w:rPr>
                <w:sz w:val="1"/>
                <w:szCs w:val="1"/>
                <w:color w:val="auto"/>
              </w:rPr>
            </w:pPr>
          </w:p>
        </w:tc>
      </w:tr>
      <w:tr>
        <w:trPr>
          <w:trHeight w:val="250"/>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6,017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48"/>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3,701</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1,166</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4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Borders>
              <w:bottom w:val="single" w:sz="8" w:color="4C4C4C"/>
            </w:tcBorders>
          </w:tcPr>
          <w:p>
            <w:pPr>
              <w:spacing w:after="0"/>
              <w:rPr>
                <w:sz w:val="22"/>
                <w:szCs w:val="22"/>
                <w:color w:val="auto"/>
              </w:rPr>
            </w:pP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4,141</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proved reserves at December 31, 2021</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15,128</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919</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84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1,123</w:t>
            </w:r>
          </w:p>
        </w:tc>
        <w:tc>
          <w:tcPr>
            <w:tcW w:w="80" w:type="dxa"/>
            <w:vAlign w:val="bottom"/>
            <w:tcBorders>
              <w:bottom w:val="single" w:sz="8" w:color="4C4C4C"/>
            </w:tcBorders>
          </w:tcPr>
          <w:p>
            <w:pPr>
              <w:spacing w:after="0"/>
              <w:rPr>
                <w:sz w:val="20"/>
                <w:szCs w:val="20"/>
                <w:color w:val="auto"/>
              </w:rPr>
            </w:pP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13,851</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6,363</w:t>
            </w: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38,175</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18,536</w:t>
            </w:r>
          </w:p>
        </w:tc>
        <w:tc>
          <w:tcPr>
            <w:tcW w:w="0" w:type="dxa"/>
            <w:vAlign w:val="bottom"/>
          </w:tcPr>
          <w:p>
            <w:pPr>
              <w:spacing w:after="0"/>
              <w:rPr>
                <w:sz w:val="1"/>
                <w:szCs w:val="1"/>
                <w:color w:val="auto"/>
              </w:rPr>
            </w:pPr>
          </w:p>
        </w:tc>
      </w:tr>
      <w:tr>
        <w:trPr>
          <w:trHeight w:val="51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As of December 31, 2022</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9,577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3,162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0" w:type="dxa"/>
            <w:vAlign w:val="bottom"/>
          </w:tcPr>
          <w:p>
            <w:pPr>
              <w:spacing w:after="0"/>
              <w:rPr>
                <w:sz w:val="1"/>
                <w:szCs w:val="1"/>
                <w:color w:val="auto"/>
              </w:rPr>
            </w:pPr>
          </w:p>
        </w:tc>
      </w:tr>
      <w:tr>
        <w:trPr>
          <w:trHeight w:val="250"/>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5,020</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48"/>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4,068</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1,024</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2,846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Borders>
              <w:bottom w:val="single" w:sz="8" w:color="4C4C4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7,289</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proved reserves at December 31, 2022</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13,772</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708</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84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975</w:t>
            </w:r>
          </w:p>
        </w:tc>
        <w:tc>
          <w:tcPr>
            <w:tcW w:w="80" w:type="dxa"/>
            <w:vAlign w:val="bottom"/>
            <w:tcBorders>
              <w:bottom w:val="single" w:sz="8" w:color="4C4C4C"/>
            </w:tcBorders>
          </w:tcPr>
          <w:p>
            <w:pPr>
              <w:spacing w:after="0"/>
              <w:rPr>
                <w:sz w:val="20"/>
                <w:szCs w:val="20"/>
                <w:color w:val="auto"/>
              </w:rPr>
            </w:pP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15,370</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6,008</w:t>
            </w: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37,626</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17,742</w:t>
            </w:r>
          </w:p>
        </w:tc>
        <w:tc>
          <w:tcPr>
            <w:tcW w:w="0" w:type="dxa"/>
            <w:vAlign w:val="bottom"/>
          </w:tcPr>
          <w:p>
            <w:pPr>
              <w:spacing w:after="0"/>
              <w:rPr>
                <w:sz w:val="1"/>
                <w:szCs w:val="1"/>
                <w:color w:val="auto"/>
              </w:rPr>
            </w:pPr>
          </w:p>
        </w:tc>
      </w:tr>
      <w:tr>
        <w:trPr>
          <w:trHeight w:val="51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4C4C4C"/>
              </w:rPr>
              <w:t>As of December 31, 2023</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8,138</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1,935</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3,163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50"/>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4,223</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48"/>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4,125</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859</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2,695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Equity companies</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Borders>
              <w:bottom w:val="single" w:sz="8" w:color="4C4C4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7,098</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proved reserves at December 31, 2023</w:t>
            </w:r>
          </w:p>
        </w:tc>
        <w:tc>
          <w:tcPr>
            <w:tcW w:w="76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12,320</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520</w:t>
            </w:r>
          </w:p>
        </w:tc>
        <w:tc>
          <w:tcPr>
            <w:tcW w:w="68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840" w:type="dxa"/>
            <w:vAlign w:val="bottom"/>
            <w:tcBorders>
              <w:bottom w:val="single" w:sz="8" w:color="4C4C4C"/>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bottom w:val="single" w:sz="8" w:color="4C4C4C"/>
            </w:tcBorders>
          </w:tcPr>
          <w:p>
            <w:pPr>
              <w:spacing w:after="0"/>
              <w:rPr>
                <w:sz w:val="20"/>
                <w:szCs w:val="20"/>
                <w:color w:val="auto"/>
              </w:rPr>
            </w:pPr>
          </w:p>
        </w:tc>
        <w:tc>
          <w:tcPr>
            <w:tcW w:w="680" w:type="dxa"/>
            <w:vAlign w:val="bottom"/>
            <w:tcBorders>
              <w:bottom w:val="single" w:sz="8" w:color="4C4C4C"/>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14,115</w:t>
            </w:r>
          </w:p>
        </w:tc>
        <w:tc>
          <w:tcPr>
            <w:tcW w:w="820" w:type="dxa"/>
            <w:vAlign w:val="bottom"/>
            <w:tcBorders>
              <w:bottom w:val="single" w:sz="8" w:color="4C4C4C"/>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5,858</w:t>
            </w:r>
          </w:p>
        </w:tc>
        <w:tc>
          <w:tcPr>
            <w:tcW w:w="74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34,464</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16,928</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0" w:hanging="153"/>
        <w:spacing w:after="0"/>
        <w:tabs>
          <w:tab w:leader="none" w:pos="200" w:val="left"/>
        </w:tabs>
        <w:numPr>
          <w:ilvl w:val="0"/>
          <w:numId w:val="6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Natural gas is converted to an oil-equivalent basis at six billion cubic feet per one million barrels.</w:t>
      </w:r>
    </w:p>
    <w:p>
      <w:pPr>
        <w:sectPr>
          <w:pgSz w:w="11880" w:h="15480" w:orient="portrait"/>
          <w:cols w:equalWidth="0" w:num="1">
            <w:col w:w="10560"/>
          </w:cols>
          <w:pgMar w:left="660" w:top="82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ectPr>
          <w:pgSz w:w="11880" w:h="15480" w:orient="portrait"/>
          <w:cols w:equalWidth="0" w:num="1">
            <w:col w:w="10560"/>
          </w:cols>
          <w:pgMar w:left="660" w:top="825" w:right="66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4C4C4C"/>
        </w:rPr>
        <w:t>Standardized Measure of Discounted Future Cash Flows</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As required by the Financial Accounting Standards Board, the standardized measure of discounted future net cash flows is computed by applying first-day-of-the-month average prices, year-end costs and legislated tax rates, and a discount factor of 10 percent to net proved reserves. The standardized measure includes costs for future dismantlement, abandonment, and rehabilitation obligations. The Corporation believes the standardized measure does not provide a reliable estimate of the Corporation’s expected future cash flows to be obtained from the development and production of its oil and gas properties or of the value of its proved oil and gas reserves. The standardized measure is prepared on the basis of certain prescribed assumptions including first-day-of-the-month average prices, which represent discrete points in time and therefore may cause significant variability in cash flows from year to year as prices change.</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98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Standardized Measure of Discounted</w:t>
            </w:r>
          </w:p>
        </w:tc>
        <w:tc>
          <w:tcPr>
            <w:tcW w:w="940" w:type="dxa"/>
            <w:vAlign w:val="bottom"/>
            <w:vMerge w:val="restart"/>
            <w:shd w:val="clear" w:color="auto" w:fill="4C4C4C"/>
          </w:tcPr>
          <w:p>
            <w:pPr>
              <w:jc w:val="right"/>
              <w:ind w:right="144"/>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11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Canada/</w:t>
            </w:r>
          </w:p>
        </w:tc>
        <w:tc>
          <w:tcPr>
            <w:tcW w:w="980" w:type="dxa"/>
            <w:vAlign w:val="bottom"/>
            <w:shd w:val="clear" w:color="auto" w:fill="4C4C4C"/>
          </w:tcPr>
          <w:p>
            <w:pPr>
              <w:spacing w:after="0"/>
              <w:rPr>
                <w:sz w:val="22"/>
                <w:szCs w:val="22"/>
                <w:color w:val="auto"/>
              </w:rPr>
            </w:pPr>
          </w:p>
        </w:tc>
        <w:tc>
          <w:tcPr>
            <w:tcW w:w="860" w:type="dxa"/>
            <w:vAlign w:val="bottom"/>
            <w:shd w:val="clear" w:color="auto" w:fill="4C4C4C"/>
          </w:tcPr>
          <w:p>
            <w:pPr>
              <w:spacing w:after="0"/>
              <w:rPr>
                <w:sz w:val="22"/>
                <w:szCs w:val="22"/>
                <w:color w:val="auto"/>
              </w:rPr>
            </w:pPr>
          </w:p>
        </w:tc>
        <w:tc>
          <w:tcPr>
            <w:tcW w:w="900" w:type="dxa"/>
            <w:vAlign w:val="bottom"/>
            <w:shd w:val="clear" w:color="auto" w:fill="4C4C4C"/>
          </w:tcPr>
          <w:p>
            <w:pPr>
              <w:spacing w:after="0"/>
              <w:rPr>
                <w:sz w:val="22"/>
                <w:szCs w:val="22"/>
                <w:color w:val="auto"/>
              </w:rPr>
            </w:pPr>
          </w:p>
        </w:tc>
        <w:tc>
          <w:tcPr>
            <w:tcW w:w="940" w:type="dxa"/>
            <w:vAlign w:val="bottom"/>
            <w:vMerge w:val="restart"/>
            <w:shd w:val="clear" w:color="auto" w:fill="4C4C4C"/>
          </w:tcPr>
          <w:p>
            <w:pPr>
              <w:jc w:val="right"/>
              <w:ind w:right="64"/>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860" w:type="dxa"/>
            <w:vAlign w:val="bottom"/>
            <w:shd w:val="clear" w:color="auto" w:fill="4C4C4C"/>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3980" w:type="dxa"/>
            <w:vAlign w:val="bottom"/>
            <w:vMerge w:val="restart"/>
            <w:shd w:val="clear" w:color="auto" w:fill="4C4C4C"/>
          </w:tcPr>
          <w:p>
            <w:pPr>
              <w:ind w:left="40"/>
              <w:spacing w:after="0" w:line="184" w:lineRule="exact"/>
              <w:rPr>
                <w:sz w:val="20"/>
                <w:szCs w:val="20"/>
                <w:color w:val="auto"/>
              </w:rPr>
            </w:pPr>
            <w:r>
              <w:rPr>
                <w:rFonts w:ascii="Times New Roman" w:cs="Times New Roman" w:eastAsia="Times New Roman" w:hAnsi="Times New Roman"/>
                <w:sz w:val="20"/>
                <w:szCs w:val="20"/>
                <w:b w:val="1"/>
                <w:bCs w:val="1"/>
                <w:color w:val="FFFFFF"/>
              </w:rPr>
              <w:t>Future Cash Flows</w:t>
            </w:r>
          </w:p>
        </w:tc>
        <w:tc>
          <w:tcPr>
            <w:tcW w:w="940" w:type="dxa"/>
            <w:vAlign w:val="bottom"/>
            <w:vMerge w:val="continue"/>
            <w:shd w:val="clear" w:color="auto" w:fill="4C4C4C"/>
          </w:tcPr>
          <w:p>
            <w:pPr>
              <w:spacing w:after="0"/>
              <w:rPr>
                <w:sz w:val="6"/>
                <w:szCs w:val="6"/>
                <w:color w:val="auto"/>
              </w:rPr>
            </w:pPr>
          </w:p>
        </w:tc>
        <w:tc>
          <w:tcPr>
            <w:tcW w:w="11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Other</w:t>
            </w:r>
          </w:p>
        </w:tc>
        <w:tc>
          <w:tcPr>
            <w:tcW w:w="980" w:type="dxa"/>
            <w:vAlign w:val="bottom"/>
            <w:vMerge w:val="restart"/>
            <w:shd w:val="clear" w:color="auto" w:fill="4C4C4C"/>
          </w:tcPr>
          <w:p>
            <w:pPr>
              <w:jc w:val="right"/>
              <w:ind w:right="223"/>
              <w:spacing w:after="0"/>
              <w:rPr>
                <w:sz w:val="20"/>
                <w:szCs w:val="20"/>
                <w:color w:val="auto"/>
              </w:rPr>
            </w:pPr>
            <w:r>
              <w:rPr>
                <w:rFonts w:ascii="Times New Roman" w:cs="Times New Roman" w:eastAsia="Times New Roman" w:hAnsi="Times New Roman"/>
                <w:sz w:val="16"/>
                <w:szCs w:val="16"/>
                <w:b w:val="1"/>
                <w:bCs w:val="1"/>
                <w:color w:val="FFFFFF"/>
              </w:rPr>
              <w:t>Europe</w:t>
            </w:r>
          </w:p>
        </w:tc>
        <w:tc>
          <w:tcPr>
            <w:tcW w:w="860" w:type="dxa"/>
            <w:vAlign w:val="bottom"/>
            <w:vMerge w:val="restart"/>
            <w:shd w:val="clear" w:color="auto" w:fill="4C4C4C"/>
          </w:tcPr>
          <w:p>
            <w:pPr>
              <w:jc w:val="right"/>
              <w:ind w:right="203"/>
              <w:spacing w:after="0"/>
              <w:rPr>
                <w:sz w:val="20"/>
                <w:szCs w:val="20"/>
                <w:color w:val="auto"/>
              </w:rPr>
            </w:pPr>
            <w:r>
              <w:rPr>
                <w:rFonts w:ascii="Times New Roman" w:cs="Times New Roman" w:eastAsia="Times New Roman" w:hAnsi="Times New Roman"/>
                <w:sz w:val="16"/>
                <w:szCs w:val="16"/>
                <w:b w:val="1"/>
                <w:bCs w:val="1"/>
                <w:color w:val="FFFFFF"/>
              </w:rPr>
              <w:t>Africa</w:t>
            </w:r>
          </w:p>
        </w:tc>
        <w:tc>
          <w:tcPr>
            <w:tcW w:w="900" w:type="dxa"/>
            <w:vAlign w:val="bottom"/>
            <w:vMerge w:val="restart"/>
            <w:shd w:val="clear" w:color="auto" w:fill="4C4C4C"/>
          </w:tcPr>
          <w:p>
            <w:pPr>
              <w:jc w:val="right"/>
              <w:ind w:right="243"/>
              <w:spacing w:after="0"/>
              <w:rPr>
                <w:sz w:val="20"/>
                <w:szCs w:val="20"/>
                <w:color w:val="auto"/>
              </w:rPr>
            </w:pPr>
            <w:r>
              <w:rPr>
                <w:rFonts w:ascii="Times New Roman" w:cs="Times New Roman" w:eastAsia="Times New Roman" w:hAnsi="Times New Roman"/>
                <w:sz w:val="16"/>
                <w:szCs w:val="16"/>
                <w:b w:val="1"/>
                <w:bCs w:val="1"/>
                <w:color w:val="FFFFFF"/>
              </w:rPr>
              <w:t>Asia</w:t>
            </w:r>
          </w:p>
        </w:tc>
        <w:tc>
          <w:tcPr>
            <w:tcW w:w="940" w:type="dxa"/>
            <w:vAlign w:val="bottom"/>
            <w:vMerge w:val="continue"/>
            <w:shd w:val="clear" w:color="auto" w:fill="4C4C4C"/>
          </w:tcPr>
          <w:p>
            <w:pPr>
              <w:spacing w:after="0"/>
              <w:rPr>
                <w:sz w:val="6"/>
                <w:szCs w:val="6"/>
                <w:color w:val="auto"/>
              </w:rPr>
            </w:pPr>
          </w:p>
        </w:tc>
        <w:tc>
          <w:tcPr>
            <w:tcW w:w="860" w:type="dxa"/>
            <w:vAlign w:val="bottom"/>
            <w:vMerge w:val="restart"/>
            <w:shd w:val="clear" w:color="auto" w:fill="4C4C4C"/>
          </w:tcPr>
          <w:p>
            <w:pPr>
              <w:jc w:val="right"/>
              <w:ind w:right="163"/>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04"/>
        </w:trPr>
        <w:tc>
          <w:tcPr>
            <w:tcW w:w="3980" w:type="dxa"/>
            <w:vAlign w:val="bottom"/>
            <w:vMerge w:val="continue"/>
            <w:shd w:val="clear" w:color="auto" w:fill="4C4C4C"/>
          </w:tcPr>
          <w:p>
            <w:pPr>
              <w:spacing w:after="0"/>
              <w:rPr>
                <w:sz w:val="9"/>
                <w:szCs w:val="9"/>
                <w:color w:val="auto"/>
              </w:rPr>
            </w:pPr>
          </w:p>
        </w:tc>
        <w:tc>
          <w:tcPr>
            <w:tcW w:w="940" w:type="dxa"/>
            <w:vAlign w:val="bottom"/>
            <w:vMerge w:val="restart"/>
            <w:shd w:val="clear" w:color="auto" w:fill="4C4C4C"/>
          </w:tcPr>
          <w:p>
            <w:pPr>
              <w:jc w:val="right"/>
              <w:ind w:right="164"/>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1100" w:type="dxa"/>
            <w:vAlign w:val="bottom"/>
            <w:vMerge w:val="continue"/>
            <w:shd w:val="clear" w:color="auto" w:fill="4C4C4C"/>
          </w:tcPr>
          <w:p>
            <w:pPr>
              <w:spacing w:after="0"/>
              <w:rPr>
                <w:sz w:val="9"/>
                <w:szCs w:val="9"/>
                <w:color w:val="auto"/>
              </w:rPr>
            </w:pPr>
          </w:p>
        </w:tc>
        <w:tc>
          <w:tcPr>
            <w:tcW w:w="980" w:type="dxa"/>
            <w:vAlign w:val="bottom"/>
            <w:vMerge w:val="continue"/>
            <w:shd w:val="clear" w:color="auto" w:fill="4C4C4C"/>
          </w:tcPr>
          <w:p>
            <w:pPr>
              <w:spacing w:after="0"/>
              <w:rPr>
                <w:sz w:val="9"/>
                <w:szCs w:val="9"/>
                <w:color w:val="auto"/>
              </w:rPr>
            </w:pPr>
          </w:p>
        </w:tc>
        <w:tc>
          <w:tcPr>
            <w:tcW w:w="860" w:type="dxa"/>
            <w:vAlign w:val="bottom"/>
            <w:vMerge w:val="continue"/>
            <w:shd w:val="clear" w:color="auto" w:fill="4C4C4C"/>
          </w:tcPr>
          <w:p>
            <w:pPr>
              <w:spacing w:after="0"/>
              <w:rPr>
                <w:sz w:val="9"/>
                <w:szCs w:val="9"/>
                <w:color w:val="auto"/>
              </w:rPr>
            </w:pPr>
          </w:p>
        </w:tc>
        <w:tc>
          <w:tcPr>
            <w:tcW w:w="900" w:type="dxa"/>
            <w:vAlign w:val="bottom"/>
            <w:vMerge w:val="continue"/>
            <w:shd w:val="clear" w:color="auto" w:fill="4C4C4C"/>
          </w:tcPr>
          <w:p>
            <w:pPr>
              <w:spacing w:after="0"/>
              <w:rPr>
                <w:sz w:val="9"/>
                <w:szCs w:val="9"/>
                <w:color w:val="auto"/>
              </w:rPr>
            </w:pPr>
          </w:p>
        </w:tc>
        <w:tc>
          <w:tcPr>
            <w:tcW w:w="940" w:type="dxa"/>
            <w:vAlign w:val="bottom"/>
            <w:vMerge w:val="restart"/>
            <w:shd w:val="clear" w:color="auto" w:fill="4C4C4C"/>
          </w:tcPr>
          <w:p>
            <w:pPr>
              <w:jc w:val="right"/>
              <w:ind w:right="124"/>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86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3980" w:type="dxa"/>
            <w:vAlign w:val="bottom"/>
            <w:tcBorders>
              <w:bottom w:val="single" w:sz="8" w:color="4C4C4C"/>
            </w:tcBorders>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40" w:type="dxa"/>
            <w:vAlign w:val="bottom"/>
            <w:tcBorders>
              <w:bottom w:val="single" w:sz="8" w:color="4C4C4C"/>
            </w:tcBorders>
            <w:vMerge w:val="continue"/>
            <w:shd w:val="clear" w:color="auto" w:fill="4C4C4C"/>
          </w:tcPr>
          <w:p>
            <w:pPr>
              <w:spacing w:after="0"/>
              <w:rPr>
                <w:sz w:val="24"/>
                <w:szCs w:val="24"/>
                <w:color w:val="auto"/>
              </w:rPr>
            </w:pPr>
          </w:p>
        </w:tc>
        <w:tc>
          <w:tcPr>
            <w:tcW w:w="1100" w:type="dxa"/>
            <w:vAlign w:val="bottom"/>
            <w:tcBorders>
              <w:bottom w:val="single" w:sz="8" w:color="4C4C4C"/>
            </w:tcBorders>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 xml:space="preserve">Americas </w:t>
            </w:r>
            <w:r>
              <w:rPr>
                <w:rFonts w:ascii="Times New Roman" w:cs="Times New Roman" w:eastAsia="Times New Roman" w:hAnsi="Times New Roman"/>
                <w:sz w:val="20"/>
                <w:szCs w:val="20"/>
                <w:i w:val="1"/>
                <w:iCs w:val="1"/>
                <w:color w:val="FFFFFF"/>
                <w:w w:val="94"/>
                <w:vertAlign w:val="superscript"/>
              </w:rPr>
              <w:t>(1)</w:t>
            </w:r>
          </w:p>
        </w:tc>
        <w:tc>
          <w:tcPr>
            <w:tcW w:w="980" w:type="dxa"/>
            <w:vAlign w:val="bottom"/>
            <w:tcBorders>
              <w:bottom w:val="single" w:sz="8" w:color="4C4C4C"/>
            </w:tcBorders>
            <w:shd w:val="clear" w:color="auto" w:fill="4C4C4C"/>
          </w:tcPr>
          <w:p>
            <w:pPr>
              <w:spacing w:after="0"/>
              <w:rPr>
                <w:sz w:val="24"/>
                <w:szCs w:val="24"/>
                <w:color w:val="auto"/>
              </w:rPr>
            </w:pPr>
          </w:p>
        </w:tc>
        <w:tc>
          <w:tcPr>
            <w:tcW w:w="860" w:type="dxa"/>
            <w:vAlign w:val="bottom"/>
            <w:tcBorders>
              <w:bottom w:val="single" w:sz="8" w:color="4C4C4C"/>
            </w:tcBorders>
            <w:shd w:val="clear" w:color="auto" w:fill="4C4C4C"/>
          </w:tcPr>
          <w:p>
            <w:pPr>
              <w:spacing w:after="0"/>
              <w:rPr>
                <w:sz w:val="24"/>
                <w:szCs w:val="24"/>
                <w:color w:val="auto"/>
              </w:rPr>
            </w:pPr>
          </w:p>
        </w:tc>
        <w:tc>
          <w:tcPr>
            <w:tcW w:w="900" w:type="dxa"/>
            <w:vAlign w:val="bottom"/>
            <w:tcBorders>
              <w:bottom w:val="single" w:sz="8" w:color="4C4C4C"/>
            </w:tcBorders>
            <w:shd w:val="clear" w:color="auto" w:fill="4C4C4C"/>
          </w:tcPr>
          <w:p>
            <w:pPr>
              <w:spacing w:after="0"/>
              <w:rPr>
                <w:sz w:val="24"/>
                <w:szCs w:val="24"/>
                <w:color w:val="auto"/>
              </w:rPr>
            </w:pPr>
          </w:p>
        </w:tc>
        <w:tc>
          <w:tcPr>
            <w:tcW w:w="940" w:type="dxa"/>
            <w:vAlign w:val="bottom"/>
            <w:tcBorders>
              <w:bottom w:val="single" w:sz="8" w:color="4C4C4C"/>
            </w:tcBorders>
            <w:vMerge w:val="continue"/>
            <w:shd w:val="clear" w:color="auto" w:fill="4C4C4C"/>
          </w:tcPr>
          <w:p>
            <w:pPr>
              <w:spacing w:after="0"/>
              <w:rPr>
                <w:sz w:val="24"/>
                <w:szCs w:val="24"/>
                <w:color w:val="auto"/>
              </w:rPr>
            </w:pPr>
          </w:p>
        </w:tc>
        <w:tc>
          <w:tcPr>
            <w:tcW w:w="860" w:type="dxa"/>
            <w:vAlign w:val="bottom"/>
            <w:tcBorders>
              <w:bottom w:val="single" w:sz="8" w:color="4C4C4C"/>
            </w:tcBorders>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As of December 31, 2021</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Consolidated Subsidiaries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cash inflows from sales of oil and gas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217,023</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209,711</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4,322</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24,812</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211,255</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69,015</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736,138</w:t>
            </w:r>
          </w:p>
        </w:tc>
        <w:tc>
          <w:tcPr>
            <w:tcW w:w="0" w:type="dxa"/>
            <w:vAlign w:val="bottom"/>
          </w:tcPr>
          <w:p>
            <w:pPr>
              <w:spacing w:after="0"/>
              <w:rPr>
                <w:sz w:val="1"/>
                <w:szCs w:val="1"/>
                <w:color w:val="auto"/>
              </w:rPr>
            </w:pPr>
          </w:p>
        </w:tc>
      </w:tr>
      <w:tr>
        <w:trPr>
          <w:trHeight w:val="294"/>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production costs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63,464</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111,468</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1,142</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7,700</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55,241</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14,880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253,895</w:t>
            </w:r>
          </w:p>
        </w:tc>
        <w:tc>
          <w:tcPr>
            <w:tcW w:w="0" w:type="dxa"/>
            <w:vAlign w:val="bottom"/>
          </w:tcPr>
          <w:p>
            <w:pPr>
              <w:spacing w:after="0"/>
              <w:rPr>
                <w:sz w:val="1"/>
                <w:szCs w:val="1"/>
                <w:color w:val="auto"/>
              </w:rPr>
            </w:pPr>
          </w:p>
        </w:tc>
      </w:tr>
      <w:tr>
        <w:trPr>
          <w:trHeight w:val="294"/>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development costs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29,941</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31,736</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2,113</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5,921</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14,519</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7,286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91,516</w:t>
            </w:r>
          </w:p>
        </w:tc>
        <w:tc>
          <w:tcPr>
            <w:tcW w:w="0" w:type="dxa"/>
            <w:vAlign w:val="bottom"/>
          </w:tcPr>
          <w:p>
            <w:pPr>
              <w:spacing w:after="0"/>
              <w:rPr>
                <w:sz w:val="1"/>
                <w:szCs w:val="1"/>
                <w:color w:val="auto"/>
              </w:rPr>
            </w:pPr>
          </w:p>
        </w:tc>
      </w:tr>
      <w:tr>
        <w:trPr>
          <w:trHeight w:val="297"/>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Future income tax expenses</w:t>
            </w:r>
          </w:p>
        </w:tc>
        <w:tc>
          <w:tcPr>
            <w:tcW w:w="94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color w:val="auto"/>
              </w:rPr>
              <w:t>24,770</w:t>
            </w:r>
          </w:p>
        </w:tc>
        <w:tc>
          <w:tcPr>
            <w:tcW w:w="110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12,004</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451</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4,319</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107,577</w:t>
            </w:r>
          </w:p>
        </w:tc>
        <w:tc>
          <w:tcPr>
            <w:tcW w:w="9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13,038</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162,159</w:t>
            </w:r>
          </w:p>
        </w:tc>
        <w:tc>
          <w:tcPr>
            <w:tcW w:w="0" w:type="dxa"/>
            <w:vAlign w:val="bottom"/>
          </w:tcPr>
          <w:p>
            <w:pPr>
              <w:spacing w:after="0"/>
              <w:rPr>
                <w:sz w:val="1"/>
                <w:szCs w:val="1"/>
                <w:color w:val="auto"/>
              </w:rPr>
            </w:pPr>
          </w:p>
        </w:tc>
      </w:tr>
      <w:tr>
        <w:trPr>
          <w:trHeight w:val="271"/>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net cash flows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98,848</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54,503</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616</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6,872</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33,918</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33,811</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228,568</w:t>
            </w:r>
          </w:p>
        </w:tc>
        <w:tc>
          <w:tcPr>
            <w:tcW w:w="0" w:type="dxa"/>
            <w:vAlign w:val="bottom"/>
          </w:tcPr>
          <w:p>
            <w:pPr>
              <w:spacing w:after="0"/>
              <w:rPr>
                <w:sz w:val="1"/>
                <w:szCs w:val="1"/>
                <w:color w:val="auto"/>
              </w:rPr>
            </w:pPr>
          </w:p>
        </w:tc>
      </w:tr>
      <w:tr>
        <w:trPr>
          <w:trHeight w:val="297"/>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Effect of discounting net cash flows at 10%</w:t>
            </w:r>
          </w:p>
        </w:tc>
        <w:tc>
          <w:tcPr>
            <w:tcW w:w="94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color w:val="auto"/>
              </w:rPr>
              <w:t>50,524</w:t>
            </w:r>
          </w:p>
        </w:tc>
        <w:tc>
          <w:tcPr>
            <w:tcW w:w="110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25,793</w:t>
            </w:r>
          </w:p>
        </w:tc>
        <w:tc>
          <w:tcPr>
            <w:tcW w:w="98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(502)</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739</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17,383</w:t>
            </w:r>
          </w:p>
        </w:tc>
        <w:tc>
          <w:tcPr>
            <w:tcW w:w="9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18,751</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112,688</w:t>
            </w:r>
          </w:p>
        </w:tc>
        <w:tc>
          <w:tcPr>
            <w:tcW w:w="0" w:type="dxa"/>
            <w:vAlign w:val="bottom"/>
          </w:tcPr>
          <w:p>
            <w:pPr>
              <w:spacing w:after="0"/>
              <w:rPr>
                <w:sz w:val="1"/>
                <w:szCs w:val="1"/>
                <w:color w:val="auto"/>
              </w:rPr>
            </w:pPr>
          </w:p>
        </w:tc>
      </w:tr>
      <w:tr>
        <w:trPr>
          <w:trHeight w:val="277"/>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Discounted future net cash flows</w:t>
            </w:r>
          </w:p>
        </w:tc>
        <w:tc>
          <w:tcPr>
            <w:tcW w:w="94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48,324</w:t>
            </w:r>
          </w:p>
        </w:tc>
        <w:tc>
          <w:tcPr>
            <w:tcW w:w="110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28,710</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1,118</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6,133</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16,535</w:t>
            </w:r>
          </w:p>
        </w:tc>
        <w:tc>
          <w:tcPr>
            <w:tcW w:w="9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15,060</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115,880</w:t>
            </w:r>
          </w:p>
        </w:tc>
        <w:tc>
          <w:tcPr>
            <w:tcW w:w="0" w:type="dxa"/>
            <w:vAlign w:val="bottom"/>
          </w:tcPr>
          <w:p>
            <w:pPr>
              <w:spacing w:after="0"/>
              <w:rPr>
                <w:sz w:val="1"/>
                <w:szCs w:val="1"/>
                <w:color w:val="auto"/>
              </w:rPr>
            </w:pPr>
          </w:p>
        </w:tc>
      </w:tr>
      <w:tr>
        <w:trPr>
          <w:trHeight w:val="371"/>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Equity Companies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cash inflows from sales of oil and gas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10,607</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5,889</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4,553</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146,845</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167,894</w:t>
            </w:r>
          </w:p>
        </w:tc>
        <w:tc>
          <w:tcPr>
            <w:tcW w:w="0" w:type="dxa"/>
            <w:vAlign w:val="bottom"/>
          </w:tcPr>
          <w:p>
            <w:pPr>
              <w:spacing w:after="0"/>
              <w:rPr>
                <w:sz w:val="1"/>
                <w:szCs w:val="1"/>
                <w:color w:val="auto"/>
              </w:rPr>
            </w:pPr>
          </w:p>
        </w:tc>
      </w:tr>
      <w:tr>
        <w:trPr>
          <w:trHeight w:val="294"/>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production costs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5,005</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785</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261</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49,810</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55,861</w:t>
            </w:r>
          </w:p>
        </w:tc>
        <w:tc>
          <w:tcPr>
            <w:tcW w:w="0" w:type="dxa"/>
            <w:vAlign w:val="bottom"/>
          </w:tcPr>
          <w:p>
            <w:pPr>
              <w:spacing w:after="0"/>
              <w:rPr>
                <w:sz w:val="1"/>
                <w:szCs w:val="1"/>
                <w:color w:val="auto"/>
              </w:rPr>
            </w:pPr>
          </w:p>
        </w:tc>
      </w:tr>
      <w:tr>
        <w:trPr>
          <w:trHeight w:val="294"/>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development costs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2,340</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1,137</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62</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8,317</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11,856</w:t>
            </w:r>
          </w:p>
        </w:tc>
        <w:tc>
          <w:tcPr>
            <w:tcW w:w="0" w:type="dxa"/>
            <w:vAlign w:val="bottom"/>
          </w:tcPr>
          <w:p>
            <w:pPr>
              <w:spacing w:after="0"/>
              <w:rPr>
                <w:sz w:val="1"/>
                <w:szCs w:val="1"/>
                <w:color w:val="auto"/>
              </w:rPr>
            </w:pPr>
          </w:p>
        </w:tc>
      </w:tr>
      <w:tr>
        <w:trPr>
          <w:trHeight w:val="297"/>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Future income tax expenses</w:t>
            </w:r>
          </w:p>
        </w:tc>
        <w:tc>
          <w:tcPr>
            <w:tcW w:w="94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1,793</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1,168</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29,463</w:t>
            </w:r>
          </w:p>
        </w:tc>
        <w:tc>
          <w:tcPr>
            <w:tcW w:w="9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32,424</w:t>
            </w:r>
          </w:p>
        </w:tc>
        <w:tc>
          <w:tcPr>
            <w:tcW w:w="0" w:type="dxa"/>
            <w:vAlign w:val="bottom"/>
          </w:tcPr>
          <w:p>
            <w:pPr>
              <w:spacing w:after="0"/>
              <w:rPr>
                <w:sz w:val="1"/>
                <w:szCs w:val="1"/>
                <w:color w:val="auto"/>
              </w:rPr>
            </w:pPr>
          </w:p>
        </w:tc>
      </w:tr>
      <w:tr>
        <w:trPr>
          <w:trHeight w:val="271"/>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net cash flows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3,262</w:t>
            </w: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2,174</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3,062</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59,255</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67,753</w:t>
            </w:r>
          </w:p>
        </w:tc>
        <w:tc>
          <w:tcPr>
            <w:tcW w:w="0" w:type="dxa"/>
            <w:vAlign w:val="bottom"/>
          </w:tcPr>
          <w:p>
            <w:pPr>
              <w:spacing w:after="0"/>
              <w:rPr>
                <w:sz w:val="1"/>
                <w:szCs w:val="1"/>
                <w:color w:val="auto"/>
              </w:rPr>
            </w:pPr>
          </w:p>
        </w:tc>
      </w:tr>
      <w:tr>
        <w:trPr>
          <w:trHeight w:val="297"/>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Effect of discounting net cash flows at 10%</w:t>
            </w:r>
          </w:p>
        </w:tc>
        <w:tc>
          <w:tcPr>
            <w:tcW w:w="94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color w:val="auto"/>
              </w:rPr>
              <w:t>1,553</w:t>
            </w:r>
          </w:p>
        </w:tc>
        <w:tc>
          <w:tcPr>
            <w:tcW w:w="110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683</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1,868</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25,710</w:t>
            </w:r>
          </w:p>
        </w:tc>
        <w:tc>
          <w:tcPr>
            <w:tcW w:w="9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29,814</w:t>
            </w:r>
          </w:p>
        </w:tc>
        <w:tc>
          <w:tcPr>
            <w:tcW w:w="0" w:type="dxa"/>
            <w:vAlign w:val="bottom"/>
          </w:tcPr>
          <w:p>
            <w:pPr>
              <w:spacing w:after="0"/>
              <w:rPr>
                <w:sz w:val="1"/>
                <w:szCs w:val="1"/>
                <w:color w:val="auto"/>
              </w:rPr>
            </w:pPr>
          </w:p>
        </w:tc>
      </w:tr>
      <w:tr>
        <w:trPr>
          <w:trHeight w:val="277"/>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Discounted future net cash flows</w:t>
            </w:r>
          </w:p>
        </w:tc>
        <w:tc>
          <w:tcPr>
            <w:tcW w:w="940" w:type="dxa"/>
            <w:vAlign w:val="bottom"/>
            <w:tcBorders>
              <w:bottom w:val="single" w:sz="8" w:color="4C4C4C"/>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1,709</w:t>
            </w:r>
          </w:p>
        </w:tc>
        <w:tc>
          <w:tcPr>
            <w:tcW w:w="1100" w:type="dxa"/>
            <w:vAlign w:val="bottom"/>
            <w:tcBorders>
              <w:bottom w:val="single" w:sz="8" w:color="4C4C4C"/>
            </w:tcBorders>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1,491</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1,194</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33,545</w:t>
            </w:r>
          </w:p>
        </w:tc>
        <w:tc>
          <w:tcPr>
            <w:tcW w:w="940" w:type="dxa"/>
            <w:vAlign w:val="bottom"/>
            <w:tcBorders>
              <w:bottom w:val="single" w:sz="8" w:color="4C4C4C"/>
            </w:tcBorders>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37,939</w:t>
            </w:r>
          </w:p>
        </w:tc>
        <w:tc>
          <w:tcPr>
            <w:tcW w:w="0" w:type="dxa"/>
            <w:vAlign w:val="bottom"/>
          </w:tcPr>
          <w:p>
            <w:pPr>
              <w:spacing w:after="0"/>
              <w:rPr>
                <w:sz w:val="1"/>
                <w:szCs w:val="1"/>
                <w:color w:val="auto"/>
              </w:rPr>
            </w:pPr>
          </w:p>
        </w:tc>
      </w:tr>
      <w:tr>
        <w:trPr>
          <w:trHeight w:val="83"/>
        </w:trPr>
        <w:tc>
          <w:tcPr>
            <w:tcW w:w="3980" w:type="dxa"/>
            <w:vAlign w:val="bottom"/>
            <w:tcBorders>
              <w:bottom w:val="single" w:sz="8" w:color="4C4C4C"/>
            </w:tcBorders>
          </w:tcPr>
          <w:p>
            <w:pPr>
              <w:spacing w:after="0"/>
              <w:rPr>
                <w:sz w:val="7"/>
                <w:szCs w:val="7"/>
                <w:color w:val="auto"/>
              </w:rPr>
            </w:pPr>
          </w:p>
        </w:tc>
        <w:tc>
          <w:tcPr>
            <w:tcW w:w="940" w:type="dxa"/>
            <w:vAlign w:val="bottom"/>
            <w:tcBorders>
              <w:bottom w:val="single" w:sz="8" w:color="4C4C4C"/>
            </w:tcBorders>
          </w:tcPr>
          <w:p>
            <w:pPr>
              <w:spacing w:after="0"/>
              <w:rPr>
                <w:sz w:val="7"/>
                <w:szCs w:val="7"/>
                <w:color w:val="auto"/>
              </w:rPr>
            </w:pPr>
          </w:p>
        </w:tc>
        <w:tc>
          <w:tcPr>
            <w:tcW w:w="1100" w:type="dxa"/>
            <w:vAlign w:val="bottom"/>
            <w:tcBorders>
              <w:bottom w:val="single" w:sz="8" w:color="4C4C4C"/>
            </w:tcBorders>
          </w:tcPr>
          <w:p>
            <w:pPr>
              <w:spacing w:after="0"/>
              <w:rPr>
                <w:sz w:val="7"/>
                <w:szCs w:val="7"/>
                <w:color w:val="auto"/>
              </w:rPr>
            </w:pPr>
          </w:p>
        </w:tc>
        <w:tc>
          <w:tcPr>
            <w:tcW w:w="980" w:type="dxa"/>
            <w:vAlign w:val="bottom"/>
            <w:tcBorders>
              <w:bottom w:val="single" w:sz="8" w:color="4C4C4C"/>
            </w:tcBorders>
          </w:tcPr>
          <w:p>
            <w:pPr>
              <w:spacing w:after="0"/>
              <w:rPr>
                <w:sz w:val="7"/>
                <w:szCs w:val="7"/>
                <w:color w:val="auto"/>
              </w:rPr>
            </w:pPr>
          </w:p>
        </w:tc>
        <w:tc>
          <w:tcPr>
            <w:tcW w:w="860" w:type="dxa"/>
            <w:vAlign w:val="bottom"/>
            <w:tcBorders>
              <w:bottom w:val="single" w:sz="8" w:color="4C4C4C"/>
            </w:tcBorders>
          </w:tcPr>
          <w:p>
            <w:pPr>
              <w:spacing w:after="0"/>
              <w:rPr>
                <w:sz w:val="7"/>
                <w:szCs w:val="7"/>
                <w:color w:val="auto"/>
              </w:rPr>
            </w:pPr>
          </w:p>
        </w:tc>
        <w:tc>
          <w:tcPr>
            <w:tcW w:w="900" w:type="dxa"/>
            <w:vAlign w:val="bottom"/>
            <w:tcBorders>
              <w:bottom w:val="single" w:sz="8" w:color="4C4C4C"/>
            </w:tcBorders>
          </w:tcPr>
          <w:p>
            <w:pPr>
              <w:spacing w:after="0"/>
              <w:rPr>
                <w:sz w:val="7"/>
                <w:szCs w:val="7"/>
                <w:color w:val="auto"/>
              </w:rPr>
            </w:pPr>
          </w:p>
        </w:tc>
        <w:tc>
          <w:tcPr>
            <w:tcW w:w="940" w:type="dxa"/>
            <w:vAlign w:val="bottom"/>
            <w:tcBorders>
              <w:bottom w:val="single" w:sz="8" w:color="4C4C4C"/>
            </w:tcBorders>
          </w:tcPr>
          <w:p>
            <w:pPr>
              <w:spacing w:after="0"/>
              <w:rPr>
                <w:sz w:val="7"/>
                <w:szCs w:val="7"/>
                <w:color w:val="auto"/>
              </w:rPr>
            </w:pPr>
          </w:p>
        </w:tc>
        <w:tc>
          <w:tcPr>
            <w:tcW w:w="86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Pr>
          <w:p>
            <w:pPr>
              <w:ind w:left="40"/>
              <w:spacing w:after="0" w:line="183" w:lineRule="exact"/>
              <w:rPr>
                <w:sz w:val="20"/>
                <w:szCs w:val="20"/>
                <w:color w:val="auto"/>
              </w:rPr>
            </w:pPr>
            <w:r>
              <w:rPr>
                <w:rFonts w:ascii="Times New Roman" w:cs="Times New Roman" w:eastAsia="Times New Roman" w:hAnsi="Times New Roman"/>
                <w:sz w:val="20"/>
                <w:szCs w:val="20"/>
                <w:b w:val="1"/>
                <w:bCs w:val="1"/>
                <w:color w:val="auto"/>
              </w:rPr>
              <w:t>Total consolidated and equity interests in</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line="196" w:lineRule="exact"/>
              <w:rPr>
                <w:sz w:val="20"/>
                <w:szCs w:val="20"/>
                <w:color w:val="auto"/>
              </w:rPr>
            </w:pPr>
            <w:r>
              <w:rPr>
                <w:rFonts w:ascii="Times New Roman" w:cs="Times New Roman" w:eastAsia="Times New Roman" w:hAnsi="Times New Roman"/>
                <w:sz w:val="20"/>
                <w:szCs w:val="20"/>
                <w:b w:val="1"/>
                <w:bCs w:val="1"/>
                <w:color w:val="auto"/>
              </w:rPr>
              <w:t>standardized measure of discounted future</w:t>
            </w: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50,033</w:t>
            </w:r>
          </w:p>
        </w:tc>
        <w:tc>
          <w:tcPr>
            <w:tcW w:w="1100" w:type="dxa"/>
            <w:vAlign w:val="bottom"/>
            <w:vMerge w:val="restart"/>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28,710</w:t>
            </w:r>
          </w:p>
        </w:tc>
        <w:tc>
          <w:tcPr>
            <w:tcW w:w="980" w:type="dxa"/>
            <w:vAlign w:val="bottom"/>
            <w:vMerge w:val="restart"/>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2,609</w:t>
            </w:r>
          </w:p>
        </w:tc>
        <w:tc>
          <w:tcPr>
            <w:tcW w:w="860" w:type="dxa"/>
            <w:vAlign w:val="bottom"/>
            <w:vMerge w:val="restart"/>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7,327</w:t>
            </w: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50,080</w:t>
            </w:r>
          </w:p>
        </w:tc>
        <w:tc>
          <w:tcPr>
            <w:tcW w:w="940" w:type="dxa"/>
            <w:vAlign w:val="bottom"/>
            <w:vMerge w:val="restart"/>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15,060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153,819</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4C4C4C"/>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net cash flows</w:t>
            </w:r>
          </w:p>
        </w:tc>
        <w:tc>
          <w:tcPr>
            <w:tcW w:w="940" w:type="dxa"/>
            <w:vAlign w:val="bottom"/>
            <w:tcBorders>
              <w:bottom w:val="single" w:sz="8" w:color="4C4C4C"/>
            </w:tcBorders>
            <w:vMerge w:val="continue"/>
          </w:tcPr>
          <w:p>
            <w:pPr>
              <w:spacing w:after="0"/>
              <w:rPr>
                <w:sz w:val="22"/>
                <w:szCs w:val="22"/>
                <w:color w:val="auto"/>
              </w:rPr>
            </w:pPr>
          </w:p>
        </w:tc>
        <w:tc>
          <w:tcPr>
            <w:tcW w:w="1100" w:type="dxa"/>
            <w:vAlign w:val="bottom"/>
            <w:tcBorders>
              <w:bottom w:val="single" w:sz="8" w:color="4C4C4C"/>
            </w:tcBorders>
            <w:vMerge w:val="continue"/>
          </w:tcPr>
          <w:p>
            <w:pPr>
              <w:spacing w:after="0"/>
              <w:rPr>
                <w:sz w:val="22"/>
                <w:szCs w:val="22"/>
                <w:color w:val="auto"/>
              </w:rPr>
            </w:pPr>
          </w:p>
        </w:tc>
        <w:tc>
          <w:tcPr>
            <w:tcW w:w="980" w:type="dxa"/>
            <w:vAlign w:val="bottom"/>
            <w:tcBorders>
              <w:bottom w:val="single" w:sz="8" w:color="4C4C4C"/>
            </w:tcBorders>
            <w:vMerge w:val="continue"/>
          </w:tcPr>
          <w:p>
            <w:pPr>
              <w:spacing w:after="0"/>
              <w:rPr>
                <w:sz w:val="22"/>
                <w:szCs w:val="22"/>
                <w:color w:val="auto"/>
              </w:rPr>
            </w:pPr>
          </w:p>
        </w:tc>
        <w:tc>
          <w:tcPr>
            <w:tcW w:w="860" w:type="dxa"/>
            <w:vAlign w:val="bottom"/>
            <w:tcBorders>
              <w:bottom w:val="single" w:sz="8" w:color="4C4C4C"/>
            </w:tcBorders>
            <w:vMerge w:val="continue"/>
          </w:tcPr>
          <w:p>
            <w:pPr>
              <w:spacing w:after="0"/>
              <w:rPr>
                <w:sz w:val="22"/>
                <w:szCs w:val="22"/>
                <w:color w:val="auto"/>
              </w:rPr>
            </w:pPr>
          </w:p>
        </w:tc>
        <w:tc>
          <w:tcPr>
            <w:tcW w:w="900" w:type="dxa"/>
            <w:vAlign w:val="bottom"/>
            <w:tcBorders>
              <w:bottom w:val="single" w:sz="8" w:color="4C4C4C"/>
            </w:tcBorders>
            <w:vMerge w:val="continue"/>
          </w:tcPr>
          <w:p>
            <w:pPr>
              <w:spacing w:after="0"/>
              <w:rPr>
                <w:sz w:val="22"/>
                <w:szCs w:val="22"/>
                <w:color w:val="auto"/>
              </w:rPr>
            </w:pPr>
          </w:p>
        </w:tc>
        <w:tc>
          <w:tcPr>
            <w:tcW w:w="940" w:type="dxa"/>
            <w:vAlign w:val="bottom"/>
            <w:tcBorders>
              <w:bottom w:val="single" w:sz="8" w:color="4C4C4C"/>
            </w:tcBorders>
            <w:vMerge w:val="continue"/>
          </w:tcPr>
          <w:p>
            <w:pPr>
              <w:spacing w:after="0"/>
              <w:rPr>
                <w:sz w:val="22"/>
                <w:szCs w:val="22"/>
                <w:color w:val="auto"/>
              </w:rPr>
            </w:pPr>
          </w:p>
        </w:tc>
        <w:tc>
          <w:tcPr>
            <w:tcW w:w="86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20" w:hanging="153"/>
        <w:spacing w:after="0"/>
        <w:tabs>
          <w:tab w:leader="none" w:pos="220" w:val="left"/>
        </w:tabs>
        <w:numPr>
          <w:ilvl w:val="0"/>
          <w:numId w:val="6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Includes discounted future net cash flows attributable to noncontrolling interests in ExxonMobil consolidated subsidiaries of $3,666 million in 2021.</w:t>
      </w:r>
    </w:p>
    <w:p>
      <w:pPr>
        <w:sectPr>
          <w:pgSz w:w="11880" w:h="15480" w:orient="portrait"/>
          <w:cols w:equalWidth="0" w:num="1">
            <w:col w:w="10600"/>
          </w:cols>
          <w:pgMar w:left="640" w:top="72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ectPr>
          <w:pgSz w:w="11880" w:h="15480" w:orient="portrait"/>
          <w:cols w:equalWidth="0" w:num="1">
            <w:col w:w="10600"/>
          </w:cols>
          <w:pgMar w:left="640" w:top="724" w:right="64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3980" w:type="dxa"/>
            <w:vAlign w:val="bottom"/>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Standardized Measure of Discounted</w:t>
            </w:r>
          </w:p>
        </w:tc>
        <w:tc>
          <w:tcPr>
            <w:tcW w:w="940" w:type="dxa"/>
            <w:vAlign w:val="bottom"/>
            <w:vMerge w:val="restart"/>
            <w:shd w:val="clear" w:color="auto" w:fill="4C4C4C"/>
          </w:tcPr>
          <w:p>
            <w:pPr>
              <w:jc w:val="right"/>
              <w:ind w:right="143"/>
              <w:spacing w:after="0"/>
              <w:rPr>
                <w:sz w:val="20"/>
                <w:szCs w:val="20"/>
                <w:color w:val="auto"/>
              </w:rPr>
            </w:pPr>
            <w:r>
              <w:rPr>
                <w:rFonts w:ascii="Times New Roman" w:cs="Times New Roman" w:eastAsia="Times New Roman" w:hAnsi="Times New Roman"/>
                <w:sz w:val="16"/>
                <w:szCs w:val="16"/>
                <w:b w:val="1"/>
                <w:bCs w:val="1"/>
                <w:color w:val="FFFFFF"/>
              </w:rPr>
              <w:t>United</w:t>
            </w:r>
          </w:p>
        </w:tc>
        <w:tc>
          <w:tcPr>
            <w:tcW w:w="11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Canada/</w:t>
            </w:r>
          </w:p>
        </w:tc>
        <w:tc>
          <w:tcPr>
            <w:tcW w:w="980" w:type="dxa"/>
            <w:vAlign w:val="bottom"/>
            <w:shd w:val="clear" w:color="auto" w:fill="4C4C4C"/>
          </w:tcPr>
          <w:p>
            <w:pPr>
              <w:spacing w:after="0"/>
              <w:rPr>
                <w:sz w:val="19"/>
                <w:szCs w:val="19"/>
                <w:color w:val="auto"/>
              </w:rPr>
            </w:pPr>
          </w:p>
        </w:tc>
        <w:tc>
          <w:tcPr>
            <w:tcW w:w="860" w:type="dxa"/>
            <w:vAlign w:val="bottom"/>
            <w:shd w:val="clear" w:color="auto" w:fill="4C4C4C"/>
          </w:tcPr>
          <w:p>
            <w:pPr>
              <w:spacing w:after="0"/>
              <w:rPr>
                <w:sz w:val="19"/>
                <w:szCs w:val="19"/>
                <w:color w:val="auto"/>
              </w:rPr>
            </w:pPr>
          </w:p>
        </w:tc>
        <w:tc>
          <w:tcPr>
            <w:tcW w:w="900" w:type="dxa"/>
            <w:vAlign w:val="bottom"/>
            <w:shd w:val="clear" w:color="auto" w:fill="4C4C4C"/>
          </w:tcPr>
          <w:p>
            <w:pPr>
              <w:spacing w:after="0"/>
              <w:rPr>
                <w:sz w:val="19"/>
                <w:szCs w:val="19"/>
                <w:color w:val="auto"/>
              </w:rPr>
            </w:pPr>
          </w:p>
        </w:tc>
        <w:tc>
          <w:tcPr>
            <w:tcW w:w="900" w:type="dxa"/>
            <w:vAlign w:val="bottom"/>
            <w:vMerge w:val="restart"/>
            <w:shd w:val="clear" w:color="auto" w:fill="4C4C4C"/>
          </w:tcPr>
          <w:p>
            <w:pPr>
              <w:jc w:val="right"/>
              <w:ind w:right="23"/>
              <w:spacing w:after="0"/>
              <w:rPr>
                <w:sz w:val="20"/>
                <w:szCs w:val="20"/>
                <w:color w:val="auto"/>
              </w:rPr>
            </w:pPr>
            <w:r>
              <w:rPr>
                <w:rFonts w:ascii="Times New Roman" w:cs="Times New Roman" w:eastAsia="Times New Roman" w:hAnsi="Times New Roman"/>
                <w:sz w:val="16"/>
                <w:szCs w:val="16"/>
                <w:b w:val="1"/>
                <w:bCs w:val="1"/>
                <w:color w:val="FFFFFF"/>
              </w:rPr>
              <w:t>Australia/</w:t>
            </w:r>
          </w:p>
        </w:tc>
        <w:tc>
          <w:tcPr>
            <w:tcW w:w="900" w:type="dxa"/>
            <w:vAlign w:val="bottom"/>
            <w:shd w:val="clear" w:color="auto" w:fill="4C4C4C"/>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980" w:type="dxa"/>
            <w:vAlign w:val="bottom"/>
            <w:vMerge w:val="restart"/>
            <w:shd w:val="clear" w:color="auto" w:fill="4C4C4C"/>
          </w:tcPr>
          <w:p>
            <w:pPr>
              <w:ind w:left="40"/>
              <w:spacing w:after="0" w:line="184" w:lineRule="exact"/>
              <w:rPr>
                <w:sz w:val="20"/>
                <w:szCs w:val="20"/>
                <w:color w:val="auto"/>
              </w:rPr>
            </w:pPr>
            <w:r>
              <w:rPr>
                <w:rFonts w:ascii="Times New Roman" w:cs="Times New Roman" w:eastAsia="Times New Roman" w:hAnsi="Times New Roman"/>
                <w:sz w:val="20"/>
                <w:szCs w:val="20"/>
                <w:b w:val="1"/>
                <w:bCs w:val="1"/>
                <w:color w:val="FFFFFF"/>
              </w:rPr>
              <w:t>Future Cash Flows (continued)</w:t>
            </w:r>
          </w:p>
        </w:tc>
        <w:tc>
          <w:tcPr>
            <w:tcW w:w="940" w:type="dxa"/>
            <w:vAlign w:val="bottom"/>
            <w:vMerge w:val="continue"/>
            <w:shd w:val="clear" w:color="auto" w:fill="4C4C4C"/>
          </w:tcPr>
          <w:p>
            <w:pPr>
              <w:spacing w:after="0"/>
              <w:rPr>
                <w:sz w:val="6"/>
                <w:szCs w:val="6"/>
                <w:color w:val="auto"/>
              </w:rPr>
            </w:pPr>
          </w:p>
        </w:tc>
        <w:tc>
          <w:tcPr>
            <w:tcW w:w="11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Other</w:t>
            </w:r>
          </w:p>
        </w:tc>
        <w:tc>
          <w:tcPr>
            <w:tcW w:w="980" w:type="dxa"/>
            <w:vAlign w:val="bottom"/>
            <w:vMerge w:val="restart"/>
            <w:shd w:val="clear" w:color="auto" w:fill="4C4C4C"/>
          </w:tcPr>
          <w:p>
            <w:pPr>
              <w:jc w:val="right"/>
              <w:ind w:right="223"/>
              <w:spacing w:after="0"/>
              <w:rPr>
                <w:sz w:val="20"/>
                <w:szCs w:val="20"/>
                <w:color w:val="auto"/>
              </w:rPr>
            </w:pPr>
            <w:r>
              <w:rPr>
                <w:rFonts w:ascii="Times New Roman" w:cs="Times New Roman" w:eastAsia="Times New Roman" w:hAnsi="Times New Roman"/>
                <w:sz w:val="16"/>
                <w:szCs w:val="16"/>
                <w:b w:val="1"/>
                <w:bCs w:val="1"/>
                <w:color w:val="FFFFFF"/>
              </w:rPr>
              <w:t>Europe</w:t>
            </w:r>
          </w:p>
        </w:tc>
        <w:tc>
          <w:tcPr>
            <w:tcW w:w="860" w:type="dxa"/>
            <w:vAlign w:val="bottom"/>
            <w:vMerge w:val="restart"/>
            <w:shd w:val="clear" w:color="auto" w:fill="4C4C4C"/>
          </w:tcPr>
          <w:p>
            <w:pPr>
              <w:jc w:val="right"/>
              <w:ind w:right="203"/>
              <w:spacing w:after="0"/>
              <w:rPr>
                <w:sz w:val="20"/>
                <w:szCs w:val="20"/>
                <w:color w:val="auto"/>
              </w:rPr>
            </w:pPr>
            <w:r>
              <w:rPr>
                <w:rFonts w:ascii="Times New Roman" w:cs="Times New Roman" w:eastAsia="Times New Roman" w:hAnsi="Times New Roman"/>
                <w:sz w:val="16"/>
                <w:szCs w:val="16"/>
                <w:b w:val="1"/>
                <w:bCs w:val="1"/>
                <w:color w:val="FFFFFF"/>
              </w:rPr>
              <w:t>Africa</w:t>
            </w:r>
          </w:p>
        </w:tc>
        <w:tc>
          <w:tcPr>
            <w:tcW w:w="900" w:type="dxa"/>
            <w:vAlign w:val="bottom"/>
            <w:vMerge w:val="restart"/>
            <w:shd w:val="clear" w:color="auto" w:fill="4C4C4C"/>
          </w:tcPr>
          <w:p>
            <w:pPr>
              <w:jc w:val="right"/>
              <w:ind w:right="243"/>
              <w:spacing w:after="0"/>
              <w:rPr>
                <w:sz w:val="20"/>
                <w:szCs w:val="20"/>
                <w:color w:val="auto"/>
              </w:rPr>
            </w:pPr>
            <w:r>
              <w:rPr>
                <w:rFonts w:ascii="Times New Roman" w:cs="Times New Roman" w:eastAsia="Times New Roman" w:hAnsi="Times New Roman"/>
                <w:sz w:val="16"/>
                <w:szCs w:val="16"/>
                <w:b w:val="1"/>
                <w:bCs w:val="1"/>
                <w:color w:val="FFFFFF"/>
              </w:rPr>
              <w:t>Asia</w:t>
            </w:r>
          </w:p>
        </w:tc>
        <w:tc>
          <w:tcPr>
            <w:tcW w:w="900" w:type="dxa"/>
            <w:vAlign w:val="bottom"/>
            <w:vMerge w:val="continue"/>
            <w:shd w:val="clear" w:color="auto" w:fill="4C4C4C"/>
          </w:tcPr>
          <w:p>
            <w:pPr>
              <w:spacing w:after="0"/>
              <w:rPr>
                <w:sz w:val="6"/>
                <w:szCs w:val="6"/>
                <w:color w:val="auto"/>
              </w:rPr>
            </w:pPr>
          </w:p>
        </w:tc>
        <w:tc>
          <w:tcPr>
            <w:tcW w:w="900" w:type="dxa"/>
            <w:vAlign w:val="bottom"/>
            <w:vMerge w:val="restart"/>
            <w:shd w:val="clear" w:color="auto" w:fill="4C4C4C"/>
          </w:tcPr>
          <w:p>
            <w:pPr>
              <w:jc w:val="right"/>
              <w:ind w:right="163"/>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104"/>
        </w:trPr>
        <w:tc>
          <w:tcPr>
            <w:tcW w:w="3980" w:type="dxa"/>
            <w:vAlign w:val="bottom"/>
            <w:vMerge w:val="continue"/>
            <w:shd w:val="clear" w:color="auto" w:fill="4C4C4C"/>
          </w:tcPr>
          <w:p>
            <w:pPr>
              <w:spacing w:after="0"/>
              <w:rPr>
                <w:sz w:val="9"/>
                <w:szCs w:val="9"/>
                <w:color w:val="auto"/>
              </w:rPr>
            </w:pPr>
          </w:p>
        </w:tc>
        <w:tc>
          <w:tcPr>
            <w:tcW w:w="940" w:type="dxa"/>
            <w:vAlign w:val="bottom"/>
            <w:vMerge w:val="restart"/>
            <w:shd w:val="clear" w:color="auto" w:fill="4C4C4C"/>
          </w:tcPr>
          <w:p>
            <w:pPr>
              <w:jc w:val="right"/>
              <w:ind w:right="163"/>
              <w:spacing w:after="0"/>
              <w:rPr>
                <w:sz w:val="20"/>
                <w:szCs w:val="20"/>
                <w:color w:val="auto"/>
              </w:rPr>
            </w:pPr>
            <w:r>
              <w:rPr>
                <w:rFonts w:ascii="Times New Roman" w:cs="Times New Roman" w:eastAsia="Times New Roman" w:hAnsi="Times New Roman"/>
                <w:sz w:val="16"/>
                <w:szCs w:val="16"/>
                <w:b w:val="1"/>
                <w:bCs w:val="1"/>
                <w:color w:val="FFFFFF"/>
              </w:rPr>
              <w:t>States</w:t>
            </w:r>
          </w:p>
        </w:tc>
        <w:tc>
          <w:tcPr>
            <w:tcW w:w="1100" w:type="dxa"/>
            <w:vAlign w:val="bottom"/>
            <w:vMerge w:val="continue"/>
            <w:shd w:val="clear" w:color="auto" w:fill="4C4C4C"/>
          </w:tcPr>
          <w:p>
            <w:pPr>
              <w:spacing w:after="0"/>
              <w:rPr>
                <w:sz w:val="9"/>
                <w:szCs w:val="9"/>
                <w:color w:val="auto"/>
              </w:rPr>
            </w:pPr>
          </w:p>
        </w:tc>
        <w:tc>
          <w:tcPr>
            <w:tcW w:w="980" w:type="dxa"/>
            <w:vAlign w:val="bottom"/>
            <w:vMerge w:val="continue"/>
            <w:shd w:val="clear" w:color="auto" w:fill="4C4C4C"/>
          </w:tcPr>
          <w:p>
            <w:pPr>
              <w:spacing w:after="0"/>
              <w:rPr>
                <w:sz w:val="9"/>
                <w:szCs w:val="9"/>
                <w:color w:val="auto"/>
              </w:rPr>
            </w:pPr>
          </w:p>
        </w:tc>
        <w:tc>
          <w:tcPr>
            <w:tcW w:w="860" w:type="dxa"/>
            <w:vAlign w:val="bottom"/>
            <w:vMerge w:val="continue"/>
            <w:shd w:val="clear" w:color="auto" w:fill="4C4C4C"/>
          </w:tcPr>
          <w:p>
            <w:pPr>
              <w:spacing w:after="0"/>
              <w:rPr>
                <w:sz w:val="9"/>
                <w:szCs w:val="9"/>
                <w:color w:val="auto"/>
              </w:rPr>
            </w:pPr>
          </w:p>
        </w:tc>
        <w:tc>
          <w:tcPr>
            <w:tcW w:w="900" w:type="dxa"/>
            <w:vAlign w:val="bottom"/>
            <w:vMerge w:val="continue"/>
            <w:shd w:val="clear" w:color="auto" w:fill="4C4C4C"/>
          </w:tcPr>
          <w:p>
            <w:pPr>
              <w:spacing w:after="0"/>
              <w:rPr>
                <w:sz w:val="9"/>
                <w:szCs w:val="9"/>
                <w:color w:val="auto"/>
              </w:rPr>
            </w:pPr>
          </w:p>
        </w:tc>
        <w:tc>
          <w:tcPr>
            <w:tcW w:w="900" w:type="dxa"/>
            <w:vAlign w:val="bottom"/>
            <w:vMerge w:val="restart"/>
            <w:shd w:val="clear" w:color="auto" w:fill="4C4C4C"/>
          </w:tcPr>
          <w:p>
            <w:pPr>
              <w:jc w:val="right"/>
              <w:ind w:right="83"/>
              <w:spacing w:after="0"/>
              <w:rPr>
                <w:sz w:val="20"/>
                <w:szCs w:val="20"/>
                <w:color w:val="auto"/>
              </w:rPr>
            </w:pPr>
            <w:r>
              <w:rPr>
                <w:rFonts w:ascii="Times New Roman" w:cs="Times New Roman" w:eastAsia="Times New Roman" w:hAnsi="Times New Roman"/>
                <w:sz w:val="16"/>
                <w:szCs w:val="16"/>
                <w:b w:val="1"/>
                <w:bCs w:val="1"/>
                <w:color w:val="FFFFFF"/>
              </w:rPr>
              <w:t>Oceania</w:t>
            </w:r>
          </w:p>
        </w:tc>
        <w:tc>
          <w:tcPr>
            <w:tcW w:w="900" w:type="dxa"/>
            <w:vAlign w:val="bottom"/>
            <w:vMerge w:val="continue"/>
            <w:shd w:val="clear" w:color="auto" w:fill="4C4C4C"/>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4C4C4C"/>
          </w:tcPr>
          <w:p>
            <w:pPr>
              <w:ind w:left="40"/>
              <w:spacing w:after="0"/>
              <w:rPr>
                <w:sz w:val="20"/>
                <w:szCs w:val="20"/>
                <w:color w:val="auto"/>
              </w:rPr>
            </w:pPr>
            <w:r>
              <w:rPr>
                <w:rFonts w:ascii="Times New Roman" w:cs="Times New Roman" w:eastAsia="Times New Roman" w:hAnsi="Times New Roman"/>
                <w:sz w:val="16"/>
                <w:szCs w:val="16"/>
                <w:i w:val="1"/>
                <w:iCs w:val="1"/>
                <w:color w:val="FFFFFF"/>
              </w:rPr>
              <w:t>(millions of dollars)</w:t>
            </w:r>
          </w:p>
        </w:tc>
        <w:tc>
          <w:tcPr>
            <w:tcW w:w="940" w:type="dxa"/>
            <w:vAlign w:val="bottom"/>
            <w:vMerge w:val="continue"/>
            <w:shd w:val="clear" w:color="auto" w:fill="4C4C4C"/>
          </w:tcPr>
          <w:p>
            <w:pPr>
              <w:spacing w:after="0"/>
              <w:rPr>
                <w:sz w:val="21"/>
                <w:szCs w:val="21"/>
                <w:color w:val="auto"/>
              </w:rPr>
            </w:pPr>
          </w:p>
        </w:tc>
        <w:tc>
          <w:tcPr>
            <w:tcW w:w="11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 xml:space="preserve">Americas </w:t>
            </w:r>
            <w:r>
              <w:rPr>
                <w:rFonts w:ascii="Times New Roman" w:cs="Times New Roman" w:eastAsia="Times New Roman" w:hAnsi="Times New Roman"/>
                <w:sz w:val="20"/>
                <w:szCs w:val="20"/>
                <w:i w:val="1"/>
                <w:iCs w:val="1"/>
                <w:color w:val="FFFFFF"/>
                <w:w w:val="94"/>
                <w:vertAlign w:val="superscript"/>
              </w:rPr>
              <w:t>(1)</w:t>
            </w:r>
          </w:p>
        </w:tc>
        <w:tc>
          <w:tcPr>
            <w:tcW w:w="980" w:type="dxa"/>
            <w:vAlign w:val="bottom"/>
            <w:shd w:val="clear" w:color="auto" w:fill="4C4C4C"/>
          </w:tcPr>
          <w:p>
            <w:pPr>
              <w:spacing w:after="0"/>
              <w:rPr>
                <w:sz w:val="21"/>
                <w:szCs w:val="21"/>
                <w:color w:val="auto"/>
              </w:rPr>
            </w:pPr>
          </w:p>
        </w:tc>
        <w:tc>
          <w:tcPr>
            <w:tcW w:w="860" w:type="dxa"/>
            <w:vAlign w:val="bottom"/>
            <w:shd w:val="clear" w:color="auto" w:fill="4C4C4C"/>
          </w:tcPr>
          <w:p>
            <w:pPr>
              <w:spacing w:after="0"/>
              <w:rPr>
                <w:sz w:val="21"/>
                <w:szCs w:val="21"/>
                <w:color w:val="auto"/>
              </w:rPr>
            </w:pPr>
          </w:p>
        </w:tc>
        <w:tc>
          <w:tcPr>
            <w:tcW w:w="900" w:type="dxa"/>
            <w:vAlign w:val="bottom"/>
            <w:shd w:val="clear" w:color="auto" w:fill="4C4C4C"/>
          </w:tcPr>
          <w:p>
            <w:pPr>
              <w:spacing w:after="0"/>
              <w:rPr>
                <w:sz w:val="21"/>
                <w:szCs w:val="21"/>
                <w:color w:val="auto"/>
              </w:rPr>
            </w:pPr>
          </w:p>
        </w:tc>
        <w:tc>
          <w:tcPr>
            <w:tcW w:w="900" w:type="dxa"/>
            <w:vAlign w:val="bottom"/>
            <w:vMerge w:val="continue"/>
            <w:shd w:val="clear" w:color="auto" w:fill="4C4C4C"/>
          </w:tcPr>
          <w:p>
            <w:pPr>
              <w:spacing w:after="0"/>
              <w:rPr>
                <w:sz w:val="21"/>
                <w:szCs w:val="21"/>
                <w:color w:val="auto"/>
              </w:rPr>
            </w:pPr>
          </w:p>
        </w:tc>
        <w:tc>
          <w:tcPr>
            <w:tcW w:w="900" w:type="dxa"/>
            <w:vAlign w:val="bottom"/>
            <w:shd w:val="clear" w:color="auto" w:fill="4C4C4C"/>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As of December 31, 2022</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Consolidated Subsidiaries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cash inflows from sales of oil and gas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316,486</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284,643</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11,806</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30,040</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271,732</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114,959</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1,029,666</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production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78,939</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113,264</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2,627</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7,489</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63,705</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21,972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287,996</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development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31,960</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34,968</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2,016</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6,143</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9,241</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7,089</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91,417</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Future income tax expenses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45,278</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31,603</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3,164</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8,300</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156,595</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24,955</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269,895</w:t>
            </w:r>
          </w:p>
        </w:tc>
        <w:tc>
          <w:tcPr>
            <w:tcW w:w="0" w:type="dxa"/>
            <w:vAlign w:val="bottom"/>
          </w:tcPr>
          <w:p>
            <w:pPr>
              <w:spacing w:after="0"/>
              <w:rPr>
                <w:sz w:val="1"/>
                <w:szCs w:val="1"/>
                <w:color w:val="auto"/>
              </w:rPr>
            </w:pPr>
          </w:p>
        </w:tc>
      </w:tr>
      <w:tr>
        <w:trPr>
          <w:trHeight w:val="256"/>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net cash flows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160,309</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104,808</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3,999</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8,108</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42,191</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60,943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380,358</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Effect of discounting net cash flows at 10%</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83,711</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49,861</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187</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322</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21,772</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34,896</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190,749</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Discounted future net cash flows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76,598</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54,947</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3,812</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7,786</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20,419</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26,047</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189,609</w:t>
            </w:r>
          </w:p>
        </w:tc>
        <w:tc>
          <w:tcPr>
            <w:tcW w:w="0" w:type="dxa"/>
            <w:vAlign w:val="bottom"/>
          </w:tcPr>
          <w:p>
            <w:pPr>
              <w:spacing w:after="0"/>
              <w:rPr>
                <w:sz w:val="1"/>
                <w:szCs w:val="1"/>
                <w:color w:val="auto"/>
              </w:rPr>
            </w:pPr>
          </w:p>
        </w:tc>
      </w:tr>
      <w:tr>
        <w:trPr>
          <w:trHeight w:val="356"/>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Equity Companies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cash inflows from sales of oil and gas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12,312</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13,706</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7,194</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261,409</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294,621</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production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5,379</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1,981</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266</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96,788</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104,414</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development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1,773</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895</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60</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7,275</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10,003</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Future income tax expenses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5,262</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1,965</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51,838</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59,065</w:t>
            </w:r>
          </w:p>
        </w:tc>
        <w:tc>
          <w:tcPr>
            <w:tcW w:w="0" w:type="dxa"/>
            <w:vAlign w:val="bottom"/>
          </w:tcPr>
          <w:p>
            <w:pPr>
              <w:spacing w:after="0"/>
              <w:rPr>
                <w:sz w:val="1"/>
                <w:szCs w:val="1"/>
                <w:color w:val="auto"/>
              </w:rPr>
            </w:pPr>
          </w:p>
        </w:tc>
      </w:tr>
      <w:tr>
        <w:trPr>
          <w:trHeight w:val="256"/>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net cash flows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5,160</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5,568</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4,903</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105,508</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121,139</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Effect of discounting net cash flows at 10%</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2,236</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2,234</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2,694</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44,728</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51,892</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Discounted future net cash flows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2,924</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3,334</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2,209</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60,780</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69,247</w:t>
            </w:r>
          </w:p>
        </w:tc>
        <w:tc>
          <w:tcPr>
            <w:tcW w:w="0" w:type="dxa"/>
            <w:vAlign w:val="bottom"/>
          </w:tcPr>
          <w:p>
            <w:pPr>
              <w:spacing w:after="0"/>
              <w:rPr>
                <w:sz w:val="1"/>
                <w:szCs w:val="1"/>
                <w:color w:val="auto"/>
              </w:rPr>
            </w:pPr>
          </w:p>
        </w:tc>
      </w:tr>
      <w:tr>
        <w:trPr>
          <w:trHeight w:val="83"/>
        </w:trPr>
        <w:tc>
          <w:tcPr>
            <w:tcW w:w="3980" w:type="dxa"/>
            <w:vAlign w:val="bottom"/>
            <w:tcBorders>
              <w:bottom w:val="single" w:sz="8" w:color="4C4C4C"/>
            </w:tcBorders>
          </w:tcPr>
          <w:p>
            <w:pPr>
              <w:spacing w:after="0"/>
              <w:rPr>
                <w:sz w:val="7"/>
                <w:szCs w:val="7"/>
                <w:color w:val="auto"/>
              </w:rPr>
            </w:pPr>
          </w:p>
        </w:tc>
        <w:tc>
          <w:tcPr>
            <w:tcW w:w="940" w:type="dxa"/>
            <w:vAlign w:val="bottom"/>
            <w:tcBorders>
              <w:bottom w:val="single" w:sz="8" w:color="4C4C4C"/>
            </w:tcBorders>
          </w:tcPr>
          <w:p>
            <w:pPr>
              <w:spacing w:after="0"/>
              <w:rPr>
                <w:sz w:val="7"/>
                <w:szCs w:val="7"/>
                <w:color w:val="auto"/>
              </w:rPr>
            </w:pPr>
          </w:p>
        </w:tc>
        <w:tc>
          <w:tcPr>
            <w:tcW w:w="1100" w:type="dxa"/>
            <w:vAlign w:val="bottom"/>
            <w:tcBorders>
              <w:bottom w:val="single" w:sz="8" w:color="4C4C4C"/>
            </w:tcBorders>
          </w:tcPr>
          <w:p>
            <w:pPr>
              <w:spacing w:after="0"/>
              <w:rPr>
                <w:sz w:val="7"/>
                <w:szCs w:val="7"/>
                <w:color w:val="auto"/>
              </w:rPr>
            </w:pPr>
          </w:p>
        </w:tc>
        <w:tc>
          <w:tcPr>
            <w:tcW w:w="980" w:type="dxa"/>
            <w:vAlign w:val="bottom"/>
            <w:tcBorders>
              <w:bottom w:val="single" w:sz="8" w:color="4C4C4C"/>
            </w:tcBorders>
          </w:tcPr>
          <w:p>
            <w:pPr>
              <w:spacing w:after="0"/>
              <w:rPr>
                <w:sz w:val="7"/>
                <w:szCs w:val="7"/>
                <w:color w:val="auto"/>
              </w:rPr>
            </w:pPr>
          </w:p>
        </w:tc>
        <w:tc>
          <w:tcPr>
            <w:tcW w:w="860" w:type="dxa"/>
            <w:vAlign w:val="bottom"/>
            <w:tcBorders>
              <w:bottom w:val="single" w:sz="8" w:color="4C4C4C"/>
            </w:tcBorders>
          </w:tcPr>
          <w:p>
            <w:pPr>
              <w:spacing w:after="0"/>
              <w:rPr>
                <w:sz w:val="7"/>
                <w:szCs w:val="7"/>
                <w:color w:val="auto"/>
              </w:rPr>
            </w:pPr>
          </w:p>
        </w:tc>
        <w:tc>
          <w:tcPr>
            <w:tcW w:w="900" w:type="dxa"/>
            <w:vAlign w:val="bottom"/>
            <w:tcBorders>
              <w:bottom w:val="single" w:sz="8" w:color="4C4C4C"/>
            </w:tcBorders>
          </w:tcPr>
          <w:p>
            <w:pPr>
              <w:spacing w:after="0"/>
              <w:rPr>
                <w:sz w:val="7"/>
                <w:szCs w:val="7"/>
                <w:color w:val="auto"/>
              </w:rPr>
            </w:pPr>
          </w:p>
        </w:tc>
        <w:tc>
          <w:tcPr>
            <w:tcW w:w="900" w:type="dxa"/>
            <w:vAlign w:val="bottom"/>
            <w:tcBorders>
              <w:bottom w:val="single" w:sz="8" w:color="4C4C4C"/>
            </w:tcBorders>
          </w:tcPr>
          <w:p>
            <w:pPr>
              <w:spacing w:after="0"/>
              <w:rPr>
                <w:sz w:val="7"/>
                <w:szCs w:val="7"/>
                <w:color w:val="auto"/>
              </w:rPr>
            </w:pPr>
          </w:p>
        </w:tc>
        <w:tc>
          <w:tcPr>
            <w:tcW w:w="90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Pr>
          <w:p>
            <w:pPr>
              <w:ind w:left="40"/>
              <w:spacing w:after="0" w:line="183" w:lineRule="exact"/>
              <w:rPr>
                <w:sz w:val="20"/>
                <w:szCs w:val="20"/>
                <w:color w:val="auto"/>
              </w:rPr>
            </w:pPr>
            <w:r>
              <w:rPr>
                <w:rFonts w:ascii="Times New Roman" w:cs="Times New Roman" w:eastAsia="Times New Roman" w:hAnsi="Times New Roman"/>
                <w:sz w:val="20"/>
                <w:szCs w:val="20"/>
                <w:b w:val="1"/>
                <w:bCs w:val="1"/>
                <w:color w:val="auto"/>
              </w:rPr>
              <w:t>Total consolidated and equity interests in</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line="196" w:lineRule="exact"/>
              <w:rPr>
                <w:sz w:val="20"/>
                <w:szCs w:val="20"/>
                <w:color w:val="auto"/>
              </w:rPr>
            </w:pPr>
            <w:r>
              <w:rPr>
                <w:rFonts w:ascii="Times New Roman" w:cs="Times New Roman" w:eastAsia="Times New Roman" w:hAnsi="Times New Roman"/>
                <w:sz w:val="20"/>
                <w:szCs w:val="20"/>
                <w:b w:val="1"/>
                <w:bCs w:val="1"/>
                <w:color w:val="auto"/>
              </w:rPr>
              <w:t>standardized measure of discounted future</w:t>
            </w: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79,522</w:t>
            </w:r>
          </w:p>
        </w:tc>
        <w:tc>
          <w:tcPr>
            <w:tcW w:w="1100" w:type="dxa"/>
            <w:vAlign w:val="bottom"/>
            <w:vMerge w:val="restart"/>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54,947</w:t>
            </w:r>
          </w:p>
        </w:tc>
        <w:tc>
          <w:tcPr>
            <w:tcW w:w="980" w:type="dxa"/>
            <w:vAlign w:val="bottom"/>
            <w:vMerge w:val="restart"/>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7,146</w:t>
            </w:r>
          </w:p>
        </w:tc>
        <w:tc>
          <w:tcPr>
            <w:tcW w:w="860" w:type="dxa"/>
            <w:vAlign w:val="bottom"/>
            <w:vMerge w:val="restart"/>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9,995</w:t>
            </w: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81,199</w:t>
            </w: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26,047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258,856</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4C4C4C"/>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net cash flows</w:t>
            </w:r>
          </w:p>
        </w:tc>
        <w:tc>
          <w:tcPr>
            <w:tcW w:w="940" w:type="dxa"/>
            <w:vAlign w:val="bottom"/>
            <w:tcBorders>
              <w:bottom w:val="single" w:sz="8" w:color="4C4C4C"/>
            </w:tcBorders>
            <w:vMerge w:val="continue"/>
          </w:tcPr>
          <w:p>
            <w:pPr>
              <w:spacing w:after="0"/>
              <w:rPr>
                <w:sz w:val="22"/>
                <w:szCs w:val="22"/>
                <w:color w:val="auto"/>
              </w:rPr>
            </w:pPr>
          </w:p>
        </w:tc>
        <w:tc>
          <w:tcPr>
            <w:tcW w:w="1100" w:type="dxa"/>
            <w:vAlign w:val="bottom"/>
            <w:tcBorders>
              <w:bottom w:val="single" w:sz="8" w:color="4C4C4C"/>
            </w:tcBorders>
            <w:vMerge w:val="continue"/>
          </w:tcPr>
          <w:p>
            <w:pPr>
              <w:spacing w:after="0"/>
              <w:rPr>
                <w:sz w:val="22"/>
                <w:szCs w:val="22"/>
                <w:color w:val="auto"/>
              </w:rPr>
            </w:pPr>
          </w:p>
        </w:tc>
        <w:tc>
          <w:tcPr>
            <w:tcW w:w="980" w:type="dxa"/>
            <w:vAlign w:val="bottom"/>
            <w:tcBorders>
              <w:bottom w:val="single" w:sz="8" w:color="4C4C4C"/>
            </w:tcBorders>
            <w:vMerge w:val="continue"/>
          </w:tcPr>
          <w:p>
            <w:pPr>
              <w:spacing w:after="0"/>
              <w:rPr>
                <w:sz w:val="22"/>
                <w:szCs w:val="22"/>
                <w:color w:val="auto"/>
              </w:rPr>
            </w:pPr>
          </w:p>
        </w:tc>
        <w:tc>
          <w:tcPr>
            <w:tcW w:w="860" w:type="dxa"/>
            <w:vAlign w:val="bottom"/>
            <w:tcBorders>
              <w:bottom w:val="single" w:sz="8" w:color="4C4C4C"/>
            </w:tcBorders>
            <w:vMerge w:val="continue"/>
          </w:tcPr>
          <w:p>
            <w:pPr>
              <w:spacing w:after="0"/>
              <w:rPr>
                <w:sz w:val="22"/>
                <w:szCs w:val="22"/>
                <w:color w:val="auto"/>
              </w:rPr>
            </w:pPr>
          </w:p>
        </w:tc>
        <w:tc>
          <w:tcPr>
            <w:tcW w:w="900" w:type="dxa"/>
            <w:vAlign w:val="bottom"/>
            <w:tcBorders>
              <w:bottom w:val="single" w:sz="8" w:color="4C4C4C"/>
            </w:tcBorders>
            <w:vMerge w:val="continue"/>
          </w:tcPr>
          <w:p>
            <w:pPr>
              <w:spacing w:after="0"/>
              <w:rPr>
                <w:sz w:val="22"/>
                <w:szCs w:val="22"/>
                <w:color w:val="auto"/>
              </w:rPr>
            </w:pPr>
          </w:p>
        </w:tc>
        <w:tc>
          <w:tcPr>
            <w:tcW w:w="900" w:type="dxa"/>
            <w:vAlign w:val="bottom"/>
            <w:tcBorders>
              <w:bottom w:val="single" w:sz="8" w:color="4C4C4C"/>
            </w:tcBorders>
            <w:vMerge w:val="continue"/>
          </w:tcPr>
          <w:p>
            <w:pPr>
              <w:spacing w:after="0"/>
              <w:rPr>
                <w:sz w:val="22"/>
                <w:szCs w:val="22"/>
                <w:color w:val="auto"/>
              </w:rPr>
            </w:pPr>
          </w:p>
        </w:tc>
        <w:tc>
          <w:tcPr>
            <w:tcW w:w="90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47"/>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As of December 31, 2023</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Consolidated Subsidiaries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cash inflows from sales of oil and gas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213,623</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227,365</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3,918</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19,282</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221,822</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63,204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749,214</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production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68,753</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113,875</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1,611</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5,025</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52,672</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13,971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255,907</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development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37,784</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38,436</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1,881</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4,466</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11,926</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6,393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100,886</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Future income tax expenses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14,270</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15,973</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509</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4,337</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121,751</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12,119</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168,959</w:t>
            </w:r>
          </w:p>
        </w:tc>
        <w:tc>
          <w:tcPr>
            <w:tcW w:w="0" w:type="dxa"/>
            <w:vAlign w:val="bottom"/>
          </w:tcPr>
          <w:p>
            <w:pPr>
              <w:spacing w:after="0"/>
              <w:rPr>
                <w:sz w:val="1"/>
                <w:szCs w:val="1"/>
                <w:color w:val="auto"/>
              </w:rPr>
            </w:pPr>
          </w:p>
        </w:tc>
      </w:tr>
      <w:tr>
        <w:trPr>
          <w:trHeight w:val="256"/>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net cash flows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92,816</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59,081</w:t>
            </w: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(83)</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5,454</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35,473</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30,721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223,462</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Effect of discounting net cash flows at 10%</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49,199</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23,471</w:t>
            </w:r>
          </w:p>
        </w:tc>
        <w:tc>
          <w:tcPr>
            <w:tcW w:w="98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(762)</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402</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18,537</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16,215</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107,062</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Discounted future net cash flows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43,617</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35,610</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679</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5,052</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16,936</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14,506</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116,400</w:t>
            </w:r>
          </w:p>
        </w:tc>
        <w:tc>
          <w:tcPr>
            <w:tcW w:w="0" w:type="dxa"/>
            <w:vAlign w:val="bottom"/>
          </w:tcPr>
          <w:p>
            <w:pPr>
              <w:spacing w:after="0"/>
              <w:rPr>
                <w:sz w:val="1"/>
                <w:szCs w:val="1"/>
                <w:color w:val="auto"/>
              </w:rPr>
            </w:pPr>
          </w:p>
        </w:tc>
      </w:tr>
      <w:tr>
        <w:trPr>
          <w:trHeight w:val="356"/>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C4C4C"/>
              </w:rPr>
              <w:t>Equity Companies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cash inflows from sales of oil and gas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818</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5,101</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4,393</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158,643</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168,955</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production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503</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982</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233</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73,496</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75,214</w:t>
            </w:r>
          </w:p>
        </w:tc>
        <w:tc>
          <w:tcPr>
            <w:tcW w:w="0" w:type="dxa"/>
            <w:vAlign w:val="bottom"/>
          </w:tcPr>
          <w:p>
            <w:pPr>
              <w:spacing w:after="0"/>
              <w:rPr>
                <w:sz w:val="1"/>
                <w:szCs w:val="1"/>
                <w:color w:val="auto"/>
              </w:rPr>
            </w:pPr>
          </w:p>
        </w:tc>
      </w:tr>
      <w:tr>
        <w:trPr>
          <w:trHeight w:val="279"/>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development costs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75</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697</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100</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5,452</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6,324</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Future income tax expenses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1,539</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1,120</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24,374</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27,033</w:t>
            </w:r>
          </w:p>
        </w:tc>
        <w:tc>
          <w:tcPr>
            <w:tcW w:w="0" w:type="dxa"/>
            <w:vAlign w:val="bottom"/>
          </w:tcPr>
          <w:p>
            <w:pPr>
              <w:spacing w:after="0"/>
              <w:rPr>
                <w:sz w:val="1"/>
                <w:szCs w:val="1"/>
                <w:color w:val="auto"/>
              </w:rPr>
            </w:pPr>
          </w:p>
        </w:tc>
      </w:tr>
      <w:tr>
        <w:trPr>
          <w:trHeight w:val="256"/>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Future net cash flows</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240</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1,883</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2,940</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55,321</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60,384</w:t>
            </w:r>
          </w:p>
        </w:tc>
        <w:tc>
          <w:tcPr>
            <w:tcW w:w="0" w:type="dxa"/>
            <w:vAlign w:val="bottom"/>
          </w:tcPr>
          <w:p>
            <w:pPr>
              <w:spacing w:after="0"/>
              <w:rPr>
                <w:sz w:val="1"/>
                <w:szCs w:val="1"/>
                <w:color w:val="auto"/>
              </w:rPr>
            </w:pPr>
          </w:p>
        </w:tc>
      </w:tr>
      <w:tr>
        <w:trPr>
          <w:trHeight w:val="283"/>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color w:val="auto"/>
              </w:rPr>
              <w:t>Effect of discounting net cash flows at 10%</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76</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color w:val="auto"/>
              </w:rPr>
              <w:t>672</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color w:val="auto"/>
              </w:rPr>
              <w:t>1,635</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color w:val="auto"/>
              </w:rPr>
              <w:t>20,135</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22,518</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4C4C4C"/>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Discounted future net cash flows</w:t>
            </w:r>
          </w:p>
        </w:tc>
        <w:tc>
          <w:tcPr>
            <w:tcW w:w="94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164</w:t>
            </w:r>
          </w:p>
        </w:tc>
        <w:tc>
          <w:tcPr>
            <w:tcW w:w="1100" w:type="dxa"/>
            <w:vAlign w:val="bottom"/>
            <w:tcBorders>
              <w:bottom w:val="single" w:sz="8" w:color="4C4C4C"/>
            </w:tcBorders>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4C4C4C"/>
            </w:tcBorders>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1,211</w:t>
            </w:r>
          </w:p>
        </w:tc>
        <w:tc>
          <w:tcPr>
            <w:tcW w:w="860" w:type="dxa"/>
            <w:vAlign w:val="bottom"/>
            <w:tcBorders>
              <w:bottom w:val="single" w:sz="8" w:color="4C4C4C"/>
            </w:tcBorders>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1,305</w:t>
            </w:r>
          </w:p>
        </w:tc>
        <w:tc>
          <w:tcPr>
            <w:tcW w:w="900" w:type="dxa"/>
            <w:vAlign w:val="bottom"/>
            <w:tcBorders>
              <w:bottom w:val="single" w:sz="8" w:color="4C4C4C"/>
            </w:tcBorders>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35,186</w:t>
            </w:r>
          </w:p>
        </w:tc>
        <w:tc>
          <w:tcPr>
            <w:tcW w:w="900" w:type="dxa"/>
            <w:vAlign w:val="bottom"/>
            <w:tcBorders>
              <w:bottom w:val="single" w:sz="8" w:color="4C4C4C"/>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37,866</w:t>
            </w:r>
          </w:p>
        </w:tc>
        <w:tc>
          <w:tcPr>
            <w:tcW w:w="0" w:type="dxa"/>
            <w:vAlign w:val="bottom"/>
          </w:tcPr>
          <w:p>
            <w:pPr>
              <w:spacing w:after="0"/>
              <w:rPr>
                <w:sz w:val="1"/>
                <w:szCs w:val="1"/>
                <w:color w:val="auto"/>
              </w:rPr>
            </w:pPr>
          </w:p>
        </w:tc>
      </w:tr>
      <w:tr>
        <w:trPr>
          <w:trHeight w:val="83"/>
        </w:trPr>
        <w:tc>
          <w:tcPr>
            <w:tcW w:w="3980" w:type="dxa"/>
            <w:vAlign w:val="bottom"/>
            <w:tcBorders>
              <w:bottom w:val="single" w:sz="8" w:color="4C4C4C"/>
            </w:tcBorders>
          </w:tcPr>
          <w:p>
            <w:pPr>
              <w:spacing w:after="0"/>
              <w:rPr>
                <w:sz w:val="7"/>
                <w:szCs w:val="7"/>
                <w:color w:val="auto"/>
              </w:rPr>
            </w:pPr>
          </w:p>
        </w:tc>
        <w:tc>
          <w:tcPr>
            <w:tcW w:w="940" w:type="dxa"/>
            <w:vAlign w:val="bottom"/>
            <w:tcBorders>
              <w:bottom w:val="single" w:sz="8" w:color="4C4C4C"/>
            </w:tcBorders>
          </w:tcPr>
          <w:p>
            <w:pPr>
              <w:spacing w:after="0"/>
              <w:rPr>
                <w:sz w:val="7"/>
                <w:szCs w:val="7"/>
                <w:color w:val="auto"/>
              </w:rPr>
            </w:pPr>
          </w:p>
        </w:tc>
        <w:tc>
          <w:tcPr>
            <w:tcW w:w="1100" w:type="dxa"/>
            <w:vAlign w:val="bottom"/>
            <w:tcBorders>
              <w:bottom w:val="single" w:sz="8" w:color="4C4C4C"/>
            </w:tcBorders>
          </w:tcPr>
          <w:p>
            <w:pPr>
              <w:spacing w:after="0"/>
              <w:rPr>
                <w:sz w:val="7"/>
                <w:szCs w:val="7"/>
                <w:color w:val="auto"/>
              </w:rPr>
            </w:pPr>
          </w:p>
        </w:tc>
        <w:tc>
          <w:tcPr>
            <w:tcW w:w="980" w:type="dxa"/>
            <w:vAlign w:val="bottom"/>
            <w:tcBorders>
              <w:bottom w:val="single" w:sz="8" w:color="4C4C4C"/>
            </w:tcBorders>
          </w:tcPr>
          <w:p>
            <w:pPr>
              <w:spacing w:after="0"/>
              <w:rPr>
                <w:sz w:val="7"/>
                <w:szCs w:val="7"/>
                <w:color w:val="auto"/>
              </w:rPr>
            </w:pPr>
          </w:p>
        </w:tc>
        <w:tc>
          <w:tcPr>
            <w:tcW w:w="860" w:type="dxa"/>
            <w:vAlign w:val="bottom"/>
            <w:tcBorders>
              <w:bottom w:val="single" w:sz="8" w:color="4C4C4C"/>
            </w:tcBorders>
          </w:tcPr>
          <w:p>
            <w:pPr>
              <w:spacing w:after="0"/>
              <w:rPr>
                <w:sz w:val="7"/>
                <w:szCs w:val="7"/>
                <w:color w:val="auto"/>
              </w:rPr>
            </w:pPr>
          </w:p>
        </w:tc>
        <w:tc>
          <w:tcPr>
            <w:tcW w:w="900" w:type="dxa"/>
            <w:vAlign w:val="bottom"/>
            <w:tcBorders>
              <w:bottom w:val="single" w:sz="8" w:color="4C4C4C"/>
            </w:tcBorders>
          </w:tcPr>
          <w:p>
            <w:pPr>
              <w:spacing w:after="0"/>
              <w:rPr>
                <w:sz w:val="7"/>
                <w:szCs w:val="7"/>
                <w:color w:val="auto"/>
              </w:rPr>
            </w:pPr>
          </w:p>
        </w:tc>
        <w:tc>
          <w:tcPr>
            <w:tcW w:w="900" w:type="dxa"/>
            <w:vAlign w:val="bottom"/>
            <w:tcBorders>
              <w:bottom w:val="single" w:sz="8" w:color="4C4C4C"/>
            </w:tcBorders>
          </w:tcPr>
          <w:p>
            <w:pPr>
              <w:spacing w:after="0"/>
              <w:rPr>
                <w:sz w:val="7"/>
                <w:szCs w:val="7"/>
                <w:color w:val="auto"/>
              </w:rPr>
            </w:pPr>
          </w:p>
        </w:tc>
        <w:tc>
          <w:tcPr>
            <w:tcW w:w="900" w:type="dxa"/>
            <w:vAlign w:val="bottom"/>
            <w:tcBorders>
              <w:bottom w:val="single" w:sz="8" w:color="4C4C4C"/>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Pr>
          <w:p>
            <w:pPr>
              <w:ind w:left="40"/>
              <w:spacing w:after="0" w:line="183" w:lineRule="exact"/>
              <w:rPr>
                <w:sz w:val="20"/>
                <w:szCs w:val="20"/>
                <w:color w:val="auto"/>
              </w:rPr>
            </w:pPr>
            <w:r>
              <w:rPr>
                <w:rFonts w:ascii="Times New Roman" w:cs="Times New Roman" w:eastAsia="Times New Roman" w:hAnsi="Times New Roman"/>
                <w:sz w:val="20"/>
                <w:szCs w:val="20"/>
                <w:b w:val="1"/>
                <w:bCs w:val="1"/>
                <w:color w:val="auto"/>
              </w:rPr>
              <w:t>Total consolidated and equity interests in</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line="196" w:lineRule="exact"/>
              <w:rPr>
                <w:sz w:val="20"/>
                <w:szCs w:val="20"/>
                <w:color w:val="auto"/>
              </w:rPr>
            </w:pPr>
            <w:r>
              <w:rPr>
                <w:rFonts w:ascii="Times New Roman" w:cs="Times New Roman" w:eastAsia="Times New Roman" w:hAnsi="Times New Roman"/>
                <w:sz w:val="20"/>
                <w:szCs w:val="20"/>
                <w:b w:val="1"/>
                <w:bCs w:val="1"/>
                <w:color w:val="auto"/>
              </w:rPr>
              <w:t>standardized measure of discounted future</w:t>
            </w: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43,781</w:t>
            </w:r>
          </w:p>
        </w:tc>
        <w:tc>
          <w:tcPr>
            <w:tcW w:w="1100" w:type="dxa"/>
            <w:vAlign w:val="bottom"/>
            <w:vMerge w:val="restart"/>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35,610</w:t>
            </w:r>
          </w:p>
        </w:tc>
        <w:tc>
          <w:tcPr>
            <w:tcW w:w="980" w:type="dxa"/>
            <w:vAlign w:val="bottom"/>
            <w:vMerge w:val="restart"/>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1,890</w:t>
            </w:r>
          </w:p>
        </w:tc>
        <w:tc>
          <w:tcPr>
            <w:tcW w:w="860" w:type="dxa"/>
            <w:vAlign w:val="bottom"/>
            <w:vMerge w:val="restart"/>
          </w:tcPr>
          <w:p>
            <w:pPr>
              <w:jc w:val="right"/>
              <w:ind w:right="63"/>
              <w:spacing w:after="0"/>
              <w:rPr>
                <w:sz w:val="20"/>
                <w:szCs w:val="20"/>
                <w:color w:val="auto"/>
              </w:rPr>
            </w:pPr>
            <w:r>
              <w:rPr>
                <w:rFonts w:ascii="Times New Roman" w:cs="Times New Roman" w:eastAsia="Times New Roman" w:hAnsi="Times New Roman"/>
                <w:sz w:val="20"/>
                <w:szCs w:val="20"/>
                <w:b w:val="1"/>
                <w:bCs w:val="1"/>
                <w:color w:val="auto"/>
              </w:rPr>
              <w:t>6,357</w:t>
            </w: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52,122</w:t>
            </w: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14,506</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154,266</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4C4C4C"/>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net cash flows</w:t>
            </w:r>
          </w:p>
        </w:tc>
        <w:tc>
          <w:tcPr>
            <w:tcW w:w="940" w:type="dxa"/>
            <w:vAlign w:val="bottom"/>
            <w:tcBorders>
              <w:bottom w:val="single" w:sz="8" w:color="4C4C4C"/>
            </w:tcBorders>
            <w:vMerge w:val="continue"/>
          </w:tcPr>
          <w:p>
            <w:pPr>
              <w:spacing w:after="0"/>
              <w:rPr>
                <w:sz w:val="22"/>
                <w:szCs w:val="22"/>
                <w:color w:val="auto"/>
              </w:rPr>
            </w:pPr>
          </w:p>
        </w:tc>
        <w:tc>
          <w:tcPr>
            <w:tcW w:w="1100" w:type="dxa"/>
            <w:vAlign w:val="bottom"/>
            <w:tcBorders>
              <w:bottom w:val="single" w:sz="8" w:color="4C4C4C"/>
            </w:tcBorders>
            <w:vMerge w:val="continue"/>
          </w:tcPr>
          <w:p>
            <w:pPr>
              <w:spacing w:after="0"/>
              <w:rPr>
                <w:sz w:val="22"/>
                <w:szCs w:val="22"/>
                <w:color w:val="auto"/>
              </w:rPr>
            </w:pPr>
          </w:p>
        </w:tc>
        <w:tc>
          <w:tcPr>
            <w:tcW w:w="980" w:type="dxa"/>
            <w:vAlign w:val="bottom"/>
            <w:tcBorders>
              <w:bottom w:val="single" w:sz="8" w:color="4C4C4C"/>
            </w:tcBorders>
            <w:vMerge w:val="continue"/>
          </w:tcPr>
          <w:p>
            <w:pPr>
              <w:spacing w:after="0"/>
              <w:rPr>
                <w:sz w:val="22"/>
                <w:szCs w:val="22"/>
                <w:color w:val="auto"/>
              </w:rPr>
            </w:pPr>
          </w:p>
        </w:tc>
        <w:tc>
          <w:tcPr>
            <w:tcW w:w="860" w:type="dxa"/>
            <w:vAlign w:val="bottom"/>
            <w:tcBorders>
              <w:bottom w:val="single" w:sz="8" w:color="4C4C4C"/>
            </w:tcBorders>
            <w:vMerge w:val="continue"/>
          </w:tcPr>
          <w:p>
            <w:pPr>
              <w:spacing w:after="0"/>
              <w:rPr>
                <w:sz w:val="22"/>
                <w:szCs w:val="22"/>
                <w:color w:val="auto"/>
              </w:rPr>
            </w:pPr>
          </w:p>
        </w:tc>
        <w:tc>
          <w:tcPr>
            <w:tcW w:w="900" w:type="dxa"/>
            <w:vAlign w:val="bottom"/>
            <w:tcBorders>
              <w:bottom w:val="single" w:sz="8" w:color="4C4C4C"/>
            </w:tcBorders>
            <w:vMerge w:val="continue"/>
          </w:tcPr>
          <w:p>
            <w:pPr>
              <w:spacing w:after="0"/>
              <w:rPr>
                <w:sz w:val="22"/>
                <w:szCs w:val="22"/>
                <w:color w:val="auto"/>
              </w:rPr>
            </w:pPr>
          </w:p>
        </w:tc>
        <w:tc>
          <w:tcPr>
            <w:tcW w:w="900" w:type="dxa"/>
            <w:vAlign w:val="bottom"/>
            <w:tcBorders>
              <w:bottom w:val="single" w:sz="8" w:color="4C4C4C"/>
            </w:tcBorders>
            <w:vMerge w:val="continue"/>
          </w:tcPr>
          <w:p>
            <w:pPr>
              <w:spacing w:after="0"/>
              <w:rPr>
                <w:sz w:val="22"/>
                <w:szCs w:val="22"/>
                <w:color w:val="auto"/>
              </w:rPr>
            </w:pPr>
          </w:p>
        </w:tc>
        <w:tc>
          <w:tcPr>
            <w:tcW w:w="900" w:type="dxa"/>
            <w:vAlign w:val="bottom"/>
            <w:tcBorders>
              <w:bottom w:val="single" w:sz="8" w:color="4C4C4C"/>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0" w:right="40" w:firstLine="7"/>
        <w:spacing w:after="0" w:line="229" w:lineRule="auto"/>
        <w:tabs>
          <w:tab w:leader="none" w:pos="210" w:val="left"/>
        </w:tabs>
        <w:numPr>
          <w:ilvl w:val="0"/>
          <w:numId w:val="6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Includes discounted future net cash flows attributable to noncontrolling interests in ExxonMobil consolidated subsidiaries of $6,596 million in 2022 and $3,055 million in 2023.</w:t>
      </w:r>
    </w:p>
    <w:p>
      <w:pPr>
        <w:sectPr>
          <w:pgSz w:w="11880" w:h="15480" w:orient="portrait"/>
          <w:cols w:equalWidth="0" w:num="1">
            <w:col w:w="10560"/>
          </w:cols>
          <w:pgMar w:left="660" w:top="76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ectPr>
          <w:pgSz w:w="11880" w:h="15480" w:orient="portrait"/>
          <w:cols w:equalWidth="0" w:num="1">
            <w:col w:w="10560"/>
          </w:cols>
          <w:pgMar w:left="660" w:top="767" w:right="66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4C4C4C"/>
        </w:rPr>
        <w:t>Change in Standardized Measure of Discounted Future Net Cash Flows Relating to Proved Oil and Gas Reserves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940" w:type="dxa"/>
            <w:vAlign w:val="bottom"/>
            <w:vMerge w:val="restart"/>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Consolidated and Equity Interests</w:t>
            </w:r>
          </w:p>
        </w:tc>
        <w:tc>
          <w:tcPr>
            <w:tcW w:w="1620" w:type="dxa"/>
            <w:vAlign w:val="bottom"/>
            <w:shd w:val="clear" w:color="auto" w:fill="4C4C4C"/>
          </w:tcPr>
          <w:p>
            <w:pPr>
              <w:spacing w:after="0"/>
              <w:rPr>
                <w:sz w:val="20"/>
                <w:szCs w:val="20"/>
                <w:color w:val="auto"/>
              </w:rPr>
            </w:pPr>
          </w:p>
        </w:tc>
        <w:tc>
          <w:tcPr>
            <w:tcW w:w="1500" w:type="dxa"/>
            <w:vAlign w:val="bottom"/>
            <w:tcBorders>
              <w:right w:val="single" w:sz="8" w:color="4C4C4C"/>
            </w:tcBorders>
            <w:shd w:val="clear" w:color="auto" w:fill="4C4C4C"/>
          </w:tcPr>
          <w:p>
            <w:pPr>
              <w:jc w:val="center"/>
              <w:ind w:right="27"/>
              <w:spacing w:after="0"/>
              <w:rPr>
                <w:sz w:val="20"/>
                <w:szCs w:val="20"/>
                <w:color w:val="auto"/>
              </w:rPr>
            </w:pPr>
            <w:r>
              <w:rPr>
                <w:rFonts w:ascii="Times New Roman" w:cs="Times New Roman" w:eastAsia="Times New Roman" w:hAnsi="Times New Roman"/>
                <w:sz w:val="16"/>
                <w:szCs w:val="16"/>
                <w:b w:val="1"/>
                <w:bCs w:val="1"/>
                <w:color w:val="FFFFFF"/>
                <w:w w:val="93"/>
              </w:rPr>
              <w:t>2021</w:t>
            </w:r>
          </w:p>
        </w:tc>
        <w:tc>
          <w:tcPr>
            <w:tcW w:w="1500" w:type="dxa"/>
            <w:vAlign w:val="bottom"/>
            <w:shd w:val="clear" w:color="auto" w:fill="4C4C4C"/>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5940" w:type="dxa"/>
            <w:vAlign w:val="bottom"/>
            <w:vMerge w:val="continue"/>
            <w:shd w:val="clear" w:color="auto" w:fill="4C4C4C"/>
          </w:tcPr>
          <w:p>
            <w:pPr>
              <w:spacing w:after="0"/>
              <w:rPr>
                <w:sz w:val="7"/>
                <w:szCs w:val="7"/>
                <w:color w:val="auto"/>
              </w:rPr>
            </w:pPr>
          </w:p>
        </w:tc>
        <w:tc>
          <w:tcPr>
            <w:tcW w:w="1620" w:type="dxa"/>
            <w:vAlign w:val="bottom"/>
            <w:vMerge w:val="restart"/>
            <w:shd w:val="clear" w:color="auto" w:fill="4C4C4C"/>
          </w:tcPr>
          <w:p>
            <w:pPr>
              <w:jc w:val="center"/>
              <w:ind w:right="5"/>
              <w:spacing w:after="0"/>
              <w:rPr>
                <w:sz w:val="20"/>
                <w:szCs w:val="20"/>
                <w:color w:val="auto"/>
              </w:rPr>
            </w:pPr>
            <w:r>
              <w:rPr>
                <w:rFonts w:ascii="Times New Roman" w:cs="Times New Roman" w:eastAsia="Times New Roman" w:hAnsi="Times New Roman"/>
                <w:sz w:val="16"/>
                <w:szCs w:val="16"/>
                <w:b w:val="1"/>
                <w:bCs w:val="1"/>
                <w:color w:val="FFFFFF"/>
                <w:w w:val="97"/>
              </w:rPr>
              <w:t>Consolidated</w:t>
            </w:r>
          </w:p>
        </w:tc>
        <w:tc>
          <w:tcPr>
            <w:tcW w:w="1500" w:type="dxa"/>
            <w:vAlign w:val="bottom"/>
            <w:tcBorders>
              <w:right w:val="single" w:sz="8" w:color="4C4C4C"/>
            </w:tcBorders>
            <w:vMerge w:val="restart"/>
            <w:shd w:val="clear" w:color="auto" w:fill="4C4C4C"/>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6"/>
              </w:rPr>
              <w:t>Share of Equity</w:t>
            </w:r>
          </w:p>
        </w:tc>
        <w:tc>
          <w:tcPr>
            <w:tcW w:w="1500" w:type="dxa"/>
            <w:vAlign w:val="bottom"/>
            <w:vMerge w:val="restart"/>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 Consolidated</w:t>
            </w:r>
          </w:p>
        </w:tc>
        <w:tc>
          <w:tcPr>
            <w:tcW w:w="0" w:type="dxa"/>
            <w:vAlign w:val="bottom"/>
          </w:tcPr>
          <w:p>
            <w:pPr>
              <w:spacing w:after="0"/>
              <w:rPr>
                <w:sz w:val="1"/>
                <w:szCs w:val="1"/>
                <w:color w:val="auto"/>
              </w:rPr>
            </w:pPr>
          </w:p>
        </w:tc>
      </w:tr>
      <w:tr>
        <w:trPr>
          <w:trHeight w:val="160"/>
        </w:trPr>
        <w:tc>
          <w:tcPr>
            <w:tcW w:w="5940" w:type="dxa"/>
            <w:vAlign w:val="bottom"/>
            <w:shd w:val="clear" w:color="auto" w:fill="4C4C4C"/>
          </w:tcPr>
          <w:p>
            <w:pPr>
              <w:ind w:left="40"/>
              <w:spacing w:after="0" w:line="160"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620" w:type="dxa"/>
            <w:vAlign w:val="bottom"/>
            <w:vMerge w:val="continue"/>
            <w:shd w:val="clear" w:color="auto" w:fill="4C4C4C"/>
          </w:tcPr>
          <w:p>
            <w:pPr>
              <w:spacing w:after="0"/>
              <w:rPr>
                <w:sz w:val="13"/>
                <w:szCs w:val="13"/>
                <w:color w:val="auto"/>
              </w:rPr>
            </w:pPr>
          </w:p>
        </w:tc>
        <w:tc>
          <w:tcPr>
            <w:tcW w:w="1500" w:type="dxa"/>
            <w:vAlign w:val="bottom"/>
            <w:tcBorders>
              <w:right w:val="single" w:sz="8" w:color="4C4C4C"/>
            </w:tcBorders>
            <w:vMerge w:val="continue"/>
            <w:shd w:val="clear" w:color="auto" w:fill="4C4C4C"/>
          </w:tcPr>
          <w:p>
            <w:pPr>
              <w:spacing w:after="0"/>
              <w:rPr>
                <w:sz w:val="13"/>
                <w:szCs w:val="13"/>
                <w:color w:val="auto"/>
              </w:rPr>
            </w:pPr>
          </w:p>
        </w:tc>
        <w:tc>
          <w:tcPr>
            <w:tcW w:w="1500" w:type="dxa"/>
            <w:vAlign w:val="bottom"/>
            <w:vMerge w:val="continue"/>
            <w:shd w:val="clear" w:color="auto" w:fill="4C4C4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940" w:type="dxa"/>
            <w:vAlign w:val="bottom"/>
            <w:shd w:val="clear" w:color="auto" w:fill="4C4C4C"/>
          </w:tcPr>
          <w:p>
            <w:pPr>
              <w:spacing w:after="0"/>
              <w:rPr>
                <w:sz w:val="16"/>
                <w:szCs w:val="16"/>
                <w:color w:val="auto"/>
              </w:rPr>
            </w:pPr>
          </w:p>
        </w:tc>
        <w:tc>
          <w:tcPr>
            <w:tcW w:w="1620" w:type="dxa"/>
            <w:vAlign w:val="bottom"/>
            <w:shd w:val="clear" w:color="auto" w:fill="4C4C4C"/>
          </w:tcPr>
          <w:p>
            <w:pPr>
              <w:jc w:val="center"/>
              <w:ind w:right="25"/>
              <w:spacing w:after="0"/>
              <w:rPr>
                <w:sz w:val="20"/>
                <w:szCs w:val="20"/>
                <w:color w:val="auto"/>
              </w:rPr>
            </w:pPr>
            <w:r>
              <w:rPr>
                <w:rFonts w:ascii="Times New Roman" w:cs="Times New Roman" w:eastAsia="Times New Roman" w:hAnsi="Times New Roman"/>
                <w:sz w:val="16"/>
                <w:szCs w:val="16"/>
                <w:b w:val="1"/>
                <w:bCs w:val="1"/>
                <w:color w:val="FFFFFF"/>
                <w:w w:val="98"/>
              </w:rPr>
              <w:t>Subsidiaries</w:t>
            </w:r>
          </w:p>
        </w:tc>
        <w:tc>
          <w:tcPr>
            <w:tcW w:w="1500" w:type="dxa"/>
            <w:vAlign w:val="bottom"/>
            <w:tcBorders>
              <w:right w:val="single" w:sz="8" w:color="4C4C4C"/>
            </w:tcBorders>
            <w:shd w:val="clear" w:color="auto" w:fill="4C4C4C"/>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7"/>
              </w:rPr>
              <w:t>Method Investees</w:t>
            </w:r>
          </w:p>
        </w:tc>
        <w:tc>
          <w:tcPr>
            <w:tcW w:w="1500" w:type="dxa"/>
            <w:vAlign w:val="bottom"/>
            <w:shd w:val="clear" w:color="auto" w:fill="4C4C4C"/>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and Equity Interests</w:t>
            </w:r>
          </w:p>
        </w:tc>
        <w:tc>
          <w:tcPr>
            <w:tcW w:w="0" w:type="dxa"/>
            <w:vAlign w:val="bottom"/>
          </w:tcPr>
          <w:p>
            <w:pPr>
              <w:spacing w:after="0"/>
              <w:rPr>
                <w:sz w:val="1"/>
                <w:szCs w:val="1"/>
                <w:color w:val="auto"/>
              </w:rPr>
            </w:pPr>
          </w:p>
        </w:tc>
      </w:tr>
      <w:tr>
        <w:trPr>
          <w:trHeight w:val="369"/>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Discounted future net cash flows as of December 31, 2020</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color w:val="auto"/>
              </w:rPr>
              <w:t>26,554</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8,441</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34,995</w:t>
            </w:r>
          </w:p>
        </w:tc>
        <w:tc>
          <w:tcPr>
            <w:tcW w:w="0" w:type="dxa"/>
            <w:vAlign w:val="bottom"/>
          </w:tcPr>
          <w:p>
            <w:pPr>
              <w:spacing w:after="0"/>
              <w:rPr>
                <w:sz w:val="1"/>
                <w:szCs w:val="1"/>
                <w:color w:val="auto"/>
              </w:rPr>
            </w:pPr>
          </w:p>
        </w:tc>
      </w:tr>
      <w:tr>
        <w:trPr>
          <w:trHeight w:val="240"/>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Value of reserves added during the year due to extensions, discoveries,</w:t>
            </w:r>
          </w:p>
        </w:tc>
        <w:tc>
          <w:tcPr>
            <w:tcW w:w="1620" w:type="dxa"/>
            <w:vAlign w:val="bottom"/>
            <w:vMerge w:val="restart"/>
          </w:tcPr>
          <w:p>
            <w:pPr>
              <w:jc w:val="right"/>
              <w:ind w:right="105"/>
              <w:spacing w:after="0"/>
              <w:rPr>
                <w:sz w:val="20"/>
                <w:szCs w:val="20"/>
                <w:color w:val="auto"/>
              </w:rPr>
            </w:pPr>
            <w:r>
              <w:rPr>
                <w:rFonts w:ascii="Times New Roman" w:cs="Times New Roman" w:eastAsia="Times New Roman" w:hAnsi="Times New Roman"/>
                <w:sz w:val="20"/>
                <w:szCs w:val="20"/>
                <w:color w:val="auto"/>
              </w:rPr>
              <w:t>11,922</w:t>
            </w:r>
          </w:p>
        </w:tc>
        <w:tc>
          <w:tcPr>
            <w:tcW w:w="150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color w:val="auto"/>
              </w:rPr>
              <w:t>22</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11,944</w:t>
            </w:r>
          </w:p>
        </w:tc>
        <w:tc>
          <w:tcPr>
            <w:tcW w:w="0" w:type="dxa"/>
            <w:vAlign w:val="bottom"/>
          </w:tcPr>
          <w:p>
            <w:pPr>
              <w:spacing w:after="0"/>
              <w:rPr>
                <w:sz w:val="1"/>
                <w:szCs w:val="1"/>
                <w:color w:val="auto"/>
              </w:rPr>
            </w:pPr>
          </w:p>
        </w:tc>
      </w:tr>
      <w:tr>
        <w:trPr>
          <w:trHeight w:val="257"/>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improved recovery and net purchases/sales less related costs</w:t>
            </w:r>
          </w:p>
        </w:tc>
        <w:tc>
          <w:tcPr>
            <w:tcW w:w="16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4C4C4C"/>
              </w:rPr>
              <w:t>Changes in value of previous-year reserves due to:</w:t>
            </w:r>
          </w:p>
        </w:tc>
        <w:tc>
          <w:tcPr>
            <w:tcW w:w="1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Sales and transfers of oil and gas produced during the year, net of</w:t>
            </w:r>
          </w:p>
        </w:tc>
        <w:tc>
          <w:tcPr>
            <w:tcW w:w="1620" w:type="dxa"/>
            <w:vAlign w:val="bottom"/>
            <w:vMerge w:val="restart"/>
          </w:tcPr>
          <w:p>
            <w:pPr>
              <w:jc w:val="right"/>
              <w:ind w:right="25"/>
              <w:spacing w:after="0"/>
              <w:rPr>
                <w:sz w:val="20"/>
                <w:szCs w:val="20"/>
                <w:color w:val="auto"/>
              </w:rPr>
            </w:pPr>
            <w:r>
              <w:rPr>
                <w:rFonts w:ascii="Times New Roman" w:cs="Times New Roman" w:eastAsia="Times New Roman" w:hAnsi="Times New Roman"/>
                <w:sz w:val="20"/>
                <w:szCs w:val="20"/>
                <w:color w:val="auto"/>
              </w:rPr>
              <w:t>(35,813)</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(9,948)</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(45,761)</w:t>
            </w:r>
          </w:p>
        </w:tc>
        <w:tc>
          <w:tcPr>
            <w:tcW w:w="0" w:type="dxa"/>
            <w:vAlign w:val="bottom"/>
          </w:tcPr>
          <w:p>
            <w:pPr>
              <w:spacing w:after="0"/>
              <w:rPr>
                <w:sz w:val="1"/>
                <w:szCs w:val="1"/>
                <w:color w:val="auto"/>
              </w:rPr>
            </w:pPr>
          </w:p>
        </w:tc>
      </w:tr>
      <w:tr>
        <w:trPr>
          <w:trHeight w:val="257"/>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production (lifting) costs</w:t>
            </w:r>
          </w:p>
        </w:tc>
        <w:tc>
          <w:tcPr>
            <w:tcW w:w="16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Development costs incurred during the year</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7,033</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1,563</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8,596</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change in prices, lifting and development costs</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118,946</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47,434</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166,380</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Revisions of previous reserves estimates</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27,126</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2,507</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29,633</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Accretion of discount</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3,762</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1,201</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4,963</w:t>
            </w:r>
          </w:p>
        </w:tc>
        <w:tc>
          <w:tcPr>
            <w:tcW w:w="0" w:type="dxa"/>
            <w:vAlign w:val="bottom"/>
          </w:tcPr>
          <w:p>
            <w:pPr>
              <w:spacing w:after="0"/>
              <w:rPr>
                <w:sz w:val="1"/>
                <w:szCs w:val="1"/>
                <w:color w:val="auto"/>
              </w:rPr>
            </w:pPr>
          </w:p>
        </w:tc>
      </w:tr>
      <w:tr>
        <w:trPr>
          <w:trHeight w:val="288"/>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Net change in income taxes</w:t>
            </w:r>
          </w:p>
        </w:tc>
        <w:tc>
          <w:tcPr>
            <w:tcW w:w="1620" w:type="dxa"/>
            <w:vAlign w:val="bottom"/>
            <w:tcBorders>
              <w:bottom w:val="single" w:sz="8" w:color="4C4C4C"/>
            </w:tcBorders>
          </w:tcPr>
          <w:p>
            <w:pPr>
              <w:jc w:val="right"/>
              <w:ind w:right="25"/>
              <w:spacing w:after="0"/>
              <w:rPr>
                <w:sz w:val="20"/>
                <w:szCs w:val="20"/>
                <w:color w:val="auto"/>
              </w:rPr>
            </w:pPr>
            <w:r>
              <w:rPr>
                <w:rFonts w:ascii="Times New Roman" w:cs="Times New Roman" w:eastAsia="Times New Roman" w:hAnsi="Times New Roman"/>
                <w:sz w:val="20"/>
                <w:szCs w:val="20"/>
                <w:color w:val="auto"/>
              </w:rPr>
              <w:t>(43,650)</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(13,281)</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(56,931)</w:t>
            </w:r>
          </w:p>
        </w:tc>
        <w:tc>
          <w:tcPr>
            <w:tcW w:w="0" w:type="dxa"/>
            <w:vAlign w:val="bottom"/>
          </w:tcPr>
          <w:p>
            <w:pPr>
              <w:spacing w:after="0"/>
              <w:rPr>
                <w:sz w:val="1"/>
                <w:szCs w:val="1"/>
                <w:color w:val="auto"/>
              </w:rPr>
            </w:pPr>
          </w:p>
        </w:tc>
      </w:tr>
      <w:tr>
        <w:trPr>
          <w:trHeight w:val="263"/>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change in the standardized measure during the year</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b w:val="1"/>
                <w:bCs w:val="1"/>
                <w:color w:val="auto"/>
              </w:rPr>
              <w:t>89,326</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29,498</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118,824</w:t>
            </w:r>
          </w:p>
        </w:tc>
        <w:tc>
          <w:tcPr>
            <w:tcW w:w="0" w:type="dxa"/>
            <w:vAlign w:val="bottom"/>
          </w:tcPr>
          <w:p>
            <w:pPr>
              <w:spacing w:after="0"/>
              <w:rPr>
                <w:sz w:val="1"/>
                <w:szCs w:val="1"/>
                <w:color w:val="auto"/>
              </w:rPr>
            </w:pPr>
          </w:p>
        </w:tc>
      </w:tr>
      <w:tr>
        <w:trPr>
          <w:trHeight w:val="322"/>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Discounted future net cash flows as of December 31, 2021</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color w:val="auto"/>
              </w:rPr>
              <w:t>115,880</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37,939</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153,819</w:t>
            </w:r>
          </w:p>
        </w:tc>
        <w:tc>
          <w:tcPr>
            <w:tcW w:w="0" w:type="dxa"/>
            <w:vAlign w:val="bottom"/>
          </w:tcPr>
          <w:p>
            <w:pPr>
              <w:spacing w:after="0"/>
              <w:rPr>
                <w:sz w:val="1"/>
                <w:szCs w:val="1"/>
                <w:color w:val="auto"/>
              </w:rPr>
            </w:pPr>
          </w:p>
        </w:tc>
      </w:tr>
      <w:tr>
        <w:trPr>
          <w:trHeight w:val="299"/>
        </w:trPr>
        <w:tc>
          <w:tcPr>
            <w:tcW w:w="5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40" w:type="dxa"/>
            <w:vAlign w:val="bottom"/>
            <w:tcBorders>
              <w:bottom w:val="single" w:sz="8" w:color="4C4C4C"/>
            </w:tcBorders>
            <w:vMerge w:val="restart"/>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Consolidated and Equity Interests</w:t>
            </w:r>
          </w:p>
        </w:tc>
        <w:tc>
          <w:tcPr>
            <w:tcW w:w="1620" w:type="dxa"/>
            <w:vAlign w:val="bottom"/>
            <w:tcBorders>
              <w:bottom w:val="single" w:sz="8" w:color="4C4C4C"/>
            </w:tcBorders>
            <w:shd w:val="clear" w:color="auto" w:fill="4C4C4C"/>
          </w:tcPr>
          <w:p>
            <w:pPr>
              <w:spacing w:after="0"/>
              <w:rPr>
                <w:sz w:val="22"/>
                <w:szCs w:val="22"/>
                <w:color w:val="auto"/>
              </w:rPr>
            </w:pPr>
          </w:p>
        </w:tc>
        <w:tc>
          <w:tcPr>
            <w:tcW w:w="1500" w:type="dxa"/>
            <w:vAlign w:val="bottom"/>
            <w:tcBorders>
              <w:bottom w:val="single" w:sz="8" w:color="4C4C4C"/>
              <w:right w:val="single" w:sz="8" w:color="4C4C4C"/>
            </w:tcBorders>
            <w:shd w:val="clear" w:color="auto" w:fill="4C4C4C"/>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9"/>
              </w:rPr>
              <w:t>2022</w:t>
            </w:r>
          </w:p>
        </w:tc>
        <w:tc>
          <w:tcPr>
            <w:tcW w:w="1500" w:type="dxa"/>
            <w:vAlign w:val="bottom"/>
            <w:tcBorders>
              <w:bottom w:val="single" w:sz="8" w:color="4C4C4C"/>
            </w:tcBorders>
            <w:shd w:val="clear" w:color="auto" w:fill="4C4C4C"/>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5940" w:type="dxa"/>
            <w:vAlign w:val="bottom"/>
            <w:vMerge w:val="continue"/>
            <w:shd w:val="clear" w:color="auto" w:fill="4C4C4C"/>
          </w:tcPr>
          <w:p>
            <w:pPr>
              <w:spacing w:after="0"/>
              <w:rPr>
                <w:sz w:val="3"/>
                <w:szCs w:val="3"/>
                <w:color w:val="auto"/>
              </w:rPr>
            </w:pPr>
          </w:p>
        </w:tc>
        <w:tc>
          <w:tcPr>
            <w:tcW w:w="1620" w:type="dxa"/>
            <w:vAlign w:val="bottom"/>
            <w:vMerge w:val="restart"/>
          </w:tcPr>
          <w:p>
            <w:pPr>
              <w:jc w:val="center"/>
              <w:ind w:right="5"/>
              <w:spacing w:after="0"/>
              <w:rPr>
                <w:sz w:val="20"/>
                <w:szCs w:val="20"/>
                <w:color w:val="auto"/>
              </w:rPr>
            </w:pPr>
            <w:r>
              <w:rPr>
                <w:rFonts w:ascii="Times New Roman" w:cs="Times New Roman" w:eastAsia="Times New Roman" w:hAnsi="Times New Roman"/>
                <w:sz w:val="16"/>
                <w:szCs w:val="16"/>
                <w:b w:val="1"/>
                <w:bCs w:val="1"/>
                <w:color w:val="FFFFFF"/>
                <w:w w:val="97"/>
              </w:rPr>
              <w:t>Consolidated</w:t>
            </w:r>
          </w:p>
        </w:tc>
        <w:tc>
          <w:tcPr>
            <w:tcW w:w="1500" w:type="dxa"/>
            <w:vAlign w:val="bottom"/>
            <w:tcBorders>
              <w:right w:val="single" w:sz="8" w:color="4C4C4C"/>
            </w:tcBorders>
            <w:vMerge w:val="restart"/>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6"/>
              </w:rPr>
              <w:t>Share of Equity</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 Consolidated</w:t>
            </w:r>
          </w:p>
        </w:tc>
        <w:tc>
          <w:tcPr>
            <w:tcW w:w="0" w:type="dxa"/>
            <w:vAlign w:val="bottom"/>
          </w:tcPr>
          <w:p>
            <w:pPr>
              <w:spacing w:after="0"/>
              <w:rPr>
                <w:sz w:val="1"/>
                <w:szCs w:val="1"/>
                <w:color w:val="auto"/>
              </w:rPr>
            </w:pPr>
          </w:p>
        </w:tc>
      </w:tr>
      <w:tr>
        <w:trPr>
          <w:trHeight w:val="160"/>
        </w:trPr>
        <w:tc>
          <w:tcPr>
            <w:tcW w:w="5940" w:type="dxa"/>
            <w:vAlign w:val="bottom"/>
            <w:shd w:val="clear" w:color="auto" w:fill="4C4C4C"/>
          </w:tcPr>
          <w:p>
            <w:pPr>
              <w:ind w:left="40"/>
              <w:spacing w:after="0" w:line="160"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620" w:type="dxa"/>
            <w:vAlign w:val="bottom"/>
            <w:vMerge w:val="continue"/>
          </w:tcPr>
          <w:p>
            <w:pPr>
              <w:spacing w:after="0"/>
              <w:rPr>
                <w:sz w:val="13"/>
                <w:szCs w:val="13"/>
                <w:color w:val="auto"/>
              </w:rPr>
            </w:pPr>
          </w:p>
        </w:tc>
        <w:tc>
          <w:tcPr>
            <w:tcW w:w="1500" w:type="dxa"/>
            <w:vAlign w:val="bottom"/>
            <w:tcBorders>
              <w:right w:val="single" w:sz="8" w:color="4C4C4C"/>
            </w:tcBorders>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940" w:type="dxa"/>
            <w:vAlign w:val="bottom"/>
            <w:shd w:val="clear" w:color="auto" w:fill="4C4C4C"/>
          </w:tcPr>
          <w:p>
            <w:pPr>
              <w:spacing w:after="0"/>
              <w:rPr>
                <w:sz w:val="16"/>
                <w:szCs w:val="16"/>
                <w:color w:val="auto"/>
              </w:rPr>
            </w:pPr>
          </w:p>
        </w:tc>
        <w:tc>
          <w:tcPr>
            <w:tcW w:w="16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FFFFFF"/>
                <w:w w:val="98"/>
              </w:rPr>
              <w:t>Subsidiaries</w:t>
            </w:r>
          </w:p>
        </w:tc>
        <w:tc>
          <w:tcPr>
            <w:tcW w:w="1500" w:type="dxa"/>
            <w:vAlign w:val="bottom"/>
            <w:tcBorders>
              <w:right w:val="single" w:sz="8" w:color="4C4C4C"/>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7"/>
              </w:rPr>
              <w:t>Method Investees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and Equity Interests</w:t>
            </w:r>
          </w:p>
        </w:tc>
        <w:tc>
          <w:tcPr>
            <w:tcW w:w="0" w:type="dxa"/>
            <w:vAlign w:val="bottom"/>
          </w:tcPr>
          <w:p>
            <w:pPr>
              <w:spacing w:after="0"/>
              <w:rPr>
                <w:sz w:val="1"/>
                <w:szCs w:val="1"/>
                <w:color w:val="auto"/>
              </w:rPr>
            </w:pPr>
          </w:p>
        </w:tc>
      </w:tr>
      <w:tr>
        <w:trPr>
          <w:trHeight w:val="369"/>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Discounted future net cash flows as of December 31, 2021</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color w:val="auto"/>
              </w:rPr>
              <w:t>115,880</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37,939</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153,819</w:t>
            </w:r>
          </w:p>
        </w:tc>
        <w:tc>
          <w:tcPr>
            <w:tcW w:w="0" w:type="dxa"/>
            <w:vAlign w:val="bottom"/>
          </w:tcPr>
          <w:p>
            <w:pPr>
              <w:spacing w:after="0"/>
              <w:rPr>
                <w:sz w:val="1"/>
                <w:szCs w:val="1"/>
                <w:color w:val="auto"/>
              </w:rPr>
            </w:pPr>
          </w:p>
        </w:tc>
      </w:tr>
      <w:tr>
        <w:trPr>
          <w:trHeight w:val="240"/>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Value of reserves added during the year due to extensions, discoveries,</w:t>
            </w:r>
          </w:p>
        </w:tc>
        <w:tc>
          <w:tcPr>
            <w:tcW w:w="1620" w:type="dxa"/>
            <w:vAlign w:val="bottom"/>
            <w:vMerge w:val="restart"/>
          </w:tcPr>
          <w:p>
            <w:pPr>
              <w:jc w:val="right"/>
              <w:ind w:right="105"/>
              <w:spacing w:after="0"/>
              <w:rPr>
                <w:sz w:val="20"/>
                <w:szCs w:val="20"/>
                <w:color w:val="auto"/>
              </w:rPr>
            </w:pPr>
            <w:r>
              <w:rPr>
                <w:rFonts w:ascii="Times New Roman" w:cs="Times New Roman" w:eastAsia="Times New Roman" w:hAnsi="Times New Roman"/>
                <w:sz w:val="20"/>
                <w:szCs w:val="20"/>
                <w:color w:val="auto"/>
              </w:rPr>
              <w:t>18,592</w:t>
            </w:r>
          </w:p>
        </w:tc>
        <w:tc>
          <w:tcPr>
            <w:tcW w:w="150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color w:val="auto"/>
              </w:rPr>
              <w:t>3,008</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21,600</w:t>
            </w:r>
          </w:p>
        </w:tc>
        <w:tc>
          <w:tcPr>
            <w:tcW w:w="0" w:type="dxa"/>
            <w:vAlign w:val="bottom"/>
          </w:tcPr>
          <w:p>
            <w:pPr>
              <w:spacing w:after="0"/>
              <w:rPr>
                <w:sz w:val="1"/>
                <w:szCs w:val="1"/>
                <w:color w:val="auto"/>
              </w:rPr>
            </w:pPr>
          </w:p>
        </w:tc>
      </w:tr>
      <w:tr>
        <w:trPr>
          <w:trHeight w:val="158"/>
        </w:trPr>
        <w:tc>
          <w:tcPr>
            <w:tcW w:w="5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improved recovery and net purchases/sales less related costs</w:t>
            </w:r>
          </w:p>
        </w:tc>
        <w:tc>
          <w:tcPr>
            <w:tcW w:w="16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94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4C4C4C"/>
              </w:rPr>
              <w:t>Changes in value of previous-year reserves due to:</w:t>
            </w:r>
          </w:p>
        </w:tc>
        <w:tc>
          <w:tcPr>
            <w:tcW w:w="1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60"/>
              <w:spacing w:after="0" w:line="210" w:lineRule="exact"/>
              <w:rPr>
                <w:sz w:val="20"/>
                <w:szCs w:val="20"/>
                <w:color w:val="auto"/>
              </w:rPr>
            </w:pPr>
            <w:r>
              <w:rPr>
                <w:rFonts w:ascii="Times New Roman" w:cs="Times New Roman" w:eastAsia="Times New Roman" w:hAnsi="Times New Roman"/>
                <w:sz w:val="20"/>
                <w:szCs w:val="20"/>
                <w:color w:val="auto"/>
              </w:rPr>
              <w:t>Sales and transfers of oil and gas produced during the year, net of</w:t>
            </w:r>
          </w:p>
        </w:tc>
        <w:tc>
          <w:tcPr>
            <w:tcW w:w="1620" w:type="dxa"/>
            <w:vAlign w:val="bottom"/>
            <w:vMerge w:val="restart"/>
          </w:tcPr>
          <w:p>
            <w:pPr>
              <w:jc w:val="right"/>
              <w:ind w:right="25"/>
              <w:spacing w:after="0"/>
              <w:rPr>
                <w:sz w:val="20"/>
                <w:szCs w:val="20"/>
                <w:color w:val="auto"/>
              </w:rPr>
            </w:pPr>
            <w:r>
              <w:rPr>
                <w:rFonts w:ascii="Times New Roman" w:cs="Times New Roman" w:eastAsia="Times New Roman" w:hAnsi="Times New Roman"/>
                <w:sz w:val="20"/>
                <w:szCs w:val="20"/>
                <w:color w:val="auto"/>
              </w:rPr>
              <w:t>(57,344)</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(17,037)</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(74,381)</w:t>
            </w:r>
          </w:p>
        </w:tc>
        <w:tc>
          <w:tcPr>
            <w:tcW w:w="0" w:type="dxa"/>
            <w:vAlign w:val="bottom"/>
          </w:tcPr>
          <w:p>
            <w:pPr>
              <w:spacing w:after="0"/>
              <w:rPr>
                <w:sz w:val="1"/>
                <w:szCs w:val="1"/>
                <w:color w:val="auto"/>
              </w:rPr>
            </w:pPr>
          </w:p>
        </w:tc>
      </w:tr>
      <w:tr>
        <w:trPr>
          <w:trHeight w:val="257"/>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production (lifting) costs</w:t>
            </w:r>
          </w:p>
        </w:tc>
        <w:tc>
          <w:tcPr>
            <w:tcW w:w="16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Development costs incurred during the year</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11,834</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1,849</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13,683</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change in prices, lifting and development costs</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139,844</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51,094</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190,938</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Revisions of previous reserves estimates</w:t>
            </w:r>
          </w:p>
        </w:tc>
        <w:tc>
          <w:tcPr>
            <w:tcW w:w="16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(1,985)</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2,140</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Accretion of discount</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14,655</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4,938</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19,593</w:t>
            </w:r>
          </w:p>
        </w:tc>
        <w:tc>
          <w:tcPr>
            <w:tcW w:w="0" w:type="dxa"/>
            <w:vAlign w:val="bottom"/>
          </w:tcPr>
          <w:p>
            <w:pPr>
              <w:spacing w:after="0"/>
              <w:rPr>
                <w:sz w:val="1"/>
                <w:szCs w:val="1"/>
                <w:color w:val="auto"/>
              </w:rPr>
            </w:pPr>
          </w:p>
        </w:tc>
      </w:tr>
      <w:tr>
        <w:trPr>
          <w:trHeight w:val="288"/>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Net change in income taxes</w:t>
            </w:r>
          </w:p>
        </w:tc>
        <w:tc>
          <w:tcPr>
            <w:tcW w:w="1620" w:type="dxa"/>
            <w:vAlign w:val="bottom"/>
            <w:tcBorders>
              <w:bottom w:val="single" w:sz="8" w:color="4C4C4C"/>
            </w:tcBorders>
          </w:tcPr>
          <w:p>
            <w:pPr>
              <w:jc w:val="right"/>
              <w:ind w:right="25"/>
              <w:spacing w:after="0"/>
              <w:rPr>
                <w:sz w:val="20"/>
                <w:szCs w:val="20"/>
                <w:color w:val="auto"/>
              </w:rPr>
            </w:pPr>
            <w:r>
              <w:rPr>
                <w:rFonts w:ascii="Times New Roman" w:cs="Times New Roman" w:eastAsia="Times New Roman" w:hAnsi="Times New Roman"/>
                <w:sz w:val="20"/>
                <w:szCs w:val="20"/>
                <w:color w:val="auto"/>
              </w:rPr>
              <w:t>(51,867)</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(14,684)</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(66,551)</w:t>
            </w:r>
          </w:p>
        </w:tc>
        <w:tc>
          <w:tcPr>
            <w:tcW w:w="0" w:type="dxa"/>
            <w:vAlign w:val="bottom"/>
          </w:tcPr>
          <w:p>
            <w:pPr>
              <w:spacing w:after="0"/>
              <w:rPr>
                <w:sz w:val="1"/>
                <w:szCs w:val="1"/>
                <w:color w:val="auto"/>
              </w:rPr>
            </w:pPr>
          </w:p>
        </w:tc>
      </w:tr>
      <w:tr>
        <w:trPr>
          <w:trHeight w:val="263"/>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change in the standardized measure during the year</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b w:val="1"/>
                <w:bCs w:val="1"/>
                <w:color w:val="auto"/>
              </w:rPr>
              <w:t>73,729</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31,308</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105,037</w:t>
            </w:r>
          </w:p>
        </w:tc>
        <w:tc>
          <w:tcPr>
            <w:tcW w:w="0" w:type="dxa"/>
            <w:vAlign w:val="bottom"/>
          </w:tcPr>
          <w:p>
            <w:pPr>
              <w:spacing w:after="0"/>
              <w:rPr>
                <w:sz w:val="1"/>
                <w:szCs w:val="1"/>
                <w:color w:val="auto"/>
              </w:rPr>
            </w:pPr>
          </w:p>
        </w:tc>
      </w:tr>
      <w:tr>
        <w:trPr>
          <w:trHeight w:val="322"/>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Discounted future net cash flows as of December 31, 2022</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color w:val="auto"/>
              </w:rPr>
              <w:t>189,609</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69,247</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258,856</w:t>
            </w:r>
          </w:p>
        </w:tc>
        <w:tc>
          <w:tcPr>
            <w:tcW w:w="0" w:type="dxa"/>
            <w:vAlign w:val="bottom"/>
          </w:tcPr>
          <w:p>
            <w:pPr>
              <w:spacing w:after="0"/>
              <w:rPr>
                <w:sz w:val="1"/>
                <w:szCs w:val="1"/>
                <w:color w:val="auto"/>
              </w:rPr>
            </w:pPr>
          </w:p>
        </w:tc>
      </w:tr>
      <w:tr>
        <w:trPr>
          <w:trHeight w:val="181"/>
        </w:trPr>
        <w:tc>
          <w:tcPr>
            <w:tcW w:w="5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940" w:type="dxa"/>
            <w:vAlign w:val="bottom"/>
            <w:tcBorders>
              <w:bottom w:val="single" w:sz="8" w:color="4C4C4C"/>
            </w:tcBorders>
            <w:vMerge w:val="restart"/>
            <w:shd w:val="clear" w:color="auto" w:fill="4C4C4C"/>
          </w:tcPr>
          <w:p>
            <w:pPr>
              <w:ind w:left="40"/>
              <w:spacing w:after="0"/>
              <w:rPr>
                <w:sz w:val="20"/>
                <w:szCs w:val="20"/>
                <w:color w:val="auto"/>
              </w:rPr>
            </w:pPr>
            <w:r>
              <w:rPr>
                <w:rFonts w:ascii="Times New Roman" w:cs="Times New Roman" w:eastAsia="Times New Roman" w:hAnsi="Times New Roman"/>
                <w:sz w:val="20"/>
                <w:szCs w:val="20"/>
                <w:b w:val="1"/>
                <w:bCs w:val="1"/>
                <w:color w:val="FFFFFF"/>
              </w:rPr>
              <w:t>Consolidated and Equity Interests</w:t>
            </w:r>
          </w:p>
        </w:tc>
        <w:tc>
          <w:tcPr>
            <w:tcW w:w="1620" w:type="dxa"/>
            <w:vAlign w:val="bottom"/>
            <w:tcBorders>
              <w:bottom w:val="single" w:sz="8" w:color="4C4C4C"/>
            </w:tcBorders>
            <w:shd w:val="clear" w:color="auto" w:fill="4C4C4C"/>
          </w:tcPr>
          <w:p>
            <w:pPr>
              <w:spacing w:after="0"/>
              <w:rPr>
                <w:sz w:val="22"/>
                <w:szCs w:val="22"/>
                <w:color w:val="auto"/>
              </w:rPr>
            </w:pPr>
          </w:p>
        </w:tc>
        <w:tc>
          <w:tcPr>
            <w:tcW w:w="1500" w:type="dxa"/>
            <w:vAlign w:val="bottom"/>
            <w:tcBorders>
              <w:bottom w:val="single" w:sz="8" w:color="4C4C4C"/>
              <w:right w:val="single" w:sz="8" w:color="4C4C4C"/>
            </w:tcBorders>
            <w:shd w:val="clear" w:color="auto" w:fill="4C4C4C"/>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9"/>
              </w:rPr>
              <w:t>2023</w:t>
            </w:r>
          </w:p>
        </w:tc>
        <w:tc>
          <w:tcPr>
            <w:tcW w:w="1500" w:type="dxa"/>
            <w:vAlign w:val="bottom"/>
            <w:tcBorders>
              <w:bottom w:val="single" w:sz="8" w:color="4C4C4C"/>
            </w:tcBorders>
            <w:shd w:val="clear" w:color="auto" w:fill="4C4C4C"/>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5940" w:type="dxa"/>
            <w:vAlign w:val="bottom"/>
            <w:vMerge w:val="continue"/>
            <w:shd w:val="clear" w:color="auto" w:fill="4C4C4C"/>
          </w:tcPr>
          <w:p>
            <w:pPr>
              <w:spacing w:after="0"/>
              <w:rPr>
                <w:sz w:val="3"/>
                <w:szCs w:val="3"/>
                <w:color w:val="auto"/>
              </w:rPr>
            </w:pPr>
          </w:p>
        </w:tc>
        <w:tc>
          <w:tcPr>
            <w:tcW w:w="1620" w:type="dxa"/>
            <w:vAlign w:val="bottom"/>
            <w:vMerge w:val="restart"/>
          </w:tcPr>
          <w:p>
            <w:pPr>
              <w:jc w:val="center"/>
              <w:ind w:right="5"/>
              <w:spacing w:after="0"/>
              <w:rPr>
                <w:sz w:val="20"/>
                <w:szCs w:val="20"/>
                <w:color w:val="auto"/>
              </w:rPr>
            </w:pPr>
            <w:r>
              <w:rPr>
                <w:rFonts w:ascii="Times New Roman" w:cs="Times New Roman" w:eastAsia="Times New Roman" w:hAnsi="Times New Roman"/>
                <w:sz w:val="16"/>
                <w:szCs w:val="16"/>
                <w:b w:val="1"/>
                <w:bCs w:val="1"/>
                <w:color w:val="FFFFFF"/>
                <w:w w:val="97"/>
              </w:rPr>
              <w:t>Consolidated</w:t>
            </w:r>
          </w:p>
        </w:tc>
        <w:tc>
          <w:tcPr>
            <w:tcW w:w="1500" w:type="dxa"/>
            <w:vAlign w:val="bottom"/>
            <w:tcBorders>
              <w:right w:val="single" w:sz="8" w:color="4C4C4C"/>
            </w:tcBorders>
            <w:vMerge w:val="restart"/>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6"/>
              </w:rPr>
              <w:t>Share of Equity</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 Consolidated</w:t>
            </w:r>
          </w:p>
        </w:tc>
        <w:tc>
          <w:tcPr>
            <w:tcW w:w="0" w:type="dxa"/>
            <w:vAlign w:val="bottom"/>
          </w:tcPr>
          <w:p>
            <w:pPr>
              <w:spacing w:after="0"/>
              <w:rPr>
                <w:sz w:val="1"/>
                <w:szCs w:val="1"/>
                <w:color w:val="auto"/>
              </w:rPr>
            </w:pPr>
          </w:p>
        </w:tc>
      </w:tr>
      <w:tr>
        <w:trPr>
          <w:trHeight w:val="160"/>
        </w:trPr>
        <w:tc>
          <w:tcPr>
            <w:tcW w:w="5940" w:type="dxa"/>
            <w:vAlign w:val="bottom"/>
            <w:shd w:val="clear" w:color="auto" w:fill="4C4C4C"/>
          </w:tcPr>
          <w:p>
            <w:pPr>
              <w:ind w:left="40"/>
              <w:spacing w:after="0" w:line="160" w:lineRule="exact"/>
              <w:rPr>
                <w:sz w:val="20"/>
                <w:szCs w:val="20"/>
                <w:color w:val="auto"/>
              </w:rPr>
            </w:pPr>
            <w:r>
              <w:rPr>
                <w:rFonts w:ascii="Times New Roman" w:cs="Times New Roman" w:eastAsia="Times New Roman" w:hAnsi="Times New Roman"/>
                <w:sz w:val="16"/>
                <w:szCs w:val="16"/>
                <w:i w:val="1"/>
                <w:iCs w:val="1"/>
                <w:color w:val="FFFFFF"/>
              </w:rPr>
              <w:t>(millions of dollars)</w:t>
            </w:r>
          </w:p>
        </w:tc>
        <w:tc>
          <w:tcPr>
            <w:tcW w:w="1620" w:type="dxa"/>
            <w:vAlign w:val="bottom"/>
            <w:vMerge w:val="continue"/>
          </w:tcPr>
          <w:p>
            <w:pPr>
              <w:spacing w:after="0"/>
              <w:rPr>
                <w:sz w:val="13"/>
                <w:szCs w:val="13"/>
                <w:color w:val="auto"/>
              </w:rPr>
            </w:pPr>
          </w:p>
        </w:tc>
        <w:tc>
          <w:tcPr>
            <w:tcW w:w="1500" w:type="dxa"/>
            <w:vAlign w:val="bottom"/>
            <w:tcBorders>
              <w:right w:val="single" w:sz="8" w:color="4C4C4C"/>
            </w:tcBorders>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940" w:type="dxa"/>
            <w:vAlign w:val="bottom"/>
            <w:shd w:val="clear" w:color="auto" w:fill="4C4C4C"/>
          </w:tcPr>
          <w:p>
            <w:pPr>
              <w:spacing w:after="0"/>
              <w:rPr>
                <w:sz w:val="16"/>
                <w:szCs w:val="16"/>
                <w:color w:val="auto"/>
              </w:rPr>
            </w:pPr>
          </w:p>
        </w:tc>
        <w:tc>
          <w:tcPr>
            <w:tcW w:w="16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FFFFFF"/>
                <w:w w:val="98"/>
              </w:rPr>
              <w:t>Subsidiaries</w:t>
            </w:r>
          </w:p>
        </w:tc>
        <w:tc>
          <w:tcPr>
            <w:tcW w:w="1500" w:type="dxa"/>
            <w:vAlign w:val="bottom"/>
            <w:tcBorders>
              <w:right w:val="single" w:sz="8" w:color="4C4C4C"/>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FFFFFF"/>
                <w:w w:val="97"/>
              </w:rPr>
              <w:t>Method Investees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and Equity Interests</w:t>
            </w:r>
          </w:p>
        </w:tc>
        <w:tc>
          <w:tcPr>
            <w:tcW w:w="0" w:type="dxa"/>
            <w:vAlign w:val="bottom"/>
          </w:tcPr>
          <w:p>
            <w:pPr>
              <w:spacing w:after="0"/>
              <w:rPr>
                <w:sz w:val="1"/>
                <w:szCs w:val="1"/>
                <w:color w:val="auto"/>
              </w:rPr>
            </w:pPr>
          </w:p>
        </w:tc>
      </w:tr>
      <w:tr>
        <w:trPr>
          <w:trHeight w:val="369"/>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Discounted future net cash flows as of December 31, 2022</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color w:val="auto"/>
              </w:rPr>
              <w:t>189,609</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69,247</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258,856</w:t>
            </w:r>
          </w:p>
        </w:tc>
        <w:tc>
          <w:tcPr>
            <w:tcW w:w="0" w:type="dxa"/>
            <w:vAlign w:val="bottom"/>
          </w:tcPr>
          <w:p>
            <w:pPr>
              <w:spacing w:after="0"/>
              <w:rPr>
                <w:sz w:val="1"/>
                <w:szCs w:val="1"/>
                <w:color w:val="auto"/>
              </w:rPr>
            </w:pPr>
          </w:p>
        </w:tc>
      </w:tr>
      <w:tr>
        <w:trPr>
          <w:trHeight w:val="240"/>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Value of reserves added during the year due to extensions, discoveries,</w:t>
            </w:r>
          </w:p>
        </w:tc>
        <w:tc>
          <w:tcPr>
            <w:tcW w:w="1620" w:type="dxa"/>
            <w:vAlign w:val="bottom"/>
            <w:vMerge w:val="restart"/>
          </w:tcPr>
          <w:p>
            <w:pPr>
              <w:jc w:val="right"/>
              <w:ind w:right="105"/>
              <w:spacing w:after="0"/>
              <w:rPr>
                <w:sz w:val="20"/>
                <w:szCs w:val="20"/>
                <w:color w:val="auto"/>
              </w:rPr>
            </w:pPr>
            <w:r>
              <w:rPr>
                <w:rFonts w:ascii="Times New Roman" w:cs="Times New Roman" w:eastAsia="Times New Roman" w:hAnsi="Times New Roman"/>
                <w:sz w:val="20"/>
                <w:szCs w:val="20"/>
                <w:color w:val="auto"/>
              </w:rPr>
              <w:t>5,658</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3,957</w:t>
            </w:r>
          </w:p>
        </w:tc>
        <w:tc>
          <w:tcPr>
            <w:tcW w:w="0" w:type="dxa"/>
            <w:vAlign w:val="bottom"/>
          </w:tcPr>
          <w:p>
            <w:pPr>
              <w:spacing w:after="0"/>
              <w:rPr>
                <w:sz w:val="1"/>
                <w:szCs w:val="1"/>
                <w:color w:val="auto"/>
              </w:rPr>
            </w:pPr>
          </w:p>
        </w:tc>
      </w:tr>
      <w:tr>
        <w:trPr>
          <w:trHeight w:val="158"/>
        </w:trPr>
        <w:tc>
          <w:tcPr>
            <w:tcW w:w="5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improved recovery and net purchases/sales less related costs</w:t>
            </w:r>
          </w:p>
        </w:tc>
        <w:tc>
          <w:tcPr>
            <w:tcW w:w="16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94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4C4C4C"/>
              </w:rPr>
              <w:t>Changes in value of previous-year reserves due to:</w:t>
            </w:r>
          </w:p>
        </w:tc>
        <w:tc>
          <w:tcPr>
            <w:tcW w:w="1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60"/>
              <w:spacing w:after="0" w:line="210" w:lineRule="exact"/>
              <w:rPr>
                <w:sz w:val="20"/>
                <w:szCs w:val="20"/>
                <w:color w:val="auto"/>
              </w:rPr>
            </w:pPr>
            <w:r>
              <w:rPr>
                <w:rFonts w:ascii="Times New Roman" w:cs="Times New Roman" w:eastAsia="Times New Roman" w:hAnsi="Times New Roman"/>
                <w:sz w:val="20"/>
                <w:szCs w:val="20"/>
                <w:color w:val="auto"/>
              </w:rPr>
              <w:t>Sales and transfers of oil and gas produced during the year, net of</w:t>
            </w:r>
          </w:p>
        </w:tc>
        <w:tc>
          <w:tcPr>
            <w:tcW w:w="1620" w:type="dxa"/>
            <w:vAlign w:val="bottom"/>
            <w:vMerge w:val="restart"/>
          </w:tcPr>
          <w:p>
            <w:pPr>
              <w:jc w:val="right"/>
              <w:ind w:right="25"/>
              <w:spacing w:after="0"/>
              <w:rPr>
                <w:sz w:val="20"/>
                <w:szCs w:val="20"/>
                <w:color w:val="auto"/>
              </w:rPr>
            </w:pPr>
            <w:r>
              <w:rPr>
                <w:rFonts w:ascii="Times New Roman" w:cs="Times New Roman" w:eastAsia="Times New Roman" w:hAnsi="Times New Roman"/>
                <w:sz w:val="20"/>
                <w:szCs w:val="20"/>
                <w:color w:val="auto"/>
              </w:rPr>
              <w:t>(43,836)</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(10,218)</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(54,054)</w:t>
            </w:r>
          </w:p>
        </w:tc>
        <w:tc>
          <w:tcPr>
            <w:tcW w:w="0" w:type="dxa"/>
            <w:vAlign w:val="bottom"/>
          </w:tcPr>
          <w:p>
            <w:pPr>
              <w:spacing w:after="0"/>
              <w:rPr>
                <w:sz w:val="1"/>
                <w:szCs w:val="1"/>
                <w:color w:val="auto"/>
              </w:rPr>
            </w:pPr>
          </w:p>
        </w:tc>
      </w:tr>
      <w:tr>
        <w:trPr>
          <w:trHeight w:val="257"/>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production (lifting) costs</w:t>
            </w:r>
          </w:p>
        </w:tc>
        <w:tc>
          <w:tcPr>
            <w:tcW w:w="16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Development costs incurred during the year</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15,343</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1,502</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16,845</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change in prices, lifting and development costs</w:t>
            </w:r>
          </w:p>
        </w:tc>
        <w:tc>
          <w:tcPr>
            <w:tcW w:w="16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(120,924)</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(51,923)</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(172,847)</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Revisions of previous reserves estimates</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4,953</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5,096</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10,049</w:t>
            </w:r>
          </w:p>
        </w:tc>
        <w:tc>
          <w:tcPr>
            <w:tcW w:w="0" w:type="dxa"/>
            <w:vAlign w:val="bottom"/>
          </w:tcPr>
          <w:p>
            <w:pPr>
              <w:spacing w:after="0"/>
              <w:rPr>
                <w:sz w:val="1"/>
                <w:szCs w:val="1"/>
                <w:color w:val="auto"/>
              </w:rPr>
            </w:pPr>
          </w:p>
        </w:tc>
      </w:tr>
      <w:tr>
        <w:trPr>
          <w:trHeight w:val="279"/>
        </w:trPr>
        <w:tc>
          <w:tcPr>
            <w:tcW w:w="5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Accretion of discount</w:t>
            </w:r>
          </w:p>
        </w:tc>
        <w:tc>
          <w:tcPr>
            <w:tcW w:w="162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23,006</w:t>
            </w:r>
          </w:p>
        </w:tc>
        <w:tc>
          <w:tcPr>
            <w:tcW w:w="15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8,962</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31,968</w:t>
            </w:r>
          </w:p>
        </w:tc>
        <w:tc>
          <w:tcPr>
            <w:tcW w:w="0" w:type="dxa"/>
            <w:vAlign w:val="bottom"/>
          </w:tcPr>
          <w:p>
            <w:pPr>
              <w:spacing w:after="0"/>
              <w:rPr>
                <w:sz w:val="1"/>
                <w:szCs w:val="1"/>
                <w:color w:val="auto"/>
              </w:rPr>
            </w:pPr>
          </w:p>
        </w:tc>
      </w:tr>
      <w:tr>
        <w:trPr>
          <w:trHeight w:val="288"/>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Net change in income taxes</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color w:val="auto"/>
              </w:rPr>
              <w:t>42,591</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16,901</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59,492</w:t>
            </w:r>
          </w:p>
        </w:tc>
        <w:tc>
          <w:tcPr>
            <w:tcW w:w="0" w:type="dxa"/>
            <w:vAlign w:val="bottom"/>
          </w:tcPr>
          <w:p>
            <w:pPr>
              <w:spacing w:after="0"/>
              <w:rPr>
                <w:sz w:val="1"/>
                <w:szCs w:val="1"/>
                <w:color w:val="auto"/>
              </w:rPr>
            </w:pPr>
          </w:p>
        </w:tc>
      </w:tr>
      <w:tr>
        <w:trPr>
          <w:trHeight w:val="263"/>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 change in the standardized measure during the year</w:t>
            </w:r>
          </w:p>
        </w:tc>
        <w:tc>
          <w:tcPr>
            <w:tcW w:w="1620" w:type="dxa"/>
            <w:vAlign w:val="bottom"/>
            <w:tcBorders>
              <w:bottom w:val="single" w:sz="8" w:color="4C4C4C"/>
            </w:tcBorders>
          </w:tcPr>
          <w:p>
            <w:pPr>
              <w:jc w:val="right"/>
              <w:ind w:right="25"/>
              <w:spacing w:after="0"/>
              <w:rPr>
                <w:sz w:val="20"/>
                <w:szCs w:val="20"/>
                <w:color w:val="auto"/>
              </w:rPr>
            </w:pPr>
            <w:r>
              <w:rPr>
                <w:rFonts w:ascii="Times New Roman" w:cs="Times New Roman" w:eastAsia="Times New Roman" w:hAnsi="Times New Roman"/>
                <w:sz w:val="20"/>
                <w:szCs w:val="20"/>
                <w:b w:val="1"/>
                <w:bCs w:val="1"/>
                <w:color w:val="auto"/>
              </w:rPr>
              <w:t>(73,209)</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(31,381)</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(104,590)</w:t>
            </w:r>
          </w:p>
        </w:tc>
        <w:tc>
          <w:tcPr>
            <w:tcW w:w="0" w:type="dxa"/>
            <w:vAlign w:val="bottom"/>
          </w:tcPr>
          <w:p>
            <w:pPr>
              <w:spacing w:after="0"/>
              <w:rPr>
                <w:sz w:val="1"/>
                <w:szCs w:val="1"/>
                <w:color w:val="auto"/>
              </w:rPr>
            </w:pPr>
          </w:p>
        </w:tc>
      </w:tr>
      <w:tr>
        <w:trPr>
          <w:trHeight w:val="322"/>
        </w:trPr>
        <w:tc>
          <w:tcPr>
            <w:tcW w:w="5940" w:type="dxa"/>
            <w:vAlign w:val="bottom"/>
            <w:tcBorders>
              <w:bottom w:val="single" w:sz="8" w:color="4C4C4C"/>
            </w:tcBorders>
          </w:tcPr>
          <w:p>
            <w:pPr>
              <w:ind w:left="40"/>
              <w:spacing w:after="0"/>
              <w:rPr>
                <w:sz w:val="20"/>
                <w:szCs w:val="20"/>
                <w:color w:val="auto"/>
              </w:rPr>
            </w:pPr>
            <w:r>
              <w:rPr>
                <w:rFonts w:ascii="Times New Roman" w:cs="Times New Roman" w:eastAsia="Times New Roman" w:hAnsi="Times New Roman"/>
                <w:sz w:val="20"/>
                <w:szCs w:val="20"/>
                <w:color w:val="auto"/>
              </w:rPr>
              <w:t>Discounted future net cash flows as of December 31, 2023</w:t>
            </w:r>
          </w:p>
        </w:tc>
        <w:tc>
          <w:tcPr>
            <w:tcW w:w="1620" w:type="dxa"/>
            <w:vAlign w:val="bottom"/>
            <w:tcBorders>
              <w:bottom w:val="single" w:sz="8" w:color="4C4C4C"/>
            </w:tcBorders>
          </w:tcPr>
          <w:p>
            <w:pPr>
              <w:jc w:val="right"/>
              <w:ind w:right="105"/>
              <w:spacing w:after="0"/>
              <w:rPr>
                <w:sz w:val="20"/>
                <w:szCs w:val="20"/>
                <w:color w:val="auto"/>
              </w:rPr>
            </w:pPr>
            <w:r>
              <w:rPr>
                <w:rFonts w:ascii="Times New Roman" w:cs="Times New Roman" w:eastAsia="Times New Roman" w:hAnsi="Times New Roman"/>
                <w:sz w:val="20"/>
                <w:szCs w:val="20"/>
                <w:color w:val="auto"/>
              </w:rPr>
              <w:t>116,400</w:t>
            </w:r>
          </w:p>
        </w:tc>
        <w:tc>
          <w:tcPr>
            <w:tcW w:w="1500" w:type="dxa"/>
            <w:vAlign w:val="bottom"/>
            <w:tcBorders>
              <w:bottom w:val="single" w:sz="8" w:color="4C4C4C"/>
            </w:tcBorders>
          </w:tcPr>
          <w:p>
            <w:pPr>
              <w:jc w:val="right"/>
              <w:ind w:right="47"/>
              <w:spacing w:after="0"/>
              <w:rPr>
                <w:sz w:val="20"/>
                <w:szCs w:val="20"/>
                <w:color w:val="auto"/>
              </w:rPr>
            </w:pPr>
            <w:r>
              <w:rPr>
                <w:rFonts w:ascii="Times New Roman" w:cs="Times New Roman" w:eastAsia="Times New Roman" w:hAnsi="Times New Roman"/>
                <w:sz w:val="20"/>
                <w:szCs w:val="20"/>
                <w:color w:val="auto"/>
              </w:rPr>
              <w:t>37,866</w:t>
            </w:r>
          </w:p>
        </w:tc>
        <w:tc>
          <w:tcPr>
            <w:tcW w:w="1500" w:type="dxa"/>
            <w:vAlign w:val="bottom"/>
            <w:tcBorders>
              <w:bottom w:val="single" w:sz="8" w:color="4C4C4C"/>
            </w:tcBorders>
          </w:tcPr>
          <w:p>
            <w:pPr>
              <w:jc w:val="right"/>
              <w:spacing w:after="0"/>
              <w:rPr>
                <w:sz w:val="20"/>
                <w:szCs w:val="20"/>
                <w:color w:val="auto"/>
              </w:rPr>
            </w:pPr>
            <w:r>
              <w:rPr>
                <w:rFonts w:ascii="Times New Roman" w:cs="Times New Roman" w:eastAsia="Times New Roman" w:hAnsi="Times New Roman"/>
                <w:sz w:val="20"/>
                <w:szCs w:val="20"/>
                <w:color w:val="auto"/>
              </w:rPr>
              <w:t>154,266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-5481955</wp:posOffset>
            </wp:positionV>
            <wp:extent cx="3005455" cy="3270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35">
                      <a:extLst>
                        <a:ext uri="{28A0092B-C50C-407E-A947-70E740481C1C}"/>
                      </a:extLst>
                    </a:blip>
                    <a:srcRect/>
                    <a:stretch>
                      <a:fillRect/>
                    </a:stretch>
                  </pic:blipFill>
                  <pic:spPr bwMode="auto">
                    <a:xfrm>
                      <a:off x="0" y="0"/>
                      <a:ext cx="3005455" cy="32702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-2613025</wp:posOffset>
            </wp:positionV>
            <wp:extent cx="3005455" cy="3270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36">
                      <a:extLst>
                        <a:ext uri="{28A0092B-C50C-407E-A947-70E740481C1C}"/>
                      </a:extLst>
                    </a:blip>
                    <a:srcRect/>
                    <a:stretch>
                      <a:fillRect/>
                    </a:stretch>
                  </pic:blipFill>
                  <pic:spPr bwMode="auto">
                    <a:xfrm>
                      <a:off x="0" y="0"/>
                      <a:ext cx="3005455" cy="327025"/>
                    </a:xfrm>
                    <a:prstGeom prst="rect">
                      <a:avLst/>
                    </a:prstGeom>
                    <a:noFill/>
                  </pic:spPr>
                </pic:pic>
              </a:graphicData>
            </a:graphic>
          </wp:anchor>
        </w:drawing>
      </w:r>
    </w:p>
    <w:p>
      <w:pPr>
        <w:sectPr>
          <w:pgSz w:w="11880" w:h="15480" w:orient="portrait"/>
          <w:cols w:equalWidth="0" w:num="1">
            <w:col w:w="10580"/>
          </w:cols>
          <w:pgMar w:left="640" w:top="724" w:right="660" w:bottom="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ectPr>
          <w:pgSz w:w="11880" w:h="15480" w:orient="portrait"/>
          <w:cols w:equalWidth="0" w:num="1">
            <w:col w:w="10580"/>
          </w:cols>
          <w:pgMar w:left="640" w:top="724" w:right="660" w:bottom="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[INTENTIONALLY LEFT BLANK]</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ectPr>
          <w:pgSz w:w="11880" w:h="15480" w:orient="portrait"/>
          <w:cols w:equalWidth="0" w:num="1">
            <w:col w:w="9000"/>
          </w:cols>
          <w:pgMar w:left="1440" w:top="1440" w:right="1440" w:bottom="0" w:gutter="0" w:footer="0" w:header="0"/>
          <w:type w:val="continuous"/>
        </w:sectPr>
      </w:pPr>
    </w:p>
    <w:bookmarkStart w:id="144" w:name="page145"/>
    <w:bookmarkEnd w:id="144"/>
    <w:tbl>
      <w:tblPr>
        <w:tblLayout w:type="fixed"/>
        <w:tblInd w:w="100" w:type="dxa"/>
        <w:tblCellMar>
          <w:top w:w="0" w:type="dxa"/>
          <w:left w:w="0" w:type="dxa"/>
          <w:bottom w:w="0" w:type="dxa"/>
          <w:right w:w="0" w:type="dxa"/>
        </w:tblCellMar>
      </w:tblPr>
      <w:tr>
        <w:trPr>
          <w:trHeight w:val="261"/>
        </w:trPr>
        <w:tc>
          <w:tcPr>
            <w:tcW w:w="2580" w:type="dxa"/>
            <w:vAlign w:val="bottom"/>
          </w:tcPr>
          <w:p>
            <w:pPr>
              <w:spacing w:after="0"/>
              <w:rPr>
                <w:sz w:val="22"/>
                <w:szCs w:val="22"/>
                <w:color w:val="auto"/>
              </w:rPr>
            </w:pPr>
          </w:p>
        </w:tc>
        <w:tc>
          <w:tcPr>
            <w:tcW w:w="6240" w:type="dxa"/>
            <w:vAlign w:val="bottom"/>
          </w:tcPr>
          <w:p>
            <w:pPr>
              <w:jc w:val="right"/>
              <w:ind w:right="2942"/>
              <w:spacing w:after="0"/>
              <w:rPr>
                <w:sz w:val="20"/>
                <w:szCs w:val="20"/>
                <w:color w:val="auto"/>
              </w:rPr>
            </w:pPr>
            <w:r>
              <w:rPr>
                <w:rFonts w:ascii="Times New Roman" w:cs="Times New Roman" w:eastAsia="Times New Roman" w:hAnsi="Times New Roman"/>
                <w:sz w:val="20"/>
                <w:szCs w:val="20"/>
                <w:b w:val="1"/>
                <w:bCs w:val="1"/>
                <w:color w:val="auto"/>
              </w:rPr>
              <w:t>ADDITIONAL INFORMATION</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Stock Performance Graphs</w:t>
            </w:r>
          </w:p>
        </w:tc>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5"/>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Definitions</w:t>
            </w:r>
          </w:p>
        </w:tc>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5"/>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Footnotes</w:t>
            </w:r>
          </w:p>
        </w:tc>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5"/>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Board of Directors</w:t>
            </w:r>
          </w:p>
        </w:tc>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Investor Information</w:t>
            </w:r>
          </w:p>
        </w:tc>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bl>
    <w:p>
      <w:pPr>
        <w:spacing w:after="0" w:line="200" w:lineRule="exact"/>
        <w:rPr>
          <w:sz w:val="20"/>
          <w:szCs w:val="20"/>
          <w:color w:val="auto"/>
        </w:rPr>
      </w:pPr>
    </w:p>
    <w:p>
      <w:pPr>
        <w:sectPr>
          <w:pgSz w:w="11880" w:h="15480" w:orient="portrait"/>
          <w:cols w:equalWidth="0" w:num="1">
            <w:col w:w="9000"/>
          </w:cols>
          <w:pgMar w:left="1440" w:top="90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ectPr>
          <w:pgSz w:w="11880" w:h="15480" w:orient="portrait"/>
          <w:cols w:equalWidth="0" w:num="1">
            <w:col w:w="9000"/>
          </w:cols>
          <w:pgMar w:left="1440" w:top="900" w:right="1440" w:bottom="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STOCK PERFORMANCE GRAPHS (unaudited)</w:t>
      </w:r>
    </w:p>
    <w:p>
      <w:pPr>
        <w:spacing w:after="0" w:line="2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annual total shareholder return (TSR) to ExxonMobil shareholders was -6.2% in 2023. The 5-year TSR through 2023 was 13.6% and the 10-year return was 4.3%. The graphs below show the relative investment performance of ExxonMobil common stock, the S&amp;P 500, and an industry competitor group over the last five and ten years. The industry competitor group consists of four other international integrated oil companies: BP, Chevron, Shell, and TotalEnergies.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FIVE-YEAR CUMULATIVE TOTAL SHAREHOLDER RETURNS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(value of $100 invested at year-end 2018)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636270</wp:posOffset>
                </wp:positionH>
                <wp:positionV relativeFrom="paragraph">
                  <wp:posOffset>140335</wp:posOffset>
                </wp:positionV>
                <wp:extent cx="27559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pt,11.05pt" to="71.8pt,11.05pt" o:allowincell="f" strokecolor="#000000" strokeweight="0.499pt"/>
            </w:pict>
          </mc:Fallback>
        </mc:AlternateContent>
      </w:r>
    </w:p>
    <w:p>
      <w:pPr>
        <w:spacing w:after="0" w:line="2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$250</w:t>
      </w:r>
    </w:p>
    <w:tbl>
      <w:tblPr>
        <w:tblLayout w:type="fixed"/>
        <w:tblInd w:w="580" w:type="dxa"/>
        <w:tblCellMar>
          <w:top w:w="0" w:type="dxa"/>
          <w:left w:w="0" w:type="dxa"/>
          <w:bottom w:w="0" w:type="dxa"/>
          <w:right w:w="0" w:type="dxa"/>
        </w:tblCellMar>
      </w:tblPr>
      <w:tr>
        <w:trPr>
          <w:trHeight w:val="156"/>
        </w:trPr>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ExxonMobil</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S&amp;P 500</w:t>
            </w: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040" w:type="dxa"/>
            <w:vAlign w:val="bottom"/>
            <w:tcBorders>
              <w:right w:val="single" w:sz="8" w:color="BCB9B1"/>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38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right w:val="single" w:sz="8" w:color="77706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86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Industry Group</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52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54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3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ExxonMobil</w:t>
            </w:r>
          </w:p>
        </w:tc>
        <w:tc>
          <w:tcPr>
            <w:tcW w:w="112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100</w:t>
            </w:r>
          </w:p>
        </w:tc>
        <w:tc>
          <w:tcPr>
            <w:tcW w:w="152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107</w:t>
            </w:r>
          </w:p>
        </w:tc>
        <w:tc>
          <w:tcPr>
            <w:tcW w:w="15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69</w:t>
            </w: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108</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202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42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S&amp;P 500 Index</w:t>
            </w:r>
          </w:p>
        </w:tc>
        <w:tc>
          <w:tcPr>
            <w:tcW w:w="112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100</w:t>
            </w:r>
          </w:p>
        </w:tc>
        <w:tc>
          <w:tcPr>
            <w:tcW w:w="152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131</w:t>
            </w:r>
          </w:p>
        </w:tc>
        <w:tc>
          <w:tcPr>
            <w:tcW w:w="15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156</w:t>
            </w: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200</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164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417"/>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Industry Group</w:t>
            </w:r>
          </w:p>
        </w:tc>
        <w:tc>
          <w:tcPr>
            <w:tcW w:w="112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100</w:t>
            </w:r>
          </w:p>
        </w:tc>
        <w:tc>
          <w:tcPr>
            <w:tcW w:w="152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110</w:t>
            </w:r>
          </w:p>
        </w:tc>
        <w:tc>
          <w:tcPr>
            <w:tcW w:w="15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76</w:t>
            </w: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103</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149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335"/>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Fiscal years ended 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-3058160</wp:posOffset>
            </wp:positionV>
            <wp:extent cx="4999355" cy="11696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37">
                      <a:extLst>
                        <a:ext uri="{28A0092B-C50C-407E-A947-70E740481C1C}"/>
                      </a:extLst>
                    </a:blip>
                    <a:srcRect/>
                    <a:stretch>
                      <a:fillRect/>
                    </a:stretch>
                  </pic:blipFill>
                  <pic:spPr bwMode="auto">
                    <a:xfrm>
                      <a:off x="0" y="0"/>
                      <a:ext cx="4999355" cy="116967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TEN-YEAR CUMULATIVE TOTAL SHAREHOLDER RETURNS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(value of $100 invested at year-end 2013)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636270</wp:posOffset>
                </wp:positionH>
                <wp:positionV relativeFrom="paragraph">
                  <wp:posOffset>144145</wp:posOffset>
                </wp:positionV>
                <wp:extent cx="27559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pt,11.35pt" to="71.8pt,11.35pt" o:allowincell="f" strokecolor="#000000" strokeweight="0.499pt"/>
            </w:pict>
          </mc:Fallback>
        </mc:AlternateConten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8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Borders>
              <w:right w:val="single" w:sz="8" w:color="BCB9B1"/>
            </w:tcBorders>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Borders>
              <w:right w:val="single" w:sz="8" w:color="BCB9B1"/>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S&amp;P 500</w:t>
            </w: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250</w:t>
            </w: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Industry Group</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Borders>
              <w:right w:val="single" w:sz="8" w:color="77706F"/>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ExxonMobil</w:t>
            </w:r>
          </w:p>
        </w:tc>
        <w:tc>
          <w:tcPr>
            <w:tcW w:w="0" w:type="dxa"/>
            <w:vAlign w:val="bottom"/>
          </w:tcPr>
          <w:p>
            <w:pPr>
              <w:spacing w:after="0"/>
              <w:rPr>
                <w:sz w:val="1"/>
                <w:szCs w:val="1"/>
                <w:color w:val="auto"/>
              </w:rPr>
            </w:pPr>
          </w:p>
        </w:tc>
      </w:tr>
      <w:tr>
        <w:trPr>
          <w:trHeight w:val="58"/>
        </w:trPr>
        <w:tc>
          <w:tcPr>
            <w:tcW w:w="8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2013</w:t>
            </w:r>
          </w:p>
        </w:tc>
        <w:tc>
          <w:tcPr>
            <w:tcW w:w="7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2014</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7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2017</w:t>
            </w:r>
          </w:p>
        </w:tc>
        <w:tc>
          <w:tcPr>
            <w:tcW w:w="7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24"/>
                <w:szCs w:val="24"/>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2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ExxonMobil</w:t>
            </w: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98</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95</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420"/>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S&amp;P 500 Index</w:t>
            </w: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115</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157</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150</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198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247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417"/>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Industry Group</w:t>
            </w: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92</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98</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116</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109</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113</w:t>
            </w:r>
          </w:p>
        </w:tc>
        <w:tc>
          <w:tcPr>
            <w:tcW w:w="18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335"/>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Fiscal years ended 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-3171190</wp:posOffset>
            </wp:positionV>
            <wp:extent cx="4999990" cy="15151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38">
                      <a:extLst>
                        <a:ext uri="{28A0092B-C50C-407E-A947-70E740481C1C}"/>
                      </a:extLst>
                    </a:blip>
                    <a:srcRect/>
                    <a:stretch>
                      <a:fillRect/>
                    </a:stretch>
                  </pic:blipFill>
                  <pic:spPr bwMode="auto">
                    <a:xfrm>
                      <a:off x="0" y="0"/>
                      <a:ext cx="4999990" cy="1515110"/>
                    </a:xfrm>
                    <a:prstGeom prst="rect">
                      <a:avLst/>
                    </a:prstGeom>
                    <a:noFill/>
                  </pic:spPr>
                </pic:pic>
              </a:graphicData>
            </a:graphic>
          </wp:anchor>
        </w:drawing>
      </w:r>
    </w:p>
    <w:p>
      <w:pPr>
        <w:sectPr>
          <w:pgSz w:w="11880" w:h="15480" w:orient="portrait"/>
          <w:cols w:equalWidth="0" w:num="1">
            <w:col w:w="10160"/>
          </w:cols>
          <w:pgMar w:left="820" w:top="900" w:right="900" w:bottom="0" w:gutter="0" w:footer="0" w:header="0"/>
        </w:sect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136</w:t>
      </w:r>
    </w:p>
    <w:p>
      <w:pPr>
        <w:sectPr>
          <w:pgSz w:w="11880" w:h="15480" w:orient="portrait"/>
          <w:cols w:equalWidth="0" w:num="1">
            <w:col w:w="10160"/>
          </w:cols>
          <w:pgMar w:left="820" w:top="900" w:right="90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4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color w:val="auto"/>
        </w:rPr>
        <w:t>Definitions of key business and financial performance measures and other terms used by ExxonMobil are provided below to facilitate understanding of these concepts and their calculation.</w:t>
      </w:r>
    </w:p>
    <w:p>
      <w:pPr>
        <w:spacing w:after="0" w:line="8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Project(s) </w:t>
      </w:r>
      <w:r>
        <w:rPr>
          <w:rFonts w:ascii="Times New Roman" w:cs="Times New Roman" w:eastAsia="Times New Roman" w:hAnsi="Times New Roman"/>
          <w:sz w:val="20"/>
          <w:szCs w:val="20"/>
          <w:color w:val="auto"/>
        </w:rPr>
        <w:t>• As used in this document can refer to a variety of different activities and does not necessarily have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as in any government payment transparency reports. Further, a reference to “project” or “opportunity” does not signify that the company has reached a final investment decision. Individual opportunities may advance based on a number of factors, including availability of supportive policy, technology for cost-effective abatement, and alignment with our partners and other stakeholders. The company may refer to these opportunities as projects in external disclosures at various stages throughout their progression.</w:t>
      </w:r>
    </w:p>
    <w:p>
      <w:pPr>
        <w:spacing w:after="0" w:line="10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Return on average capital employed (ROCE) </w:t>
      </w:r>
      <w:r>
        <w:rPr>
          <w:rFonts w:ascii="Times New Roman" w:cs="Times New Roman" w:eastAsia="Times New Roman" w:hAnsi="Times New Roman"/>
          <w:sz w:val="20"/>
          <w:szCs w:val="20"/>
          <w:color w:val="auto"/>
        </w:rPr>
        <w:t>• Is a performance measure ratio. From the perspective of the business segments,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one of the best measures of historical capital productivity in our capital-intensive, long-term industry. Additional measures, which are more cash flow based, are used to make investment decisions.</w:t>
      </w:r>
    </w:p>
    <w:p>
      <w:pPr>
        <w:spacing w:after="0" w:line="10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Returns </w:t>
      </w:r>
      <w:r>
        <w:rPr>
          <w:rFonts w:ascii="Times New Roman" w:cs="Times New Roman" w:eastAsia="Times New Roman" w:hAnsi="Times New Roman"/>
          <w:sz w:val="20"/>
          <w:szCs w:val="20"/>
          <w:color w:val="auto"/>
        </w:rPr>
        <w:t>• Unless referring specifically to ROCE or external data, references to returns and similar terms mean future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discounted cash flow returns on future capital investments based on current company estimates. Investment returns exclude prior exploration and acquisition costs.</w:t>
      </w:r>
    </w:p>
    <w:p>
      <w:pPr>
        <w:spacing w:after="0" w:line="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Shareholder distributions </w:t>
      </w:r>
      <w:r>
        <w:rPr>
          <w:rFonts w:ascii="Times New Roman" w:cs="Times New Roman" w:eastAsia="Times New Roman" w:hAnsi="Times New Roman"/>
          <w:sz w:val="20"/>
          <w:szCs w:val="20"/>
          <w:color w:val="auto"/>
        </w:rPr>
        <w:t>• The Corporation distributes cash to shareholders in the form of both dividends and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purchases. Shares are acquired to reduce shares outstanding and offset shares or units settled in shares issued in conjunction with company benefit plans and programs. For the purposes of calculating distributions to shareholders, the Corporation includes only the cost of those shares acquired to reduce shares outstanding.</w:t>
      </w:r>
    </w:p>
    <w:p>
      <w:pPr>
        <w:spacing w:after="0" w:line="101"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9"/>
          <w:szCs w:val="19"/>
          <w:b w:val="1"/>
          <w:bCs w:val="1"/>
          <w:color w:val="auto"/>
        </w:rPr>
        <w:t xml:space="preserve">Total shareholder return (TSR) </w:t>
      </w:r>
      <w:r>
        <w:rPr>
          <w:rFonts w:ascii="Times New Roman" w:cs="Times New Roman" w:eastAsia="Times New Roman" w:hAnsi="Times New Roman"/>
          <w:sz w:val="19"/>
          <w:szCs w:val="19"/>
          <w:color w:val="auto"/>
        </w:rPr>
        <w:t>• Measures the change in value of an investment in common stock over a specified period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time, assuming dividend reinvestment. We calculate shareholder return over a particular measurement period by: dividing</w:t>
      </w:r>
    </w:p>
    <w:p>
      <w:pPr>
        <w:spacing w:after="0" w:line="1" w:lineRule="exact"/>
        <w:rPr>
          <w:sz w:val="20"/>
          <w:szCs w:val="20"/>
          <w:color w:val="auto"/>
        </w:rPr>
      </w:pPr>
    </w:p>
    <w:p>
      <w:pPr>
        <w:ind w:left="260" w:hanging="256"/>
        <w:spacing w:after="0"/>
        <w:tabs>
          <w:tab w:leader="none" w:pos="2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cumulative value of dividends received during the measurement period, assuming reinvestment, plus</w:t>
      </w:r>
    </w:p>
    <w:p>
      <w:pPr>
        <w:spacing w:after="0" w:line="5" w:lineRule="exact"/>
        <w:rPr>
          <w:rFonts w:ascii="Times New Roman" w:cs="Times New Roman" w:eastAsia="Times New Roman" w:hAnsi="Times New Roman"/>
          <w:sz w:val="20"/>
          <w:szCs w:val="20"/>
          <w:color w:val="auto"/>
        </w:rPr>
      </w:pPr>
    </w:p>
    <w:p>
      <w:pPr>
        <w:jc w:val="both"/>
        <w:ind w:right="46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difference between the stock price at the end and at the beginning of the measurement period; by (2) the stock price at the beginning of the measurement period. For this purpose, we assume dividends are reinvested in stock at market prices at approximately the same time actual dividends are paid. Unless stated otherwise, total shareholder return is quoted on an annualized basis.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400685</wp:posOffset>
                </wp:positionV>
                <wp:extent cx="649668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685" cy="4763"/>
                        </a:xfrm>
                        <a:prstGeom prst="line">
                          <a:avLst/>
                        </a:prstGeom>
                        <a:solidFill>
                          <a:srgbClr val="FFFFFF"/>
                        </a:solidFill>
                        <a:ln w="6223">
                          <a:solidFill>
                            <a:srgbClr val="B3B3B3"/>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1.55pt" to="511.75pt,31.55pt" o:allowincell="f" strokecolor="#B3B3B3" strokeweight="0.4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FOOTNOTES </w:t>
      </w:r>
      <w:r>
        <w:rPr>
          <w:rFonts w:ascii="Times New Roman" w:cs="Times New Roman" w:eastAsia="Times New Roman" w:hAnsi="Times New Roman"/>
          <w:sz w:val="19"/>
          <w:szCs w:val="19"/>
          <w:color w:val="auto"/>
        </w:rPr>
        <w:t>(Pages I through V)</w:t>
      </w:r>
    </w:p>
    <w:p>
      <w:pPr>
        <w:spacing w:after="0" w:line="122"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For definitions and more information on Structural Cost Savings, see page 39 of ExxonMobil’s 2023 Form 10-K which forms part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this report.</w:t>
      </w:r>
    </w:p>
    <w:p>
      <w:pPr>
        <w:spacing w:after="0" w:line="4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ExxonMobil workforce Lost-Time Incident Rate for 2020-2023 was 0.02 per 200,000 work hours, based on ExxonMobil 2020,</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2021, 2022, and 2023 full-year performance data as of January 17, 2024. Workforce includes employees and contractors. Incidents include injuries and illnesses. Industry benchmark: The International Association of Oil &amp; Gas Producers (IOGP) safety performance indicators and the American Fuel &amp; Petrochemical Manufacturers (AFPM) Report of Occupational Injuries and Illnesses are the Upstream and Downstream industry benchmarks, respectively. IOGP safety performance indicators data converted from incidents per 1,000,000 work hours to incidents per 200,000 work hours. Performance data may include rounding. ExxonMobil analysis of data published by AFPM and IOGP. 2023 industry data not available at this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Highest annual global refinery throughput (2000-2023) since Exxon and Mobil merger in 1999, based on current refinery circuit.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Emission metrics are based on assets operated by ExxonMobil, using the latest performance and plan data available as of November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Greenhouse gas emissions intensity is calculated as metric tons of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8"/>
          <w:szCs w:val="18"/>
          <w:color w:val="auto"/>
        </w:rPr>
        <w:t>-equivalent per 100 metric tons of throughput or production.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Methane emissions intensity is calculated as metric tons of CH</w:t>
      </w:r>
      <w:r>
        <w:rPr>
          <w:rFonts w:ascii="Times New Roman" w:cs="Times New Roman" w:eastAsia="Times New Roman" w:hAnsi="Times New Roman"/>
          <w:sz w:val="21"/>
          <w:szCs w:val="21"/>
          <w:color w:val="auto"/>
          <w:vertAlign w:val="subscript"/>
        </w:rPr>
        <w:t>4</w:t>
      </w:r>
      <w:r>
        <w:rPr>
          <w:rFonts w:ascii="Times New Roman" w:cs="Times New Roman" w:eastAsia="Times New Roman" w:hAnsi="Times New Roman"/>
          <w:sz w:val="19"/>
          <w:szCs w:val="19"/>
          <w:color w:val="auto"/>
        </w:rPr>
        <w:t xml:space="preserve"> per 100 metric tons of throughput or production.</w:t>
      </w:r>
    </w:p>
    <w:p>
      <w:pPr>
        <w:spacing w:after="0" w:line="75"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1"/>
          <w:szCs w:val="11"/>
          <w:color w:val="auto"/>
        </w:rPr>
        <w:t>6</w:t>
      </w:r>
      <w:r>
        <w:rPr>
          <w:rFonts w:ascii="Times New Roman" w:cs="Times New Roman" w:eastAsia="Times New Roman" w:hAnsi="Times New Roman"/>
          <w:sz w:val="18"/>
          <w:szCs w:val="18"/>
          <w:color w:val="auto"/>
        </w:rPr>
        <w:t>ExxonMobil reported emissions, reductions, and avoidance performance data are based on a combination of measured and estimated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emissions data using reasonable efforts and collection methods. Calculations are based on industry standards and best practices,</w:t>
      </w:r>
    </w:p>
    <w:p>
      <w:pPr>
        <w:sectPr>
          <w:pgSz w:w="11880" w:h="15480" w:orient="portrait"/>
          <w:cols w:equalWidth="0" w:num="1">
            <w:col w:w="10240"/>
          </w:cols>
          <w:pgMar w:left="820" w:top="900" w:right="82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ectPr>
          <w:pgSz w:w="11880" w:h="15480" w:orient="portrait"/>
          <w:cols w:equalWidth="0" w:num="1">
            <w:col w:w="10240"/>
          </w:cols>
          <w:pgMar w:left="820" w:top="900" w:right="820" w:bottom="0" w:gutter="0" w:footer="0" w:header="0"/>
          <w:type w:val="continuous"/>
        </w:sectPr>
      </w:pPr>
    </w:p>
    <w:bookmarkStart w:id="147" w:name="page148"/>
    <w:bookmarkEnd w:id="147"/>
    <w:p>
      <w:pPr>
        <w:spacing w:after="0" w:line="249" w:lineRule="auto"/>
        <w:rPr>
          <w:sz w:val="20"/>
          <w:szCs w:val="20"/>
          <w:color w:val="auto"/>
        </w:rPr>
      </w:pPr>
      <w:r>
        <w:rPr>
          <w:rFonts w:ascii="Times New Roman" w:cs="Times New Roman" w:eastAsia="Times New Roman" w:hAnsi="Times New Roman"/>
          <w:sz w:val="19"/>
          <w:szCs w:val="19"/>
          <w:color w:val="auto"/>
        </w:rPr>
        <w:t>including guidance from the American Petroleum Institute (API) and Ipieca. There is uncertainty associated with the emissions, reductions, and avoidance performance data due to variation in the processes and operations, the availability of sufficient data, quality of those data, and methodology used for measurement and estimation. Performance data may include rounding. Changes to the performance data may be reported as part of the Company’s annual publications as new or updated data and/or emission methodologies become available. We are working to continuously improve our performance and methods to detect, measure and address greenhouse gas emissions. ExxonMobil works with industry, including API and Ipieca, to improve emission factors and methodologies, including measurements and estimates.</w:t>
      </w:r>
    </w:p>
    <w:p>
      <w:pPr>
        <w:spacing w:after="0" w:line="29" w:lineRule="exact"/>
        <w:rPr>
          <w:sz w:val="20"/>
          <w:szCs w:val="20"/>
          <w:color w:val="auto"/>
        </w:rPr>
      </w:pPr>
    </w:p>
    <w:p>
      <w:pPr>
        <w:ind w:right="140"/>
        <w:spacing w:after="0" w:line="359" w:lineRule="auto"/>
        <w:rPr>
          <w:sz w:val="20"/>
          <w:szCs w:val="20"/>
          <w:color w:val="auto"/>
        </w:rPr>
      </w:pP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ExxonMobil’s plans regarding expected GHG emissions reductions by 2030 can be found at https://corporate.exxonmobil.com/news/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news-releases/2021/1201_exxonmobil-announces-plans-to-2027-doubling-earnings-and-cash-flow-potential-reducing-emissions.</w:t>
      </w:r>
    </w:p>
    <w:p>
      <w:pPr>
        <w:spacing w:after="0" w:line="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Downward trend of Tier 1 process safety events since 2018. Tier 1 process safety events (those of greatest consequence) as defined by</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the American Petroleum Institute. With respect to personnel safety performance, our workforce Lost-Time Incident Rate for 2020-2023 was 0.02 per 200,000 work hours, based on ExxonMobil 2020, 2021, 2022, and 2023 full-year performance data as of January 17, 2024. Performance data may include rounding. Workforce includes employees and contractors. Incidents include injuries and illnesses. Industry benchmark: The International Association of Oil &amp; Gas Producers (IOGP) safety performance indicators and the American Fuel &amp; Petrochemical Manufacturers (AFPM) Report of Occupational Injuries and Illnesses are the Upstream and Downstream industry benchmarks, respectively. IOGP safety performance indicators data converted from incidents per 1,000,000 work hours to incidents per 200,000 work hours. Performance data may include rounding. ExxonMobil analysis of data published by AFPM and IOGP. 2023 industry data not available at this time.</w:t>
      </w:r>
    </w:p>
    <w:p>
      <w:pPr>
        <w:spacing w:after="0" w:line="7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1"/>
          <w:szCs w:val="11"/>
          <w:color w:val="auto"/>
        </w:rPr>
        <w:t>9</w:t>
      </w:r>
      <w:r>
        <w:rPr>
          <w:rFonts w:ascii="Times New Roman" w:cs="Times New Roman" w:eastAsia="Times New Roman" w:hAnsi="Times New Roman"/>
          <w:sz w:val="18"/>
          <w:szCs w:val="18"/>
          <w:color w:val="auto"/>
        </w:rPr>
        <w:t>Industry-leading earnings CAGR calculated on the basis of earnings ex. identified items for ExxonMobil and adjusted net income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sourced from Bloomberg for the industry peer group. Cash flow from operations used for industry-leading cash flow from operations CAGR is as reported in the statement of cash flows for the respective companies. Industry peer group includes BP, Chevron, Shell, and TotalEnergies.</w:t>
      </w:r>
    </w:p>
    <w:p>
      <w:pPr>
        <w:spacing w:after="0" w:line="293"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1"/>
          <w:szCs w:val="11"/>
          <w:color w:val="auto"/>
        </w:rPr>
        <w:t>10</w:t>
      </w:r>
      <w:r>
        <w:rPr>
          <w:rFonts w:ascii="Times New Roman" w:cs="Times New Roman" w:eastAsia="Times New Roman" w:hAnsi="Times New Roman"/>
          <w:sz w:val="18"/>
          <w:szCs w:val="18"/>
          <w:color w:val="auto"/>
        </w:rPr>
        <w:t>Industry-leading shareholder distributions calculated on the basis of total dividends paid plus share buybacks as reported in the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statement of cashflows for the respective companies. Industry peer group includes BP, Chevron, Shell, and TotalEnergies.</w:t>
      </w:r>
    </w:p>
    <w:p>
      <w:pPr>
        <w:spacing w:after="0" w:line="44"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1"/>
          <w:szCs w:val="11"/>
          <w:color w:val="auto"/>
        </w:rPr>
        <w:t>11</w:t>
      </w:r>
      <w:r>
        <w:rPr>
          <w:rFonts w:ascii="Times New Roman" w:cs="Times New Roman" w:eastAsia="Times New Roman" w:hAnsi="Times New Roman"/>
          <w:sz w:val="18"/>
          <w:szCs w:val="18"/>
          <w:color w:val="auto"/>
        </w:rPr>
        <w:t>Expected to leverage Permian GHG reduction plans to accelerate Pioneer’s net-zero emissions plan to 2035 from 2050; plan to lower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both companies’ Permian methane emissions through new technology application.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12</w:t>
      </w:r>
      <w:r>
        <w:rPr>
          <w:rFonts w:ascii="Times New Roman" w:cs="Times New Roman" w:eastAsia="Times New Roman" w:hAnsi="Times New Roman"/>
          <w:sz w:val="18"/>
          <w:szCs w:val="18"/>
          <w:color w:val="auto"/>
        </w:rPr>
        <w:t>Highest annual global refining reliability on record based on current refinery circuit. Comparable records date back to 2014.</w:t>
      </w:r>
    </w:p>
    <w:p>
      <w:pPr>
        <w:spacing w:after="0" w:line="12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1"/>
          <w:szCs w:val="11"/>
          <w:color w:val="auto"/>
        </w:rPr>
        <w:t>13</w:t>
      </w:r>
      <w:r>
        <w:rPr>
          <w:rFonts w:ascii="Times New Roman" w:cs="Times New Roman" w:eastAsia="Times New Roman" w:hAnsi="Times New Roman"/>
          <w:sz w:val="18"/>
          <w:szCs w:val="18"/>
          <w:color w:val="auto"/>
        </w:rPr>
        <w:t>Market potential for emission reduction opportunity based on ExxonMobil analysis of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pipeline routes, current and potential</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capacity, potential emitters in the U.S. Gulf Coast market, and potential infrastructure upgrades. Subject to additional investment by ExxonMobil, customer commitments, supportive policy, and permitting for carbon capture and storage projects.</w:t>
      </w:r>
    </w:p>
    <w:p>
      <w:pPr>
        <w:spacing w:after="0" w:line="81"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1"/>
          <w:szCs w:val="11"/>
          <w:color w:val="auto"/>
        </w:rPr>
        <w:t>14</w:t>
      </w:r>
      <w:r>
        <w:rPr>
          <w:rFonts w:ascii="Times New Roman" w:cs="Times New Roman" w:eastAsia="Times New Roman" w:hAnsi="Times New Roman"/>
          <w:sz w:val="18"/>
          <w:szCs w:val="18"/>
          <w:color w:val="auto"/>
        </w:rPr>
        <w:t>ExxonMobil analysis based on assumptions for U.S. in 2022, including average distance traveled, fuel efficiency, average power grid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carbon intensity, electric vehicle charging efficiency, and other factors. Gas-powered cars include light-duty vehicles (cars, light trucks and SUVs).</w:t>
      </w:r>
    </w:p>
    <w:p>
      <w:pPr>
        <w:spacing w:after="0" w:line="6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1"/>
          <w:szCs w:val="11"/>
          <w:color w:val="auto"/>
        </w:rPr>
        <w:t>15</w:t>
      </w:r>
      <w:r>
        <w:rPr>
          <w:rFonts w:ascii="Times New Roman" w:cs="Times New Roman" w:eastAsia="Times New Roman" w:hAnsi="Times New Roman"/>
          <w:sz w:val="18"/>
          <w:szCs w:val="18"/>
          <w:color w:val="auto"/>
        </w:rPr>
        <w:t>We see the opportunity to help other essential industries and customers achieve their goals to lower emissions. Estimates of GHG</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rPr>
        <w:t>emissions are on a life cycle basis and include avoided and abated emissions from hydrogen, lower-emission fuels, and carbon capture and storage. For example, customers could avoid up to 25 MTA of their GHG emissions if all of ExxonMobil’s projected 2030 supply to the market of lower-emission fuels displaces conventional fuel refined from crude oil. Calculation is an ExxonMobil analysis illustrating the general benefits of lower-emission fuels based on estimated fuel CI from various third-party sources (such as Argonne National Labs’ GREET model) as compared against its conventional fuel alternate on a life cycle basis. Calculation is an estimate that represents a range of potential outcomes that are based on certain assumptions. Estimates are based on the potential implementation of projects or opportunities that are at various stages of maturity. Individual projects or opportunities may advance to a final investment decision by the company based on a number of factors, including availability of supportive policy and permitting, technology and infrastructure for cost-effective abatement, and alignment with our partners and other stakeholders. Actual avoided and abated emissions may differ.</w:t>
      </w:r>
    </w:p>
    <w:p>
      <w:pPr>
        <w:spacing w:after="0" w:line="30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Exxon Mobil Corporation has numerous affiliates, many with names that include ExxonMobil, Exxon, Mobil, Esso, and XTO. For convenience and simplicity, those terms and terms such as Corporation, company, our, we, and its are sometimes used as abbreviated references to specific affiliates or affiliate groups. Similarly, ExxonMobil has business relationships with thousands of customers, suppliers, governments, and others. For convenience and simplicity, words such as venture, joint venture, partnership, co-venturer, and partner are used to indicate business and other relationships involving common activities and 13 interests, and those words may not indicate precise legal relationships. ExxonMobil’s ambitions, plans and goals do not guarantee any action or future performance by its affiliates or Exxon Mobil Corporation’s responsibility for those affiliates’ actions and future performance, each affiliate of which manages its own affairs.</w:t>
      </w:r>
    </w:p>
    <w:p>
      <w:pPr>
        <w:spacing w:after="0" w:line="83" w:lineRule="exact"/>
        <w:rPr>
          <w:sz w:val="20"/>
          <w:szCs w:val="20"/>
          <w:color w:val="auto"/>
        </w:rPr>
      </w:pPr>
    </w:p>
    <w:p>
      <w:pPr>
        <w:jc w:val="both"/>
        <w:ind w:right="60"/>
        <w:spacing w:after="0" w:line="304" w:lineRule="auto"/>
        <w:rPr>
          <w:sz w:val="20"/>
          <w:szCs w:val="20"/>
          <w:color w:val="auto"/>
        </w:rPr>
      </w:pPr>
      <w:r>
        <w:rPr>
          <w:rFonts w:ascii="Times New Roman" w:cs="Times New Roman" w:eastAsia="Times New Roman" w:hAnsi="Times New Roman"/>
          <w:sz w:val="18"/>
          <w:szCs w:val="18"/>
          <w:color w:val="auto"/>
        </w:rPr>
        <w:t xml:space="preserve">The following are trademarks, service marks, or proprietary process names of Exxon Mobil Corporation or one of its affiliates: </w:t>
      </w:r>
      <w:r>
        <w:rPr>
          <w:rFonts w:ascii="Times New Roman" w:cs="Times New Roman" w:eastAsia="Times New Roman" w:hAnsi="Times New Roman"/>
          <w:sz w:val="18"/>
          <w:szCs w:val="18"/>
          <w:i w:val="1"/>
          <w:iCs w:val="1"/>
          <w:color w:val="auto"/>
        </w:rPr>
        <w:t>Exxon,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ExxonMobil, ExxonMobil Low Carbon Solutions, Mobil, Mobil 1, Mobil Lithium, Mobil EV, Exact, Elevexx, Proxxima, and Vistamaxx</w:t>
      </w:r>
      <w:r>
        <w:rPr>
          <w:rFonts w:ascii="Times New Roman" w:cs="Times New Roman" w:eastAsia="Times New Roman" w:hAnsi="Times New Roman"/>
          <w:sz w:val="18"/>
          <w:szCs w:val="18"/>
          <w:color w:val="auto"/>
        </w:rPr>
        <w:t>.</w:t>
      </w:r>
    </w:p>
    <w:p>
      <w:pPr>
        <w:sectPr>
          <w:pgSz w:w="11880" w:h="15480" w:orient="portrait"/>
          <w:cols w:equalWidth="0" w:num="1">
            <w:col w:w="10240"/>
          </w:cols>
          <w:pgMar w:left="820" w:top="91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880" w:h="15480" w:orient="portrait"/>
          <w:cols w:equalWidth="0" w:num="1">
            <w:col w:w="10240"/>
          </w:cols>
          <w:pgMar w:left="820" w:top="911" w:right="82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of January 1, 2024</w:t>
      </w:r>
    </w:p>
    <w:p>
      <w:pPr>
        <w:spacing w:after="0" w:line="200" w:lineRule="exact"/>
        <w:rPr>
          <w:sz w:val="20"/>
          <w:szCs w:val="20"/>
          <w:color w:val="auto"/>
        </w:rPr>
      </w:pPr>
    </w:p>
    <w:p>
      <w:pPr>
        <w:spacing w:after="0" w:line="340" w:lineRule="exact"/>
        <w:rPr>
          <w:sz w:val="20"/>
          <w:szCs w:val="20"/>
          <w:color w:val="auto"/>
        </w:rPr>
      </w:pPr>
    </w:p>
    <w:p>
      <w:pPr>
        <w:ind w:left="1620" w:right="6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Joseph L. Hooley </w:t>
      </w:r>
      <w:r>
        <w:rPr>
          <w:rFonts w:ascii="Times New Roman" w:cs="Times New Roman" w:eastAsia="Times New Roman" w:hAnsi="Times New Roman"/>
          <w:sz w:val="15"/>
          <w:szCs w:val="15"/>
          <w:i w:val="1"/>
          <w:iCs w:val="1"/>
          <w:color w:val="auto"/>
        </w:rPr>
        <w:t>(Lead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5"/>
          <w:szCs w:val="15"/>
          <w:color w:val="auto"/>
        </w:rPr>
        <w:t>Former Chairman of the Board, President, and Chief Executive Officer State Street Corporation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-591820</wp:posOffset>
            </wp:positionV>
            <wp:extent cx="895985" cy="895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9">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2020</w:t>
      </w:r>
    </w:p>
    <w:p>
      <w:pPr>
        <w:spacing w:after="0" w:line="2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Susan K.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895985" cy="895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40">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President Emerita,</w:t>
      </w:r>
    </w:p>
    <w:p>
      <w:pPr>
        <w:spacing w:after="0" w:line="4" w:lineRule="exact"/>
        <w:rPr>
          <w:sz w:val="20"/>
          <w:szCs w:val="20"/>
          <w:color w:val="auto"/>
        </w:rPr>
      </w:pPr>
    </w:p>
    <w:p>
      <w:pPr>
        <w:jc w:val="both"/>
        <w:ind w:left="1620" w:right="640"/>
        <w:spacing w:after="0" w:line="248" w:lineRule="auto"/>
        <w:rPr>
          <w:sz w:val="20"/>
          <w:szCs w:val="20"/>
          <w:color w:val="auto"/>
        </w:rPr>
      </w:pPr>
      <w:r>
        <w:rPr>
          <w:rFonts w:ascii="Times New Roman" w:cs="Times New Roman" w:eastAsia="Times New Roman" w:hAnsi="Times New Roman"/>
          <w:sz w:val="16"/>
          <w:szCs w:val="16"/>
          <w:color w:val="auto"/>
        </w:rPr>
        <w:t>Woods Hole Oceanographic Institution (nonprofit ocean research, exploration, and education)</w:t>
      </w:r>
    </w:p>
    <w:p>
      <w:pPr>
        <w:spacing w:after="0" w:line="1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2017</w:t>
      </w:r>
    </w:p>
    <w:p>
      <w:pPr>
        <w:spacing w:after="0" w:line="2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Gregory J.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895985" cy="895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1">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jc w:val="both"/>
        <w:ind w:left="1620" w:right="520"/>
        <w:spacing w:after="0" w:line="247" w:lineRule="auto"/>
        <w:rPr>
          <w:sz w:val="20"/>
          <w:szCs w:val="20"/>
          <w:color w:val="auto"/>
        </w:rPr>
      </w:pPr>
      <w:r>
        <w:rPr>
          <w:rFonts w:ascii="Times New Roman" w:cs="Times New Roman" w:eastAsia="Times New Roman" w:hAnsi="Times New Roman"/>
          <w:sz w:val="16"/>
          <w:szCs w:val="16"/>
          <w:color w:val="auto"/>
        </w:rPr>
        <w:t>Former Executive Vice Chairman of the Board, Marathon Petroleum Corporation (refining and marketing)</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2021</w:t>
      </w:r>
    </w:p>
    <w:p>
      <w:pPr>
        <w:spacing w:after="0" w:line="200" w:lineRule="exact"/>
        <w:rPr>
          <w:sz w:val="20"/>
          <w:szCs w:val="20"/>
          <w:color w:val="auto"/>
        </w:rPr>
      </w:pPr>
    </w:p>
    <w:p>
      <w:pPr>
        <w:spacing w:after="0" w:line="2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Kaisa H. Hietala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895985" cy="895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42">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20" w:right="460"/>
        <w:spacing w:after="0" w:line="247" w:lineRule="auto"/>
        <w:rPr>
          <w:sz w:val="20"/>
          <w:szCs w:val="20"/>
          <w:color w:val="auto"/>
        </w:rPr>
      </w:pPr>
      <w:r>
        <w:rPr>
          <w:rFonts w:ascii="Times New Roman" w:cs="Times New Roman" w:eastAsia="Times New Roman" w:hAnsi="Times New Roman"/>
          <w:sz w:val="16"/>
          <w:szCs w:val="16"/>
          <w:color w:val="auto"/>
        </w:rPr>
        <w:t>Former Executive Vice President of Renewable Products at Neste Corporation (renewable energy)</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2021</w:t>
      </w:r>
    </w:p>
    <w:p>
      <w:pPr>
        <w:spacing w:after="0" w:line="200" w:lineRule="exact"/>
        <w:rPr>
          <w:sz w:val="20"/>
          <w:szCs w:val="20"/>
          <w:color w:val="auto"/>
        </w:rPr>
      </w:pPr>
    </w:p>
    <w:p>
      <w:pPr>
        <w:spacing w:after="0" w:line="2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Alexander A. Karsner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895985" cy="895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43">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Senior Strategist at X</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(former Google X)</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(technology)</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2021</w:t>
      </w:r>
    </w:p>
    <w:p>
      <w:pPr>
        <w:spacing w:after="0" w:line="200" w:lineRule="exact"/>
        <w:rPr>
          <w:sz w:val="20"/>
          <w:szCs w:val="20"/>
          <w:color w:val="auto"/>
        </w:rPr>
      </w:pPr>
    </w:p>
    <w:p>
      <w:pPr>
        <w:spacing w:after="0" w:line="2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Dina Powell McCormick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895985" cy="895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44">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20" w:right="740"/>
        <w:spacing w:after="0" w:line="245" w:lineRule="auto"/>
        <w:rPr>
          <w:sz w:val="20"/>
          <w:szCs w:val="20"/>
          <w:color w:val="auto"/>
        </w:rPr>
      </w:pPr>
      <w:r>
        <w:rPr>
          <w:rFonts w:ascii="Times New Roman" w:cs="Times New Roman" w:eastAsia="Times New Roman" w:hAnsi="Times New Roman"/>
          <w:sz w:val="16"/>
          <w:szCs w:val="16"/>
          <w:color w:val="auto"/>
        </w:rPr>
        <w:t>Vice Chairman, President and Global Head of Client Services, BDT &amp; MSD Partners</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(financial services)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2024</w:t>
      </w:r>
    </w:p>
    <w:p>
      <w:pPr>
        <w:spacing w:after="0" w:line="2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Jeffrey W. Ubben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895985" cy="895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5">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Founder, Portfolio Manager,</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and Managing Partner,</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Inclusive Capital Partners, L.P.</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(financial services)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2021</w:t>
      </w:r>
    </w:p>
    <w:p>
      <w:pPr>
        <w:spacing w:after="0" w:line="2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895985" cy="895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46">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20" w:right="1000"/>
        <w:spacing w:after="0" w:line="250" w:lineRule="auto"/>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16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i w:val="1"/>
          <w:iCs w:val="1"/>
          <w:color w:val="auto"/>
        </w:rPr>
        <w:t>Director since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895985" cy="895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47">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00" w:right="120"/>
        <w:spacing w:after="0" w:line="247" w:lineRule="auto"/>
        <w:rPr>
          <w:sz w:val="20"/>
          <w:szCs w:val="20"/>
          <w:color w:val="auto"/>
        </w:rPr>
      </w:pPr>
      <w:r>
        <w:rPr>
          <w:rFonts w:ascii="Times New Roman" w:cs="Times New Roman" w:eastAsia="Times New Roman" w:hAnsi="Times New Roman"/>
          <w:sz w:val="16"/>
          <w:szCs w:val="16"/>
          <w:color w:val="auto"/>
        </w:rPr>
        <w:t>Chairman of the Board and Chief Executive Officer, Atairos Group Inc. (financial services)</w:t>
      </w:r>
    </w:p>
    <w:p>
      <w:pPr>
        <w:spacing w:after="0" w:line="1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i w:val="1"/>
          <w:iCs w:val="1"/>
          <w:color w:val="auto"/>
        </w:rPr>
        <w:t>Director since 2021</w:t>
      </w:r>
    </w:p>
    <w:p>
      <w:pPr>
        <w:spacing w:after="0" w:line="200" w:lineRule="exact"/>
        <w:rPr>
          <w:sz w:val="20"/>
          <w:szCs w:val="20"/>
          <w:color w:val="auto"/>
        </w:rPr>
      </w:pPr>
    </w:p>
    <w:p>
      <w:pPr>
        <w:spacing w:after="0" w:line="28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Angela F. Braly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895985" cy="895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48">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00" w:right="20"/>
        <w:spacing w:after="0" w:line="247" w:lineRule="auto"/>
        <w:rPr>
          <w:sz w:val="20"/>
          <w:szCs w:val="20"/>
          <w:color w:val="auto"/>
        </w:rPr>
      </w:pPr>
      <w:r>
        <w:rPr>
          <w:rFonts w:ascii="Times New Roman" w:cs="Times New Roman" w:eastAsia="Times New Roman" w:hAnsi="Times New Roman"/>
          <w:sz w:val="16"/>
          <w:szCs w:val="16"/>
          <w:color w:val="auto"/>
        </w:rPr>
        <w:t>Former Chairman of the Board, President, and Chief Executive Officer, WellPoint, Inc. (now Elevance Health) (health insurance)</w:t>
      </w:r>
    </w:p>
    <w:p>
      <w:pPr>
        <w:spacing w:after="0" w:line="16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i w:val="1"/>
          <w:iCs w:val="1"/>
          <w:color w:val="auto"/>
        </w:rPr>
        <w:t>Director since 2016</w:t>
      </w:r>
    </w:p>
    <w:p>
      <w:pPr>
        <w:spacing w:after="0" w:line="2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John D. Harris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895985" cy="895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9">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00" w:right="460"/>
        <w:spacing w:after="0" w:line="247" w:lineRule="auto"/>
        <w:rPr>
          <w:sz w:val="20"/>
          <w:szCs w:val="20"/>
          <w:color w:val="auto"/>
        </w:rPr>
      </w:pPr>
      <w:r>
        <w:rPr>
          <w:rFonts w:ascii="Times New Roman" w:cs="Times New Roman" w:eastAsia="Times New Roman" w:hAnsi="Times New Roman"/>
          <w:sz w:val="16"/>
          <w:szCs w:val="16"/>
          <w:color w:val="auto"/>
        </w:rPr>
        <w:t>Former Chief Executive Officer, Raytheon International, Inc. (space and defense)</w:t>
      </w:r>
    </w:p>
    <w:p>
      <w:pPr>
        <w:spacing w:after="0" w:line="1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i w:val="1"/>
          <w:iCs w:val="1"/>
          <w:color w:val="auto"/>
        </w:rPr>
        <w:t>Director since 2023</w:t>
      </w:r>
    </w:p>
    <w:p>
      <w:pPr>
        <w:spacing w:after="0" w:line="200" w:lineRule="exact"/>
        <w:rPr>
          <w:sz w:val="20"/>
          <w:szCs w:val="20"/>
          <w:color w:val="auto"/>
        </w:rPr>
      </w:pPr>
    </w:p>
    <w:p>
      <w:pPr>
        <w:spacing w:after="0" w:line="28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Steven A. Kandarian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895985" cy="895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50">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Former Chairman of the Board,</w:t>
      </w:r>
    </w:p>
    <w:p>
      <w:pPr>
        <w:spacing w:after="0" w:line="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MetLife</w:t>
      </w:r>
    </w:p>
    <w:p>
      <w:pPr>
        <w:spacing w:after="0" w:line="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(insurance)</w:t>
      </w:r>
    </w:p>
    <w:p>
      <w:pPr>
        <w:spacing w:after="0" w:line="1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i w:val="1"/>
          <w:iCs w:val="1"/>
          <w:color w:val="auto"/>
        </w:rPr>
        <w:t>Director since 2018</w:t>
      </w:r>
    </w:p>
    <w:p>
      <w:pPr>
        <w:spacing w:after="0" w:line="2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Lawrence W. Kellner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895985" cy="895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51">
                      <a:extLst>
                        <a:ext uri="{28A0092B-C50C-407E-A947-70E740481C1C}"/>
                      </a:extLst>
                    </a:blip>
                    <a:srcRect/>
                    <a:stretch>
                      <a:fillRect/>
                    </a:stretch>
                  </pic:blipFill>
                  <pic:spPr bwMode="auto">
                    <a:xfrm>
                      <a:off x="0" y="0"/>
                      <a:ext cx="895985" cy="895985"/>
                    </a:xfrm>
                    <a:prstGeom prst="rect">
                      <a:avLst/>
                    </a:prstGeom>
                    <a:noFill/>
                  </pic:spPr>
                </pic:pic>
              </a:graphicData>
            </a:graphic>
          </wp:anchor>
        </w:drawing>
      </w:r>
    </w:p>
    <w:p>
      <w:pPr>
        <w:spacing w:after="0" w:line="1" w:lineRule="exact"/>
        <w:rPr>
          <w:sz w:val="20"/>
          <w:szCs w:val="20"/>
          <w:color w:val="auto"/>
        </w:rPr>
      </w:pPr>
    </w:p>
    <w:p>
      <w:pPr>
        <w:ind w:left="1600" w:right="60"/>
        <w:spacing w:after="0" w:line="247" w:lineRule="auto"/>
        <w:rPr>
          <w:sz w:val="20"/>
          <w:szCs w:val="20"/>
          <w:color w:val="auto"/>
        </w:rPr>
      </w:pPr>
      <w:r>
        <w:rPr>
          <w:rFonts w:ascii="Times New Roman" w:cs="Times New Roman" w:eastAsia="Times New Roman" w:hAnsi="Times New Roman"/>
          <w:sz w:val="16"/>
          <w:szCs w:val="16"/>
          <w:color w:val="auto"/>
        </w:rPr>
        <w:t>Independent Chair of the Board, The Boeing Company (aviation); President, Emerald Creek Group, LLC (private equity)</w:t>
      </w:r>
    </w:p>
    <w:p>
      <w:pPr>
        <w:spacing w:after="0" w:line="16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i w:val="1"/>
          <w:iCs w:val="1"/>
          <w:color w:val="auto"/>
        </w:rPr>
        <w:t>Director since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STANDING COMMITTEES OF THE BOARD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of February 27,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G.J. Goff (Chair), M.J. Angelakis, J.D. Harris II, K.H. Hietala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A.F. Braly (Chair), J.D. Harris II, J.L. Hooley, S.A. Kandarian</w:t>
      </w:r>
    </w:p>
    <w:p>
      <w:pPr>
        <w:spacing w:after="0" w:line="17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Environment, Safety and Public Policy Committee </w:t>
      </w:r>
      <w:r>
        <w:rPr>
          <w:rFonts w:ascii="Times New Roman" w:cs="Times New Roman" w:eastAsia="Times New Roman" w:hAnsi="Times New Roman"/>
          <w:sz w:val="16"/>
          <w:szCs w:val="16"/>
          <w:i w:val="1"/>
          <w:iCs w:val="1"/>
          <w:color w:val="auto"/>
        </w:rPr>
        <w:t>S.K. Avery (Chair), A.F. Braly, A.A. Karsner, L.W. Kellner, D. Powell McCormick, J.W. Ubben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Finance Committee</w:t>
      </w:r>
    </w:p>
    <w:p>
      <w:pPr>
        <w:spacing w:after="0" w:line="2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6"/>
          <w:szCs w:val="16"/>
          <w:i w:val="1"/>
          <w:iCs w:val="1"/>
          <w:color w:val="auto"/>
        </w:rPr>
        <w:t>M.J. Angelakis (Chair), G.J. Goff, K.H. Hietala, J.W. Ubben, D.W. Woods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Nominating and Governance Committee</w:t>
      </w:r>
    </w:p>
    <w:p>
      <w:pPr>
        <w:spacing w:after="0" w:line="2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6"/>
          <w:szCs w:val="16"/>
          <w:i w:val="1"/>
          <w:iCs w:val="1"/>
          <w:color w:val="auto"/>
        </w:rPr>
        <w:t>J.L. Hooley (Chair), S.K. Avery, S.A. Kandarian, A.A. Karsner, L.W. Kellner, D. Powell McCormick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Committee</w:t>
      </w:r>
    </w:p>
    <w:p>
      <w:pPr>
        <w:spacing w:after="0" w:line="24"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6"/>
          <w:szCs w:val="16"/>
          <w:i w:val="1"/>
          <w:iCs w:val="1"/>
          <w:color w:val="auto"/>
        </w:rPr>
        <w:t>D.W. Woods (Chair), M.J. Angelakis, G.J. Goff, J.L. Hooley, S.A. Kandarian</w:t>
      </w:r>
    </w:p>
    <w:p>
      <w:pPr>
        <w:spacing w:after="0" w:line="148" w:lineRule="exact"/>
        <w:rPr>
          <w:sz w:val="20"/>
          <w:szCs w:val="20"/>
          <w:color w:val="auto"/>
        </w:rPr>
      </w:pPr>
    </w:p>
    <w:p>
      <w:pPr>
        <w:sectPr>
          <w:pgSz w:w="11880" w:h="15480" w:orient="portrait"/>
          <w:cols w:equalWidth="0" w:num="2">
            <w:col w:w="4760" w:space="720"/>
            <w:col w:w="4140"/>
          </w:cols>
          <w:pgMar w:left="820" w:top="900" w:right="1440" w:bottom="0" w:gutter="0" w:footer="0" w:header="0"/>
        </w:sectPr>
      </w:pPr>
    </w:p>
    <w:p>
      <w:pPr>
        <w:ind w:left="4980"/>
        <w:spacing w:after="0"/>
        <w:rPr>
          <w:sz w:val="20"/>
          <w:szCs w:val="20"/>
          <w:color w:val="auto"/>
        </w:rPr>
      </w:pPr>
      <w:r>
        <w:rPr>
          <w:rFonts w:ascii="Times New Roman" w:cs="Times New Roman" w:eastAsia="Times New Roman" w:hAnsi="Times New Roman"/>
          <w:sz w:val="17"/>
          <w:szCs w:val="17"/>
          <w:color w:val="auto"/>
        </w:rPr>
        <w:t>139</w:t>
      </w:r>
    </w:p>
    <w:p>
      <w:pPr>
        <w:sectPr>
          <w:pgSz w:w="11880" w:h="15480" w:orient="portrait"/>
          <w:cols w:equalWidth="0" w:num="1">
            <w:col w:w="9620"/>
          </w:cols>
          <w:pgMar w:left="820" w:top="900" w:right="1440" w:bottom="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color w:val="auto"/>
        </w:rPr>
        <w:t>INVESTOR INFORMATION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services</w:t>
      </w:r>
    </w:p>
    <w:p>
      <w:pPr>
        <w:spacing w:after="0" w:line="10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Shareholder inquiries should be addressed to ExxonMobil Shareholder Services at Computershare Trust Company, N.A., ExxonMobil’s transfer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ExxonMobil Shareholder Services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Computershare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43006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RI 02940-3006</w:t>
      </w:r>
    </w:p>
    <w:p>
      <w:pPr>
        <w:spacing w:after="0" w:line="195"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1-800-252-1800</w:t>
      </w:r>
      <w:r>
        <w:rPr>
          <w:sz w:val="20"/>
          <w:szCs w:val="20"/>
          <w:color w:val="auto"/>
        </w:rPr>
        <w:tab/>
      </w:r>
      <w:r>
        <w:rPr>
          <w:rFonts w:ascii="Times New Roman" w:cs="Times New Roman" w:eastAsia="Times New Roman" w:hAnsi="Times New Roman"/>
          <w:sz w:val="17"/>
          <w:szCs w:val="17"/>
          <w:b w:val="1"/>
          <w:bCs w:val="1"/>
          <w:color w:val="auto"/>
        </w:rPr>
        <w:t>1-781-575-2058</w:t>
      </w:r>
    </w:p>
    <w:p>
      <w:pPr>
        <w:spacing w:after="0" w:line="26"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(Within the United</w:t>
      </w:r>
      <w:r>
        <w:rPr>
          <w:sz w:val="20"/>
          <w:szCs w:val="20"/>
          <w:color w:val="auto"/>
        </w:rPr>
        <w:tab/>
      </w:r>
      <w:r>
        <w:rPr>
          <w:rFonts w:ascii="Times New Roman" w:cs="Times New Roman" w:eastAsia="Times New Roman" w:hAnsi="Times New Roman"/>
          <w:sz w:val="17"/>
          <w:szCs w:val="17"/>
          <w:color w:val="auto"/>
        </w:rPr>
        <w:t>(Outside the United</w:t>
      </w:r>
    </w:p>
    <w:p>
      <w:pPr>
        <w:spacing w:after="0" w:line="5"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States and Canada)</w:t>
      </w:r>
      <w:r>
        <w:rPr>
          <w:sz w:val="20"/>
          <w:szCs w:val="20"/>
          <w:color w:val="auto"/>
        </w:rPr>
        <w:tab/>
      </w:r>
      <w:r>
        <w:rPr>
          <w:rFonts w:ascii="Times New Roman" w:cs="Times New Roman" w:eastAsia="Times New Roman" w:hAnsi="Times New Roman"/>
          <w:sz w:val="17"/>
          <w:szCs w:val="17"/>
          <w:color w:val="auto"/>
        </w:rPr>
        <w:t>States and Canada)</w:t>
      </w:r>
    </w:p>
    <w:p>
      <w:pPr>
        <w:spacing w:after="0" w:line="19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An automated voice-response system is available 24 hours a day, 7 days a week.</w:t>
      </w:r>
    </w:p>
    <w:p>
      <w:pPr>
        <w:spacing w:after="0" w:line="164"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Service representatives are available Monday through Friday 8 a.m. to 8 p.m. Eastern Time.</w:t>
      </w:r>
    </w:p>
    <w:p>
      <w:pPr>
        <w:spacing w:after="0" w:line="164"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8"/>
          <w:szCs w:val="18"/>
          <w:color w:val="auto"/>
        </w:rPr>
        <w:t xml:space="preserve">Registered shareholders can access information about their ExxonMobil stock accounts via the internet at </w:t>
      </w:r>
      <w:r>
        <w:rPr>
          <w:rFonts w:ascii="Times New Roman" w:cs="Times New Roman" w:eastAsia="Times New Roman" w:hAnsi="Times New Roman"/>
          <w:sz w:val="18"/>
          <w:szCs w:val="18"/>
          <w:i w:val="1"/>
          <w:iCs w:val="1"/>
          <w:color w:val="auto"/>
        </w:rPr>
        <w:t>computershare.com/exxonmobil</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copies may be obtained from: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relations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 Mobil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Shareholder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22777 Springwoods Village Parkway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 TX 77389-1425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shareholderrelations @ exxonmobil.com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03"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7"/>
          <w:szCs w:val="17"/>
          <w:color w:val="auto"/>
        </w:rPr>
        <w:t>The New York Stock Exchange is the principal exchange on which Exxon Mobil Corporation common stock is traded.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symbol: XOM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purchase and dividend reinvestment plan</w:t>
      </w:r>
    </w:p>
    <w:p>
      <w:pPr>
        <w:spacing w:after="0" w:line="10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 xml:space="preserve">Computershare Trust Company, N.A., sponsors a stock purchase and dividend reinvestment plan, the Computershare Investment Plan for Exxon Mobil Corporation Common Stock. For more information and plan materials, go to </w:t>
      </w:r>
      <w:r>
        <w:rPr>
          <w:rFonts w:ascii="Times New Roman" w:cs="Times New Roman" w:eastAsia="Times New Roman" w:hAnsi="Times New Roman"/>
          <w:sz w:val="17"/>
          <w:szCs w:val="17"/>
          <w:i w:val="1"/>
          <w:iCs w:val="1"/>
          <w:color w:val="auto"/>
        </w:rPr>
        <w:t>computershare.com/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exxonmobil </w:t>
      </w:r>
      <w:r>
        <w:rPr>
          <w:rFonts w:ascii="Times New Roman" w:cs="Times New Roman" w:eastAsia="Times New Roman" w:hAnsi="Times New Roman"/>
          <w:sz w:val="17"/>
          <w:szCs w:val="17"/>
          <w:color w:val="auto"/>
        </w:rPr>
        <w:t>or call or write ExxonMobil Shareholder Services.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shareholder meeting</w:t>
      </w:r>
    </w:p>
    <w:p>
      <w:pPr>
        <w:spacing w:after="0" w:line="103"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7"/>
          <w:szCs w:val="17"/>
          <w:color w:val="auto"/>
        </w:rPr>
        <w:t>The 2024 Annual Meeting of Shareholders will be held virtually at 9:30 a.m. Central Time on Wednesday, May 29, 2024.</w:t>
      </w:r>
    </w:p>
    <w:p>
      <w:pPr>
        <w:spacing w:after="0" w:line="141" w:lineRule="exact"/>
        <w:rPr>
          <w:sz w:val="20"/>
          <w:szCs w:val="20"/>
          <w:color w:val="auto"/>
        </w:rPr>
      </w:pPr>
    </w:p>
    <w:p>
      <w:pPr>
        <w:ind w:right="1260"/>
        <w:spacing w:after="0" w:line="273" w:lineRule="auto"/>
        <w:rPr>
          <w:sz w:val="20"/>
          <w:szCs w:val="20"/>
          <w:color w:val="auto"/>
        </w:rPr>
      </w:pPr>
      <w:r>
        <w:rPr>
          <w:rFonts w:ascii="Times New Roman" w:cs="Times New Roman" w:eastAsia="Times New Roman" w:hAnsi="Times New Roman"/>
          <w:sz w:val="18"/>
          <w:szCs w:val="18"/>
          <w:color w:val="auto"/>
        </w:rPr>
        <w:t xml:space="preserve">Important shareholder information is available at </w:t>
      </w:r>
      <w:r>
        <w:rPr>
          <w:rFonts w:ascii="Times New Roman" w:cs="Times New Roman" w:eastAsia="Times New Roman" w:hAnsi="Times New Roman"/>
          <w:sz w:val="18"/>
          <w:szCs w:val="18"/>
          <w:i w:val="1"/>
          <w:iCs w:val="1"/>
          <w:color w:val="auto"/>
        </w:rPr>
        <w:t>exxonmobil.com/investors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 Publications</w:t>
      </w:r>
      <w:r>
        <w:rPr>
          <w:sz w:val="20"/>
          <w:szCs w:val="20"/>
          <w:color w:val="auto"/>
        </w:rPr>
        <w:tab/>
      </w:r>
      <w:r>
        <w:rPr>
          <w:rFonts w:ascii="Times New Roman" w:cs="Times New Roman" w:eastAsia="Times New Roman" w:hAnsi="Times New Roman"/>
          <w:sz w:val="17"/>
          <w:szCs w:val="17"/>
          <w:color w:val="auto"/>
        </w:rPr>
        <w:t>• Stock Quote</w:t>
      </w:r>
    </w:p>
    <w:p>
      <w:pPr>
        <w:spacing w:after="0" w:line="24"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 Dividend Information</w:t>
      </w:r>
      <w:r>
        <w:rPr>
          <w:sz w:val="20"/>
          <w:szCs w:val="20"/>
          <w:color w:val="auto"/>
        </w:rPr>
        <w:tab/>
      </w:r>
      <w:r>
        <w:rPr>
          <w:rFonts w:ascii="Times New Roman" w:cs="Times New Roman" w:eastAsia="Times New Roman" w:hAnsi="Times New Roman"/>
          <w:sz w:val="18"/>
          <w:szCs w:val="18"/>
          <w:color w:val="auto"/>
        </w:rPr>
        <w:t>• Contact Information</w:t>
      </w:r>
    </w:p>
    <w:p>
      <w:pPr>
        <w:spacing w:after="0" w:line="5"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 Earnings and Financials</w:t>
      </w:r>
      <w:r>
        <w:rPr>
          <w:sz w:val="20"/>
          <w:szCs w:val="20"/>
          <w:color w:val="auto"/>
        </w:rPr>
        <w:tab/>
      </w:r>
      <w:r>
        <w:rPr>
          <w:rFonts w:ascii="Times New Roman" w:cs="Times New Roman" w:eastAsia="Times New Roman" w:hAnsi="Times New Roman"/>
          <w:sz w:val="17"/>
          <w:szCs w:val="17"/>
          <w:color w:val="auto"/>
        </w:rPr>
        <w:t>• News Releases</w:t>
      </w:r>
    </w:p>
    <w:p>
      <w:pPr>
        <w:spacing w:after="0" w:line="5"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 Investor Presentations</w:t>
      </w:r>
      <w:r>
        <w:rPr>
          <w:sz w:val="20"/>
          <w:szCs w:val="20"/>
          <w:color w:val="auto"/>
        </w:rPr>
        <w:tab/>
      </w:r>
      <w:r>
        <w:rPr>
          <w:rFonts w:ascii="Times New Roman" w:cs="Times New Roman" w:eastAsia="Times New Roman" w:hAnsi="Times New Roman"/>
          <w:sz w:val="18"/>
          <w:szCs w:val="18"/>
          <w:color w:val="auto"/>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304800</wp:posOffset>
            </wp:positionV>
            <wp:extent cx="165735" cy="165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52">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304800</wp:posOffset>
            </wp:positionV>
            <wp:extent cx="165735" cy="165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3">
                      <a:extLst>
                        <a:ext uri="{28A0092B-C50C-407E-A947-70E740481C1C}"/>
                      </a:extLst>
                    </a:blip>
                    <a:srcRect/>
                    <a:stretch>
                      <a:fillRect/>
                    </a:stretch>
                  </pic:blipFill>
                  <pic:spPr bwMode="auto">
                    <a:xfrm>
                      <a:off x="0" y="0"/>
                      <a:ext cx="165735" cy="16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Sign up to learn more about ExxonMobil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-3476625</wp:posOffset>
                </wp:positionH>
                <wp:positionV relativeFrom="paragraph">
                  <wp:posOffset>821690</wp:posOffset>
                </wp:positionV>
                <wp:extent cx="649605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6223">
                          <a:solidFill>
                            <a:srgbClr val="B3B3B3"/>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7499pt,64.7pt" to="237.75pt,64.7pt" o:allowincell="f" strokecolor="#B3B3B3" strokeweight="0.49pt"/>
            </w:pict>
          </mc:Fallback>
        </mc:AlternateContent>
        <w:drawing>
          <wp:anchor simplePos="0" relativeHeight="251657728" behindDoc="1" locked="0" layoutInCell="0" allowOverlap="1">
            <wp:simplePos x="0" y="0"/>
            <wp:positionH relativeFrom="column">
              <wp:posOffset>-7620</wp:posOffset>
            </wp:positionH>
            <wp:positionV relativeFrom="paragraph">
              <wp:posOffset>90805</wp:posOffset>
            </wp:positionV>
            <wp:extent cx="165735" cy="165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4">
                      <a:extLst>
                        <a:ext uri="{28A0092B-C50C-407E-A947-70E740481C1C}"/>
                      </a:extLst>
                    </a:blip>
                    <a:srcRect/>
                    <a:stretch>
                      <a:fillRect/>
                    </a:stretch>
                  </pic:blipFill>
                  <pic:spPr bwMode="auto">
                    <a:xfrm>
                      <a:off x="0" y="0"/>
                      <a:ext cx="165735" cy="165735"/>
                    </a:xfrm>
                    <a:prstGeom prst="rect">
                      <a:avLst/>
                    </a:prstGeom>
                    <a:noFill/>
                  </pic:spPr>
                </pic:pic>
              </a:graphicData>
            </a:graphic>
          </wp:anchor>
        </w:drawing>
      </w:r>
    </w:p>
    <w:p>
      <w:pPr>
        <w:spacing w:after="0" w:line="1041" w:lineRule="exact"/>
        <w:rPr>
          <w:sz w:val="20"/>
          <w:szCs w:val="20"/>
          <w:color w:val="auto"/>
        </w:rPr>
      </w:pPr>
    </w:p>
    <w:p>
      <w:pPr>
        <w:sectPr>
          <w:pgSz w:w="11880" w:h="15480" w:orient="portrait"/>
          <w:cols w:equalWidth="0" w:num="2">
            <w:col w:w="4760" w:space="720"/>
            <w:col w:w="4780"/>
          </w:cols>
          <w:pgMar w:left="640" w:top="9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FORWARD-LOOKING STATEMENTS. Statements of future events, conditions, expectations, plans or ambitions in this document or the subsequent discussion period are forward-looking statements. Similarly, discussions of future carbon capture, transportation, and storage, as well as biofuels, hydrogen, and other plans to reduce emissions of ExxonMobil, its affiliates, or companies it is seeking to acquire, are dependent on future market factors, such as continued technological progress, policy support and timely rule -making and permitting, and represent forward-looking statements. Actual future results, including financial and operating performance; potential earnings, cash flow, and rates of return; total capital expenditures and mix, including allocations of capital to low carbon investments; realization and maintenance of structural cost reductions and efficiency gains, including the ability to offset inflationary pressures, plans to reduce future emissions intensity; ambitions to reach Scope 1 and Scope 2 net zero from operated assets by 2050, to reach Scope 1 and 2 net zero in Upstream Permian Basin unconventional operated assets by 2030 and Pioneer Permian assets by 2035, to eliminate routine fl aring in-line with World Bank Zero Routine Flaring, to reach near-zero methane emissions from operated assets and other methane initiatives, to meet ExxonMobil’s emission reduction plans and goals, divestment and start-up plans, and associated project plans as well as technology advances, including in the timing and outcome of projects to capture and store CO</w:t>
      </w:r>
      <w:r>
        <w:rPr>
          <w:rFonts w:ascii="Times New Roman" w:cs="Times New Roman" w:eastAsia="Times New Roman" w:hAnsi="Times New Roman"/>
          <w:sz w:val="16"/>
          <w:szCs w:val="16"/>
          <w:color w:val="auto"/>
          <w:vertAlign w:val="subscript"/>
        </w:rPr>
        <w:t>2</w:t>
      </w:r>
      <w:r>
        <w:rPr>
          <w:rFonts w:ascii="Times New Roman" w:cs="Times New Roman" w:eastAsia="Times New Roman" w:hAnsi="Times New Roman"/>
          <w:sz w:val="14"/>
          <w:szCs w:val="14"/>
          <w:color w:val="auto"/>
        </w:rPr>
        <w:t>, produce hydrogen, produce biofuels, produce lithium, and use plastic waste as feedstock for advanced recycling; maintenance and turnaround activity; drilling and improvement programs; price and margin recovery; shareholder distributions; planned Pioneer or Denbury integration benefits; resource recoveries and production rates; and product sales levels and mix could differ materially due to a number of factors. These include global or regional changes in oil, gas, petrochemicals, or feedstock prices, differentials, seasonal fluctuations, or other market or economic conditions affecting the oil, gas, and petrochemical industries and the demand for our products; government policies supporting lower carbon investment opportunities such as the U.S. Inflation Reduction Act or policies limiting the attractiveness of investments such as European taxes on energy and unequal support for different methods of carbon capture; policy and consumer support for emission- reduction products and technology; variable impacts of trading activities; the outcome of competitive bidding and project wins; regulatory actions targeting public companies in the oil and gas industry; changes in local, national, or international laws, regulations, and policies affecting our business including with respect to the environment; taxes, trade sanctions, and actions taken in response to pandemic concerns; the ability to realize efficiencies within and across our business lines and to maintain current cost reductions as efficiencies without impairing our competitive positioning; decisions to invest in future reserves; reservoir performance, including variability in unconventional projects; the level, outcome, and timing of exploration and development projects and decisions to invest in future resources; timely completion of construction projects; war, civil unrest, attacks against the company or industry, and other political or security disturbances; expropriations, seizures, and capacity, insurance or shipping limitations by foreign governments or international embargoes; changes in consumer preferences; opportunities for and regulatory approval of investments or divestments that may arise such as the Pioneer acquisition; the outcome of our or competitors’ research efforts and the ability to bring new technology to commercial scale on a cost- competitive basis; the development and competitiveness of alternative energy and emission reduction technologies; unforeseen technical or operating difficulties including the need for unplanned maintenance; and other factors discussed here and in Item 1A. Risk Factors of our Form 10- K and under the heading “Factors Affecting Future Results” available through the Investors page of our website at www.exxonmobil.com. All forward-looking statements are based on management’s knowledge and reasonable expectations at the time of this presentation and we assume no duty to update these statements as of any future date. Neither future distribution of this material nor the continued availability of this material in archive form on our website should be deemed to constitute an update or re-affirmation of these figures as of any future date. Any future update of these figures will be provided only through a public disclosure indicating that fact.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Pioneer transaction (merger) referenced throughout in this document is subject to customary regulatory reviews and approvals, and approval by Pioneer shareholders.</w:t>
      </w:r>
    </w:p>
    <w:p>
      <w:pPr>
        <w:sectPr>
          <w:pgSz w:w="11880" w:h="15480" w:orient="portrait"/>
          <w:cols w:equalWidth="0" w:num="1">
            <w:col w:w="10260"/>
          </w:cols>
          <w:pgMar w:left="640" w:top="900" w:right="980" w:bottom="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140</w:t>
      </w:r>
    </w:p>
    <w:p>
      <w:pPr>
        <w:sectPr>
          <w:pgSz w:w="11880" w:h="15480" w:orient="portrait"/>
          <w:cols w:equalWidth="0" w:num="1">
            <w:col w:w="10260"/>
          </w:cols>
          <w:pgMar w:left="640" w:top="900" w:right="980" w:bottom="0" w:gutter="0" w:footer="0" w:header="0"/>
          <w:type w:val="continuous"/>
        </w:sectPr>
      </w:pPr>
    </w:p>
    <w:bookmarkStart w:id="150" w:name="page151"/>
    <w:bookmarkEnd w:id="150"/>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565150</wp:posOffset>
            </wp:positionH>
            <wp:positionV relativeFrom="page">
              <wp:posOffset>0</wp:posOffset>
            </wp:positionV>
            <wp:extent cx="6642100" cy="3354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55">
                      <a:extLst>
                        <a:ext uri="{28A0092B-C50C-407E-A947-70E740481C1C}"/>
                      </a:extLst>
                    </a:blip>
                    <a:srcRect/>
                    <a:stretch>
                      <a:fillRect/>
                    </a:stretch>
                  </pic:blipFill>
                  <pic:spPr bwMode="auto">
                    <a:xfrm>
                      <a:off x="0" y="0"/>
                      <a:ext cx="6642100" cy="3354705"/>
                    </a:xfrm>
                    <a:prstGeom prst="rect">
                      <a:avLst/>
                    </a:prstGeom>
                    <a:noFill/>
                  </pic:spPr>
                </pic:pic>
              </a:graphicData>
            </a:graphic>
          </wp:anchor>
        </w:drawing>
      </w:r>
    </w:p>
    <w:p>
      <w:pPr>
        <w:ind w:left="2"/>
        <w:spacing w:after="0"/>
        <w:rPr>
          <w:sz w:val="20"/>
          <w:szCs w:val="20"/>
          <w:color w:val="auto"/>
        </w:rPr>
      </w:pPr>
      <w:r>
        <w:rPr>
          <w:rFonts w:ascii="Arial" w:cs="Arial" w:eastAsia="Arial" w:hAnsi="Arial"/>
          <w:sz w:val="27"/>
          <w:szCs w:val="27"/>
          <w:color w:val="003F9A"/>
        </w:rPr>
        <w:t>IéÙ õ«ÄÄ«Ä£ ÖÙËÖËÝ«ä«ËÄ</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FFFFFF"/>
        </w:rPr>
        <w:t>ä¨ÙËé£¨</w:t>
      </w:r>
    </w:p>
    <w:p>
      <w:pPr>
        <w:spacing w:after="0" w:line="96" w:lineRule="exact"/>
        <w:rPr>
          <w:sz w:val="20"/>
          <w:szCs w:val="20"/>
          <w:color w:val="auto"/>
        </w:rPr>
      </w:pPr>
    </w:p>
    <w:tbl>
      <w:tblPr>
        <w:tblLayout w:type="fixed"/>
        <w:tblInd w:w="55" w:type="dxa"/>
        <w:tblCellMar>
          <w:top w:w="0" w:type="dxa"/>
          <w:left w:w="0" w:type="dxa"/>
          <w:bottom w:w="0" w:type="dxa"/>
          <w:right w:w="0" w:type="dxa"/>
        </w:tblCellMar>
      </w:tblPr>
      <w:tr>
        <w:trPr>
          <w:trHeight w:val="1680"/>
        </w:trPr>
        <w:tc>
          <w:tcPr>
            <w:tcW w:w="770" w:type="dxa"/>
            <w:vAlign w:val="bottom"/>
            <w:textDirection w:val="btLr"/>
          </w:tcPr>
          <w:p>
            <w:pPr>
              <w:spacing w:after="0"/>
              <w:rPr>
                <w:sz w:val="20"/>
                <w:szCs w:val="20"/>
                <w:color w:val="auto"/>
              </w:rPr>
            </w:pPr>
            <w:r>
              <w:rPr>
                <w:rFonts w:ascii="Arial" w:cs="Arial" w:eastAsia="Arial" w:hAnsi="Arial"/>
                <w:sz w:val="67"/>
                <w:szCs w:val="67"/>
                <w:b w:val="1"/>
                <w:bCs w:val="1"/>
                <w:color w:val="FFFFFF"/>
              </w:rPr>
              <w:t>ƍƋƍƒ</w:t>
            </w:r>
          </w:p>
        </w:tc>
      </w:tr>
    </w:tbl>
    <w:p>
      <w:pPr>
        <w:spacing w:after="0" w:line="200" w:lineRule="exact"/>
        <w:rPr>
          <w:sz w:val="20"/>
          <w:szCs w:val="20"/>
          <w:color w:val="auto"/>
        </w:rPr>
      </w:pPr>
    </w:p>
    <w:p>
      <w:pPr>
        <w:sectPr>
          <w:pgSz w:w="11880" w:h="15480" w:orient="portrait"/>
          <w:cols w:equalWidth="0" w:num="2">
            <w:col w:w="8822" w:space="720"/>
            <w:col w:w="1100"/>
          </w:cols>
          <w:pgMar w:left="898" w:top="351"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
        <w:spacing w:after="0" w:line="265" w:lineRule="exact"/>
        <w:rPr>
          <w:sz w:val="20"/>
          <w:szCs w:val="20"/>
          <w:color w:val="auto"/>
        </w:rPr>
      </w:pPr>
      <w:r>
        <w:rPr>
          <w:rFonts w:ascii="Arial" w:cs="Arial" w:eastAsia="Arial" w:hAnsi="Arial"/>
          <w:sz w:val="20"/>
          <w:szCs w:val="20"/>
          <w:b w:val="1"/>
          <w:bCs w:val="1"/>
          <w:color w:val="303030"/>
        </w:rPr>
        <w:t>T½</w:t>
      </w:r>
      <w:r>
        <w:rPr>
          <w:rFonts w:ascii="PMingLiU" w:cs="PMingLiU" w:eastAsia="PMingLiU" w:hAnsi="PMingLiU"/>
          <w:sz w:val="20"/>
          <w:szCs w:val="20"/>
          <w:b w:val="1"/>
          <w:bCs w:val="1"/>
          <w:color w:val="303030"/>
        </w:rPr>
        <w:t></w:t>
      </w:r>
      <w:r>
        <w:rPr>
          <w:rFonts w:ascii="Arial" w:cs="Arial" w:eastAsia="Arial" w:hAnsi="Arial"/>
          <w:sz w:val="20"/>
          <w:szCs w:val="20"/>
          <w:b w:val="1"/>
          <w:bCs w:val="1"/>
          <w:color w:val="303030"/>
        </w:rPr>
        <w:t>Ä ä¨ÙËé£¨ ƍƋƍƒ</w:t>
      </w:r>
      <w:r>
        <w:rPr>
          <w:rFonts w:ascii="Arial" w:cs="Arial" w:eastAsia="Arial" w:hAnsi="Arial"/>
          <w:sz w:val="23"/>
          <w:szCs w:val="23"/>
          <w:b w:val="1"/>
          <w:bCs w:val="1"/>
          <w:color w:val="303030"/>
          <w:vertAlign w:val="superscript"/>
        </w:rPr>
        <w:t>ƌ</w:t>
      </w:r>
    </w:p>
    <w:p>
      <w:pPr>
        <w:spacing w:after="0" w:line="16" w:lineRule="exact"/>
        <w:rPr>
          <w:sz w:val="20"/>
          <w:szCs w:val="20"/>
          <w:color w:val="auto"/>
        </w:rPr>
      </w:pPr>
    </w:p>
    <w:p>
      <w:pPr>
        <w:ind w:left="2" w:right="500" w:firstLine="1"/>
        <w:spacing w:after="0" w:line="228" w:lineRule="exact"/>
        <w:rPr>
          <w:sz w:val="20"/>
          <w:szCs w:val="20"/>
          <w:color w:val="auto"/>
        </w:rPr>
      </w:pPr>
      <w:r>
        <w:rPr>
          <w:rFonts w:ascii="PMingLiU" w:cs="PMingLiU" w:eastAsia="PMingLiU" w:hAnsi="PMingLiU"/>
          <w:sz w:val="17"/>
          <w:szCs w:val="17"/>
          <w:color w:val="303030"/>
        </w:rPr>
        <w:t/>
      </w:r>
      <w:r>
        <w:rPr>
          <w:rFonts w:ascii="Arial" w:cs="Arial" w:eastAsia="Arial" w:hAnsi="Arial"/>
          <w:sz w:val="17"/>
          <w:szCs w:val="17"/>
          <w:color w:val="303030"/>
        </w:rPr>
        <w:t xml:space="preserve">û </w:t>
      </w:r>
      <w:r>
        <w:rPr>
          <w:rFonts w:ascii="PMingLiU" w:cs="PMingLiU" w:eastAsia="PMingLiU" w:hAnsi="PMingLiU"/>
          <w:sz w:val="17"/>
          <w:szCs w:val="17"/>
          <w:color w:val="303030"/>
        </w:rPr>
        <w:t></w:t>
      </w:r>
      <w:r>
        <w:rPr>
          <w:rFonts w:ascii="Arial" w:cs="Arial" w:eastAsia="Arial" w:hAnsi="Arial"/>
          <w:sz w:val="17"/>
          <w:szCs w:val="17"/>
          <w:color w:val="303030"/>
        </w:rPr>
        <w:t>Äû Ã</w:t>
      </w:r>
      <w:r>
        <w:rPr>
          <w:rFonts w:ascii="PMingLiU" w:cs="PMingLiU" w:eastAsia="PMingLiU" w:hAnsi="PMingLiU"/>
          <w:sz w:val="17"/>
          <w:szCs w:val="17"/>
          <w:color w:val="303030"/>
        </w:rPr>
        <w:t></w:t>
      </w:r>
      <w:r>
        <w:rPr>
          <w:rFonts w:ascii="Arial" w:cs="Arial" w:eastAsia="Arial" w:hAnsi="Arial"/>
          <w:sz w:val="17"/>
          <w:szCs w:val="17"/>
          <w:color w:val="303030"/>
        </w:rPr>
        <w:t>ÝéÙ</w:t>
      </w:r>
      <w:r>
        <w:rPr>
          <w:rFonts w:ascii="PMingLiU" w:cs="PMingLiU" w:eastAsia="PMingLiU" w:hAnsi="PMingLiU"/>
          <w:sz w:val="17"/>
          <w:szCs w:val="17"/>
          <w:color w:val="303030"/>
        </w:rPr>
        <w:t></w:t>
      </w:r>
      <w:r>
        <w:rPr>
          <w:rFonts w:ascii="Arial" w:cs="Arial" w:eastAsia="Arial" w:hAnsi="Arial"/>
          <w:sz w:val="17"/>
          <w:szCs w:val="17"/>
          <w:color w:val="303030"/>
        </w:rPr>
        <w:t>Ǐ ËéÙ Ö½</w:t>
      </w:r>
      <w:r>
        <w:rPr>
          <w:rFonts w:ascii="PMingLiU" w:cs="PMingLiU" w:eastAsia="PMingLiU" w:hAnsi="PMingLiU"/>
          <w:sz w:val="17"/>
          <w:szCs w:val="17"/>
          <w:color w:val="303030"/>
        </w:rPr>
        <w:t></w:t>
      </w:r>
      <w:r>
        <w:rPr>
          <w:rFonts w:ascii="Arial" w:cs="Arial" w:eastAsia="Arial" w:hAnsi="Arial"/>
          <w:sz w:val="17"/>
          <w:szCs w:val="17"/>
          <w:color w:val="303030"/>
        </w:rPr>
        <w:t>Ä ¨</w:t>
      </w:r>
      <w:r>
        <w:rPr>
          <w:rFonts w:ascii="PMingLiU" w:cs="PMingLiU" w:eastAsia="PMingLiU" w:hAnsi="PMingLiU"/>
          <w:sz w:val="17"/>
          <w:szCs w:val="17"/>
          <w:color w:val="303030"/>
        </w:rPr>
        <w:t></w:t>
      </w:r>
      <w:r>
        <w:rPr>
          <w:rFonts w:ascii="Arial" w:cs="Arial" w:eastAsia="Arial" w:hAnsi="Arial"/>
          <w:sz w:val="17"/>
          <w:szCs w:val="17"/>
          <w:color w:val="303030"/>
        </w:rPr>
        <w:t xml:space="preserve">Ý </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 xml:space="preserve"> õ«½½ </w:t>
      </w:r>
      <w:r>
        <w:rPr>
          <w:rFonts w:ascii="PMingLiU" w:cs="PMingLiU" w:eastAsia="PMingLiU" w:hAnsi="PMingLiU"/>
          <w:sz w:val="17"/>
          <w:szCs w:val="17"/>
          <w:color w:val="303030"/>
        </w:rPr>
        <w:t></w:t>
      </w:r>
      <w:r>
        <w:rPr>
          <w:rFonts w:ascii="Arial" w:cs="Arial" w:eastAsia="Arial" w:hAnsi="Arial"/>
          <w:sz w:val="17"/>
          <w:szCs w:val="17"/>
          <w:color w:val="303030"/>
        </w:rPr>
        <w:t>ËÄä«Äé</w:t>
      </w:r>
      <w:r>
        <w:rPr>
          <w:rFonts w:ascii="PMingLiU" w:cs="PMingLiU" w:eastAsia="PMingLiU" w:hAnsi="PMingLiU"/>
          <w:sz w:val="17"/>
          <w:szCs w:val="17"/>
          <w:color w:val="303030"/>
        </w:rPr>
        <w:t></w:t>
      </w:r>
      <w:r>
        <w:rPr>
          <w:rFonts w:ascii="Arial" w:cs="Arial" w:eastAsia="Arial" w:hAnsi="Arial"/>
          <w:sz w:val="17"/>
          <w:szCs w:val="17"/>
          <w:color w:val="303030"/>
        </w:rPr>
        <w:t xml:space="preserve"> äË </w:t>
      </w:r>
      <w:r>
        <w:rPr>
          <w:rFonts w:ascii="PMingLiU" w:cs="PMingLiU" w:eastAsia="PMingLiU" w:hAnsi="PMingLiU"/>
          <w:sz w:val="17"/>
          <w:szCs w:val="17"/>
          <w:color w:val="303030"/>
        </w:rPr>
        <w:t></w:t>
      </w:r>
      <w:r>
        <w:rPr>
          <w:rFonts w:ascii="Arial" w:cs="Arial" w:eastAsia="Arial" w:hAnsi="Arial"/>
          <w:sz w:val="17"/>
          <w:szCs w:val="17"/>
          <w:color w:val="303030"/>
        </w:rPr>
        <w:t>½«ô</w:t>
      </w:r>
      <w:r>
        <w:rPr>
          <w:rFonts w:ascii="PMingLiU" w:cs="PMingLiU" w:eastAsia="PMingLiU" w:hAnsi="PMingLiU"/>
          <w:sz w:val="17"/>
          <w:szCs w:val="17"/>
          <w:color w:val="303030"/>
        </w:rPr>
        <w:t></w:t>
      </w:r>
      <w:r>
        <w:rPr>
          <w:rFonts w:ascii="Arial" w:cs="Arial" w:eastAsia="Arial" w:hAnsi="Arial"/>
          <w:sz w:val="17"/>
          <w:szCs w:val="17"/>
          <w:color w:val="303030"/>
        </w:rPr>
        <w:t>Ù ½ËÄ£ǥä</w:t>
      </w:r>
      <w:r>
        <w:rPr>
          <w:rFonts w:ascii="PMingLiU" w:cs="PMingLiU" w:eastAsia="PMingLiU" w:hAnsi="PMingLiU"/>
          <w:sz w:val="17"/>
          <w:szCs w:val="17"/>
          <w:color w:val="303030"/>
        </w:rPr>
        <w:t></w:t>
      </w:r>
      <w:r>
        <w:rPr>
          <w:rFonts w:ascii="Arial" w:cs="Arial" w:eastAsia="Arial" w:hAnsi="Arial"/>
          <w:sz w:val="17"/>
          <w:szCs w:val="17"/>
          <w:color w:val="303030"/>
        </w:rPr>
        <w:t>ÙÃ ô</w:t>
      </w:r>
      <w:r>
        <w:rPr>
          <w:rFonts w:ascii="PMingLiU" w:cs="PMingLiU" w:eastAsia="PMingLiU" w:hAnsi="PMingLiU"/>
          <w:sz w:val="17"/>
          <w:szCs w:val="17"/>
          <w:color w:val="303030"/>
        </w:rPr>
        <w:t></w:t>
      </w:r>
      <w:r>
        <w:rPr>
          <w:rFonts w:ascii="Arial" w:cs="Arial" w:eastAsia="Arial" w:hAnsi="Arial"/>
          <w:sz w:val="17"/>
          <w:szCs w:val="17"/>
          <w:color w:val="303030"/>
        </w:rPr>
        <w:t>½é</w:t>
      </w:r>
      <w:r>
        <w:rPr>
          <w:rFonts w:ascii="PMingLiU" w:cs="PMingLiU" w:eastAsia="PMingLiU" w:hAnsi="PMingLiU"/>
          <w:sz w:val="17"/>
          <w:szCs w:val="17"/>
          <w:color w:val="303030"/>
        </w:rPr>
        <w:t></w:t>
      </w:r>
      <w:r>
        <w:rPr>
          <w:rFonts w:ascii="Arial" w:cs="Arial" w:eastAsia="Arial" w:hAnsi="Arial"/>
          <w:sz w:val="17"/>
          <w:szCs w:val="17"/>
          <w:color w:val="303030"/>
        </w:rPr>
        <w:t>ǔ b¨</w:t>
      </w:r>
      <w:r>
        <w:rPr>
          <w:rFonts w:ascii="PMingLiU" w:cs="PMingLiU" w:eastAsia="PMingLiU" w:hAnsi="PMingLiU"/>
          <w:sz w:val="17"/>
          <w:szCs w:val="17"/>
          <w:color w:val="303030"/>
        </w:rPr>
        <w:t> </w:t>
      </w:r>
      <w:r>
        <w:rPr>
          <w:rFonts w:ascii="Arial" w:cs="Arial" w:eastAsia="Arial" w:hAnsi="Arial"/>
          <w:sz w:val="17"/>
          <w:szCs w:val="17"/>
          <w:color w:val="303030"/>
        </w:rPr>
        <w:t>ËÃÖ</w:t>
      </w:r>
      <w:r>
        <w:rPr>
          <w:rFonts w:ascii="PMingLiU" w:cs="PMingLiU" w:eastAsia="PMingLiU" w:hAnsi="PMingLiU"/>
          <w:sz w:val="17"/>
          <w:szCs w:val="17"/>
          <w:color w:val="303030"/>
        </w:rPr>
        <w:t></w:t>
      </w:r>
      <w:r>
        <w:rPr>
          <w:rFonts w:ascii="Arial" w:cs="Arial" w:eastAsia="Arial" w:hAnsi="Arial"/>
          <w:sz w:val="17"/>
          <w:szCs w:val="17"/>
          <w:color w:val="303030"/>
        </w:rPr>
        <w:t>ä«ä«ô</w:t>
      </w:r>
      <w:r>
        <w:rPr>
          <w:rFonts w:ascii="PMingLiU" w:cs="PMingLiU" w:eastAsia="PMingLiU" w:hAnsi="PMingLiU"/>
          <w:sz w:val="17"/>
          <w:szCs w:val="17"/>
          <w:color w:val="303030"/>
        </w:rPr>
        <w:t> </w:t>
      </w:r>
      <w:r>
        <w:rPr>
          <w:rFonts w:ascii="Arial" w:cs="Arial" w:eastAsia="Arial" w:hAnsi="Arial"/>
          <w:sz w:val="17"/>
          <w:szCs w:val="17"/>
          <w:color w:val="303030"/>
        </w:rPr>
        <w:t>ô</w:t>
      </w:r>
      <w:r>
        <w:rPr>
          <w:rFonts w:ascii="PMingLiU" w:cs="PMingLiU" w:eastAsia="PMingLiU" w:hAnsi="PMingLiU"/>
          <w:sz w:val="17"/>
          <w:szCs w:val="17"/>
          <w:color w:val="303030"/>
        </w:rPr>
        <w:t></w:t>
      </w:r>
      <w:r>
        <w:rPr>
          <w:rFonts w:ascii="Arial" w:cs="Arial" w:eastAsia="Arial" w:hAnsi="Arial"/>
          <w:sz w:val="17"/>
          <w:szCs w:val="17"/>
          <w:color w:val="303030"/>
        </w:rPr>
        <w:t>Ää</w:t>
      </w:r>
      <w:r>
        <w:rPr>
          <w:rFonts w:ascii="PMingLiU" w:cs="PMingLiU" w:eastAsia="PMingLiU" w:hAnsi="PMingLiU"/>
          <w:sz w:val="17"/>
          <w:szCs w:val="17"/>
          <w:color w:val="303030"/>
        </w:rPr>
        <w:t></w:t>
      </w:r>
      <w:r>
        <w:rPr>
          <w:rFonts w:ascii="Arial" w:cs="Arial" w:eastAsia="Arial" w:hAnsi="Arial"/>
          <w:sz w:val="17"/>
          <w:szCs w:val="17"/>
          <w:color w:val="303030"/>
        </w:rPr>
        <w:t>£</w:t>
      </w:r>
      <w:r>
        <w:rPr>
          <w:rFonts w:ascii="PMingLiU" w:cs="PMingLiU" w:eastAsia="PMingLiU" w:hAnsi="PMingLiU"/>
          <w:sz w:val="17"/>
          <w:szCs w:val="17"/>
          <w:color w:val="303030"/>
        </w:rPr>
        <w:t></w:t>
      </w:r>
      <w:r>
        <w:rPr>
          <w:rFonts w:ascii="Arial" w:cs="Arial" w:eastAsia="Arial" w:hAnsi="Arial"/>
          <w:sz w:val="17"/>
          <w:szCs w:val="17"/>
          <w:color w:val="303030"/>
        </w:rPr>
        <w:t>Ý õ</w:t>
      </w:r>
      <w:r>
        <w:rPr>
          <w:rFonts w:ascii="PMingLiU" w:cs="PMingLiU" w:eastAsia="PMingLiU" w:hAnsi="PMingLiU"/>
          <w:sz w:val="17"/>
          <w:szCs w:val="17"/>
          <w:color w:val="303030"/>
        </w:rPr>
        <w:t></w:t>
      </w:r>
      <w:r>
        <w:rPr>
          <w:rFonts w:ascii="Arial" w:cs="Arial" w:eastAsia="Arial" w:hAnsi="Arial"/>
          <w:sz w:val="17"/>
          <w:szCs w:val="17"/>
          <w:color w:val="303030"/>
        </w:rPr>
        <w:t xml:space="preserve"> ÖËÝÝ</w:t>
      </w:r>
      <w:r>
        <w:rPr>
          <w:rFonts w:ascii="PMingLiU" w:cs="PMingLiU" w:eastAsia="PMingLiU" w:hAnsi="PMingLiU"/>
          <w:sz w:val="17"/>
          <w:szCs w:val="17"/>
          <w:color w:val="303030"/>
        </w:rPr>
        <w:t></w:t>
      </w:r>
      <w:r>
        <w:rPr>
          <w:rFonts w:ascii="Arial" w:cs="Arial" w:eastAsia="Arial" w:hAnsi="Arial"/>
          <w:sz w:val="17"/>
          <w:szCs w:val="17"/>
          <w:color w:val="303030"/>
        </w:rPr>
        <w:t>ÝÝǏ ä¨</w:t>
      </w:r>
      <w:r>
        <w:rPr>
          <w:rFonts w:ascii="PMingLiU" w:cs="PMingLiU" w:eastAsia="PMingLiU" w:hAnsi="PMingLiU"/>
          <w:sz w:val="17"/>
          <w:szCs w:val="17"/>
          <w:color w:val="303030"/>
        </w:rPr>
        <w:t></w:t>
      </w:r>
      <w:r>
        <w:rPr>
          <w:rFonts w:ascii="Arial" w:cs="Arial" w:eastAsia="Arial" w:hAnsi="Arial"/>
          <w:sz w:val="17"/>
          <w:szCs w:val="17"/>
          <w:color w:val="303030"/>
        </w:rPr>
        <w:t xml:space="preserve"> ËÙ£</w:t>
      </w:r>
      <w:r>
        <w:rPr>
          <w:rFonts w:ascii="PMingLiU" w:cs="PMingLiU" w:eastAsia="PMingLiU" w:hAnsi="PMingLiU"/>
          <w:sz w:val="17"/>
          <w:szCs w:val="17"/>
          <w:color w:val="303030"/>
        </w:rPr>
        <w:t></w:t>
      </w:r>
      <w:r>
        <w:rPr>
          <w:rFonts w:ascii="Arial" w:cs="Arial" w:eastAsia="Arial" w:hAnsi="Arial"/>
          <w:sz w:val="17"/>
          <w:szCs w:val="17"/>
          <w:color w:val="303030"/>
        </w:rPr>
        <w:t>Ä«Ā</w:t>
      </w:r>
      <w:r>
        <w:rPr>
          <w:rFonts w:ascii="PMingLiU" w:cs="PMingLiU" w:eastAsia="PMingLiU" w:hAnsi="PMingLiU"/>
          <w:sz w:val="17"/>
          <w:szCs w:val="17"/>
          <w:color w:val="303030"/>
        </w:rPr>
        <w:t></w:t>
      </w:r>
      <w:r>
        <w:rPr>
          <w:rFonts w:ascii="Arial" w:cs="Arial" w:eastAsia="Arial" w:hAnsi="Arial"/>
          <w:sz w:val="17"/>
          <w:szCs w:val="17"/>
          <w:color w:val="303030"/>
        </w:rPr>
        <w:t>ä«ËÄ õ</w:t>
      </w:r>
      <w:r>
        <w:rPr>
          <w:rFonts w:ascii="PMingLiU" w:cs="PMingLiU" w:eastAsia="PMingLiU" w:hAnsi="PMingLiU"/>
          <w:sz w:val="17"/>
          <w:szCs w:val="17"/>
          <w:color w:val="303030"/>
        </w:rPr>
        <w:t></w:t>
      </w:r>
      <w:r>
        <w:rPr>
          <w:rFonts w:ascii="Arial" w:cs="Arial" w:eastAsia="Arial" w:hAnsi="Arial"/>
          <w:sz w:val="17"/>
          <w:szCs w:val="17"/>
          <w:color w:val="303030"/>
        </w:rPr>
        <w:t>ǯô</w:t>
      </w:r>
      <w:r>
        <w:rPr>
          <w:rFonts w:ascii="PMingLiU" w:cs="PMingLiU" w:eastAsia="PMingLiU" w:hAnsi="PMingLiU"/>
          <w:sz w:val="17"/>
          <w:szCs w:val="17"/>
          <w:color w:val="303030"/>
        </w:rPr>
        <w:t> </w:t>
      </w:r>
      <w:r>
        <w:rPr>
          <w:rFonts w:ascii="Arial" w:cs="Arial" w:eastAsia="Arial" w:hAnsi="Arial"/>
          <w:sz w:val="17"/>
          <w:szCs w:val="17"/>
          <w:color w:val="303030"/>
        </w:rPr>
        <w:t>é«½äǏ ä¨</w:t>
      </w:r>
      <w:r>
        <w:rPr>
          <w:rFonts w:ascii="PMingLiU" w:cs="PMingLiU" w:eastAsia="PMingLiU" w:hAnsi="PMingLiU"/>
          <w:sz w:val="17"/>
          <w:szCs w:val="17"/>
          <w:color w:val="303030"/>
        </w:rPr>
        <w:t></w:t>
      </w:r>
      <w:r>
        <w:rPr>
          <w:rFonts w:ascii="Arial" w:cs="Arial" w:eastAsia="Arial" w:hAnsi="Arial"/>
          <w:sz w:val="17"/>
          <w:szCs w:val="17"/>
          <w:color w:val="303030"/>
        </w:rPr>
        <w:t xml:space="preserve"> ËÖÖËÙäéÄ«ä«</w:t>
      </w:r>
      <w:r>
        <w:rPr>
          <w:rFonts w:ascii="PMingLiU" w:cs="PMingLiU" w:eastAsia="PMingLiU" w:hAnsi="PMingLiU"/>
          <w:sz w:val="17"/>
          <w:szCs w:val="17"/>
          <w:color w:val="303030"/>
        </w:rPr>
        <w:t></w:t>
      </w:r>
      <w:r>
        <w:rPr>
          <w:rFonts w:ascii="Arial" w:cs="Arial" w:eastAsia="Arial" w:hAnsi="Arial"/>
          <w:sz w:val="17"/>
          <w:szCs w:val="17"/>
          <w:color w:val="303030"/>
        </w:rPr>
        <w:t>Ý õ</w:t>
      </w:r>
      <w:r>
        <w:rPr>
          <w:rFonts w:ascii="PMingLiU" w:cs="PMingLiU" w:eastAsia="PMingLiU" w:hAnsi="PMingLiU"/>
          <w:sz w:val="17"/>
          <w:szCs w:val="17"/>
          <w:color w:val="303030"/>
        </w:rPr>
        <w:t></w:t>
      </w:r>
      <w:r>
        <w:rPr>
          <w:rFonts w:ascii="Arial" w:cs="Arial" w:eastAsia="Arial" w:hAnsi="Arial"/>
          <w:sz w:val="17"/>
          <w:szCs w:val="17"/>
          <w:color w:val="303030"/>
        </w:rPr>
        <w:t>ǯÙ</w:t>
      </w:r>
      <w:r>
        <w:rPr>
          <w:rFonts w:ascii="PMingLiU" w:cs="PMingLiU" w:eastAsia="PMingLiU" w:hAnsi="PMingLiU"/>
          <w:sz w:val="17"/>
          <w:szCs w:val="17"/>
          <w:color w:val="303030"/>
        </w:rPr>
        <w:t> </w:t>
      </w:r>
      <w:r>
        <w:rPr>
          <w:rFonts w:ascii="Arial" w:cs="Arial" w:eastAsia="Arial" w:hAnsi="Arial"/>
          <w:sz w:val="17"/>
          <w:szCs w:val="17"/>
          <w:color w:val="303030"/>
        </w:rPr>
        <w:t>ÖäéÙ«Ä£Ǐ ä¨</w:t>
      </w:r>
      <w:r>
        <w:rPr>
          <w:rFonts w:ascii="PMingLiU" w:cs="PMingLiU" w:eastAsia="PMingLiU" w:hAnsi="PMingLiU"/>
          <w:sz w:val="17"/>
          <w:szCs w:val="17"/>
          <w:color w:val="303030"/>
        </w:rPr>
        <w:t></w:t>
      </w:r>
      <w:r>
        <w:rPr>
          <w:rFonts w:ascii="Arial" w:cs="Arial" w:eastAsia="Arial" w:hAnsi="Arial"/>
          <w:sz w:val="17"/>
          <w:szCs w:val="17"/>
          <w:color w:val="303030"/>
        </w:rPr>
        <w:t xml:space="preserve"> Ö</w:t>
      </w:r>
      <w:r>
        <w:rPr>
          <w:rFonts w:ascii="PMingLiU" w:cs="PMingLiU" w:eastAsia="PMingLiU" w:hAnsi="PMingLiU"/>
          <w:sz w:val="17"/>
          <w:szCs w:val="17"/>
          <w:color w:val="303030"/>
        </w:rPr>
        <w:t></w:t>
      </w:r>
      <w:r>
        <w:rPr>
          <w:rFonts w:ascii="Arial" w:cs="Arial" w:eastAsia="Arial" w:hAnsi="Arial"/>
          <w:sz w:val="17"/>
          <w:szCs w:val="17"/>
          <w:color w:val="303030"/>
        </w:rPr>
        <w:t>Ù¢ËÙÃ</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 xml:space="preserve"> õ</w:t>
      </w:r>
      <w:r>
        <w:rPr>
          <w:rFonts w:ascii="PMingLiU" w:cs="PMingLiU" w:eastAsia="PMingLiU" w:hAnsi="PMingLiU"/>
          <w:sz w:val="17"/>
          <w:szCs w:val="17"/>
          <w:color w:val="303030"/>
        </w:rPr>
        <w:t></w:t>
      </w:r>
      <w:r>
        <w:rPr>
          <w:rFonts w:ascii="Arial" w:cs="Arial" w:eastAsia="Arial" w:hAnsi="Arial"/>
          <w:sz w:val="17"/>
          <w:szCs w:val="17"/>
          <w:color w:val="303030"/>
        </w:rPr>
        <w:t>ǯÙ</w:t>
      </w:r>
      <w:r>
        <w:rPr>
          <w:rFonts w:ascii="PMingLiU" w:cs="PMingLiU" w:eastAsia="PMingLiU" w:hAnsi="PMingLiU"/>
          <w:sz w:val="17"/>
          <w:szCs w:val="17"/>
          <w:color w:val="303030"/>
        </w:rPr>
        <w:t> </w:t>
      </w:r>
      <w:r>
        <w:rPr>
          <w:rFonts w:ascii="Arial" w:cs="Arial" w:eastAsia="Arial" w:hAnsi="Arial"/>
          <w:sz w:val="17"/>
          <w:szCs w:val="17"/>
          <w:color w:val="303030"/>
        </w:rPr>
        <w:t>½«ô</w:t>
      </w:r>
      <w:r>
        <w:rPr>
          <w:rFonts w:ascii="PMingLiU" w:cs="PMingLiU" w:eastAsia="PMingLiU" w:hAnsi="PMingLiU"/>
          <w:sz w:val="17"/>
          <w:szCs w:val="17"/>
          <w:color w:val="303030"/>
        </w:rPr>
        <w:t></w:t>
      </w:r>
      <w:r>
        <w:rPr>
          <w:rFonts w:ascii="Arial" w:cs="Arial" w:eastAsia="Arial" w:hAnsi="Arial"/>
          <w:sz w:val="17"/>
          <w:szCs w:val="17"/>
          <w:color w:val="303030"/>
        </w:rPr>
        <w:t xml:space="preserve">Ù«Ä£Ǐ </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 xml:space="preserve"> ä¨</w:t>
      </w:r>
      <w:r>
        <w:rPr>
          <w:rFonts w:ascii="PMingLiU" w:cs="PMingLiU" w:eastAsia="PMingLiU" w:hAnsi="PMingLiU"/>
          <w:sz w:val="17"/>
          <w:szCs w:val="17"/>
          <w:color w:val="303030"/>
        </w:rPr>
        <w:t></w:t>
      </w:r>
      <w:r>
        <w:rPr>
          <w:rFonts w:ascii="Arial" w:cs="Arial" w:eastAsia="Arial" w:hAnsi="Arial"/>
          <w:sz w:val="17"/>
          <w:szCs w:val="17"/>
          <w:color w:val="303030"/>
        </w:rPr>
        <w:t xml:space="preserve"> Ý¨</w:t>
      </w:r>
      <w:r>
        <w:rPr>
          <w:rFonts w:ascii="PMingLiU" w:cs="PMingLiU" w:eastAsia="PMingLiU" w:hAnsi="PMingLiU"/>
          <w:sz w:val="17"/>
          <w:szCs w:val="17"/>
          <w:color w:val="303030"/>
        </w:rPr>
        <w:t></w:t>
      </w:r>
      <w:r>
        <w:rPr>
          <w:rFonts w:ascii="Arial" w:cs="Arial" w:eastAsia="Arial" w:hAnsi="Arial"/>
          <w:sz w:val="17"/>
          <w:szCs w:val="17"/>
          <w:color w:val="303030"/>
        </w:rPr>
        <w:t>Ù</w:t>
      </w:r>
      <w:r>
        <w:rPr>
          <w:rFonts w:ascii="PMingLiU" w:cs="PMingLiU" w:eastAsia="PMingLiU" w:hAnsi="PMingLiU"/>
          <w:sz w:val="17"/>
          <w:szCs w:val="17"/>
          <w:color w:val="303030"/>
        </w:rPr>
        <w:t></w:t>
      </w:r>
      <w:r>
        <w:rPr>
          <w:rFonts w:ascii="Arial" w:cs="Arial" w:eastAsia="Arial" w:hAnsi="Arial"/>
          <w:sz w:val="17"/>
          <w:szCs w:val="17"/>
          <w:color w:val="303030"/>
        </w:rPr>
        <w:t>¨Ë½</w:t>
      </w:r>
      <w:r>
        <w:rPr>
          <w:rFonts w:ascii="PMingLiU" w:cs="PMingLiU" w:eastAsia="PMingLiU" w:hAnsi="PMingLiU"/>
          <w:sz w:val="17"/>
          <w:szCs w:val="17"/>
          <w:color w:val="303030"/>
        </w:rPr>
        <w:t></w:t>
      </w:r>
      <w:r>
        <w:rPr>
          <w:rFonts w:ascii="Arial" w:cs="Arial" w:eastAsia="Arial" w:hAnsi="Arial"/>
          <w:sz w:val="17"/>
          <w:szCs w:val="17"/>
          <w:color w:val="303030"/>
        </w:rPr>
        <w:t>Ù Ù</w:t>
      </w:r>
      <w:r>
        <w:rPr>
          <w:rFonts w:ascii="PMingLiU" w:cs="PMingLiU" w:eastAsia="PMingLiU" w:hAnsi="PMingLiU"/>
          <w:sz w:val="17"/>
          <w:szCs w:val="17"/>
          <w:color w:val="303030"/>
        </w:rPr>
        <w:t></w:t>
      </w:r>
      <w:r>
        <w:rPr>
          <w:rFonts w:ascii="Arial" w:cs="Arial" w:eastAsia="Arial" w:hAnsi="Arial"/>
          <w:sz w:val="17"/>
          <w:szCs w:val="17"/>
          <w:color w:val="303030"/>
        </w:rPr>
        <w:t>äéÙÄÝ õ</w:t>
      </w:r>
      <w:r>
        <w:rPr>
          <w:rFonts w:ascii="PMingLiU" w:cs="PMingLiU" w:eastAsia="PMingLiU" w:hAnsi="PMingLiU"/>
          <w:sz w:val="17"/>
          <w:szCs w:val="17"/>
          <w:color w:val="303030"/>
        </w:rPr>
        <w:t></w:t>
      </w:r>
      <w:r>
        <w:rPr>
          <w:rFonts w:ascii="Arial" w:cs="Arial" w:eastAsia="Arial" w:hAnsi="Arial"/>
          <w:sz w:val="17"/>
          <w:szCs w:val="17"/>
          <w:color w:val="303030"/>
        </w:rPr>
        <w:t>ǯÙ</w:t>
      </w:r>
      <w:r>
        <w:rPr>
          <w:rFonts w:ascii="PMingLiU" w:cs="PMingLiU" w:eastAsia="PMingLiU" w:hAnsi="PMingLiU"/>
          <w:sz w:val="17"/>
          <w:szCs w:val="17"/>
          <w:color w:val="303030"/>
        </w:rPr>
        <w:t></w:t>
      </w:r>
      <w:r>
        <w:rPr>
          <w:rFonts w:ascii="Arial" w:cs="Arial" w:eastAsia="Arial" w:hAnsi="Arial"/>
          <w:sz w:val="17"/>
          <w:szCs w:val="17"/>
          <w:color w:val="303030"/>
        </w:rPr>
        <w:t xml:space="preserve"> £</w:t>
      </w:r>
      <w:r>
        <w:rPr>
          <w:rFonts w:ascii="PMingLiU" w:cs="PMingLiU" w:eastAsia="PMingLiU" w:hAnsi="PMingLiU"/>
          <w:sz w:val="17"/>
          <w:szCs w:val="17"/>
          <w:color w:val="303030"/>
        </w:rPr>
        <w:t></w:t>
      </w:r>
      <w:r>
        <w:rPr>
          <w:rFonts w:ascii="Arial" w:cs="Arial" w:eastAsia="Arial" w:hAnsi="Arial"/>
          <w:sz w:val="17"/>
          <w:szCs w:val="17"/>
          <w:color w:val="303030"/>
        </w:rPr>
        <w:t>Ä</w:t>
      </w:r>
      <w:r>
        <w:rPr>
          <w:rFonts w:ascii="PMingLiU" w:cs="PMingLiU" w:eastAsia="PMingLiU" w:hAnsi="PMingLiU"/>
          <w:sz w:val="17"/>
          <w:szCs w:val="17"/>
          <w:color w:val="303030"/>
        </w:rPr>
        <w:t></w:t>
      </w:r>
      <w:r>
        <w:rPr>
          <w:rFonts w:ascii="Arial" w:cs="Arial" w:eastAsia="Arial" w:hAnsi="Arial"/>
          <w:sz w:val="17"/>
          <w:szCs w:val="17"/>
          <w:color w:val="303030"/>
        </w:rPr>
        <w:t>Ù</w:t>
      </w:r>
      <w:r>
        <w:rPr>
          <w:rFonts w:ascii="PMingLiU" w:cs="PMingLiU" w:eastAsia="PMingLiU" w:hAnsi="PMingLiU"/>
          <w:sz w:val="17"/>
          <w:szCs w:val="17"/>
          <w:color w:val="303030"/>
        </w:rPr>
        <w:t></w:t>
      </w:r>
      <w:r>
        <w:rPr>
          <w:rFonts w:ascii="Arial" w:cs="Arial" w:eastAsia="Arial" w:hAnsi="Arial"/>
          <w:sz w:val="17"/>
          <w:szCs w:val="17"/>
          <w:color w:val="303030"/>
        </w:rPr>
        <w:t xml:space="preserve">ä«Ä£ </w:t>
      </w:r>
      <w:r>
        <w:rPr>
          <w:rFonts w:ascii="PMingLiU" w:cs="PMingLiU" w:eastAsia="PMingLiU" w:hAnsi="PMingLiU"/>
          <w:sz w:val="17"/>
          <w:szCs w:val="17"/>
          <w:color w:val="303030"/>
        </w:rPr>
        <w:t></w:t>
      </w:r>
      <w:r>
        <w:rPr>
          <w:rFonts w:ascii="Arial" w:cs="Arial" w:eastAsia="Arial" w:hAnsi="Arial"/>
          <w:sz w:val="17"/>
          <w:szCs w:val="17"/>
          <w:color w:val="303030"/>
        </w:rPr>
        <w:t xml:space="preserve">½½ </w:t>
      </w:r>
      <w:r>
        <w:rPr>
          <w:rFonts w:ascii="PMingLiU" w:cs="PMingLiU" w:eastAsia="PMingLiU" w:hAnsi="PMingLiU"/>
          <w:sz w:val="17"/>
          <w:szCs w:val="17"/>
          <w:color w:val="303030"/>
        </w:rPr>
        <w:t></w:t>
      </w:r>
      <w:r>
        <w:rPr>
          <w:rFonts w:ascii="Arial" w:cs="Arial" w:eastAsia="Arial" w:hAnsi="Arial"/>
          <w:sz w:val="17"/>
          <w:szCs w:val="17"/>
          <w:color w:val="303030"/>
        </w:rPr>
        <w:t xml:space="preserve"> éÖ äË õ¨</w:t>
      </w:r>
      <w:r>
        <w:rPr>
          <w:rFonts w:ascii="PMingLiU" w:cs="PMingLiU" w:eastAsia="PMingLiU" w:hAnsi="PMingLiU"/>
          <w:sz w:val="17"/>
          <w:szCs w:val="17"/>
          <w:color w:val="303030"/>
        </w:rPr>
        <w:t></w:t>
      </w:r>
      <w:r>
        <w:rPr>
          <w:rFonts w:ascii="Arial" w:cs="Arial" w:eastAsia="Arial" w:hAnsi="Arial"/>
          <w:sz w:val="17"/>
          <w:szCs w:val="17"/>
          <w:color w:val="303030"/>
        </w:rPr>
        <w:t>ä õ</w:t>
      </w:r>
      <w:r>
        <w:rPr>
          <w:rFonts w:ascii="PMingLiU" w:cs="PMingLiU" w:eastAsia="PMingLiU" w:hAnsi="PMingLiU"/>
          <w:sz w:val="17"/>
          <w:szCs w:val="17"/>
          <w:color w:val="303030"/>
        </w:rPr>
        <w:t> </w:t>
      </w:r>
      <w:r>
        <w:rPr>
          <w:rFonts w:ascii="Arial" w:cs="Arial" w:eastAsia="Arial" w:hAnsi="Arial"/>
          <w:sz w:val="17"/>
          <w:szCs w:val="17"/>
          <w:color w:val="303030"/>
        </w:rPr>
        <w:t>½«</w:t>
      </w:r>
      <w:r>
        <w:rPr>
          <w:rFonts w:ascii="PMingLiU" w:cs="PMingLiU" w:eastAsia="PMingLiU" w:hAnsi="PMingLiU"/>
          <w:sz w:val="17"/>
          <w:szCs w:val="17"/>
          <w:color w:val="303030"/>
        </w:rPr>
        <w:t></w:t>
      </w:r>
      <w:r>
        <w:rPr>
          <w:rFonts w:ascii="Arial" w:cs="Arial" w:eastAsia="Arial" w:hAnsi="Arial"/>
          <w:sz w:val="17"/>
          <w:szCs w:val="17"/>
          <w:color w:val="303030"/>
        </w:rPr>
        <w:t>ô</w:t>
      </w:r>
      <w:r>
        <w:rPr>
          <w:rFonts w:ascii="PMingLiU" w:cs="PMingLiU" w:eastAsia="PMingLiU" w:hAnsi="PMingLiU"/>
          <w:sz w:val="17"/>
          <w:szCs w:val="17"/>
          <w:color w:val="303030"/>
        </w:rPr>
        <w:t></w:t>
      </w:r>
      <w:r>
        <w:rPr>
          <w:rFonts w:ascii="Arial" w:cs="Arial" w:eastAsia="Arial" w:hAnsi="Arial"/>
          <w:sz w:val="17"/>
          <w:szCs w:val="17"/>
          <w:color w:val="303030"/>
        </w:rPr>
        <w:t xml:space="preserve"> «Ý ä¨</w:t>
      </w:r>
      <w:r>
        <w:rPr>
          <w:rFonts w:ascii="PMingLiU" w:cs="PMingLiU" w:eastAsia="PMingLiU" w:hAnsi="PMingLiU"/>
          <w:sz w:val="17"/>
          <w:szCs w:val="17"/>
          <w:color w:val="303030"/>
        </w:rPr>
        <w:t></w:t>
      </w:r>
      <w:r>
        <w:rPr>
          <w:rFonts w:ascii="Arial" w:cs="Arial" w:eastAsia="Arial" w:hAnsi="Arial"/>
          <w:sz w:val="17"/>
          <w:szCs w:val="17"/>
          <w:color w:val="303030"/>
        </w:rPr>
        <w:t xml:space="preserve"> ÃËÝä </w:t>
      </w:r>
      <w:r>
        <w:rPr>
          <w:rFonts w:ascii="PMingLiU" w:cs="PMingLiU" w:eastAsia="PMingLiU" w:hAnsi="PMingLiU"/>
          <w:sz w:val="17"/>
          <w:szCs w:val="17"/>
          <w:color w:val="303030"/>
        </w:rPr>
        <w:t></w:t>
      </w:r>
      <w:r>
        <w:rPr>
          <w:rFonts w:ascii="Arial" w:cs="Arial" w:eastAsia="Arial" w:hAnsi="Arial"/>
          <w:sz w:val="17"/>
          <w:szCs w:val="17"/>
          <w:color w:val="303030"/>
        </w:rPr>
        <w:t>ËÃÖ</w:t>
      </w:r>
      <w:r>
        <w:rPr>
          <w:rFonts w:ascii="PMingLiU" w:cs="PMingLiU" w:eastAsia="PMingLiU" w:hAnsi="PMingLiU"/>
          <w:sz w:val="17"/>
          <w:szCs w:val="17"/>
          <w:color w:val="303030"/>
        </w:rPr>
        <w:t></w:t>
      </w:r>
      <w:r>
        <w:rPr>
          <w:rFonts w:ascii="Arial" w:cs="Arial" w:eastAsia="Arial" w:hAnsi="Arial"/>
          <w:sz w:val="17"/>
          <w:szCs w:val="17"/>
          <w:color w:val="303030"/>
        </w:rPr>
        <w:t>½½«Ä£ «Äô</w:t>
      </w:r>
      <w:r>
        <w:rPr>
          <w:rFonts w:ascii="PMingLiU" w:cs="PMingLiU" w:eastAsia="PMingLiU" w:hAnsi="PMingLiU"/>
          <w:sz w:val="17"/>
          <w:szCs w:val="17"/>
          <w:color w:val="303030"/>
        </w:rPr>
        <w:t></w:t>
      </w:r>
      <w:r>
        <w:rPr>
          <w:rFonts w:ascii="Arial" w:cs="Arial" w:eastAsia="Arial" w:hAnsi="Arial"/>
          <w:sz w:val="17"/>
          <w:szCs w:val="17"/>
          <w:color w:val="303030"/>
        </w:rPr>
        <w:t>ÝäÃ</w:t>
      </w:r>
      <w:r>
        <w:rPr>
          <w:rFonts w:ascii="PMingLiU" w:cs="PMingLiU" w:eastAsia="PMingLiU" w:hAnsi="PMingLiU"/>
          <w:sz w:val="17"/>
          <w:szCs w:val="17"/>
          <w:color w:val="303030"/>
        </w:rPr>
        <w:t></w:t>
      </w:r>
      <w:r>
        <w:rPr>
          <w:rFonts w:ascii="Arial" w:cs="Arial" w:eastAsia="Arial" w:hAnsi="Arial"/>
          <w:sz w:val="17"/>
          <w:szCs w:val="17"/>
          <w:color w:val="303030"/>
        </w:rPr>
        <w:t xml:space="preserve">Ää </w:t>
      </w:r>
      <w:r>
        <w:rPr>
          <w:rFonts w:ascii="PMingLiU" w:cs="PMingLiU" w:eastAsia="PMingLiU" w:hAnsi="PMingLiU"/>
          <w:sz w:val="17"/>
          <w:szCs w:val="17"/>
          <w:color w:val="303030"/>
        </w:rPr>
        <w:t></w:t>
      </w:r>
      <w:r>
        <w:rPr>
          <w:rFonts w:ascii="Arial" w:cs="Arial" w:eastAsia="Arial" w:hAnsi="Arial"/>
          <w:sz w:val="17"/>
          <w:szCs w:val="17"/>
          <w:color w:val="303030"/>
        </w:rPr>
        <w:t>Ý</w:t>
      </w:r>
      <w:r>
        <w:rPr>
          <w:rFonts w:ascii="PMingLiU" w:cs="PMingLiU" w:eastAsia="PMingLiU" w:hAnsi="PMingLiU"/>
          <w:sz w:val="17"/>
          <w:szCs w:val="17"/>
          <w:color w:val="303030"/>
        </w:rPr>
        <w:t></w:t>
      </w:r>
      <w:r>
        <w:rPr>
          <w:rFonts w:ascii="Arial" w:cs="Arial" w:eastAsia="Arial" w:hAnsi="Arial"/>
          <w:sz w:val="17"/>
          <w:szCs w:val="17"/>
          <w:color w:val="303030"/>
        </w:rPr>
        <w:t xml:space="preserve"> «Ä ä¨</w:t>
      </w:r>
      <w:r>
        <w:rPr>
          <w:rFonts w:ascii="PMingLiU" w:cs="PMingLiU" w:eastAsia="PMingLiU" w:hAnsi="PMingLiU"/>
          <w:sz w:val="17"/>
          <w:szCs w:val="17"/>
          <w:color w:val="303030"/>
        </w:rPr>
        <w:t></w:t>
      </w:r>
      <w:r>
        <w:rPr>
          <w:rFonts w:ascii="Arial" w:cs="Arial" w:eastAsia="Arial" w:hAnsi="Arial"/>
          <w:sz w:val="17"/>
          <w:szCs w:val="17"/>
          <w:color w:val="303030"/>
        </w:rPr>
        <w:t xml:space="preserve"> «Ä</w:t>
      </w:r>
      <w:r>
        <w:rPr>
          <w:rFonts w:ascii="PMingLiU" w:cs="PMingLiU" w:eastAsia="PMingLiU" w:hAnsi="PMingLiU"/>
          <w:sz w:val="17"/>
          <w:szCs w:val="17"/>
          <w:color w:val="303030"/>
        </w:rPr>
        <w:t></w:t>
      </w:r>
      <w:r>
        <w:rPr>
          <w:rFonts w:ascii="Arial" w:cs="Arial" w:eastAsia="Arial" w:hAnsi="Arial"/>
          <w:sz w:val="17"/>
          <w:szCs w:val="17"/>
          <w:color w:val="303030"/>
        </w:rPr>
        <w:t>éÝäÙûǔ</w:t>
      </w:r>
    </w:p>
    <w:p>
      <w:pPr>
        <w:sectPr>
          <w:pgSz w:w="11880" w:h="15480" w:orient="portrait"/>
          <w:cols w:equalWidth="0" w:num="1">
            <w:col w:w="10642"/>
          </w:cols>
          <w:pgMar w:left="898" w:top="351" w:right="340" w:bottom="0" w:gutter="0" w:footer="0" w:header="0"/>
          <w:type w:val="continuous"/>
        </w:sectPr>
      </w:pPr>
    </w:p>
    <w:p>
      <w:pPr>
        <w:spacing w:after="0" w:line="142" w:lineRule="exact"/>
        <w:rPr>
          <w:sz w:val="20"/>
          <w:szCs w:val="20"/>
          <w:color w:val="auto"/>
        </w:rPr>
      </w:pPr>
    </w:p>
    <w:p>
      <w:pPr>
        <w:ind w:left="2"/>
        <w:spacing w:after="0" w:line="794" w:lineRule="exact"/>
        <w:rPr>
          <w:sz w:val="20"/>
          <w:szCs w:val="20"/>
          <w:color w:val="auto"/>
        </w:rPr>
      </w:pPr>
      <w:r>
        <w:rPr>
          <w:rFonts w:ascii="Arial" w:cs="Arial" w:eastAsia="Arial" w:hAnsi="Arial"/>
          <w:sz w:val="69"/>
          <w:szCs w:val="69"/>
          <w:color w:val="239EC8"/>
          <w:vertAlign w:val="superscript"/>
        </w:rPr>
        <w:t>Ǿǵ</w:t>
      </w:r>
      <w:r>
        <w:rPr>
          <w:rFonts w:ascii="Arial" w:cs="Arial" w:eastAsia="Arial" w:hAnsi="Arial"/>
          <w:sz w:val="60"/>
          <w:szCs w:val="60"/>
          <w:color w:val="239EC8"/>
        </w:rPr>
        <w:t>ƌƏ</w:t>
      </w:r>
      <w:r>
        <w:rPr>
          <w:rFonts w:ascii="PMingLiU" w:cs="PMingLiU" w:eastAsia="PMingLiU" w:hAnsi="PMingLiU"/>
          <w:sz w:val="40"/>
          <w:szCs w:val="40"/>
          <w:color w:val="239EC8"/>
        </w:rPr>
        <w:t/>
      </w:r>
    </w:p>
    <w:p>
      <w:pPr>
        <w:ind w:left="2"/>
        <w:spacing w:after="0" w:line="241" w:lineRule="exact"/>
        <w:rPr>
          <w:sz w:val="20"/>
          <w:szCs w:val="20"/>
          <w:color w:val="auto"/>
        </w:rPr>
      </w:pPr>
      <w:r>
        <w:rPr>
          <w:rFonts w:ascii="PMingLiU" w:cs="PMingLiU" w:eastAsia="PMingLiU" w:hAnsi="PMingLiU"/>
          <w:sz w:val="19"/>
          <w:szCs w:val="19"/>
          <w:color w:val="333333"/>
        </w:rPr>
        <w:t></w:t>
      </w:r>
      <w:r>
        <w:rPr>
          <w:rFonts w:ascii="Arial" w:cs="Arial" w:eastAsia="Arial" w:hAnsi="Arial"/>
          <w:sz w:val="19"/>
          <w:szCs w:val="19"/>
          <w:color w:val="333333"/>
        </w:rPr>
        <w:t xml:space="preserve">ÙÄ«Ä£Ý </w:t>
      </w:r>
      <w:r>
        <w:rPr>
          <w:rFonts w:ascii="PMingLiU" w:cs="PMingLiU" w:eastAsia="PMingLiU" w:hAnsi="PMingLiU"/>
          <w:sz w:val="19"/>
          <w:szCs w:val="19"/>
          <w:color w:val="333333"/>
        </w:rPr>
        <w:t></w:t>
      </w:r>
      <w:r>
        <w:rPr>
          <w:rFonts w:ascii="Arial" w:cs="Arial" w:eastAsia="Arial" w:hAnsi="Arial"/>
          <w:sz w:val="19"/>
          <w:szCs w:val="19"/>
          <w:color w:val="333333"/>
        </w:rPr>
        <w:t>Ä</w:t>
      </w:r>
      <w:r>
        <w:rPr>
          <w:rFonts w:ascii="PMingLiU" w:cs="PMingLiU" w:eastAsia="PMingLiU" w:hAnsi="PMingLiU"/>
          <w:sz w:val="19"/>
          <w:szCs w:val="19"/>
          <w:color w:val="333333"/>
        </w:rPr>
        <w:t> </w:t>
      </w:r>
      <w:r>
        <w:rPr>
          <w:rFonts w:ascii="Arial" w:cs="Arial" w:eastAsia="Arial" w:hAnsi="Arial"/>
          <w:sz w:val="19"/>
          <w:szCs w:val="19"/>
          <w:color w:val="333333"/>
        </w:rPr>
        <w:t>Ý¨ ¢½Ëõ £ÙËõä¨ ÖËä</w:t>
      </w:r>
      <w:r>
        <w:rPr>
          <w:rFonts w:ascii="PMingLiU" w:cs="PMingLiU" w:eastAsia="PMingLiU" w:hAnsi="PMingLiU"/>
          <w:sz w:val="19"/>
          <w:szCs w:val="19"/>
          <w:color w:val="333333"/>
        </w:rPr>
        <w:t></w:t>
      </w:r>
      <w:r>
        <w:rPr>
          <w:rFonts w:ascii="Arial" w:cs="Arial" w:eastAsia="Arial" w:hAnsi="Arial"/>
          <w:sz w:val="19"/>
          <w:szCs w:val="19"/>
          <w:color w:val="333333"/>
        </w:rPr>
        <w:t>Ää«</w:t>
      </w:r>
      <w:r>
        <w:rPr>
          <w:rFonts w:ascii="PMingLiU" w:cs="PMingLiU" w:eastAsia="PMingLiU" w:hAnsi="PMingLiU"/>
          <w:sz w:val="19"/>
          <w:szCs w:val="19"/>
          <w:color w:val="333333"/>
        </w:rPr>
        <w:t></w:t>
      </w:r>
      <w:r>
        <w:rPr>
          <w:rFonts w:ascii="Arial" w:cs="Arial" w:eastAsia="Arial" w:hAnsi="Arial"/>
          <w:sz w:val="19"/>
          <w:szCs w:val="19"/>
          <w:color w:val="333333"/>
        </w:rPr>
        <w:t xml:space="preserve">½ </w:t>
      </w:r>
      <w:r>
        <w:rPr>
          <w:rFonts w:ascii="PMingLiU" w:cs="PMingLiU" w:eastAsia="PMingLiU" w:hAnsi="PMingLiU"/>
          <w:sz w:val="19"/>
          <w:szCs w:val="19"/>
          <w:color w:val="333333"/>
        </w:rPr>
        <w:t></w:t>
      </w:r>
      <w:r>
        <w:rPr>
          <w:rFonts w:ascii="Arial" w:cs="Arial" w:eastAsia="Arial" w:hAnsi="Arial"/>
          <w:sz w:val="19"/>
          <w:szCs w:val="19"/>
          <w:color w:val="333333"/>
        </w:rPr>
        <w:t>û ƍƋƍƒ ôÝǔ ƍƋƍƎ</w:t>
      </w:r>
      <w:r>
        <w:rPr>
          <w:rFonts w:ascii="Arial" w:cs="Arial" w:eastAsia="Arial" w:hAnsi="Arial"/>
          <w:sz w:val="22"/>
          <w:szCs w:val="22"/>
          <w:color w:val="333333"/>
          <w:vertAlign w:val="superscript"/>
        </w:rPr>
        <w:t>ƍ</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367030</wp:posOffset>
            </wp:positionV>
            <wp:extent cx="1917700" cy="374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56">
                      <a:extLst>
                        <a:ext uri="{28A0092B-C50C-407E-A947-70E740481C1C}"/>
                      </a:extLst>
                    </a:blip>
                    <a:srcRect/>
                    <a:stretch>
                      <a:fillRect/>
                    </a:stretch>
                  </pic:blipFill>
                  <pic:spPr bwMode="auto">
                    <a:xfrm>
                      <a:off x="0" y="0"/>
                      <a:ext cx="1917700" cy="374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17"/>
        </w:trPr>
        <w:tc>
          <w:tcPr>
            <w:tcW w:w="600" w:type="dxa"/>
            <w:vAlign w:val="bottom"/>
          </w:tcPr>
          <w:p>
            <w:pPr>
              <w:spacing w:after="0"/>
              <w:rPr>
                <w:sz w:val="20"/>
                <w:szCs w:val="20"/>
                <w:color w:val="auto"/>
              </w:rPr>
            </w:pPr>
            <w:r>
              <w:rPr>
                <w:rFonts w:ascii="Arial" w:cs="Arial" w:eastAsia="Arial" w:hAnsi="Arial"/>
                <w:sz w:val="35"/>
                <w:szCs w:val="35"/>
                <w:color w:val="239EC8"/>
              </w:rPr>
              <w:t>ǵ</w:t>
            </w:r>
          </w:p>
        </w:tc>
        <w:tc>
          <w:tcPr>
            <w:tcW w:w="920" w:type="dxa"/>
            <w:vAlign w:val="bottom"/>
          </w:tcPr>
          <w:p>
            <w:pPr>
              <w:ind w:left="420"/>
              <w:spacing w:after="0"/>
              <w:rPr>
                <w:sz w:val="20"/>
                <w:szCs w:val="20"/>
                <w:color w:val="auto"/>
              </w:rPr>
            </w:pPr>
            <w:r>
              <w:rPr>
                <w:rFonts w:ascii="Arial" w:cs="Arial" w:eastAsia="Arial" w:hAnsi="Arial"/>
                <w:sz w:val="35"/>
                <w:szCs w:val="35"/>
                <w:color w:val="239EC8"/>
              </w:rPr>
              <w:t>ǵ</w:t>
            </w:r>
          </w:p>
        </w:tc>
        <w:tc>
          <w:tcPr>
            <w:tcW w:w="1100" w:type="dxa"/>
            <w:vAlign w:val="bottom"/>
          </w:tcPr>
          <w:p>
            <w:pPr>
              <w:jc w:val="right"/>
              <w:ind w:right="360"/>
              <w:spacing w:after="0" w:line="480" w:lineRule="exact"/>
              <w:rPr>
                <w:sz w:val="20"/>
                <w:szCs w:val="20"/>
                <w:color w:val="auto"/>
              </w:rPr>
            </w:pPr>
            <w:r>
              <w:rPr>
                <w:rFonts w:ascii="PMingLiU" w:cs="PMingLiU" w:eastAsia="PMingLiU" w:hAnsi="PMingLiU"/>
                <w:sz w:val="40"/>
                <w:szCs w:val="40"/>
                <w:color w:val="239EC8"/>
              </w:rPr>
              <w:t/>
            </w:r>
          </w:p>
        </w:tc>
        <w:tc>
          <w:tcPr>
            <w:tcW w:w="2540" w:type="dxa"/>
            <w:vAlign w:val="bottom"/>
          </w:tcPr>
          <w:p>
            <w:pPr>
              <w:ind w:left="280"/>
              <w:spacing w:after="0" w:line="715" w:lineRule="exact"/>
              <w:rPr>
                <w:sz w:val="20"/>
                <w:szCs w:val="20"/>
                <w:color w:val="auto"/>
              </w:rPr>
            </w:pPr>
            <w:r>
              <w:rPr>
                <w:rFonts w:ascii="Arial" w:cs="Arial" w:eastAsia="Arial" w:hAnsi="Arial"/>
                <w:sz w:val="69"/>
                <w:szCs w:val="69"/>
                <w:color w:val="239EC8"/>
                <w:vertAlign w:val="superscript"/>
              </w:rPr>
              <w:t>Ǿǵ</w:t>
            </w:r>
            <w:r>
              <w:rPr>
                <w:rFonts w:ascii="Arial" w:cs="Arial" w:eastAsia="Arial" w:hAnsi="Arial"/>
                <w:sz w:val="60"/>
                <w:szCs w:val="60"/>
                <w:color w:val="239EC8"/>
              </w:rPr>
              <w:t>ƌƐ</w:t>
            </w:r>
            <w:r>
              <w:rPr>
                <w:rFonts w:ascii="PMingLiU" w:cs="PMingLiU" w:eastAsia="PMingLiU" w:hAnsi="PMingLiU"/>
                <w:sz w:val="40"/>
                <w:szCs w:val="40"/>
                <w:color w:val="239EC8"/>
              </w:rPr>
              <w:t/>
            </w:r>
          </w:p>
        </w:tc>
        <w:tc>
          <w:tcPr>
            <w:tcW w:w="2500" w:type="dxa"/>
            <w:vAlign w:val="bottom"/>
          </w:tcPr>
          <w:p>
            <w:pPr>
              <w:ind w:left="380"/>
              <w:spacing w:after="0" w:line="690" w:lineRule="exact"/>
              <w:rPr>
                <w:sz w:val="20"/>
                <w:szCs w:val="20"/>
                <w:color w:val="auto"/>
              </w:rPr>
            </w:pPr>
            <w:r>
              <w:rPr>
                <w:rFonts w:ascii="Arial" w:cs="Arial" w:eastAsia="Arial" w:hAnsi="Arial"/>
                <w:sz w:val="60"/>
                <w:szCs w:val="60"/>
                <w:color w:val="239EC8"/>
                <w:w w:val="97"/>
              </w:rPr>
              <w:t>ƍƋǥƎƋ</w:t>
            </w:r>
            <w:r>
              <w:rPr>
                <w:rFonts w:ascii="Arial Unicode MS" w:cs="Arial Unicode MS" w:eastAsia="Arial Unicode MS" w:hAnsi="Arial Unicode MS"/>
                <w:sz w:val="40"/>
                <w:szCs w:val="40"/>
                <w:color w:val="239EC8"/>
                <w:w w:val="97"/>
              </w:rPr>
              <w:t>Ȑ</w:t>
            </w:r>
          </w:p>
        </w:tc>
        <w:tc>
          <w:tcPr>
            <w:tcW w:w="0" w:type="dxa"/>
            <w:vAlign w:val="bottom"/>
          </w:tcPr>
          <w:p>
            <w:pPr>
              <w:spacing w:after="0"/>
              <w:rPr>
                <w:sz w:val="1"/>
                <w:szCs w:val="1"/>
                <w:color w:val="auto"/>
              </w:rPr>
            </w:pPr>
          </w:p>
        </w:tc>
      </w:tr>
      <w:tr>
        <w:trPr>
          <w:trHeight w:val="178"/>
        </w:trPr>
        <w:tc>
          <w:tcPr>
            <w:tcW w:w="2620" w:type="dxa"/>
            <w:vAlign w:val="bottom"/>
            <w:gridSpan w:val="3"/>
          </w:tcPr>
          <w:p>
            <w:pPr>
              <w:ind w:left="180"/>
              <w:spacing w:after="0" w:line="178" w:lineRule="exact"/>
              <w:rPr>
                <w:sz w:val="20"/>
                <w:szCs w:val="20"/>
                <w:color w:val="auto"/>
              </w:rPr>
            </w:pPr>
            <w:r>
              <w:rPr>
                <w:rFonts w:ascii="Arial" w:cs="Arial" w:eastAsia="Arial" w:hAnsi="Arial"/>
                <w:sz w:val="20"/>
                <w:szCs w:val="20"/>
                <w:color w:val="239EC8"/>
              </w:rPr>
              <w:t>ƍƍǥ ƍƒ</w:t>
            </w:r>
          </w:p>
        </w:tc>
        <w:tc>
          <w:tcPr>
            <w:tcW w:w="2540" w:type="dxa"/>
            <w:vAlign w:val="bottom"/>
            <w:vMerge w:val="restart"/>
          </w:tcPr>
          <w:p>
            <w:pPr>
              <w:ind w:left="280"/>
              <w:spacing w:after="0" w:line="243" w:lineRule="exact"/>
              <w:rPr>
                <w:sz w:val="20"/>
                <w:szCs w:val="20"/>
                <w:color w:val="auto"/>
              </w:rPr>
            </w:pPr>
            <w:r>
              <w:rPr>
                <w:rFonts w:ascii="Arial" w:cs="Arial" w:eastAsia="Arial" w:hAnsi="Arial"/>
                <w:sz w:val="20"/>
                <w:szCs w:val="20"/>
                <w:color w:val="333333"/>
                <w:w w:val="91"/>
              </w:rPr>
              <w:t>ÝäÙé</w:t>
            </w:r>
            <w:r>
              <w:rPr>
                <w:rFonts w:ascii="PMingLiU" w:cs="PMingLiU" w:eastAsia="PMingLiU" w:hAnsi="PMingLiU"/>
                <w:sz w:val="20"/>
                <w:szCs w:val="20"/>
                <w:color w:val="333333"/>
                <w:w w:val="91"/>
              </w:rPr>
              <w:t></w:t>
            </w:r>
            <w:r>
              <w:rPr>
                <w:rFonts w:ascii="Arial" w:cs="Arial" w:eastAsia="Arial" w:hAnsi="Arial"/>
                <w:sz w:val="20"/>
                <w:szCs w:val="20"/>
                <w:color w:val="333333"/>
                <w:w w:val="91"/>
              </w:rPr>
              <w:t>äéÙ</w:t>
            </w:r>
            <w:r>
              <w:rPr>
                <w:rFonts w:ascii="PMingLiU" w:cs="PMingLiU" w:eastAsia="PMingLiU" w:hAnsi="PMingLiU"/>
                <w:sz w:val="20"/>
                <w:szCs w:val="20"/>
                <w:color w:val="333333"/>
                <w:w w:val="91"/>
              </w:rPr>
              <w:t></w:t>
            </w:r>
            <w:r>
              <w:rPr>
                <w:rFonts w:ascii="Arial" w:cs="Arial" w:eastAsia="Arial" w:hAnsi="Arial"/>
                <w:sz w:val="20"/>
                <w:szCs w:val="20"/>
                <w:color w:val="333333"/>
                <w:w w:val="91"/>
              </w:rPr>
              <w:t xml:space="preserve">½ </w:t>
            </w:r>
            <w:r>
              <w:rPr>
                <w:rFonts w:ascii="PMingLiU" w:cs="PMingLiU" w:eastAsia="PMingLiU" w:hAnsi="PMingLiU"/>
                <w:sz w:val="20"/>
                <w:szCs w:val="20"/>
                <w:color w:val="333333"/>
                <w:w w:val="91"/>
              </w:rPr>
              <w:t></w:t>
            </w:r>
            <w:r>
              <w:rPr>
                <w:rFonts w:ascii="Arial" w:cs="Arial" w:eastAsia="Arial" w:hAnsi="Arial"/>
                <w:sz w:val="20"/>
                <w:szCs w:val="20"/>
                <w:color w:val="333333"/>
                <w:w w:val="91"/>
              </w:rPr>
              <w:t>ËÝä Ý</w:t>
            </w:r>
            <w:r>
              <w:rPr>
                <w:rFonts w:ascii="PMingLiU" w:cs="PMingLiU" w:eastAsia="PMingLiU" w:hAnsi="PMingLiU"/>
                <w:sz w:val="20"/>
                <w:szCs w:val="20"/>
                <w:color w:val="333333"/>
                <w:w w:val="91"/>
              </w:rPr>
              <w:t></w:t>
            </w:r>
            <w:r>
              <w:rPr>
                <w:rFonts w:ascii="Arial" w:cs="Arial" w:eastAsia="Arial" w:hAnsi="Arial"/>
                <w:sz w:val="20"/>
                <w:szCs w:val="20"/>
                <w:color w:val="333333"/>
                <w:w w:val="91"/>
              </w:rPr>
              <w:t>ô«Ä£Ý</w:t>
            </w:r>
          </w:p>
        </w:tc>
        <w:tc>
          <w:tcPr>
            <w:tcW w:w="2500" w:type="dxa"/>
            <w:vAlign w:val="bottom"/>
            <w:vMerge w:val="restart"/>
          </w:tcPr>
          <w:p>
            <w:pPr>
              <w:ind w:left="380"/>
              <w:spacing w:after="0" w:line="243" w:lineRule="exact"/>
              <w:rPr>
                <w:sz w:val="20"/>
                <w:szCs w:val="20"/>
                <w:color w:val="auto"/>
              </w:rPr>
            </w:pPr>
            <w:r>
              <w:rPr>
                <w:rFonts w:ascii="Arial" w:cs="Arial" w:eastAsia="Arial" w:hAnsi="Arial"/>
                <w:sz w:val="20"/>
                <w:szCs w:val="20"/>
                <w:color w:val="333333"/>
                <w:w w:val="93"/>
              </w:rPr>
              <w:t>Ù</w:t>
            </w:r>
            <w:r>
              <w:rPr>
                <w:rFonts w:ascii="PMingLiU" w:cs="PMingLiU" w:eastAsia="PMingLiU" w:hAnsi="PMingLiU"/>
                <w:sz w:val="20"/>
                <w:szCs w:val="20"/>
                <w:color w:val="333333"/>
                <w:w w:val="93"/>
              </w:rPr>
              <w:t></w:t>
            </w:r>
            <w:r>
              <w:rPr>
                <w:rFonts w:ascii="Arial" w:cs="Arial" w:eastAsia="Arial" w:hAnsi="Arial"/>
                <w:sz w:val="20"/>
                <w:szCs w:val="20"/>
                <w:color w:val="333333"/>
                <w:w w:val="93"/>
              </w:rPr>
              <w:t>é</w:t>
            </w:r>
            <w:r>
              <w:rPr>
                <w:rFonts w:ascii="PMingLiU" w:cs="PMingLiU" w:eastAsia="PMingLiU" w:hAnsi="PMingLiU"/>
                <w:sz w:val="20"/>
                <w:szCs w:val="20"/>
                <w:color w:val="333333"/>
                <w:w w:val="93"/>
              </w:rPr>
              <w:t></w:t>
            </w:r>
            <w:r>
              <w:rPr>
                <w:rFonts w:ascii="Arial" w:cs="Arial" w:eastAsia="Arial" w:hAnsi="Arial"/>
                <w:sz w:val="20"/>
                <w:szCs w:val="20"/>
                <w:color w:val="333333"/>
                <w:w w:val="93"/>
              </w:rPr>
              <w:t xml:space="preserve">ä«ËÄ «Ä </w:t>
            </w:r>
            <w:r>
              <w:rPr>
                <w:rFonts w:ascii="PMingLiU" w:cs="PMingLiU" w:eastAsia="PMingLiU" w:hAnsi="PMingLiU"/>
                <w:sz w:val="20"/>
                <w:szCs w:val="20"/>
                <w:color w:val="333333"/>
                <w:w w:val="93"/>
              </w:rPr>
              <w:t></w:t>
            </w:r>
            <w:r>
              <w:rPr>
                <w:rFonts w:ascii="Arial" w:cs="Arial" w:eastAsia="Arial" w:hAnsi="Arial"/>
                <w:sz w:val="20"/>
                <w:szCs w:val="20"/>
                <w:color w:val="333333"/>
                <w:w w:val="93"/>
              </w:rPr>
              <w:t>ËÙÖËÙ</w:t>
            </w:r>
            <w:r>
              <w:rPr>
                <w:rFonts w:ascii="PMingLiU" w:cs="PMingLiU" w:eastAsia="PMingLiU" w:hAnsi="PMingLiU"/>
                <w:sz w:val="20"/>
                <w:szCs w:val="20"/>
                <w:color w:val="333333"/>
                <w:w w:val="93"/>
              </w:rPr>
              <w:t></w:t>
            </w:r>
            <w:r>
              <w:rPr>
                <w:rFonts w:ascii="Arial" w:cs="Arial" w:eastAsia="Arial" w:hAnsi="Arial"/>
                <w:sz w:val="20"/>
                <w:szCs w:val="20"/>
                <w:color w:val="333333"/>
                <w:w w:val="93"/>
              </w:rPr>
              <w:t>ä</w:t>
            </w:r>
            <w:r>
              <w:rPr>
                <w:rFonts w:ascii="PMingLiU" w:cs="PMingLiU" w:eastAsia="PMingLiU" w:hAnsi="PMingLiU"/>
                <w:sz w:val="20"/>
                <w:szCs w:val="20"/>
                <w:color w:val="333333"/>
                <w:w w:val="93"/>
              </w:rPr>
              <w:t></w:t>
            </w:r>
          </w:p>
        </w:tc>
        <w:tc>
          <w:tcPr>
            <w:tcW w:w="0" w:type="dxa"/>
            <w:vAlign w:val="bottom"/>
          </w:tcPr>
          <w:p>
            <w:pPr>
              <w:spacing w:after="0"/>
              <w:rPr>
                <w:sz w:val="1"/>
                <w:szCs w:val="1"/>
                <w:color w:val="auto"/>
              </w:rPr>
            </w:pPr>
          </w:p>
        </w:tc>
      </w:tr>
      <w:tr>
        <w:trPr>
          <w:trHeight w:val="207"/>
        </w:trPr>
        <w:tc>
          <w:tcPr>
            <w:tcW w:w="2620" w:type="dxa"/>
            <w:vAlign w:val="bottom"/>
            <w:gridSpan w:val="3"/>
          </w:tcPr>
          <w:p>
            <w:pPr>
              <w:spacing w:after="0" w:line="207" w:lineRule="exact"/>
              <w:rPr>
                <w:sz w:val="20"/>
                <w:szCs w:val="20"/>
                <w:color w:val="auto"/>
              </w:rPr>
            </w:pPr>
            <w:r>
              <w:rPr>
                <w:rFonts w:ascii="PMingLiU" w:cs="PMingLiU" w:eastAsia="PMingLiU" w:hAnsi="PMingLiU"/>
                <w:sz w:val="20"/>
                <w:szCs w:val="20"/>
                <w:color w:val="333333"/>
                <w:w w:val="89"/>
              </w:rPr>
              <w:t></w:t>
            </w:r>
            <w:r>
              <w:rPr>
                <w:rFonts w:ascii="Arial" w:cs="Arial" w:eastAsia="Arial" w:hAnsi="Arial"/>
                <w:sz w:val="20"/>
                <w:szCs w:val="20"/>
                <w:color w:val="333333"/>
                <w:w w:val="89"/>
              </w:rPr>
              <w:t>ÄÄé</w:t>
            </w:r>
            <w:r>
              <w:rPr>
                <w:rFonts w:ascii="PMingLiU" w:cs="PMingLiU" w:eastAsia="PMingLiU" w:hAnsi="PMingLiU"/>
                <w:sz w:val="20"/>
                <w:szCs w:val="20"/>
                <w:color w:val="333333"/>
                <w:w w:val="89"/>
              </w:rPr>
              <w:t></w:t>
            </w:r>
            <w:r>
              <w:rPr>
                <w:rFonts w:ascii="Arial" w:cs="Arial" w:eastAsia="Arial" w:hAnsi="Arial"/>
                <w:sz w:val="20"/>
                <w:szCs w:val="20"/>
                <w:color w:val="333333"/>
                <w:w w:val="89"/>
              </w:rPr>
              <w:t xml:space="preserve">½ </w:t>
            </w:r>
            <w:r>
              <w:rPr>
                <w:rFonts w:ascii="PMingLiU" w:cs="PMingLiU" w:eastAsia="PMingLiU" w:hAnsi="PMingLiU"/>
                <w:sz w:val="20"/>
                <w:szCs w:val="20"/>
                <w:color w:val="333333"/>
                <w:w w:val="89"/>
              </w:rPr>
              <w:t></w:t>
            </w:r>
            <w:r>
              <w:rPr>
                <w:rFonts w:ascii="Arial" w:cs="Arial" w:eastAsia="Arial" w:hAnsi="Arial"/>
                <w:sz w:val="20"/>
                <w:szCs w:val="20"/>
                <w:color w:val="333333"/>
                <w:w w:val="89"/>
              </w:rPr>
              <w:t>Ö«ä</w:t>
            </w:r>
            <w:r>
              <w:rPr>
                <w:rFonts w:ascii="PMingLiU" w:cs="PMingLiU" w:eastAsia="PMingLiU" w:hAnsi="PMingLiU"/>
                <w:sz w:val="20"/>
                <w:szCs w:val="20"/>
                <w:color w:val="333333"/>
                <w:w w:val="89"/>
              </w:rPr>
              <w:t></w:t>
            </w:r>
            <w:r>
              <w:rPr>
                <w:rFonts w:ascii="Arial" w:cs="Arial" w:eastAsia="Arial" w:hAnsi="Arial"/>
                <w:sz w:val="20"/>
                <w:szCs w:val="20"/>
                <w:color w:val="333333"/>
                <w:w w:val="89"/>
              </w:rPr>
              <w:t xml:space="preserve">½ </w:t>
            </w:r>
            <w:r>
              <w:rPr>
                <w:rFonts w:ascii="PMingLiU" w:cs="PMingLiU" w:eastAsia="PMingLiU" w:hAnsi="PMingLiU"/>
                <w:sz w:val="20"/>
                <w:szCs w:val="20"/>
                <w:color w:val="333333"/>
                <w:w w:val="89"/>
              </w:rPr>
              <w:t></w:t>
            </w:r>
            <w:r>
              <w:rPr>
                <w:rFonts w:ascii="Arial" w:cs="Arial" w:eastAsia="Arial" w:hAnsi="Arial"/>
                <w:sz w:val="20"/>
                <w:szCs w:val="20"/>
                <w:color w:val="333333"/>
                <w:w w:val="89"/>
              </w:rPr>
              <w:t>úÖ</w:t>
            </w:r>
            <w:r>
              <w:rPr>
                <w:rFonts w:ascii="PMingLiU" w:cs="PMingLiU" w:eastAsia="PMingLiU" w:hAnsi="PMingLiU"/>
                <w:sz w:val="20"/>
                <w:szCs w:val="20"/>
                <w:color w:val="333333"/>
                <w:w w:val="89"/>
              </w:rPr>
              <w:t></w:t>
            </w:r>
            <w:r>
              <w:rPr>
                <w:rFonts w:ascii="Arial" w:cs="Arial" w:eastAsia="Arial" w:hAnsi="Arial"/>
                <w:sz w:val="20"/>
                <w:szCs w:val="20"/>
                <w:color w:val="333333"/>
                <w:w w:val="89"/>
              </w:rPr>
              <w:t>Ä</w:t>
            </w:r>
            <w:r>
              <w:rPr>
                <w:rFonts w:ascii="PMingLiU" w:cs="PMingLiU" w:eastAsia="PMingLiU" w:hAnsi="PMingLiU"/>
                <w:sz w:val="20"/>
                <w:szCs w:val="20"/>
                <w:color w:val="333333"/>
                <w:w w:val="89"/>
              </w:rPr>
              <w:t></w:t>
            </w:r>
            <w:r>
              <w:rPr>
                <w:rFonts w:ascii="Arial" w:cs="Arial" w:eastAsia="Arial" w:hAnsi="Arial"/>
                <w:sz w:val="20"/>
                <w:szCs w:val="20"/>
                <w:color w:val="333333"/>
                <w:w w:val="89"/>
              </w:rPr>
              <w:t>«äéÙ</w:t>
            </w:r>
            <w:r>
              <w:rPr>
                <w:rFonts w:ascii="PMingLiU" w:cs="PMingLiU" w:eastAsia="PMingLiU" w:hAnsi="PMingLiU"/>
                <w:sz w:val="20"/>
                <w:szCs w:val="20"/>
                <w:color w:val="333333"/>
                <w:w w:val="89"/>
              </w:rPr>
              <w:t></w:t>
            </w:r>
            <w:r>
              <w:rPr>
                <w:rFonts w:ascii="Arial" w:cs="Arial" w:eastAsia="Arial" w:hAnsi="Arial"/>
                <w:sz w:val="20"/>
                <w:szCs w:val="20"/>
                <w:color w:val="333333"/>
                <w:w w:val="89"/>
              </w:rPr>
              <w:t>Ý</w:t>
            </w:r>
          </w:p>
        </w:tc>
        <w:tc>
          <w:tcPr>
            <w:tcW w:w="2540" w:type="dxa"/>
            <w:vAlign w:val="bottom"/>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520" w:type="dxa"/>
            <w:vAlign w:val="bottom"/>
            <w:gridSpan w:val="2"/>
          </w:tcPr>
          <w:p>
            <w:pPr>
              <w:spacing w:after="0"/>
              <w:rPr>
                <w:sz w:val="20"/>
                <w:szCs w:val="20"/>
                <w:color w:val="auto"/>
              </w:rPr>
            </w:pPr>
            <w:r>
              <w:rPr>
                <w:rFonts w:ascii="Arial" w:cs="Arial" w:eastAsia="Arial" w:hAnsi="Arial"/>
                <w:sz w:val="20"/>
                <w:szCs w:val="20"/>
                <w:color w:val="333333"/>
              </w:rPr>
              <w:t>ǡƍƋƍƐ ǥ ƍƋƍƒǢ</w:t>
            </w:r>
          </w:p>
        </w:tc>
        <w:tc>
          <w:tcPr>
            <w:tcW w:w="1100" w:type="dxa"/>
            <w:vAlign w:val="bottom"/>
          </w:tcPr>
          <w:p>
            <w:pPr>
              <w:spacing w:after="0"/>
              <w:rPr>
                <w:sz w:val="20"/>
                <w:szCs w:val="20"/>
                <w:color w:val="auto"/>
              </w:rPr>
            </w:pPr>
          </w:p>
        </w:tc>
        <w:tc>
          <w:tcPr>
            <w:tcW w:w="2540" w:type="dxa"/>
            <w:vAlign w:val="bottom"/>
          </w:tcPr>
          <w:p>
            <w:pPr>
              <w:ind w:left="280"/>
              <w:spacing w:after="0" w:line="240" w:lineRule="exact"/>
              <w:rPr>
                <w:sz w:val="20"/>
                <w:szCs w:val="20"/>
                <w:color w:val="auto"/>
              </w:rPr>
            </w:pPr>
            <w:r>
              <w:rPr>
                <w:rFonts w:ascii="PMingLiU" w:cs="PMingLiU" w:eastAsia="PMingLiU" w:hAnsi="PMingLiU"/>
                <w:sz w:val="20"/>
                <w:szCs w:val="20"/>
                <w:color w:val="333333"/>
              </w:rPr>
              <w:t></w:t>
            </w:r>
            <w:r>
              <w:rPr>
                <w:rFonts w:ascii="Arial" w:cs="Arial" w:eastAsia="Arial" w:hAnsi="Arial"/>
                <w:sz w:val="20"/>
                <w:szCs w:val="20"/>
                <w:color w:val="333333"/>
              </w:rPr>
              <w:t>û ƍƋƍƒ ôÝǔ ƍƋƌƔ</w:t>
            </w:r>
            <w:r>
              <w:rPr>
                <w:rFonts w:ascii="Arial" w:cs="Arial" w:eastAsia="Arial" w:hAnsi="Arial"/>
                <w:sz w:val="23"/>
                <w:szCs w:val="23"/>
                <w:color w:val="333333"/>
                <w:vertAlign w:val="superscript"/>
              </w:rPr>
              <w:t>Ǝ</w:t>
            </w:r>
          </w:p>
        </w:tc>
        <w:tc>
          <w:tcPr>
            <w:tcW w:w="2500" w:type="dxa"/>
            <w:vAlign w:val="bottom"/>
          </w:tcPr>
          <w:p>
            <w:pPr>
              <w:ind w:left="380"/>
              <w:spacing w:after="0" w:line="240" w:lineRule="exact"/>
              <w:rPr>
                <w:sz w:val="20"/>
                <w:szCs w:val="20"/>
                <w:color w:val="auto"/>
              </w:rPr>
            </w:pPr>
            <w:r>
              <w:rPr>
                <w:rFonts w:ascii="Arial" w:cs="Arial" w:eastAsia="Arial" w:hAnsi="Arial"/>
                <w:sz w:val="20"/>
                <w:szCs w:val="20"/>
                <w:color w:val="333333"/>
                <w:w w:val="83"/>
              </w:rPr>
              <w:t>£Ù</w:t>
            </w:r>
            <w:r>
              <w:rPr>
                <w:rFonts w:ascii="PMingLiU" w:cs="PMingLiU" w:eastAsia="PMingLiU" w:hAnsi="PMingLiU"/>
                <w:sz w:val="20"/>
                <w:szCs w:val="20"/>
                <w:color w:val="333333"/>
                <w:w w:val="83"/>
              </w:rPr>
              <w:t></w:t>
            </w:r>
            <w:r>
              <w:rPr>
                <w:rFonts w:ascii="Arial" w:cs="Arial" w:eastAsia="Arial" w:hAnsi="Arial"/>
                <w:sz w:val="20"/>
                <w:szCs w:val="20"/>
                <w:color w:val="333333"/>
                <w:w w:val="83"/>
              </w:rPr>
              <w:t>Ä¨ËéÝ</w:t>
            </w:r>
            <w:r>
              <w:rPr>
                <w:rFonts w:ascii="PMingLiU" w:cs="PMingLiU" w:eastAsia="PMingLiU" w:hAnsi="PMingLiU"/>
                <w:sz w:val="20"/>
                <w:szCs w:val="20"/>
                <w:color w:val="333333"/>
                <w:w w:val="83"/>
              </w:rPr>
              <w:t></w:t>
            </w:r>
            <w:r>
              <w:rPr>
                <w:rFonts w:ascii="Arial" w:cs="Arial" w:eastAsia="Arial" w:hAnsi="Arial"/>
                <w:sz w:val="20"/>
                <w:szCs w:val="20"/>
                <w:color w:val="333333"/>
                <w:w w:val="83"/>
              </w:rPr>
              <w:t xml:space="preserve"> £</w:t>
            </w:r>
            <w:r>
              <w:rPr>
                <w:rFonts w:ascii="PMingLiU" w:cs="PMingLiU" w:eastAsia="PMingLiU" w:hAnsi="PMingLiU"/>
                <w:sz w:val="20"/>
                <w:szCs w:val="20"/>
                <w:color w:val="333333"/>
                <w:w w:val="83"/>
              </w:rPr>
              <w:t></w:t>
            </w:r>
            <w:r>
              <w:rPr>
                <w:rFonts w:ascii="Arial" w:cs="Arial" w:eastAsia="Arial" w:hAnsi="Arial"/>
                <w:sz w:val="20"/>
                <w:szCs w:val="20"/>
                <w:color w:val="333333"/>
                <w:w w:val="83"/>
              </w:rPr>
              <w:t>Ý «Ää</w:t>
            </w:r>
            <w:r>
              <w:rPr>
                <w:rFonts w:ascii="PMingLiU" w:cs="PMingLiU" w:eastAsia="PMingLiU" w:hAnsi="PMingLiU"/>
                <w:sz w:val="20"/>
                <w:szCs w:val="20"/>
                <w:color w:val="333333"/>
                <w:w w:val="83"/>
              </w:rPr>
              <w:t></w:t>
            </w:r>
            <w:r>
              <w:rPr>
                <w:rFonts w:ascii="Arial" w:cs="Arial" w:eastAsia="Arial" w:hAnsi="Arial"/>
                <w:sz w:val="20"/>
                <w:szCs w:val="20"/>
                <w:color w:val="333333"/>
                <w:w w:val="83"/>
              </w:rPr>
              <w:t>ÄÝ«äû</w:t>
            </w:r>
          </w:p>
        </w:tc>
        <w:tc>
          <w:tcPr>
            <w:tcW w:w="0" w:type="dxa"/>
            <w:vAlign w:val="bottom"/>
          </w:tcPr>
          <w:p>
            <w:pPr>
              <w:spacing w:after="0"/>
              <w:rPr>
                <w:sz w:val="1"/>
                <w:szCs w:val="1"/>
                <w:color w:val="auto"/>
              </w:rPr>
            </w:pPr>
          </w:p>
        </w:tc>
      </w:tr>
      <w:tr>
        <w:trPr>
          <w:trHeight w:val="285"/>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00" w:type="dxa"/>
            <w:vAlign w:val="bottom"/>
          </w:tcPr>
          <w:p>
            <w:pPr>
              <w:ind w:left="380"/>
              <w:spacing w:after="0" w:line="265" w:lineRule="exact"/>
              <w:rPr>
                <w:sz w:val="20"/>
                <w:szCs w:val="20"/>
                <w:color w:val="auto"/>
              </w:rPr>
            </w:pPr>
            <w:r>
              <w:rPr>
                <w:rFonts w:ascii="PMingLiU" w:cs="PMingLiU" w:eastAsia="PMingLiU" w:hAnsi="PMingLiU"/>
                <w:sz w:val="20"/>
                <w:szCs w:val="20"/>
                <w:color w:val="333333"/>
              </w:rPr>
              <w:t></w:t>
            </w:r>
            <w:r>
              <w:rPr>
                <w:rFonts w:ascii="Arial" w:cs="Arial" w:eastAsia="Arial" w:hAnsi="Arial"/>
                <w:sz w:val="20"/>
                <w:szCs w:val="20"/>
                <w:color w:val="333333"/>
              </w:rPr>
              <w:t>û ƍƋƎƋ</w:t>
            </w:r>
            <w:r>
              <w:rPr>
                <w:rFonts w:ascii="Arial" w:cs="Arial" w:eastAsia="Arial" w:hAnsi="Arial"/>
                <w:sz w:val="23"/>
                <w:szCs w:val="23"/>
                <w:color w:val="333333"/>
                <w:vertAlign w:val="superscript"/>
              </w:rPr>
              <w:t>Ə</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-1740535</wp:posOffset>
                </wp:positionH>
                <wp:positionV relativeFrom="paragraph">
                  <wp:posOffset>188595</wp:posOffset>
                </wp:positionV>
                <wp:extent cx="6628765"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0499pt,14.85pt" to="384.9pt,14.85pt" o:allowincell="f" strokecolor="#B3B3B3" strokeweight="0.5pt"/>
            </w:pict>
          </mc:Fallback>
        </mc:AlternateContent>
        <w:drawing>
          <wp:anchor simplePos="0" relativeHeight="251657728" behindDoc="1" locked="0" layoutInCell="0" allowOverlap="1">
            <wp:simplePos x="0" y="0"/>
            <wp:positionH relativeFrom="column">
              <wp:posOffset>614680</wp:posOffset>
            </wp:positionH>
            <wp:positionV relativeFrom="paragraph">
              <wp:posOffset>386715</wp:posOffset>
            </wp:positionV>
            <wp:extent cx="4279900" cy="374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57">
                      <a:extLst>
                        <a:ext uri="{28A0092B-C50C-407E-A947-70E740481C1C}"/>
                      </a:extLst>
                    </a:blip>
                    <a:srcRect/>
                    <a:stretch>
                      <a:fillRect/>
                    </a:stretch>
                  </pic:blipFill>
                  <pic:spPr bwMode="auto">
                    <a:xfrm>
                      <a:off x="0" y="0"/>
                      <a:ext cx="4279900" cy="374015"/>
                    </a:xfrm>
                    <a:prstGeom prst="rect">
                      <a:avLst/>
                    </a:prstGeom>
                    <a:noFill/>
                  </pic:spPr>
                </pic:pic>
              </a:graphicData>
            </a:graphic>
          </wp:anchor>
        </w:drawing>
      </w:r>
    </w:p>
    <w:p>
      <w:pPr>
        <w:spacing w:after="0" w:line="230" w:lineRule="exact"/>
        <w:rPr>
          <w:sz w:val="20"/>
          <w:szCs w:val="20"/>
          <w:color w:val="auto"/>
        </w:rPr>
      </w:pPr>
    </w:p>
    <w:p>
      <w:pPr>
        <w:sectPr>
          <w:pgSz w:w="11880" w:h="15480" w:orient="portrait"/>
          <w:cols w:equalWidth="0" w:num="2">
            <w:col w:w="2162" w:space="580"/>
            <w:col w:w="7900"/>
          </w:cols>
          <w:pgMar w:left="898" w:top="351" w:right="340" w:bottom="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1002"/>
        <w:spacing w:after="0" w:line="291" w:lineRule="exact"/>
        <w:tabs>
          <w:tab w:leader="none" w:pos="4281" w:val="left"/>
          <w:tab w:leader="none" w:pos="7781" w:val="left"/>
        </w:tabs>
        <w:rPr>
          <w:sz w:val="20"/>
          <w:szCs w:val="20"/>
          <w:color w:val="auto"/>
        </w:rPr>
      </w:pPr>
      <w:r>
        <w:rPr>
          <w:rFonts w:ascii="Arial" w:cs="Arial" w:eastAsia="Arial" w:hAnsi="Arial"/>
          <w:sz w:val="24"/>
          <w:szCs w:val="24"/>
          <w:color w:val="FFFFFF"/>
        </w:rPr>
        <w:t>gÖÝäÙ</w:t>
      </w:r>
      <w:r>
        <w:rPr>
          <w:rFonts w:ascii="PMingLiU" w:cs="PMingLiU" w:eastAsia="PMingLiU" w:hAnsi="PMingLiU"/>
          <w:sz w:val="24"/>
          <w:szCs w:val="24"/>
          <w:color w:val="FFFFFF"/>
        </w:rPr>
        <w:t></w:t>
      </w:r>
      <w:r>
        <w:rPr>
          <w:rFonts w:ascii="Arial" w:cs="Arial" w:eastAsia="Arial" w:hAnsi="Arial"/>
          <w:sz w:val="24"/>
          <w:szCs w:val="24"/>
          <w:color w:val="FFFFFF"/>
        </w:rPr>
        <w:t>Ã</w:t>
      </w:r>
      <w:r>
        <w:rPr>
          <w:sz w:val="20"/>
          <w:szCs w:val="20"/>
          <w:color w:val="auto"/>
        </w:rPr>
        <w:tab/>
      </w:r>
      <w:r>
        <w:rPr>
          <w:rFonts w:ascii="Arial" w:cs="Arial" w:eastAsia="Arial" w:hAnsi="Arial"/>
          <w:sz w:val="24"/>
          <w:szCs w:val="24"/>
          <w:color w:val="FFFFFF"/>
        </w:rPr>
        <w:t>TÙË</w:t>
      </w:r>
      <w:r>
        <w:rPr>
          <w:rFonts w:ascii="PMingLiU" w:cs="PMingLiU" w:eastAsia="PMingLiU" w:hAnsi="PMingLiU"/>
          <w:sz w:val="24"/>
          <w:szCs w:val="24"/>
          <w:color w:val="FFFFFF"/>
        </w:rPr>
        <w:t></w:t>
      </w:r>
      <w:r>
        <w:rPr>
          <w:rFonts w:ascii="Arial" w:cs="Arial" w:eastAsia="Arial" w:hAnsi="Arial"/>
          <w:sz w:val="24"/>
          <w:szCs w:val="24"/>
          <w:color w:val="FFFFFF"/>
        </w:rPr>
        <w:t>é</w:t>
      </w:r>
      <w:r>
        <w:rPr>
          <w:rFonts w:ascii="PMingLiU" w:cs="PMingLiU" w:eastAsia="PMingLiU" w:hAnsi="PMingLiU"/>
          <w:sz w:val="24"/>
          <w:szCs w:val="24"/>
          <w:color w:val="FFFFFF"/>
        </w:rPr>
        <w:t></w:t>
      </w:r>
      <w:r>
        <w:rPr>
          <w:rFonts w:ascii="Arial" w:cs="Arial" w:eastAsia="Arial" w:hAnsi="Arial"/>
          <w:sz w:val="24"/>
          <w:szCs w:val="24"/>
          <w:color w:val="FFFFFF"/>
        </w:rPr>
        <w:t>ä [Ë½éä«ËÄÝ</w:t>
      </w:r>
      <w:r>
        <w:rPr>
          <w:sz w:val="20"/>
          <w:szCs w:val="20"/>
          <w:color w:val="auto"/>
        </w:rPr>
        <w:tab/>
      </w:r>
      <w:r>
        <w:rPr>
          <w:rFonts w:ascii="Arial" w:cs="Arial" w:eastAsia="Arial" w:hAnsi="Arial"/>
          <w:sz w:val="21"/>
          <w:szCs w:val="21"/>
          <w:color w:val="FFFFFF"/>
        </w:rPr>
        <w:t xml:space="preserve">&lt;Ëõ </w:t>
      </w:r>
      <w:r>
        <w:rPr>
          <w:rFonts w:ascii="PMingLiU" w:cs="PMingLiU" w:eastAsia="PMingLiU" w:hAnsi="PMingLiU"/>
          <w:sz w:val="21"/>
          <w:szCs w:val="21"/>
          <w:color w:val="FFFFFF"/>
        </w:rPr>
        <w:t></w:t>
      </w:r>
      <w:r>
        <w:rPr>
          <w:rFonts w:ascii="Arial" w:cs="Arial" w:eastAsia="Arial" w:hAnsi="Arial"/>
          <w:sz w:val="21"/>
          <w:szCs w:val="21"/>
          <w:color w:val="FFFFFF"/>
        </w:rPr>
        <w:t>Ù</w:t>
      </w:r>
      <w:r>
        <w:rPr>
          <w:rFonts w:ascii="PMingLiU" w:cs="PMingLiU" w:eastAsia="PMingLiU" w:hAnsi="PMingLiU"/>
          <w:sz w:val="21"/>
          <w:szCs w:val="21"/>
          <w:color w:val="FFFFFF"/>
        </w:rPr>
        <w:t></w:t>
      </w:r>
      <w:r>
        <w:rPr>
          <w:rFonts w:ascii="Arial" w:cs="Arial" w:eastAsia="Arial" w:hAnsi="Arial"/>
          <w:sz w:val="21"/>
          <w:szCs w:val="21"/>
          <w:color w:val="FFFFFF"/>
        </w:rPr>
        <w:t>ËÄ [Ë½éä«ËÄÝ</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255270</wp:posOffset>
            </wp:positionV>
            <wp:extent cx="279400" cy="2368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8">
                      <a:extLst>
                        <a:ext uri="{28A0092B-C50C-407E-A947-70E740481C1C}"/>
                      </a:extLst>
                    </a:blip>
                    <a:srcRect/>
                    <a:stretch>
                      <a:fillRect/>
                    </a:stretch>
                  </pic:blipFill>
                  <pic:spPr bwMode="auto">
                    <a:xfrm>
                      <a:off x="0" y="0"/>
                      <a:ext cx="279400" cy="23685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255270</wp:posOffset>
            </wp:positionV>
            <wp:extent cx="830580" cy="281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59">
                      <a:extLst>
                        <a:ext uri="{28A0092B-C50C-407E-A947-70E740481C1C}"/>
                      </a:extLst>
                    </a:blip>
                    <a:srcRect/>
                    <a:stretch>
                      <a:fillRect/>
                    </a:stretch>
                  </pic:blipFill>
                  <pic:spPr bwMode="auto">
                    <a:xfrm>
                      <a:off x="0" y="0"/>
                      <a:ext cx="830580" cy="28194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253365</wp:posOffset>
            </wp:positionV>
            <wp:extent cx="558165" cy="2432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0">
                      <a:extLst>
                        <a:ext uri="{28A0092B-C50C-407E-A947-70E740481C1C}"/>
                      </a:extLst>
                    </a:blip>
                    <a:srcRect/>
                    <a:stretch>
                      <a:fillRect/>
                    </a:stretch>
                  </pic:blipFill>
                  <pic:spPr bwMode="auto">
                    <a:xfrm>
                      <a:off x="0" y="0"/>
                      <a:ext cx="558165" cy="24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
        <w:spacing w:after="0" w:line="243" w:lineRule="exact"/>
        <w:tabs>
          <w:tab w:leader="none" w:pos="3701" w:val="left"/>
          <w:tab w:leader="none" w:pos="7421" w:val="left"/>
        </w:tabs>
        <w:rPr>
          <w:sz w:val="20"/>
          <w:szCs w:val="20"/>
          <w:color w:val="auto"/>
        </w:rPr>
      </w:pPr>
      <w:r>
        <w:rPr>
          <w:rFonts w:ascii="PMingLiU" w:cs="PMingLiU" w:eastAsia="PMingLiU" w:hAnsi="PMingLiU"/>
          <w:sz w:val="18"/>
          <w:szCs w:val="18"/>
          <w:color w:val="333333"/>
        </w:rPr>
        <w:t></w:t>
      </w:r>
      <w:r>
        <w:rPr>
          <w:rFonts w:ascii="Arial" w:cs="Arial" w:eastAsia="Arial" w:hAnsi="Arial"/>
          <w:sz w:val="18"/>
          <w:szCs w:val="18"/>
          <w:color w:val="333333"/>
        </w:rPr>
        <w:t>ÙÄ«Ä£Ý ÖËä</w:t>
      </w:r>
      <w:r>
        <w:rPr>
          <w:rFonts w:ascii="PMingLiU" w:cs="PMingLiU" w:eastAsia="PMingLiU" w:hAnsi="PMingLiU"/>
          <w:sz w:val="18"/>
          <w:szCs w:val="18"/>
          <w:color w:val="333333"/>
        </w:rPr>
        <w:t></w:t>
      </w:r>
      <w:r>
        <w:rPr>
          <w:rFonts w:ascii="Arial" w:cs="Arial" w:eastAsia="Arial" w:hAnsi="Arial"/>
          <w:sz w:val="18"/>
          <w:szCs w:val="18"/>
          <w:color w:val="333333"/>
        </w:rPr>
        <w:t>Ää«</w:t>
      </w:r>
      <w:r>
        <w:rPr>
          <w:rFonts w:ascii="PMingLiU" w:cs="PMingLiU" w:eastAsia="PMingLiU" w:hAnsi="PMingLiU"/>
          <w:sz w:val="18"/>
          <w:szCs w:val="18"/>
          <w:color w:val="333333"/>
        </w:rPr>
        <w:t></w:t>
      </w:r>
      <w:r>
        <w:rPr>
          <w:rFonts w:ascii="Arial" w:cs="Arial" w:eastAsia="Arial" w:hAnsi="Arial"/>
          <w:sz w:val="18"/>
          <w:szCs w:val="18"/>
          <w:color w:val="333333"/>
        </w:rPr>
        <w:t>½ ǡƍƋƍƒ ôÝǔ ƍƋƌƔǢ</w:t>
      </w:r>
      <w:r>
        <w:rPr>
          <w:rFonts w:ascii="Arial" w:cs="Arial" w:eastAsia="Arial" w:hAnsi="Arial"/>
          <w:sz w:val="20"/>
          <w:szCs w:val="20"/>
          <w:color w:val="333333"/>
          <w:vertAlign w:val="superscript"/>
        </w:rPr>
        <w:t>ƍ</w:t>
      </w:r>
      <w:r>
        <w:rPr>
          <w:sz w:val="20"/>
          <w:szCs w:val="20"/>
          <w:color w:val="auto"/>
        </w:rPr>
        <w:tab/>
      </w:r>
      <w:r>
        <w:rPr>
          <w:rFonts w:ascii="PMingLiU" w:cs="PMingLiU" w:eastAsia="PMingLiU" w:hAnsi="PMingLiU"/>
          <w:sz w:val="18"/>
          <w:szCs w:val="18"/>
          <w:color w:val="333333"/>
        </w:rPr>
        <w:t></w:t>
      </w:r>
      <w:r>
        <w:rPr>
          <w:rFonts w:ascii="Arial" w:cs="Arial" w:eastAsia="Arial" w:hAnsi="Arial"/>
          <w:sz w:val="18"/>
          <w:szCs w:val="18"/>
          <w:color w:val="333333"/>
        </w:rPr>
        <w:t>ÙÄ«Ä£Ý ÖËä</w:t>
      </w:r>
      <w:r>
        <w:rPr>
          <w:rFonts w:ascii="PMingLiU" w:cs="PMingLiU" w:eastAsia="PMingLiU" w:hAnsi="PMingLiU"/>
          <w:sz w:val="18"/>
          <w:szCs w:val="18"/>
          <w:color w:val="333333"/>
        </w:rPr>
        <w:t></w:t>
      </w:r>
      <w:r>
        <w:rPr>
          <w:rFonts w:ascii="Arial" w:cs="Arial" w:eastAsia="Arial" w:hAnsi="Arial"/>
          <w:sz w:val="18"/>
          <w:szCs w:val="18"/>
          <w:color w:val="333333"/>
        </w:rPr>
        <w:t>Ää«</w:t>
      </w:r>
      <w:r>
        <w:rPr>
          <w:rFonts w:ascii="PMingLiU" w:cs="PMingLiU" w:eastAsia="PMingLiU" w:hAnsi="PMingLiU"/>
          <w:sz w:val="18"/>
          <w:szCs w:val="18"/>
          <w:color w:val="333333"/>
        </w:rPr>
        <w:t></w:t>
      </w:r>
      <w:r>
        <w:rPr>
          <w:rFonts w:ascii="Arial" w:cs="Arial" w:eastAsia="Arial" w:hAnsi="Arial"/>
          <w:sz w:val="18"/>
          <w:szCs w:val="18"/>
          <w:color w:val="333333"/>
        </w:rPr>
        <w:t>½ ǡƍƋƍƒ ôÝǔ ƍƋƌƔǢ</w:t>
      </w:r>
      <w:r>
        <w:rPr>
          <w:rFonts w:ascii="Arial" w:cs="Arial" w:eastAsia="Arial" w:hAnsi="Arial"/>
          <w:sz w:val="20"/>
          <w:szCs w:val="20"/>
          <w:color w:val="333333"/>
          <w:vertAlign w:val="superscript"/>
        </w:rPr>
        <w:t>ƍ</w:t>
      </w:r>
      <w:r>
        <w:rPr>
          <w:sz w:val="20"/>
          <w:szCs w:val="20"/>
          <w:color w:val="auto"/>
        </w:rPr>
        <w:tab/>
      </w:r>
      <w:r>
        <w:rPr>
          <w:rFonts w:ascii="PMingLiU" w:cs="PMingLiU" w:eastAsia="PMingLiU" w:hAnsi="PMingLiU"/>
          <w:sz w:val="13"/>
          <w:szCs w:val="13"/>
          <w:color w:val="333333"/>
        </w:rPr>
        <w:t></w:t>
      </w:r>
      <w:r>
        <w:rPr>
          <w:rFonts w:ascii="Arial" w:cs="Arial" w:eastAsia="Arial" w:hAnsi="Arial"/>
          <w:sz w:val="13"/>
          <w:szCs w:val="13"/>
          <w:color w:val="333333"/>
        </w:rPr>
        <w:t>úÖ</w:t>
      </w:r>
      <w:r>
        <w:rPr>
          <w:rFonts w:ascii="PMingLiU" w:cs="PMingLiU" w:eastAsia="PMingLiU" w:hAnsi="PMingLiU"/>
          <w:sz w:val="13"/>
          <w:szCs w:val="13"/>
          <w:color w:val="333333"/>
        </w:rPr>
        <w:t></w:t>
      </w:r>
      <w:r>
        <w:rPr>
          <w:rFonts w:ascii="Arial" w:cs="Arial" w:eastAsia="Arial" w:hAnsi="Arial"/>
          <w:sz w:val="13"/>
          <w:szCs w:val="13"/>
          <w:color w:val="333333"/>
        </w:rPr>
        <w:t>ä</w:t>
      </w:r>
      <w:r>
        <w:rPr>
          <w:rFonts w:ascii="PMingLiU" w:cs="PMingLiU" w:eastAsia="PMingLiU" w:hAnsi="PMingLiU"/>
          <w:sz w:val="13"/>
          <w:szCs w:val="13"/>
          <w:color w:val="333333"/>
        </w:rPr>
        <w:t xml:space="preserve"> </w:t>
      </w:r>
      <w:r>
        <w:rPr>
          <w:rFonts w:ascii="Arial" w:cs="Arial" w:eastAsia="Arial" w:hAnsi="Arial"/>
          <w:sz w:val="13"/>
          <w:szCs w:val="13"/>
          <w:color w:val="333333"/>
        </w:rPr>
        <w:t>Ëô</w:t>
      </w:r>
      <w:r>
        <w:rPr>
          <w:rFonts w:ascii="PMingLiU" w:cs="PMingLiU" w:eastAsia="PMingLiU" w:hAnsi="PMingLiU"/>
          <w:sz w:val="13"/>
          <w:szCs w:val="13"/>
          <w:color w:val="333333"/>
        </w:rPr>
        <w:t></w:t>
      </w:r>
      <w:r>
        <w:rPr>
          <w:rFonts w:ascii="Arial" w:cs="Arial" w:eastAsia="Arial" w:hAnsi="Arial"/>
          <w:sz w:val="13"/>
          <w:szCs w:val="13"/>
          <w:color w:val="333333"/>
        </w:rPr>
        <w:t>Ù</w:t>
      </w:r>
      <w:r>
        <w:rPr>
          <w:rFonts w:ascii="PMingLiU" w:cs="PMingLiU" w:eastAsia="PMingLiU" w:hAnsi="PMingLiU"/>
          <w:sz w:val="13"/>
          <w:szCs w:val="13"/>
          <w:color w:val="333333"/>
        </w:rPr>
        <w:t></w:t>
      </w:r>
      <w:r>
        <w:rPr>
          <w:rFonts w:ascii="Arial" w:cs="Arial" w:eastAsia="Arial" w:hAnsi="Arial"/>
          <w:sz w:val="13"/>
          <w:szCs w:val="13"/>
          <w:color w:val="333333"/>
        </w:rPr>
        <w:t>½½ Ù</w:t>
      </w:r>
      <w:r>
        <w:rPr>
          <w:rFonts w:ascii="PMingLiU" w:cs="PMingLiU" w:eastAsia="PMingLiU" w:hAnsi="PMingLiU"/>
          <w:sz w:val="13"/>
          <w:szCs w:val="13"/>
          <w:color w:val="333333"/>
        </w:rPr>
        <w:t></w:t>
      </w:r>
      <w:r>
        <w:rPr>
          <w:rFonts w:ascii="Arial" w:cs="Arial" w:eastAsia="Arial" w:hAnsi="Arial"/>
          <w:sz w:val="13"/>
          <w:szCs w:val="13"/>
          <w:color w:val="333333"/>
        </w:rPr>
        <w:t>äéÙÄ ËÄ ÖËÙä¢Ë½«Ë Ë¢</w:t>
      </w:r>
    </w:p>
    <w:p>
      <w:pPr>
        <w:spacing w:after="0" w:line="1" w:lineRule="exact"/>
        <w:rPr>
          <w:sz w:val="20"/>
          <w:szCs w:val="20"/>
          <w:color w:val="auto"/>
        </w:rPr>
      </w:pPr>
    </w:p>
    <w:p>
      <w:pPr>
        <w:ind w:left="7442"/>
        <w:spacing w:after="0" w:line="230" w:lineRule="exact"/>
        <w:rPr>
          <w:sz w:val="20"/>
          <w:szCs w:val="20"/>
          <w:color w:val="auto"/>
        </w:rPr>
      </w:pPr>
      <w:r>
        <w:rPr>
          <w:rFonts w:ascii="Arial" w:cs="Arial" w:eastAsia="Arial" w:hAnsi="Arial"/>
          <w:sz w:val="18"/>
          <w:szCs w:val="18"/>
          <w:color w:val="333333"/>
        </w:rPr>
        <w:t>Ö½</w:t>
      </w:r>
      <w:r>
        <w:rPr>
          <w:rFonts w:ascii="PMingLiU" w:cs="PMingLiU" w:eastAsia="PMingLiU" w:hAnsi="PMingLiU"/>
          <w:sz w:val="18"/>
          <w:szCs w:val="18"/>
          <w:color w:val="333333"/>
        </w:rPr>
        <w:t></w:t>
      </w:r>
      <w:r>
        <w:rPr>
          <w:rFonts w:ascii="Arial" w:cs="Arial" w:eastAsia="Arial" w:hAnsi="Arial"/>
          <w:sz w:val="18"/>
          <w:szCs w:val="18"/>
          <w:color w:val="333333"/>
        </w:rPr>
        <w:t>ÄÄ</w:t>
      </w:r>
      <w:r>
        <w:rPr>
          <w:rFonts w:ascii="PMingLiU" w:cs="PMingLiU" w:eastAsia="PMingLiU" w:hAnsi="PMingLiU"/>
          <w:sz w:val="18"/>
          <w:szCs w:val="18"/>
          <w:color w:val="333333"/>
        </w:rPr>
        <w:t></w:t>
      </w:r>
      <w:r>
        <w:rPr>
          <w:rFonts w:ascii="Arial" w:cs="Arial" w:eastAsia="Arial" w:hAnsi="Arial"/>
          <w:sz w:val="18"/>
          <w:szCs w:val="18"/>
          <w:color w:val="333333"/>
        </w:rPr>
        <w:t xml:space="preserve"> «Äô</w:t>
      </w:r>
      <w:r>
        <w:rPr>
          <w:rFonts w:ascii="PMingLiU" w:cs="PMingLiU" w:eastAsia="PMingLiU" w:hAnsi="PMingLiU"/>
          <w:sz w:val="18"/>
          <w:szCs w:val="18"/>
          <w:color w:val="333333"/>
        </w:rPr>
        <w:t></w:t>
      </w:r>
      <w:r>
        <w:rPr>
          <w:rFonts w:ascii="Arial" w:cs="Arial" w:eastAsia="Arial" w:hAnsi="Arial"/>
          <w:sz w:val="18"/>
          <w:szCs w:val="18"/>
          <w:color w:val="333333"/>
        </w:rPr>
        <w:t>ÝäÃ</w:t>
      </w:r>
      <w:r>
        <w:rPr>
          <w:rFonts w:ascii="PMingLiU" w:cs="PMingLiU" w:eastAsia="PMingLiU" w:hAnsi="PMingLiU"/>
          <w:sz w:val="18"/>
          <w:szCs w:val="18"/>
          <w:color w:val="333333"/>
        </w:rPr>
        <w:t></w:t>
      </w:r>
      <w:r>
        <w:rPr>
          <w:rFonts w:ascii="Arial" w:cs="Arial" w:eastAsia="Arial" w:hAnsi="Arial"/>
          <w:sz w:val="18"/>
          <w:szCs w:val="18"/>
          <w:color w:val="333333"/>
        </w:rPr>
        <w:t>ÄäÝ</w:t>
      </w:r>
      <w:r>
        <w:rPr>
          <w:rFonts w:ascii="Arial" w:cs="Arial" w:eastAsia="Arial" w:hAnsi="Arial"/>
          <w:sz w:val="20"/>
          <w:szCs w:val="20"/>
          <w:color w:val="333333"/>
          <w:vertAlign w:val="superscript"/>
        </w:rPr>
        <w:t>Ɛ</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988060" cy="2406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61">
                      <a:extLst>
                        <a:ext uri="{28A0092B-C50C-407E-A947-70E740481C1C}"/>
                      </a:extLst>
                    </a:blip>
                    <a:srcRect/>
                    <a:stretch>
                      <a:fillRect/>
                    </a:stretch>
                  </pic:blipFill>
                  <pic:spPr bwMode="auto">
                    <a:xfrm>
                      <a:off x="0" y="0"/>
                      <a:ext cx="988060" cy="240665"/>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135890</wp:posOffset>
            </wp:positionV>
            <wp:extent cx="279400" cy="2374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62">
                      <a:extLst>
                        <a:ext uri="{28A0092B-C50C-407E-A947-70E740481C1C}"/>
                      </a:extLst>
                    </a:blip>
                    <a:srcRect/>
                    <a:stretch>
                      <a:fillRect/>
                    </a:stretch>
                  </pic:blipFill>
                  <pic:spPr bwMode="auto">
                    <a:xfrm>
                      <a:off x="0" y="0"/>
                      <a:ext cx="279400" cy="23749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135890</wp:posOffset>
            </wp:positionV>
            <wp:extent cx="768350" cy="2406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63">
                      <a:extLst>
                        <a:ext uri="{28A0092B-C50C-407E-A947-70E740481C1C}"/>
                      </a:extLst>
                    </a:blip>
                    <a:srcRect/>
                    <a:stretch>
                      <a:fillRect/>
                    </a:stretch>
                  </pic:blipFill>
                  <pic:spPr bwMode="auto">
                    <a:xfrm>
                      <a:off x="0" y="0"/>
                      <a:ext cx="768350" cy="24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3360" w:type="dxa"/>
            <w:vAlign w:val="bottom"/>
          </w:tcPr>
          <w:p>
            <w:pPr>
              <w:spacing w:after="0" w:line="219" w:lineRule="exact"/>
              <w:rPr>
                <w:sz w:val="20"/>
                <w:szCs w:val="20"/>
                <w:color w:val="auto"/>
              </w:rPr>
            </w:pPr>
            <w:r>
              <w:rPr>
                <w:rFonts w:ascii="Arial" w:cs="Arial" w:eastAsia="Arial" w:hAnsi="Arial"/>
                <w:sz w:val="18"/>
                <w:szCs w:val="18"/>
                <w:color w:val="333333"/>
              </w:rPr>
              <w:t>Ù</w:t>
            </w:r>
            <w:r>
              <w:rPr>
                <w:rFonts w:ascii="PMingLiU" w:cs="PMingLiU" w:eastAsia="PMingLiU" w:hAnsi="PMingLiU"/>
                <w:sz w:val="18"/>
                <w:szCs w:val="18"/>
                <w:color w:val="333333"/>
              </w:rPr>
              <w:t></w:t>
            </w:r>
            <w:r>
              <w:rPr>
                <w:rFonts w:ascii="Arial" w:cs="Arial" w:eastAsia="Arial" w:hAnsi="Arial"/>
                <w:sz w:val="18"/>
                <w:szCs w:val="18"/>
                <w:color w:val="333333"/>
              </w:rPr>
              <w:t>é</w:t>
            </w:r>
            <w:r>
              <w:rPr>
                <w:rFonts w:ascii="PMingLiU" w:cs="PMingLiU" w:eastAsia="PMingLiU" w:hAnsi="PMingLiU"/>
                <w:sz w:val="18"/>
                <w:szCs w:val="18"/>
                <w:color w:val="333333"/>
              </w:rPr>
              <w:t></w:t>
            </w:r>
            <w:r>
              <w:rPr>
                <w:rFonts w:ascii="Arial" w:cs="Arial" w:eastAsia="Arial" w:hAnsi="Arial"/>
                <w:sz w:val="18"/>
                <w:szCs w:val="18"/>
                <w:color w:val="333333"/>
              </w:rPr>
              <w:t>ä«ËÄ «Ä gÖÝäÙ</w:t>
            </w:r>
            <w:r>
              <w:rPr>
                <w:rFonts w:ascii="PMingLiU" w:cs="PMingLiU" w:eastAsia="PMingLiU" w:hAnsi="PMingLiU"/>
                <w:sz w:val="18"/>
                <w:szCs w:val="18"/>
                <w:color w:val="333333"/>
              </w:rPr>
              <w:t></w:t>
            </w:r>
            <w:r>
              <w:rPr>
                <w:rFonts w:ascii="Arial" w:cs="Arial" w:eastAsia="Arial" w:hAnsi="Arial"/>
                <w:sz w:val="18"/>
                <w:szCs w:val="18"/>
                <w:color w:val="333333"/>
              </w:rPr>
              <w:t>Ã £Ù</w:t>
            </w:r>
            <w:r>
              <w:rPr>
                <w:rFonts w:ascii="PMingLiU" w:cs="PMingLiU" w:eastAsia="PMingLiU" w:hAnsi="PMingLiU"/>
                <w:sz w:val="18"/>
                <w:szCs w:val="18"/>
                <w:color w:val="333333"/>
              </w:rPr>
              <w:t></w:t>
            </w:r>
            <w:r>
              <w:rPr>
                <w:rFonts w:ascii="Arial" w:cs="Arial" w:eastAsia="Arial" w:hAnsi="Arial"/>
                <w:sz w:val="18"/>
                <w:szCs w:val="18"/>
                <w:color w:val="333333"/>
              </w:rPr>
              <w:t>Ä¨ËéÝ</w:t>
            </w:r>
            <w:r>
              <w:rPr>
                <w:rFonts w:ascii="PMingLiU" w:cs="PMingLiU" w:eastAsia="PMingLiU" w:hAnsi="PMingLiU"/>
                <w:sz w:val="18"/>
                <w:szCs w:val="18"/>
                <w:color w:val="333333"/>
              </w:rPr>
              <w:t></w:t>
            </w:r>
            <w:r>
              <w:rPr>
                <w:rFonts w:ascii="Arial" w:cs="Arial" w:eastAsia="Arial" w:hAnsi="Arial"/>
                <w:sz w:val="18"/>
                <w:szCs w:val="18"/>
                <w:color w:val="333333"/>
              </w:rPr>
              <w:t xml:space="preserve"> £</w:t>
            </w:r>
            <w:r>
              <w:rPr>
                <w:rFonts w:ascii="PMingLiU" w:cs="PMingLiU" w:eastAsia="PMingLiU" w:hAnsi="PMingLiU"/>
                <w:sz w:val="18"/>
                <w:szCs w:val="18"/>
                <w:color w:val="333333"/>
              </w:rPr>
              <w:t></w:t>
            </w:r>
            <w:r>
              <w:rPr>
                <w:rFonts w:ascii="Arial" w:cs="Arial" w:eastAsia="Arial" w:hAnsi="Arial"/>
                <w:sz w:val="18"/>
                <w:szCs w:val="18"/>
                <w:color w:val="333333"/>
              </w:rPr>
              <w:t>Ý</w:t>
            </w:r>
          </w:p>
        </w:tc>
        <w:tc>
          <w:tcPr>
            <w:tcW w:w="3660" w:type="dxa"/>
            <w:vAlign w:val="bottom"/>
          </w:tcPr>
          <w:p>
            <w:pPr>
              <w:ind w:left="360"/>
              <w:spacing w:after="0" w:line="219" w:lineRule="exact"/>
              <w:rPr>
                <w:sz w:val="20"/>
                <w:szCs w:val="20"/>
                <w:color w:val="auto"/>
              </w:rPr>
            </w:pPr>
            <w:r>
              <w:rPr>
                <w:rFonts w:ascii="Arial" w:cs="Arial" w:eastAsia="Arial" w:hAnsi="Arial"/>
                <w:sz w:val="18"/>
                <w:szCs w:val="18"/>
                <w:color w:val="333333"/>
              </w:rPr>
              <w:t>¨«£¨ǥô</w:t>
            </w:r>
            <w:r>
              <w:rPr>
                <w:rFonts w:ascii="PMingLiU" w:cs="PMingLiU" w:eastAsia="PMingLiU" w:hAnsi="PMingLiU"/>
                <w:sz w:val="18"/>
                <w:szCs w:val="18"/>
                <w:color w:val="333333"/>
              </w:rPr>
              <w:t></w:t>
            </w:r>
            <w:r>
              <w:rPr>
                <w:rFonts w:ascii="Arial" w:cs="Arial" w:eastAsia="Arial" w:hAnsi="Arial"/>
                <w:sz w:val="18"/>
                <w:szCs w:val="18"/>
                <w:color w:val="333333"/>
              </w:rPr>
              <w:t>½é</w:t>
            </w:r>
            <w:r>
              <w:rPr>
                <w:rFonts w:ascii="PMingLiU" w:cs="PMingLiU" w:eastAsia="PMingLiU" w:hAnsi="PMingLiU"/>
                <w:sz w:val="18"/>
                <w:szCs w:val="18"/>
                <w:color w:val="333333"/>
              </w:rPr>
              <w:t></w:t>
            </w:r>
            <w:r>
              <w:rPr>
                <w:rFonts w:ascii="Arial" w:cs="Arial" w:eastAsia="Arial" w:hAnsi="Arial"/>
                <w:sz w:val="18"/>
                <w:szCs w:val="18"/>
                <w:color w:val="333333"/>
              </w:rPr>
              <w:t xml:space="preserve"> ÖÙË</w:t>
            </w:r>
            <w:r>
              <w:rPr>
                <w:rFonts w:ascii="PMingLiU" w:cs="PMingLiU" w:eastAsia="PMingLiU" w:hAnsi="PMingLiU"/>
                <w:sz w:val="18"/>
                <w:szCs w:val="18"/>
                <w:color w:val="333333"/>
              </w:rPr>
              <w:t></w:t>
            </w:r>
            <w:r>
              <w:rPr>
                <w:rFonts w:ascii="Arial" w:cs="Arial" w:eastAsia="Arial" w:hAnsi="Arial"/>
                <w:sz w:val="18"/>
                <w:szCs w:val="18"/>
                <w:color w:val="333333"/>
              </w:rPr>
              <w:t>é</w:t>
            </w:r>
            <w:r>
              <w:rPr>
                <w:rFonts w:ascii="PMingLiU" w:cs="PMingLiU" w:eastAsia="PMingLiU" w:hAnsi="PMingLiU"/>
                <w:sz w:val="18"/>
                <w:szCs w:val="18"/>
                <w:color w:val="333333"/>
              </w:rPr>
              <w:t></w:t>
            </w:r>
            <w:r>
              <w:rPr>
                <w:rFonts w:ascii="Arial" w:cs="Arial" w:eastAsia="Arial" w:hAnsi="Arial"/>
                <w:sz w:val="18"/>
                <w:szCs w:val="18"/>
                <w:color w:val="333333"/>
              </w:rPr>
              <w:t>ä Ý</w:t>
            </w:r>
            <w:r>
              <w:rPr>
                <w:rFonts w:ascii="PMingLiU" w:cs="PMingLiU" w:eastAsia="PMingLiU" w:hAnsi="PMingLiU"/>
                <w:sz w:val="18"/>
                <w:szCs w:val="18"/>
                <w:color w:val="333333"/>
              </w:rPr>
              <w:t></w:t>
            </w:r>
            <w:r>
              <w:rPr>
                <w:rFonts w:ascii="Arial" w:cs="Arial" w:eastAsia="Arial" w:hAnsi="Arial"/>
                <w:sz w:val="18"/>
                <w:szCs w:val="18"/>
                <w:color w:val="333333"/>
              </w:rPr>
              <w:t>½</w:t>
            </w:r>
            <w:r>
              <w:rPr>
                <w:rFonts w:ascii="PMingLiU" w:cs="PMingLiU" w:eastAsia="PMingLiU" w:hAnsi="PMingLiU"/>
                <w:sz w:val="18"/>
                <w:szCs w:val="18"/>
                <w:color w:val="333333"/>
              </w:rPr>
              <w:t></w:t>
            </w:r>
            <w:r>
              <w:rPr>
                <w:rFonts w:ascii="Arial" w:cs="Arial" w:eastAsia="Arial" w:hAnsi="Arial"/>
                <w:sz w:val="18"/>
                <w:szCs w:val="18"/>
                <w:color w:val="333333"/>
              </w:rPr>
              <w:t xml:space="preserve">Ý </w:t>
            </w:r>
            <w:r>
              <w:rPr>
                <w:rFonts w:ascii="PMingLiU" w:cs="PMingLiU" w:eastAsia="PMingLiU" w:hAnsi="PMingLiU"/>
                <w:sz w:val="18"/>
                <w:szCs w:val="18"/>
                <w:color w:val="333333"/>
              </w:rPr>
              <w:t></w:t>
            </w:r>
            <w:r>
              <w:rPr>
                <w:rFonts w:ascii="Arial" w:cs="Arial" w:eastAsia="Arial" w:hAnsi="Arial"/>
                <w:sz w:val="18"/>
                <w:szCs w:val="18"/>
                <w:color w:val="333333"/>
              </w:rPr>
              <w:t>û ƍƋƍƒǚ</w:t>
            </w:r>
          </w:p>
        </w:tc>
        <w:tc>
          <w:tcPr>
            <w:tcW w:w="3420" w:type="dxa"/>
            <w:vAlign w:val="bottom"/>
          </w:tcPr>
          <w:p>
            <w:pPr>
              <w:ind w:left="420"/>
              <w:spacing w:after="0" w:line="219" w:lineRule="exact"/>
              <w:rPr>
                <w:sz w:val="20"/>
                <w:szCs w:val="20"/>
                <w:color w:val="auto"/>
              </w:rPr>
            </w:pPr>
            <w:r>
              <w:rPr>
                <w:rFonts w:ascii="Arial" w:cs="Arial" w:eastAsia="Arial" w:hAnsi="Arial"/>
                <w:sz w:val="18"/>
                <w:szCs w:val="18"/>
                <w:color w:val="333333"/>
                <w:w w:val="87"/>
              </w:rPr>
              <w:t>ÖËä</w:t>
            </w:r>
            <w:r>
              <w:rPr>
                <w:rFonts w:ascii="PMingLiU" w:cs="PMingLiU" w:eastAsia="PMingLiU" w:hAnsi="PMingLiU"/>
                <w:sz w:val="18"/>
                <w:szCs w:val="18"/>
                <w:color w:val="333333"/>
                <w:w w:val="87"/>
              </w:rPr>
              <w:t></w:t>
            </w:r>
            <w:r>
              <w:rPr>
                <w:rFonts w:ascii="Arial" w:cs="Arial" w:eastAsia="Arial" w:hAnsi="Arial"/>
                <w:sz w:val="18"/>
                <w:szCs w:val="18"/>
                <w:color w:val="333333"/>
                <w:w w:val="87"/>
              </w:rPr>
              <w:t>Ää«</w:t>
            </w:r>
            <w:r>
              <w:rPr>
                <w:rFonts w:ascii="PMingLiU" w:cs="PMingLiU" w:eastAsia="PMingLiU" w:hAnsi="PMingLiU"/>
                <w:sz w:val="18"/>
                <w:szCs w:val="18"/>
                <w:color w:val="333333"/>
                <w:w w:val="87"/>
              </w:rPr>
              <w:t></w:t>
            </w:r>
            <w:r>
              <w:rPr>
                <w:rFonts w:ascii="Arial" w:cs="Arial" w:eastAsia="Arial" w:hAnsi="Arial"/>
                <w:sz w:val="18"/>
                <w:szCs w:val="18"/>
                <w:color w:val="333333"/>
                <w:w w:val="87"/>
              </w:rPr>
              <w:t>½ Ù</w:t>
            </w:r>
            <w:r>
              <w:rPr>
                <w:rFonts w:ascii="PMingLiU" w:cs="PMingLiU" w:eastAsia="PMingLiU" w:hAnsi="PMingLiU"/>
                <w:sz w:val="18"/>
                <w:szCs w:val="18"/>
                <w:color w:val="333333"/>
                <w:w w:val="87"/>
              </w:rPr>
              <w:t></w:t>
            </w:r>
            <w:r>
              <w:rPr>
                <w:rFonts w:ascii="Arial" w:cs="Arial" w:eastAsia="Arial" w:hAnsi="Arial"/>
                <w:sz w:val="18"/>
                <w:szCs w:val="18"/>
                <w:color w:val="333333"/>
                <w:w w:val="87"/>
              </w:rPr>
              <w:t>é</w:t>
            </w:r>
            <w:r>
              <w:rPr>
                <w:rFonts w:ascii="PMingLiU" w:cs="PMingLiU" w:eastAsia="PMingLiU" w:hAnsi="PMingLiU"/>
                <w:sz w:val="18"/>
                <w:szCs w:val="18"/>
                <w:color w:val="333333"/>
                <w:w w:val="87"/>
              </w:rPr>
              <w:t></w:t>
            </w:r>
            <w:r>
              <w:rPr>
                <w:rFonts w:ascii="Arial" w:cs="Arial" w:eastAsia="Arial" w:hAnsi="Arial"/>
                <w:sz w:val="18"/>
                <w:szCs w:val="18"/>
                <w:color w:val="333333"/>
                <w:w w:val="87"/>
              </w:rPr>
              <w:t>ä«ËÄÝ «Ä ä¨«Ù</w:t>
            </w:r>
            <w:r>
              <w:rPr>
                <w:rFonts w:ascii="PMingLiU" w:cs="PMingLiU" w:eastAsia="PMingLiU" w:hAnsi="PMingLiU"/>
                <w:sz w:val="18"/>
                <w:szCs w:val="18"/>
                <w:color w:val="333333"/>
                <w:w w:val="87"/>
              </w:rPr>
              <w:t></w:t>
            </w:r>
            <w:r>
              <w:rPr>
                <w:rFonts w:ascii="Arial" w:cs="Arial" w:eastAsia="Arial" w:hAnsi="Arial"/>
                <w:sz w:val="18"/>
                <w:szCs w:val="18"/>
                <w:color w:val="333333"/>
                <w:w w:val="87"/>
              </w:rPr>
              <w:t>ǥÖ</w:t>
            </w:r>
            <w:r>
              <w:rPr>
                <w:rFonts w:ascii="PMingLiU" w:cs="PMingLiU" w:eastAsia="PMingLiU" w:hAnsi="PMingLiU"/>
                <w:sz w:val="18"/>
                <w:szCs w:val="18"/>
                <w:color w:val="333333"/>
                <w:w w:val="87"/>
              </w:rPr>
              <w:t></w:t>
            </w:r>
            <w:r>
              <w:rPr>
                <w:rFonts w:ascii="Arial" w:cs="Arial" w:eastAsia="Arial" w:hAnsi="Arial"/>
                <w:sz w:val="18"/>
                <w:szCs w:val="18"/>
                <w:color w:val="333333"/>
                <w:w w:val="87"/>
              </w:rPr>
              <w:t>Ùäû</w:t>
            </w:r>
          </w:p>
        </w:tc>
      </w:tr>
      <w:tr>
        <w:trPr>
          <w:trHeight w:val="216"/>
        </w:trPr>
        <w:tc>
          <w:tcPr>
            <w:tcW w:w="3360" w:type="dxa"/>
            <w:vAlign w:val="bottom"/>
          </w:tcPr>
          <w:p>
            <w:pPr>
              <w:spacing w:after="0" w:line="216" w:lineRule="exact"/>
              <w:rPr>
                <w:sz w:val="20"/>
                <w:szCs w:val="20"/>
                <w:color w:val="auto"/>
              </w:rPr>
            </w:pPr>
            <w:r>
              <w:rPr>
                <w:rFonts w:ascii="Arial" w:cs="Arial" w:eastAsia="Arial" w:hAnsi="Arial"/>
                <w:sz w:val="18"/>
                <w:szCs w:val="18"/>
                <w:color w:val="333333"/>
              </w:rPr>
              <w:t>«Ää</w:t>
            </w:r>
            <w:r>
              <w:rPr>
                <w:rFonts w:ascii="PMingLiU" w:cs="PMingLiU" w:eastAsia="PMingLiU" w:hAnsi="PMingLiU"/>
                <w:sz w:val="18"/>
                <w:szCs w:val="18"/>
                <w:color w:val="333333"/>
              </w:rPr>
              <w:t></w:t>
            </w:r>
            <w:r>
              <w:rPr>
                <w:rFonts w:ascii="Arial" w:cs="Arial" w:eastAsia="Arial" w:hAnsi="Arial"/>
                <w:sz w:val="18"/>
                <w:szCs w:val="18"/>
                <w:color w:val="333333"/>
              </w:rPr>
              <w:t xml:space="preserve">ÄÝ«äû </w:t>
            </w:r>
            <w:r>
              <w:rPr>
                <w:rFonts w:ascii="PMingLiU" w:cs="PMingLiU" w:eastAsia="PMingLiU" w:hAnsi="PMingLiU"/>
                <w:sz w:val="18"/>
                <w:szCs w:val="18"/>
                <w:color w:val="333333"/>
              </w:rPr>
              <w:t></w:t>
            </w:r>
            <w:r>
              <w:rPr>
                <w:rFonts w:ascii="Arial" w:cs="Arial" w:eastAsia="Arial" w:hAnsi="Arial"/>
                <w:sz w:val="18"/>
                <w:szCs w:val="18"/>
                <w:color w:val="333333"/>
              </w:rPr>
              <w:t>û ƍƋƎƋ</w:t>
            </w:r>
            <w:r>
              <w:rPr>
                <w:rFonts w:ascii="Arial" w:cs="Arial" w:eastAsia="Arial" w:hAnsi="Arial"/>
                <w:sz w:val="20"/>
                <w:szCs w:val="20"/>
                <w:color w:val="333333"/>
                <w:vertAlign w:val="superscript"/>
              </w:rPr>
              <w:t>Ə</w:t>
            </w:r>
          </w:p>
        </w:tc>
        <w:tc>
          <w:tcPr>
            <w:tcW w:w="3660" w:type="dxa"/>
            <w:vAlign w:val="bottom"/>
          </w:tcPr>
          <w:p>
            <w:pPr>
              <w:ind w:left="360"/>
              <w:spacing w:after="0" w:line="216" w:lineRule="exact"/>
              <w:rPr>
                <w:sz w:val="20"/>
                <w:szCs w:val="20"/>
                <w:color w:val="auto"/>
              </w:rPr>
            </w:pPr>
            <w:r>
              <w:rPr>
                <w:rFonts w:ascii="Arial" w:cs="Arial" w:eastAsia="Arial" w:hAnsi="Arial"/>
                <w:sz w:val="18"/>
                <w:szCs w:val="18"/>
                <w:color w:val="333333"/>
                <w:w w:val="93"/>
              </w:rPr>
              <w:t>£</w:t>
            </w:r>
            <w:r>
              <w:rPr>
                <w:rFonts w:ascii="PMingLiU" w:cs="PMingLiU" w:eastAsia="PMingLiU" w:hAnsi="PMingLiU"/>
                <w:sz w:val="18"/>
                <w:szCs w:val="18"/>
                <w:color w:val="333333"/>
                <w:w w:val="93"/>
              </w:rPr>
              <w:t></w:t>
            </w:r>
            <w:r>
              <w:rPr>
                <w:rFonts w:ascii="Arial" w:cs="Arial" w:eastAsia="Arial" w:hAnsi="Arial"/>
                <w:sz w:val="18"/>
                <w:szCs w:val="18"/>
                <w:color w:val="333333"/>
                <w:w w:val="93"/>
              </w:rPr>
              <w:t>Ä</w:t>
            </w:r>
            <w:r>
              <w:rPr>
                <w:rFonts w:ascii="PMingLiU" w:cs="PMingLiU" w:eastAsia="PMingLiU" w:hAnsi="PMingLiU"/>
                <w:sz w:val="18"/>
                <w:szCs w:val="18"/>
                <w:color w:val="333333"/>
                <w:w w:val="93"/>
              </w:rPr>
              <w:t></w:t>
            </w:r>
            <w:r>
              <w:rPr>
                <w:rFonts w:ascii="Arial" w:cs="Arial" w:eastAsia="Arial" w:hAnsi="Arial"/>
                <w:sz w:val="18"/>
                <w:szCs w:val="18"/>
                <w:color w:val="333333"/>
                <w:w w:val="93"/>
              </w:rPr>
              <w:t>Ù</w:t>
            </w:r>
            <w:r>
              <w:rPr>
                <w:rFonts w:ascii="PMingLiU" w:cs="PMingLiU" w:eastAsia="PMingLiU" w:hAnsi="PMingLiU"/>
                <w:sz w:val="18"/>
                <w:szCs w:val="18"/>
                <w:color w:val="333333"/>
                <w:w w:val="93"/>
              </w:rPr>
              <w:t></w:t>
            </w:r>
            <w:r>
              <w:rPr>
                <w:rFonts w:ascii="Arial" w:cs="Arial" w:eastAsia="Arial" w:hAnsi="Arial"/>
                <w:sz w:val="18"/>
                <w:szCs w:val="18"/>
                <w:color w:val="333333"/>
                <w:w w:val="93"/>
              </w:rPr>
              <w:t>ä«Ä£ ƏƋȐ Ë¢ TÙË</w:t>
            </w:r>
            <w:r>
              <w:rPr>
                <w:rFonts w:ascii="PMingLiU" w:cs="PMingLiU" w:eastAsia="PMingLiU" w:hAnsi="PMingLiU"/>
                <w:sz w:val="18"/>
                <w:szCs w:val="18"/>
                <w:color w:val="333333"/>
                <w:w w:val="93"/>
              </w:rPr>
              <w:t></w:t>
            </w:r>
            <w:r>
              <w:rPr>
                <w:rFonts w:ascii="Arial" w:cs="Arial" w:eastAsia="Arial" w:hAnsi="Arial"/>
                <w:sz w:val="18"/>
                <w:szCs w:val="18"/>
                <w:color w:val="333333"/>
                <w:w w:val="93"/>
              </w:rPr>
              <w:t>é</w:t>
            </w:r>
            <w:r>
              <w:rPr>
                <w:rFonts w:ascii="PMingLiU" w:cs="PMingLiU" w:eastAsia="PMingLiU" w:hAnsi="PMingLiU"/>
                <w:sz w:val="18"/>
                <w:szCs w:val="18"/>
                <w:color w:val="333333"/>
                <w:w w:val="93"/>
              </w:rPr>
              <w:t></w:t>
            </w:r>
            <w:r>
              <w:rPr>
                <w:rFonts w:ascii="Arial" w:cs="Arial" w:eastAsia="Arial" w:hAnsi="Arial"/>
                <w:sz w:val="18"/>
                <w:szCs w:val="18"/>
                <w:color w:val="333333"/>
                <w:w w:val="93"/>
              </w:rPr>
              <w:t>ä [Ë½éä«ËÄÝǯ</w:t>
            </w:r>
          </w:p>
        </w:tc>
        <w:tc>
          <w:tcPr>
            <w:tcW w:w="3420" w:type="dxa"/>
            <w:vAlign w:val="bottom"/>
          </w:tcPr>
          <w:p>
            <w:pPr>
              <w:ind w:left="420"/>
              <w:spacing w:after="0" w:line="216" w:lineRule="exact"/>
              <w:rPr>
                <w:sz w:val="20"/>
                <w:szCs w:val="20"/>
                <w:color w:val="auto"/>
              </w:rPr>
            </w:pPr>
            <w:r>
              <w:rPr>
                <w:rFonts w:ascii="PMingLiU" w:cs="PMingLiU" w:eastAsia="PMingLiU" w:hAnsi="PMingLiU"/>
                <w:sz w:val="18"/>
                <w:szCs w:val="18"/>
                <w:color w:val="333333"/>
              </w:rPr>
              <w:t></w:t>
            </w:r>
            <w:r>
              <w:rPr>
                <w:rFonts w:ascii="Arial" w:cs="Arial" w:eastAsia="Arial" w:hAnsi="Arial"/>
                <w:sz w:val="18"/>
                <w:szCs w:val="18"/>
                <w:color w:val="333333"/>
              </w:rPr>
              <w:t xml:space="preserve">Ã«ÝÝ«ËÄÝ </w:t>
            </w:r>
            <w:r>
              <w:rPr>
                <w:rFonts w:ascii="PMingLiU" w:cs="PMingLiU" w:eastAsia="PMingLiU" w:hAnsi="PMingLiU"/>
                <w:sz w:val="18"/>
                <w:szCs w:val="18"/>
                <w:color w:val="333333"/>
              </w:rPr>
              <w:t></w:t>
            </w:r>
            <w:r>
              <w:rPr>
                <w:rFonts w:ascii="Arial" w:cs="Arial" w:eastAsia="Arial" w:hAnsi="Arial"/>
                <w:sz w:val="18"/>
                <w:szCs w:val="18"/>
                <w:color w:val="333333"/>
              </w:rPr>
              <w:t>û ƍƋƎƋ</w:t>
            </w:r>
            <w:r>
              <w:rPr>
                <w:rFonts w:ascii="Arial" w:cs="Arial" w:eastAsia="Arial" w:hAnsi="Arial"/>
                <w:sz w:val="20"/>
                <w:szCs w:val="20"/>
                <w:color w:val="333333"/>
                <w:vertAlign w:val="superscript"/>
              </w:rPr>
              <w:t>Ƒ</w:t>
            </w:r>
          </w:p>
        </w:tc>
      </w:tr>
      <w:tr>
        <w:trPr>
          <w:trHeight w:val="219"/>
        </w:trPr>
        <w:tc>
          <w:tcPr>
            <w:tcW w:w="3360" w:type="dxa"/>
            <w:vAlign w:val="bottom"/>
          </w:tcPr>
          <w:p>
            <w:pPr>
              <w:spacing w:after="0"/>
              <w:rPr>
                <w:sz w:val="19"/>
                <w:szCs w:val="19"/>
                <w:color w:val="auto"/>
              </w:rPr>
            </w:pPr>
          </w:p>
        </w:tc>
        <w:tc>
          <w:tcPr>
            <w:tcW w:w="3660" w:type="dxa"/>
            <w:vAlign w:val="bottom"/>
          </w:tcPr>
          <w:p>
            <w:pPr>
              <w:ind w:left="360"/>
              <w:spacing w:after="0" w:line="219" w:lineRule="exact"/>
              <w:rPr>
                <w:sz w:val="20"/>
                <w:szCs w:val="20"/>
                <w:color w:val="auto"/>
              </w:rPr>
            </w:pPr>
            <w:r>
              <w:rPr>
                <w:rFonts w:ascii="PMingLiU" w:cs="PMingLiU" w:eastAsia="PMingLiU" w:hAnsi="PMingLiU"/>
                <w:sz w:val="18"/>
                <w:szCs w:val="18"/>
                <w:color w:val="333333"/>
              </w:rPr>
              <w:t></w:t>
            </w:r>
            <w:r>
              <w:rPr>
                <w:rFonts w:ascii="Arial" w:cs="Arial" w:eastAsia="Arial" w:hAnsi="Arial"/>
                <w:sz w:val="18"/>
                <w:szCs w:val="18"/>
                <w:color w:val="333333"/>
              </w:rPr>
              <w:t>ÙÄ«Ä£Ý</w:t>
            </w:r>
          </w:p>
        </w:tc>
        <w:tc>
          <w:tcPr>
            <w:tcW w:w="3420" w:type="dxa"/>
            <w:vAlign w:val="bottom"/>
          </w:tcPr>
          <w:p>
            <w:pPr>
              <w:spacing w:after="0"/>
              <w:rPr>
                <w:sz w:val="19"/>
                <w:szCs w:val="19"/>
                <w:color w:val="auto"/>
              </w:rPr>
            </w:pPr>
          </w:p>
        </w:tc>
      </w:tr>
      <w:tr>
        <w:trPr>
          <w:trHeight w:val="229"/>
        </w:trPr>
        <w:tc>
          <w:tcPr>
            <w:tcW w:w="3360" w:type="dxa"/>
            <w:vAlign w:val="bottom"/>
            <w:tcBorders>
              <w:bottom w:val="single" w:sz="8" w:color="003F9A"/>
            </w:tcBorders>
          </w:tcPr>
          <w:p>
            <w:pPr>
              <w:spacing w:after="0"/>
              <w:rPr>
                <w:sz w:val="19"/>
                <w:szCs w:val="19"/>
                <w:color w:val="auto"/>
              </w:rPr>
            </w:pPr>
          </w:p>
        </w:tc>
        <w:tc>
          <w:tcPr>
            <w:tcW w:w="3660" w:type="dxa"/>
            <w:vAlign w:val="bottom"/>
            <w:tcBorders>
              <w:bottom w:val="single" w:sz="8" w:color="003F9A"/>
            </w:tcBorders>
          </w:tcPr>
          <w:p>
            <w:pPr>
              <w:spacing w:after="0"/>
              <w:rPr>
                <w:sz w:val="19"/>
                <w:szCs w:val="19"/>
                <w:color w:val="auto"/>
              </w:rPr>
            </w:pPr>
          </w:p>
        </w:tc>
        <w:tc>
          <w:tcPr>
            <w:tcW w:w="3420" w:type="dxa"/>
            <w:vAlign w:val="bottom"/>
            <w:tcBorders>
              <w:bottom w:val="single" w:sz="8" w:color="003F9A"/>
            </w:tcBorders>
          </w:tcPr>
          <w:p>
            <w:pPr>
              <w:spacing w:after="0"/>
              <w:rPr>
                <w:sz w:val="19"/>
                <w:szCs w:val="19"/>
                <w:color w:val="auto"/>
              </w:rPr>
            </w:pPr>
          </w:p>
        </w:tc>
      </w:tr>
    </w:tbl>
    <w:p>
      <w:pPr>
        <w:spacing w:after="0" w:line="234" w:lineRule="exact"/>
        <w:rPr>
          <w:sz w:val="20"/>
          <w:szCs w:val="20"/>
          <w:color w:val="auto"/>
        </w:rPr>
      </w:pPr>
    </w:p>
    <w:p>
      <w:pPr>
        <w:ind w:left="62" w:hanging="62"/>
        <w:spacing w:after="0" w:line="184" w:lineRule="exact"/>
        <w:tabs>
          <w:tab w:leader="none" w:pos="62" w:val="left"/>
        </w:tabs>
        <w:numPr>
          <w:ilvl w:val="0"/>
          <w:numId w:val="66"/>
        </w:numPr>
        <w:rPr>
          <w:rFonts w:ascii="Arial" w:cs="Arial" w:eastAsia="Arial" w:hAnsi="Arial"/>
          <w:sz w:val="16"/>
          <w:szCs w:val="16"/>
          <w:color w:val="191919"/>
          <w:vertAlign w:val="superscript"/>
        </w:rPr>
      </w:pPr>
      <w:r>
        <w:rPr>
          <w:rFonts w:ascii="PMingLiU" w:cs="PMingLiU" w:eastAsia="PMingLiU" w:hAnsi="PMingLiU"/>
          <w:sz w:val="14"/>
          <w:szCs w:val="14"/>
          <w:color w:val="191919"/>
        </w:rPr>
        <w:t/>
      </w:r>
      <w:r>
        <w:rPr>
          <w:rFonts w:ascii="Arial" w:cs="Arial" w:eastAsia="Arial" w:hAnsi="Arial"/>
          <w:sz w:val="14"/>
          <w:szCs w:val="14"/>
          <w:color w:val="191919"/>
        </w:rPr>
        <w:t>ËÙÖËÙ</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 T½</w:t>
      </w:r>
      <w:r>
        <w:rPr>
          <w:rFonts w:ascii="PMingLiU" w:cs="PMingLiU" w:eastAsia="PMingLiU" w:hAnsi="PMingLiU"/>
          <w:sz w:val="14"/>
          <w:szCs w:val="14"/>
          <w:color w:val="191919"/>
        </w:rPr>
        <w:t></w:t>
      </w:r>
      <w:r>
        <w:rPr>
          <w:rFonts w:ascii="Arial" w:cs="Arial" w:eastAsia="Arial" w:hAnsi="Arial"/>
          <w:sz w:val="14"/>
          <w:szCs w:val="14"/>
          <w:color w:val="191919"/>
        </w:rPr>
        <w:t xml:space="preserve">Ä </w:t>
      </w:r>
      <w:r>
        <w:rPr>
          <w:rFonts w:ascii="PMingLiU" w:cs="PMingLiU" w:eastAsia="PMingLiU" w:hAnsi="PMingLiU"/>
          <w:sz w:val="14"/>
          <w:szCs w:val="14"/>
          <w:color w:val="191919"/>
        </w:rPr>
        <w:t></w:t>
      </w:r>
      <w:r>
        <w:rPr>
          <w:rFonts w:ascii="Arial" w:cs="Arial" w:eastAsia="Arial" w:hAnsi="Arial"/>
          <w:sz w:val="14"/>
          <w:szCs w:val="14"/>
          <w:color w:val="191919"/>
        </w:rPr>
        <w:t xml:space="preserve">Ý </w:t>
      </w:r>
      <w:r>
        <w:rPr>
          <w:rFonts w:ascii="PMingLiU" w:cs="PMingLiU" w:eastAsia="PMingLiU" w:hAnsi="PMingLiU"/>
          <w:sz w:val="14"/>
          <w:szCs w:val="14"/>
          <w:color w:val="191919"/>
        </w:rPr>
        <w:t></w:t>
      </w:r>
      <w:r>
        <w:rPr>
          <w:rFonts w:ascii="Arial" w:cs="Arial" w:eastAsia="Arial" w:hAnsi="Arial"/>
          <w:sz w:val="14"/>
          <w:szCs w:val="14"/>
          <w:color w:val="191919"/>
        </w:rPr>
        <w:t>«Ý</w:t>
      </w:r>
      <w:r>
        <w:rPr>
          <w:rFonts w:ascii="PMingLiU" w:cs="PMingLiU" w:eastAsia="PMingLiU" w:hAnsi="PMingLiU"/>
          <w:sz w:val="14"/>
          <w:szCs w:val="14"/>
          <w:color w:val="191919"/>
        </w:rPr>
        <w:t></w:t>
      </w:r>
      <w:r>
        <w:rPr>
          <w:rFonts w:ascii="Arial" w:cs="Arial" w:eastAsia="Arial" w:hAnsi="Arial"/>
          <w:sz w:val="14"/>
          <w:szCs w:val="14"/>
          <w:color w:val="191919"/>
        </w:rPr>
        <w:t>½ËÝ</w:t>
      </w:r>
      <w:r>
        <w:rPr>
          <w:rFonts w:ascii="PMingLiU" w:cs="PMingLiU" w:eastAsia="PMingLiU" w:hAnsi="PMingLiU"/>
          <w:sz w:val="14"/>
          <w:szCs w:val="14"/>
          <w:color w:val="191919"/>
        </w:rPr>
        <w:t></w:t>
      </w:r>
      <w:r>
        <w:rPr>
          <w:rFonts w:ascii="Arial" w:cs="Arial" w:eastAsia="Arial" w:hAnsi="Arial"/>
          <w:sz w:val="14"/>
          <w:szCs w:val="14"/>
          <w:color w:val="191919"/>
        </w:rPr>
        <w:t xml:space="preserve"> ËÄ </w:t>
      </w:r>
      <w:r>
        <w:rPr>
          <w:rFonts w:ascii="PMingLiU" w:cs="PMingLiU" w:eastAsia="PMingLiU" w:hAnsi="PMingLiU"/>
          <w:sz w:val="14"/>
          <w:szCs w:val="14"/>
          <w:color w:val="191919"/>
        </w:rPr>
        <w:t></w:t>
      </w:r>
      <w:r>
        <w:rPr>
          <w:rFonts w:ascii="Arial" w:cs="Arial" w:eastAsia="Arial" w:hAnsi="Arial"/>
          <w:sz w:val="14"/>
          <w:szCs w:val="14"/>
          <w:color w:val="191919"/>
        </w:rPr>
        <w:t>Ã</w:t>
      </w:r>
      <w:r>
        <w:rPr>
          <w:rFonts w:ascii="PMingLiU" w:cs="PMingLiU" w:eastAsia="PMingLiU" w:hAnsi="PMingLiU"/>
          <w:sz w:val="14"/>
          <w:szCs w:val="14"/>
          <w:color w:val="191919"/>
        </w:rPr>
        <w:t></w:t>
      </w:r>
      <w:r>
        <w:rPr>
          <w:rFonts w:ascii="Arial" w:cs="Arial" w:eastAsia="Arial" w:hAnsi="Arial"/>
          <w:sz w:val="14"/>
          <w:szCs w:val="14"/>
          <w:color w:val="191919"/>
        </w:rPr>
        <w:t>Ù ƑǏ ƍƋƍƎǔ</w:t>
      </w:r>
    </w:p>
    <w:p>
      <w:pPr>
        <w:spacing w:after="0" w:line="71" w:lineRule="exact"/>
        <w:rPr>
          <w:sz w:val="20"/>
          <w:szCs w:val="20"/>
          <w:color w:val="auto"/>
        </w:rPr>
      </w:pPr>
    </w:p>
    <w:p>
      <w:pPr>
        <w:ind w:left="2" w:right="320" w:firstLine="1"/>
        <w:spacing w:after="0" w:line="168" w:lineRule="exact"/>
        <w:rPr>
          <w:sz w:val="20"/>
          <w:szCs w:val="20"/>
          <w:color w:val="auto"/>
        </w:rPr>
      </w:pPr>
      <w:r>
        <w:rPr>
          <w:rFonts w:ascii="Arial" w:cs="Arial" w:eastAsia="Arial" w:hAnsi="Arial"/>
          <w:sz w:val="16"/>
          <w:szCs w:val="16"/>
          <w:color w:val="191919"/>
          <w:vertAlign w:val="superscript"/>
        </w:rPr>
        <w:t>ƍ</w:t>
      </w:r>
      <w:r>
        <w:rPr>
          <w:rFonts w:ascii="PMingLiU" w:cs="PMingLiU" w:eastAsia="PMingLiU" w:hAnsi="PMingLiU"/>
          <w:sz w:val="14"/>
          <w:szCs w:val="14"/>
          <w:color w:val="191919"/>
        </w:rPr>
        <w:t></w:t>
      </w:r>
      <w:r>
        <w:rPr>
          <w:rFonts w:ascii="Arial" w:cs="Arial" w:eastAsia="Arial" w:hAnsi="Arial"/>
          <w:sz w:val="14"/>
          <w:szCs w:val="14"/>
          <w:color w:val="191919"/>
        </w:rPr>
        <w:t xml:space="preserve">ÙÄ«Ä£Ý </w:t>
      </w:r>
      <w:r>
        <w:rPr>
          <w:rFonts w:ascii="PMingLiU" w:cs="PMingLiU" w:eastAsia="PMingLiU" w:hAnsi="PMingLiU"/>
          <w:sz w:val="14"/>
          <w:szCs w:val="14"/>
          <w:color w:val="191919"/>
        </w:rPr>
        <w:t></w:t>
      </w:r>
      <w:r>
        <w:rPr>
          <w:rFonts w:ascii="Arial" w:cs="Arial" w:eastAsia="Arial" w:hAnsi="Arial"/>
          <w:sz w:val="14"/>
          <w:szCs w:val="14"/>
          <w:color w:val="191919"/>
        </w:rPr>
        <w:t>ú</w:t>
      </w:r>
      <w:r>
        <w:rPr>
          <w:rFonts w:ascii="PMingLiU" w:cs="PMingLiU" w:eastAsia="PMingLiU" w:hAnsi="PMingLiU"/>
          <w:sz w:val="14"/>
          <w:szCs w:val="14"/>
          <w:color w:val="191919"/>
        </w:rPr>
        <w:t></w:t>
      </w:r>
      <w:r>
        <w:rPr>
          <w:rFonts w:ascii="Arial" w:cs="Arial" w:eastAsia="Arial" w:hAnsi="Arial"/>
          <w:sz w:val="14"/>
          <w:szCs w:val="14"/>
          <w:color w:val="191919"/>
        </w:rPr>
        <w:t>½é</w:t>
      </w:r>
      <w:r>
        <w:rPr>
          <w:rFonts w:ascii="PMingLiU" w:cs="PMingLiU" w:eastAsia="PMingLiU" w:hAnsi="PMingLiU"/>
          <w:sz w:val="14"/>
          <w:szCs w:val="14"/>
          <w:color w:val="191919"/>
        </w:rPr>
        <w:t></w:t>
      </w:r>
      <w:r>
        <w:rPr>
          <w:rFonts w:ascii="Arial" w:cs="Arial" w:eastAsia="Arial" w:hAnsi="Arial"/>
          <w:sz w:val="14"/>
          <w:szCs w:val="14"/>
          <w:color w:val="191919"/>
        </w:rPr>
        <w:t xml:space="preserve"> «</w:t>
      </w:r>
      <w:r>
        <w:rPr>
          <w:rFonts w:ascii="PMingLiU" w:cs="PMingLiU" w:eastAsia="PMingLiU" w:hAnsi="PMingLiU"/>
          <w:sz w:val="14"/>
          <w:szCs w:val="14"/>
          <w:color w:val="191919"/>
        </w:rPr>
        <w:t></w:t>
      </w:r>
      <w:r>
        <w:rPr>
          <w:rFonts w:ascii="Arial" w:cs="Arial" w:eastAsia="Arial" w:hAnsi="Arial"/>
          <w:sz w:val="14"/>
          <w:szCs w:val="14"/>
          <w:color w:val="191919"/>
        </w:rPr>
        <w:t>Ää«¢«</w:t>
      </w:r>
      <w:r>
        <w:rPr>
          <w:rFonts w:ascii="PMingLiU" w:cs="PMingLiU" w:eastAsia="PMingLiU" w:hAnsi="PMingLiU"/>
          <w:sz w:val="14"/>
          <w:szCs w:val="14"/>
          <w:color w:val="191919"/>
        </w:rPr>
        <w:t></w:t>
      </w:r>
      <w:r>
        <w:rPr>
          <w:rFonts w:ascii="Arial" w:cs="Arial" w:eastAsia="Arial" w:hAnsi="Arial"/>
          <w:sz w:val="14"/>
          <w:szCs w:val="14"/>
          <w:color w:val="191919"/>
        </w:rPr>
        <w:t xml:space="preserve"> «ä</w:t>
      </w:r>
      <w:r>
        <w:rPr>
          <w:rFonts w:ascii="PMingLiU" w:cs="PMingLiU" w:eastAsia="PMingLiU" w:hAnsi="PMingLiU"/>
          <w:sz w:val="14"/>
          <w:szCs w:val="14"/>
          <w:color w:val="191919"/>
        </w:rPr>
        <w:t></w:t>
      </w:r>
      <w:r>
        <w:rPr>
          <w:rFonts w:ascii="Arial" w:cs="Arial" w:eastAsia="Arial" w:hAnsi="Arial"/>
          <w:sz w:val="14"/>
          <w:szCs w:val="14"/>
          <w:color w:val="191919"/>
        </w:rPr>
        <w:t xml:space="preserve">ÃÝ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 </w:t>
      </w:r>
      <w:r>
        <w:rPr>
          <w:rFonts w:ascii="Arial" w:cs="Arial" w:eastAsia="Arial" w:hAnsi="Arial"/>
          <w:sz w:val="14"/>
          <w:szCs w:val="14"/>
          <w:color w:val="191919"/>
        </w:rPr>
        <w:t>Ù</w:t>
      </w:r>
      <w:r>
        <w:rPr>
          <w:rFonts w:ascii="PMingLiU" w:cs="PMingLiU" w:eastAsia="PMingLiU" w:hAnsi="PMingLiU"/>
          <w:sz w:val="14"/>
          <w:szCs w:val="14"/>
          <w:color w:val="191919"/>
        </w:rPr>
        <w:t> </w:t>
      </w:r>
      <w:r>
        <w:rPr>
          <w:rFonts w:ascii="Arial" w:cs="Arial" w:eastAsia="Arial" w:hAnsi="Arial"/>
          <w:sz w:val="14"/>
          <w:szCs w:val="14"/>
          <w:color w:val="191919"/>
        </w:rPr>
        <w:t>·éÝä</w:t>
      </w:r>
      <w:r>
        <w:rPr>
          <w:rFonts w:ascii="PMingLiU" w:cs="PMingLiU" w:eastAsia="PMingLiU" w:hAnsi="PMingLiU"/>
          <w:sz w:val="14"/>
          <w:szCs w:val="14"/>
          <w:color w:val="191919"/>
        </w:rPr>
        <w:t></w:t>
      </w:r>
      <w:r>
        <w:rPr>
          <w:rFonts w:ascii="Arial" w:cs="Arial" w:eastAsia="Arial" w:hAnsi="Arial"/>
          <w:sz w:val="14"/>
          <w:szCs w:val="14"/>
          <w:color w:val="191919"/>
        </w:rPr>
        <w:t xml:space="preserve"> äË ƍƋƍƍ ǵƑƋǛ</w:t>
      </w:r>
      <w:r>
        <w:rPr>
          <w:rFonts w:ascii="PMingLiU" w:cs="PMingLiU" w:eastAsia="PMingLiU" w:hAnsi="PMingLiU"/>
          <w:sz w:val="14"/>
          <w:szCs w:val="14"/>
          <w:color w:val="191919"/>
        </w:rPr>
        <w:t></w:t>
      </w:r>
      <w:r>
        <w:rPr>
          <w:rFonts w:ascii="Arial" w:cs="Arial" w:eastAsia="Arial" w:hAnsi="Arial"/>
          <w:sz w:val="14"/>
          <w:szCs w:val="14"/>
          <w:color w:val="191919"/>
        </w:rPr>
        <w:t>½ Ù</w:t>
      </w:r>
      <w:r>
        <w:rPr>
          <w:rFonts w:ascii="PMingLiU" w:cs="PMingLiU" w:eastAsia="PMingLiU" w:hAnsi="PMingLiU"/>
          <w:sz w:val="14"/>
          <w:szCs w:val="14"/>
          <w:color w:val="191919"/>
        </w:rPr>
        <w:t></w:t>
      </w:r>
      <w:r>
        <w:rPr>
          <w:rFonts w:ascii="Arial" w:cs="Arial" w:eastAsia="Arial" w:hAnsi="Arial"/>
          <w:sz w:val="14"/>
          <w:szCs w:val="14"/>
          <w:color w:val="191919"/>
        </w:rPr>
        <w:t xml:space="preserve">½ </w:t>
      </w:r>
      <w:r>
        <w:rPr>
          <w:rFonts w:ascii="PMingLiU" w:cs="PMingLiU" w:eastAsia="PMingLiU" w:hAnsi="PMingLiU"/>
          <w:sz w:val="14"/>
          <w:szCs w:val="14"/>
          <w:color w:val="191919"/>
        </w:rPr>
        <w:t/>
      </w:r>
      <w:r>
        <w:rPr>
          <w:rFonts w:ascii="Arial" w:cs="Arial" w:eastAsia="Arial" w:hAnsi="Arial"/>
          <w:sz w:val="14"/>
          <w:szCs w:val="14"/>
          <w:color w:val="191919"/>
        </w:rPr>
        <w:t>Ù</w:t>
      </w:r>
      <w:r>
        <w:rPr>
          <w:rFonts w:ascii="PMingLiU" w:cs="PMingLiU" w:eastAsia="PMingLiU" w:hAnsi="PMingLiU"/>
          <w:sz w:val="14"/>
          <w:szCs w:val="14"/>
          <w:color w:val="191919"/>
        </w:rPr>
        <w:t></w:t>
      </w:r>
      <w:r>
        <w:rPr>
          <w:rFonts w:ascii="Arial" w:cs="Arial" w:eastAsia="Arial" w:hAnsi="Arial"/>
          <w:sz w:val="14"/>
          <w:szCs w:val="14"/>
          <w:color w:val="191919"/>
        </w:rPr>
        <w:t xml:space="preserve">Ää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 ƌƋǥû</w:t>
      </w:r>
      <w:r>
        <w:rPr>
          <w:rFonts w:ascii="PMingLiU" w:cs="PMingLiU" w:eastAsia="PMingLiU" w:hAnsi="PMingLiU"/>
          <w:sz w:val="14"/>
          <w:szCs w:val="14"/>
          <w:color w:val="191919"/>
        </w:rPr>
        <w:t></w:t>
      </w:r>
      <w:r>
        <w:rPr>
          <w:rFonts w:ascii="Arial" w:cs="Arial" w:eastAsia="Arial" w:hAnsi="Arial"/>
          <w:sz w:val="14"/>
          <w:szCs w:val="14"/>
          <w:color w:val="191919"/>
        </w:rPr>
        <w:t xml:space="preserve">Ù </w:t>
      </w:r>
      <w:r>
        <w:rPr>
          <w:rFonts w:ascii="PMingLiU" w:cs="PMingLiU" w:eastAsia="PMingLiU" w:hAnsi="PMingLiU"/>
          <w:sz w:val="14"/>
          <w:szCs w:val="14"/>
          <w:color w:val="191919"/>
        </w:rPr>
        <w:t></w:t>
      </w:r>
      <w:r>
        <w:rPr>
          <w:rFonts w:ascii="Arial" w:cs="Arial" w:eastAsia="Arial" w:hAnsi="Arial"/>
          <w:sz w:val="14"/>
          <w:szCs w:val="14"/>
          <w:color w:val="191919"/>
        </w:rPr>
        <w:t>ô</w:t>
      </w:r>
      <w:r>
        <w:rPr>
          <w:rFonts w:ascii="PMingLiU" w:cs="PMingLiU" w:eastAsia="PMingLiU" w:hAnsi="PMingLiU"/>
          <w:sz w:val="14"/>
          <w:szCs w:val="14"/>
          <w:color w:val="191919"/>
        </w:rPr>
        <w:t></w:t>
      </w:r>
      <w:r>
        <w:rPr>
          <w:rFonts w:ascii="Arial" w:cs="Arial" w:eastAsia="Arial" w:hAnsi="Arial"/>
          <w:sz w:val="14"/>
          <w:szCs w:val="14"/>
          <w:color w:val="191919"/>
        </w:rPr>
        <w:t>Ù</w:t>
      </w:r>
      <w:r>
        <w:rPr>
          <w:rFonts w:ascii="PMingLiU" w:cs="PMingLiU" w:eastAsia="PMingLiU" w:hAnsi="PMingLiU"/>
          <w:sz w:val="14"/>
          <w:szCs w:val="14"/>
          <w:color w:val="191919"/>
        </w:rPr>
        <w:t></w:t>
      </w:r>
      <w:r>
        <w:rPr>
          <w:rFonts w:ascii="Arial" w:cs="Arial" w:eastAsia="Arial" w:hAnsi="Arial"/>
          <w:sz w:val="14"/>
          <w:szCs w:val="14"/>
          <w:color w:val="191919"/>
        </w:rPr>
        <w:t>£</w:t>
      </w:r>
      <w:r>
        <w:rPr>
          <w:rFonts w:ascii="PMingLiU" w:cs="PMingLiU" w:eastAsia="PMingLiU" w:hAnsi="PMingLiU"/>
          <w:sz w:val="14"/>
          <w:szCs w:val="14"/>
          <w:color w:val="191919"/>
        </w:rPr>
        <w:t> </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Ù£ûǏ </w:t>
      </w:r>
      <w:r>
        <w:rPr>
          <w:rFonts w:ascii="PMingLiU" w:cs="PMingLiU" w:eastAsia="PMingLiU" w:hAnsi="PMingLiU"/>
          <w:sz w:val="14"/>
          <w:szCs w:val="14"/>
          <w:color w:val="191919"/>
        </w:rPr>
        <w:t/>
      </w:r>
      <w:r>
        <w:rPr>
          <w:rFonts w:ascii="Arial" w:cs="Arial" w:eastAsia="Arial" w:hAnsi="Arial"/>
          <w:sz w:val="14"/>
          <w:szCs w:val="14"/>
          <w:color w:val="191919"/>
        </w:rPr>
        <w:t>¨</w:t>
      </w:r>
      <w:r>
        <w:rPr>
          <w:rFonts w:ascii="PMingLiU" w:cs="PMingLiU" w:eastAsia="PMingLiU" w:hAnsi="PMingLiU"/>
          <w:sz w:val="14"/>
          <w:szCs w:val="14"/>
          <w:color w:val="191919"/>
        </w:rPr>
        <w:t></w:t>
      </w:r>
      <w:r>
        <w:rPr>
          <w:rFonts w:ascii="Arial" w:cs="Arial" w:eastAsia="Arial" w:hAnsi="Arial"/>
          <w:sz w:val="14"/>
          <w:szCs w:val="14"/>
          <w:color w:val="191919"/>
        </w:rPr>
        <w:t>Ã«</w:t>
      </w:r>
      <w:r>
        <w:rPr>
          <w:rFonts w:ascii="PMingLiU" w:cs="PMingLiU" w:eastAsia="PMingLiU" w:hAnsi="PMingLiU"/>
          <w:sz w:val="14"/>
          <w:szCs w:val="14"/>
          <w:color w:val="191919"/>
        </w:rPr>
        <w:t></w:t>
      </w:r>
      <w:r>
        <w:rPr>
          <w:rFonts w:ascii="Arial" w:cs="Arial" w:eastAsia="Arial" w:hAnsi="Arial"/>
          <w:sz w:val="14"/>
          <w:szCs w:val="14"/>
          <w:color w:val="191919"/>
        </w:rPr>
        <w:t xml:space="preserve">½Ǐ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 [Ö</w:t>
      </w:r>
      <w:r>
        <w:rPr>
          <w:rFonts w:ascii="PMingLiU" w:cs="PMingLiU" w:eastAsia="PMingLiU" w:hAnsi="PMingLiU"/>
          <w:sz w:val="14"/>
          <w:szCs w:val="14"/>
          <w:color w:val="191919"/>
        </w:rPr>
        <w:t></w:t>
      </w:r>
      <w:r>
        <w:rPr>
          <w:rFonts w:ascii="Arial" w:cs="Arial" w:eastAsia="Arial" w:hAnsi="Arial"/>
          <w:sz w:val="14"/>
          <w:szCs w:val="14"/>
          <w:color w:val="191919"/>
        </w:rPr>
        <w:t>«</w:t>
      </w:r>
      <w:r>
        <w:rPr>
          <w:rFonts w:ascii="PMingLiU" w:cs="PMingLiU" w:eastAsia="PMingLiU" w:hAnsi="PMingLiU"/>
          <w:sz w:val="14"/>
          <w:szCs w:val="14"/>
          <w:color w:val="191919"/>
        </w:rPr>
        <w:t></w:t>
      </w:r>
      <w:r>
        <w:rPr>
          <w:rFonts w:ascii="Arial" w:cs="Arial" w:eastAsia="Arial" w:hAnsi="Arial"/>
          <w:sz w:val="14"/>
          <w:szCs w:val="14"/>
          <w:color w:val="191919"/>
        </w:rPr>
        <w:t>½äû TÙË</w:t>
      </w:r>
      <w:r>
        <w:rPr>
          <w:rFonts w:ascii="PMingLiU" w:cs="PMingLiU" w:eastAsia="PMingLiU" w:hAnsi="PMingLiU"/>
          <w:sz w:val="14"/>
          <w:szCs w:val="14"/>
          <w:color w:val="191919"/>
        </w:rPr>
        <w:t></w:t>
      </w:r>
      <w:r>
        <w:rPr>
          <w:rFonts w:ascii="Arial" w:cs="Arial" w:eastAsia="Arial" w:hAnsi="Arial"/>
          <w:sz w:val="14"/>
          <w:szCs w:val="14"/>
          <w:color w:val="191919"/>
        </w:rPr>
        <w:t>é</w:t>
      </w:r>
      <w:r>
        <w:rPr>
          <w:rFonts w:ascii="PMingLiU" w:cs="PMingLiU" w:eastAsia="PMingLiU" w:hAnsi="PMingLiU"/>
          <w:sz w:val="14"/>
          <w:szCs w:val="14"/>
          <w:color w:val="191919"/>
        </w:rPr>
        <w:t></w:t>
      </w:r>
      <w:r>
        <w:rPr>
          <w:rFonts w:ascii="Arial" w:cs="Arial" w:eastAsia="Arial" w:hAnsi="Arial"/>
          <w:sz w:val="14"/>
          <w:szCs w:val="14"/>
          <w:color w:val="191919"/>
        </w:rPr>
        <w:t>ä Ã</w:t>
      </w:r>
      <w:r>
        <w:rPr>
          <w:rFonts w:ascii="PMingLiU" w:cs="PMingLiU" w:eastAsia="PMingLiU" w:hAnsi="PMingLiU"/>
          <w:sz w:val="14"/>
          <w:szCs w:val="14"/>
          <w:color w:val="191919"/>
        </w:rPr>
        <w:t></w:t>
      </w:r>
      <w:r>
        <w:rPr>
          <w:rFonts w:ascii="Arial" w:cs="Arial" w:eastAsia="Arial" w:hAnsi="Arial"/>
          <w:sz w:val="14"/>
          <w:szCs w:val="14"/>
          <w:color w:val="191919"/>
        </w:rPr>
        <w:t>Ù£«ÄÝǏ õ¨«</w:t>
      </w:r>
      <w:r>
        <w:rPr>
          <w:rFonts w:ascii="PMingLiU" w:cs="PMingLiU" w:eastAsia="PMingLiU" w:hAnsi="PMingLiU"/>
          <w:sz w:val="14"/>
          <w:szCs w:val="14"/>
          <w:color w:val="191919"/>
        </w:rPr>
        <w:t></w:t>
      </w:r>
      <w:r>
        <w:rPr>
          <w:rFonts w:ascii="Arial" w:cs="Arial" w:eastAsia="Arial" w:hAnsi="Arial"/>
          <w:sz w:val="14"/>
          <w:szCs w:val="14"/>
          <w:color w:val="191919"/>
        </w:rPr>
        <w:t>¨ Ù</w:t>
      </w:r>
      <w:r>
        <w:rPr>
          <w:rFonts w:ascii="PMingLiU" w:cs="PMingLiU" w:eastAsia="PMingLiU" w:hAnsi="PMingLiU"/>
          <w:sz w:val="14"/>
          <w:szCs w:val="14"/>
          <w:color w:val="191919"/>
        </w:rPr>
        <w:t></w:t>
      </w:r>
      <w:r>
        <w:rPr>
          <w:rFonts w:ascii="Arial" w:cs="Arial" w:eastAsia="Arial" w:hAnsi="Arial"/>
          <w:sz w:val="14"/>
          <w:szCs w:val="14"/>
          <w:color w:val="191919"/>
        </w:rPr>
        <w:t>¢</w:t>
      </w:r>
      <w:r>
        <w:rPr>
          <w:rFonts w:ascii="PMingLiU" w:cs="PMingLiU" w:eastAsia="PMingLiU" w:hAnsi="PMingLiU"/>
          <w:sz w:val="14"/>
          <w:szCs w:val="14"/>
          <w:color w:val="191919"/>
        </w:rPr>
        <w:t></w:t>
      </w:r>
      <w:r>
        <w:rPr>
          <w:rFonts w:ascii="Arial" w:cs="Arial" w:eastAsia="Arial" w:hAnsi="Arial"/>
          <w:sz w:val="14"/>
          <w:szCs w:val="14"/>
          <w:color w:val="191919"/>
        </w:rPr>
        <w:t>Ù äË ä¨</w:t>
      </w:r>
      <w:r>
        <w:rPr>
          <w:rFonts w:ascii="PMingLiU" w:cs="PMingLiU" w:eastAsia="PMingLiU" w:hAnsi="PMingLiU"/>
          <w:sz w:val="14"/>
          <w:szCs w:val="14"/>
          <w:color w:val="191919"/>
        </w:rPr>
        <w:t></w:t>
      </w:r>
      <w:r>
        <w:rPr>
          <w:rFonts w:ascii="Arial" w:cs="Arial" w:eastAsia="Arial" w:hAnsi="Arial"/>
          <w:sz w:val="14"/>
          <w:szCs w:val="14"/>
          <w:color w:val="191919"/>
        </w:rPr>
        <w:t xml:space="preserve"> </w:t>
      </w:r>
      <w:r>
        <w:rPr>
          <w:rFonts w:ascii="PMingLiU" w:cs="PMingLiU" w:eastAsia="PMingLiU" w:hAnsi="PMingLiU"/>
          <w:sz w:val="14"/>
          <w:szCs w:val="14"/>
          <w:color w:val="191919"/>
        </w:rPr>
        <w:t></w:t>
      </w:r>
      <w:r>
        <w:rPr>
          <w:rFonts w:ascii="Arial" w:cs="Arial" w:eastAsia="Arial" w:hAnsi="Arial"/>
          <w:sz w:val="14"/>
          <w:szCs w:val="14"/>
          <w:color w:val="191919"/>
        </w:rPr>
        <w:t>ô</w:t>
      </w:r>
      <w:r>
        <w:rPr>
          <w:rFonts w:ascii="PMingLiU" w:cs="PMingLiU" w:eastAsia="PMingLiU" w:hAnsi="PMingLiU"/>
          <w:sz w:val="14"/>
          <w:szCs w:val="14"/>
          <w:color w:val="191919"/>
        </w:rPr>
        <w:t></w:t>
      </w:r>
      <w:r>
        <w:rPr>
          <w:rFonts w:ascii="Arial" w:cs="Arial" w:eastAsia="Arial" w:hAnsi="Arial"/>
          <w:sz w:val="14"/>
          <w:szCs w:val="14"/>
          <w:color w:val="191919"/>
        </w:rPr>
        <w:t>Ù</w:t>
      </w:r>
      <w:r>
        <w:rPr>
          <w:rFonts w:ascii="PMingLiU" w:cs="PMingLiU" w:eastAsia="PMingLiU" w:hAnsi="PMingLiU"/>
          <w:sz w:val="14"/>
          <w:szCs w:val="14"/>
          <w:color w:val="191919"/>
        </w:rPr>
        <w:t></w:t>
      </w:r>
      <w:r>
        <w:rPr>
          <w:rFonts w:ascii="Arial" w:cs="Arial" w:eastAsia="Arial" w:hAnsi="Arial"/>
          <w:sz w:val="14"/>
          <w:szCs w:val="14"/>
          <w:color w:val="191919"/>
        </w:rPr>
        <w:t>£</w:t>
      </w:r>
      <w:r>
        <w:rPr>
          <w:rFonts w:ascii="PMingLiU" w:cs="PMingLiU" w:eastAsia="PMingLiU" w:hAnsi="PMingLiU"/>
          <w:sz w:val="14"/>
          <w:szCs w:val="14"/>
          <w:color w:val="191919"/>
        </w:rPr>
        <w:t></w:t>
      </w:r>
      <w:r>
        <w:rPr>
          <w:rFonts w:ascii="Arial" w:cs="Arial" w:eastAsia="Arial" w:hAnsi="Arial"/>
          <w:sz w:val="14"/>
          <w:szCs w:val="14"/>
          <w:color w:val="191919"/>
        </w:rPr>
        <w:t xml:space="preserve"> Ë¢ </w:t>
      </w:r>
      <w:r>
        <w:rPr>
          <w:rFonts w:ascii="PMingLiU" w:cs="PMingLiU" w:eastAsia="PMingLiU" w:hAnsi="PMingLiU"/>
          <w:sz w:val="14"/>
          <w:szCs w:val="14"/>
          <w:color w:val="191919"/>
        </w:rPr>
        <w:t></w:t>
      </w:r>
      <w:r>
        <w:rPr>
          <w:rFonts w:ascii="Arial" w:cs="Arial" w:eastAsia="Arial" w:hAnsi="Arial"/>
          <w:sz w:val="14"/>
          <w:szCs w:val="14"/>
          <w:color w:val="191919"/>
        </w:rPr>
        <w:t>ÄÄé</w:t>
      </w:r>
      <w:r>
        <w:rPr>
          <w:rFonts w:ascii="PMingLiU" w:cs="PMingLiU" w:eastAsia="PMingLiU" w:hAnsi="PMingLiU"/>
          <w:sz w:val="14"/>
          <w:szCs w:val="14"/>
          <w:color w:val="191919"/>
        </w:rPr>
        <w:t></w:t>
      </w:r>
      <w:r>
        <w:rPr>
          <w:rFonts w:ascii="Arial" w:cs="Arial" w:eastAsia="Arial" w:hAnsi="Arial"/>
          <w:sz w:val="14"/>
          <w:szCs w:val="14"/>
          <w:color w:val="191919"/>
        </w:rPr>
        <w:t>½ Ã</w:t>
      </w:r>
      <w:r>
        <w:rPr>
          <w:rFonts w:ascii="PMingLiU" w:cs="PMingLiU" w:eastAsia="PMingLiU" w:hAnsi="PMingLiU"/>
          <w:sz w:val="14"/>
          <w:szCs w:val="14"/>
          <w:color w:val="191919"/>
        </w:rPr>
        <w:t></w:t>
      </w:r>
      <w:r>
        <w:rPr>
          <w:rFonts w:ascii="Arial" w:cs="Arial" w:eastAsia="Arial" w:hAnsi="Arial"/>
          <w:sz w:val="14"/>
          <w:szCs w:val="14"/>
          <w:color w:val="191919"/>
        </w:rPr>
        <w:t xml:space="preserve">Ù£«ÄÝ ¢ÙËÃ ƍƋƌƋǥƍƋƌƔǔ </w:t>
      </w:r>
      <w:r>
        <w:rPr>
          <w:rFonts w:ascii="PMingLiU" w:cs="PMingLiU" w:eastAsia="PMingLiU" w:hAnsi="PMingLiU"/>
          <w:sz w:val="14"/>
          <w:szCs w:val="14"/>
          <w:color w:val="191919"/>
        </w:rPr>
        <w:t></w:t>
      </w:r>
      <w:r>
        <w:rPr>
          <w:rFonts w:ascii="Arial" w:cs="Arial" w:eastAsia="Arial" w:hAnsi="Arial"/>
          <w:sz w:val="14"/>
          <w:szCs w:val="14"/>
          <w:color w:val="191919"/>
        </w:rPr>
        <w:t>Ý¨ ¢½Ëõ ¢ÙËÃ ËÖ</w:t>
      </w:r>
      <w:r>
        <w:rPr>
          <w:rFonts w:ascii="PMingLiU" w:cs="PMingLiU" w:eastAsia="PMingLiU" w:hAnsi="PMingLiU"/>
          <w:sz w:val="14"/>
          <w:szCs w:val="14"/>
          <w:color w:val="191919"/>
        </w:rPr>
        <w:t></w:t>
      </w:r>
      <w:r>
        <w:rPr>
          <w:rFonts w:ascii="Arial" w:cs="Arial" w:eastAsia="Arial" w:hAnsi="Arial"/>
          <w:sz w:val="14"/>
          <w:szCs w:val="14"/>
          <w:color w:val="191919"/>
        </w:rPr>
        <w:t>Ù</w:t>
      </w:r>
      <w:r>
        <w:rPr>
          <w:rFonts w:ascii="PMingLiU" w:cs="PMingLiU" w:eastAsia="PMingLiU" w:hAnsi="PMingLiU"/>
          <w:sz w:val="14"/>
          <w:szCs w:val="14"/>
          <w:color w:val="191919"/>
        </w:rPr>
        <w:t></w:t>
      </w:r>
      <w:r>
        <w:rPr>
          <w:rFonts w:ascii="Arial" w:cs="Arial" w:eastAsia="Arial" w:hAnsi="Arial"/>
          <w:sz w:val="14"/>
          <w:szCs w:val="14"/>
          <w:color w:val="191919"/>
        </w:rPr>
        <w:t xml:space="preserve">ä«ËÄÝ </w:t>
      </w:r>
      <w:r>
        <w:rPr>
          <w:rFonts w:ascii="PMingLiU" w:cs="PMingLiU" w:eastAsia="PMingLiU" w:hAnsi="PMingLiU"/>
          <w:sz w:val="14"/>
          <w:szCs w:val="14"/>
          <w:color w:val="191919"/>
        </w:rPr>
        <w:t></w:t>
      </w:r>
      <w:r>
        <w:rPr>
          <w:rFonts w:ascii="Arial" w:cs="Arial" w:eastAsia="Arial" w:hAnsi="Arial"/>
          <w:sz w:val="14"/>
          <w:szCs w:val="14"/>
          <w:color w:val="191919"/>
        </w:rPr>
        <w:t>ú</w:t>
      </w:r>
      <w:r>
        <w:rPr>
          <w:rFonts w:ascii="PMingLiU" w:cs="PMingLiU" w:eastAsia="PMingLiU" w:hAnsi="PMingLiU"/>
          <w:sz w:val="14"/>
          <w:szCs w:val="14"/>
          <w:color w:val="191919"/>
        </w:rPr>
        <w:t></w:t>
      </w:r>
      <w:r>
        <w:rPr>
          <w:rFonts w:ascii="Arial" w:cs="Arial" w:eastAsia="Arial" w:hAnsi="Arial"/>
          <w:sz w:val="14"/>
          <w:szCs w:val="14"/>
          <w:color w:val="191919"/>
        </w:rPr>
        <w:t>½é</w:t>
      </w:r>
      <w:r>
        <w:rPr>
          <w:rFonts w:ascii="PMingLiU" w:cs="PMingLiU" w:eastAsia="PMingLiU" w:hAnsi="PMingLiU"/>
          <w:sz w:val="14"/>
          <w:szCs w:val="14"/>
          <w:color w:val="191919"/>
        </w:rPr>
        <w:t></w:t>
      </w:r>
      <w:r>
        <w:rPr>
          <w:rFonts w:ascii="Arial" w:cs="Arial" w:eastAsia="Arial" w:hAnsi="Arial"/>
          <w:sz w:val="14"/>
          <w:szCs w:val="14"/>
          <w:color w:val="191919"/>
        </w:rPr>
        <w:t>Ý «</w:t>
      </w:r>
      <w:r>
        <w:rPr>
          <w:rFonts w:ascii="PMingLiU" w:cs="PMingLiU" w:eastAsia="PMingLiU" w:hAnsi="PMingLiU"/>
          <w:sz w:val="14"/>
          <w:szCs w:val="14"/>
          <w:color w:val="191919"/>
        </w:rPr>
        <w:t></w:t>
      </w:r>
      <w:r>
        <w:rPr>
          <w:rFonts w:ascii="Arial" w:cs="Arial" w:eastAsia="Arial" w:hAnsi="Arial"/>
          <w:sz w:val="14"/>
          <w:szCs w:val="14"/>
          <w:color w:val="191919"/>
        </w:rPr>
        <w:t>Ää«¢«</w:t>
      </w:r>
      <w:r>
        <w:rPr>
          <w:rFonts w:ascii="PMingLiU" w:cs="PMingLiU" w:eastAsia="PMingLiU" w:hAnsi="PMingLiU"/>
          <w:sz w:val="14"/>
          <w:szCs w:val="14"/>
          <w:color w:val="191919"/>
        </w:rPr>
        <w:t></w:t>
      </w:r>
      <w:r>
        <w:rPr>
          <w:rFonts w:ascii="Arial" w:cs="Arial" w:eastAsia="Arial" w:hAnsi="Arial"/>
          <w:sz w:val="14"/>
          <w:szCs w:val="14"/>
          <w:color w:val="191919"/>
        </w:rPr>
        <w:t xml:space="preserve"> «ä</w:t>
      </w:r>
      <w:r>
        <w:rPr>
          <w:rFonts w:ascii="PMingLiU" w:cs="PMingLiU" w:eastAsia="PMingLiU" w:hAnsi="PMingLiU"/>
          <w:sz w:val="14"/>
          <w:szCs w:val="14"/>
          <w:color w:val="191919"/>
        </w:rPr>
        <w:t></w:t>
      </w:r>
      <w:r>
        <w:rPr>
          <w:rFonts w:ascii="Arial" w:cs="Arial" w:eastAsia="Arial" w:hAnsi="Arial"/>
          <w:sz w:val="14"/>
          <w:szCs w:val="14"/>
          <w:color w:val="191919"/>
        </w:rPr>
        <w:t xml:space="preserve">ÃÝ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 õËÙº«Ä£ </w:t>
      </w:r>
      <w:r>
        <w:rPr>
          <w:rFonts w:ascii="PMingLiU" w:cs="PMingLiU" w:eastAsia="PMingLiU" w:hAnsi="PMingLiU"/>
          <w:sz w:val="14"/>
          <w:szCs w:val="14"/>
          <w:color w:val="191919"/>
        </w:rPr>
        <w:t></w:t>
      </w:r>
      <w:r>
        <w:rPr>
          <w:rFonts w:ascii="Arial" w:cs="Arial" w:eastAsia="Arial" w:hAnsi="Arial"/>
          <w:sz w:val="14"/>
          <w:szCs w:val="14"/>
          <w:color w:val="191919"/>
        </w:rPr>
        <w:t>Ö«ä</w:t>
      </w:r>
      <w:r>
        <w:rPr>
          <w:rFonts w:ascii="PMingLiU" w:cs="PMingLiU" w:eastAsia="PMingLiU" w:hAnsi="PMingLiU"/>
          <w:sz w:val="14"/>
          <w:szCs w:val="14"/>
          <w:color w:val="191919"/>
        </w:rPr>
        <w:t></w:t>
      </w:r>
      <w:r>
        <w:rPr>
          <w:rFonts w:ascii="Arial" w:cs="Arial" w:eastAsia="Arial" w:hAnsi="Arial"/>
          <w:sz w:val="14"/>
          <w:szCs w:val="14"/>
          <w:color w:val="191919"/>
        </w:rPr>
        <w:t>½ǛËä¨</w:t>
      </w:r>
      <w:r>
        <w:rPr>
          <w:rFonts w:ascii="PMingLiU" w:cs="PMingLiU" w:eastAsia="PMingLiU" w:hAnsi="PMingLiU"/>
          <w:sz w:val="14"/>
          <w:szCs w:val="14"/>
          <w:color w:val="191919"/>
        </w:rPr>
        <w:t></w:t>
      </w:r>
      <w:r>
        <w:rPr>
          <w:rFonts w:ascii="Arial" w:cs="Arial" w:eastAsia="Arial" w:hAnsi="Arial"/>
          <w:sz w:val="14"/>
          <w:szCs w:val="14"/>
          <w:color w:val="191919"/>
        </w:rPr>
        <w:t xml:space="preserve">Ùǔ </w:t>
      </w:r>
      <w:r>
        <w:rPr>
          <w:rFonts w:ascii="PMingLiU" w:cs="PMingLiU" w:eastAsia="PMingLiU" w:hAnsi="PMingLiU"/>
          <w:sz w:val="14"/>
          <w:szCs w:val="14"/>
          <w:color w:val="191919"/>
        </w:rPr>
        <w:t/>
      </w:r>
      <w:r>
        <w:rPr>
          <w:rFonts w:ascii="Arial" w:cs="Arial" w:eastAsia="Arial" w:hAnsi="Arial"/>
          <w:sz w:val="14"/>
          <w:szCs w:val="14"/>
          <w:color w:val="191919"/>
        </w:rPr>
        <w:t>ú</w:t>
      </w:r>
      <w:r>
        <w:rPr>
          <w:rFonts w:ascii="PMingLiU" w:cs="PMingLiU" w:eastAsia="PMingLiU" w:hAnsi="PMingLiU"/>
          <w:sz w:val="14"/>
          <w:szCs w:val="14"/>
          <w:color w:val="191919"/>
        </w:rPr>
        <w:t></w:t>
      </w:r>
      <w:r>
        <w:rPr>
          <w:rFonts w:ascii="Arial" w:cs="Arial" w:eastAsia="Arial" w:hAnsi="Arial"/>
          <w:sz w:val="14"/>
          <w:szCs w:val="14"/>
          <w:color w:val="191919"/>
        </w:rPr>
        <w:t>½é</w:t>
      </w:r>
      <w:r>
        <w:rPr>
          <w:rFonts w:ascii="PMingLiU" w:cs="PMingLiU" w:eastAsia="PMingLiU" w:hAnsi="PMingLiU"/>
          <w:sz w:val="14"/>
          <w:szCs w:val="14"/>
          <w:color w:val="191919"/>
        </w:rPr>
        <w:t></w:t>
      </w:r>
      <w:r>
        <w:rPr>
          <w:rFonts w:ascii="Arial" w:cs="Arial" w:eastAsia="Arial" w:hAnsi="Arial"/>
          <w:sz w:val="14"/>
          <w:szCs w:val="14"/>
          <w:color w:val="191919"/>
        </w:rPr>
        <w:t xml:space="preserve">Ý </w:t>
      </w:r>
      <w:r>
        <w:rPr>
          <w:rFonts w:ascii="PMingLiU" w:cs="PMingLiU" w:eastAsia="PMingLiU" w:hAnsi="PMingLiU"/>
          <w:sz w:val="14"/>
          <w:szCs w:val="14"/>
          <w:color w:val="191919"/>
        </w:rPr>
        <w:t></w:t>
      </w:r>
      <w:r>
        <w:rPr>
          <w:rFonts w:ascii="Arial" w:cs="Arial" w:eastAsia="Arial" w:hAnsi="Arial"/>
          <w:sz w:val="14"/>
          <w:szCs w:val="14"/>
          <w:color w:val="191919"/>
        </w:rPr>
        <w:t>Äû «ÃÖ</w:t>
      </w:r>
      <w:r>
        <w:rPr>
          <w:rFonts w:ascii="PMingLiU" w:cs="PMingLiU" w:eastAsia="PMingLiU" w:hAnsi="PMingLiU"/>
          <w:sz w:val="14"/>
          <w:szCs w:val="14"/>
          <w:color w:val="191919"/>
        </w:rPr>
        <w:t></w:t>
      </w:r>
      <w:r>
        <w:rPr>
          <w:rFonts w:ascii="Arial" w:cs="Arial" w:eastAsia="Arial" w:hAnsi="Arial"/>
          <w:sz w:val="14"/>
          <w:szCs w:val="14"/>
          <w:color w:val="191919"/>
        </w:rPr>
        <w:t>äÝ Ë¢ T«ËÄ</w:t>
      </w:r>
      <w:r>
        <w:rPr>
          <w:rFonts w:ascii="PMingLiU" w:cs="PMingLiU" w:eastAsia="PMingLiU" w:hAnsi="PMingLiU"/>
          <w:sz w:val="14"/>
          <w:szCs w:val="14"/>
          <w:color w:val="191919"/>
        </w:rPr>
        <w:t></w:t>
      </w:r>
      <w:r>
        <w:rPr>
          <w:rFonts w:ascii="Arial" w:cs="Arial" w:eastAsia="Arial" w:hAnsi="Arial"/>
          <w:sz w:val="14"/>
          <w:szCs w:val="14"/>
          <w:color w:val="191919"/>
        </w:rPr>
        <w:t>Ùǚ «Ä</w:t>
      </w:r>
      <w:r>
        <w:rPr>
          <w:rFonts w:ascii="PMingLiU" w:cs="PMingLiU" w:eastAsia="PMingLiU" w:hAnsi="PMingLiU"/>
          <w:sz w:val="14"/>
          <w:szCs w:val="14"/>
          <w:color w:val="191919"/>
        </w:rPr>
        <w:t></w:t>
      </w:r>
      <w:r>
        <w:rPr>
          <w:rFonts w:ascii="Arial" w:cs="Arial" w:eastAsia="Arial" w:hAnsi="Arial"/>
          <w:sz w:val="14"/>
          <w:szCs w:val="14"/>
          <w:color w:val="191919"/>
        </w:rPr>
        <w:t>½é</w:t>
      </w:r>
      <w:r>
        <w:rPr>
          <w:rFonts w:ascii="PMingLiU" w:cs="PMingLiU" w:eastAsia="PMingLiU" w:hAnsi="PMingLiU"/>
          <w:sz w:val="14"/>
          <w:szCs w:val="14"/>
          <w:color w:val="191919"/>
        </w:rPr>
        <w:t></w:t>
      </w:r>
      <w:r>
        <w:rPr>
          <w:rFonts w:ascii="Arial" w:cs="Arial" w:eastAsia="Arial" w:hAnsi="Arial"/>
          <w:sz w:val="14"/>
          <w:szCs w:val="14"/>
          <w:color w:val="191919"/>
        </w:rPr>
        <w:t xml:space="preserve">Ý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éÙû </w:t>
      </w:r>
      <w:r>
        <w:rPr>
          <w:rFonts w:ascii="PMingLiU" w:cs="PMingLiU" w:eastAsia="PMingLiU" w:hAnsi="PMingLiU"/>
          <w:sz w:val="14"/>
          <w:szCs w:val="14"/>
          <w:color w:val="191919"/>
        </w:rPr>
        <w:t></w:t>
      </w:r>
      <w:r>
        <w:rPr>
          <w:rFonts w:ascii="Arial" w:cs="Arial" w:eastAsia="Arial" w:hAnsi="Arial"/>
          <w:sz w:val="14"/>
          <w:szCs w:val="14"/>
          <w:color w:val="191919"/>
        </w:rPr>
        <w:t>Ý Ë¢ CËô</w:t>
      </w:r>
      <w:r>
        <w:rPr>
          <w:rFonts w:ascii="PMingLiU" w:cs="PMingLiU" w:eastAsia="PMingLiU" w:hAnsi="PMingLiU"/>
          <w:sz w:val="14"/>
          <w:szCs w:val="14"/>
          <w:color w:val="191919"/>
        </w:rPr>
        <w:t></w:t>
      </w:r>
      <w:r>
        <w:rPr>
          <w:rFonts w:ascii="Arial" w:cs="Arial" w:eastAsia="Arial" w:hAnsi="Arial"/>
          <w:sz w:val="14"/>
          <w:szCs w:val="14"/>
          <w:color w:val="191919"/>
        </w:rPr>
        <w:t>Ã</w:t>
      </w:r>
      <w:r>
        <w:rPr>
          <w:rFonts w:ascii="PMingLiU" w:cs="PMingLiU" w:eastAsia="PMingLiU" w:hAnsi="PMingLiU"/>
          <w:sz w:val="14"/>
          <w:szCs w:val="14"/>
          <w:color w:val="191919"/>
        </w:rPr>
        <w:t></w:t>
      </w:r>
      <w:r>
        <w:rPr>
          <w:rFonts w:ascii="Arial" w:cs="Arial" w:eastAsia="Arial" w:hAnsi="Arial"/>
          <w:sz w:val="14"/>
          <w:szCs w:val="14"/>
          <w:color w:val="191919"/>
        </w:rPr>
        <w:t>Ù ƍǏ ƍƋƍƎǔ</w:t>
      </w:r>
    </w:p>
    <w:p>
      <w:pPr>
        <w:spacing w:after="0" w:line="72" w:lineRule="exact"/>
        <w:rPr>
          <w:sz w:val="20"/>
          <w:szCs w:val="20"/>
          <w:color w:val="auto"/>
        </w:rPr>
      </w:pPr>
    </w:p>
    <w:p>
      <w:pPr>
        <w:ind w:left="2"/>
        <w:spacing w:after="0" w:line="184" w:lineRule="exact"/>
        <w:rPr>
          <w:sz w:val="20"/>
          <w:szCs w:val="20"/>
          <w:color w:val="auto"/>
        </w:rPr>
      </w:pPr>
      <w:r>
        <w:rPr>
          <w:rFonts w:ascii="Arial" w:cs="Arial" w:eastAsia="Arial" w:hAnsi="Arial"/>
          <w:sz w:val="16"/>
          <w:szCs w:val="16"/>
          <w:color w:val="191919"/>
          <w:vertAlign w:val="superscript"/>
        </w:rPr>
        <w:t>Ǝ</w:t>
      </w:r>
      <w:r>
        <w:rPr>
          <w:rFonts w:ascii="Arial" w:cs="Arial" w:eastAsia="Arial" w:hAnsi="Arial"/>
          <w:sz w:val="14"/>
          <w:szCs w:val="14"/>
          <w:color w:val="191919"/>
        </w:rPr>
        <w:t xml:space="preserve">$ËÙ </w:t>
      </w:r>
      <w:r>
        <w:rPr>
          <w:rFonts w:ascii="PMingLiU" w:cs="PMingLiU" w:eastAsia="PMingLiU" w:hAnsi="PMingLiU"/>
          <w:sz w:val="14"/>
          <w:szCs w:val="14"/>
          <w:color w:val="191919"/>
        </w:rPr>
        <w:t></w:t>
      </w:r>
      <w:r>
        <w:rPr>
          <w:rFonts w:ascii="Arial" w:cs="Arial" w:eastAsia="Arial" w:hAnsi="Arial"/>
          <w:sz w:val="14"/>
          <w:szCs w:val="14"/>
          <w:color w:val="191919"/>
        </w:rPr>
        <w:t xml:space="preserve">¢«Ä«ä«ËÄÝ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 ÃËÙ</w:t>
      </w:r>
      <w:r>
        <w:rPr>
          <w:rFonts w:ascii="PMingLiU" w:cs="PMingLiU" w:eastAsia="PMingLiU" w:hAnsi="PMingLiU"/>
          <w:sz w:val="14"/>
          <w:szCs w:val="14"/>
          <w:color w:val="191919"/>
        </w:rPr>
        <w:t></w:t>
      </w:r>
      <w:r>
        <w:rPr>
          <w:rFonts w:ascii="Arial" w:cs="Arial" w:eastAsia="Arial" w:hAnsi="Arial"/>
          <w:sz w:val="14"/>
          <w:szCs w:val="14"/>
          <w:color w:val="191919"/>
        </w:rPr>
        <w:t xml:space="preserve"> «Ä¢ËÙÃ</w:t>
      </w:r>
      <w:r>
        <w:rPr>
          <w:rFonts w:ascii="PMingLiU" w:cs="PMingLiU" w:eastAsia="PMingLiU" w:hAnsi="PMingLiU"/>
          <w:sz w:val="14"/>
          <w:szCs w:val="14"/>
          <w:color w:val="191919"/>
        </w:rPr>
        <w:t></w:t>
      </w:r>
      <w:r>
        <w:rPr>
          <w:rFonts w:ascii="Arial" w:cs="Arial" w:eastAsia="Arial" w:hAnsi="Arial"/>
          <w:sz w:val="14"/>
          <w:szCs w:val="14"/>
          <w:color w:val="191919"/>
        </w:rPr>
        <w:t>ä«ËÄ ËÄ [äÙé</w:t>
      </w:r>
      <w:r>
        <w:rPr>
          <w:rFonts w:ascii="PMingLiU" w:cs="PMingLiU" w:eastAsia="PMingLiU" w:hAnsi="PMingLiU"/>
          <w:sz w:val="14"/>
          <w:szCs w:val="14"/>
          <w:color w:val="191919"/>
        </w:rPr>
        <w:t></w:t>
      </w:r>
      <w:r>
        <w:rPr>
          <w:rFonts w:ascii="Arial" w:cs="Arial" w:eastAsia="Arial" w:hAnsi="Arial"/>
          <w:sz w:val="14"/>
          <w:szCs w:val="14"/>
          <w:color w:val="191919"/>
        </w:rPr>
        <w:t>äéÙ</w:t>
      </w:r>
      <w:r>
        <w:rPr>
          <w:rFonts w:ascii="PMingLiU" w:cs="PMingLiU" w:eastAsia="PMingLiU" w:hAnsi="PMingLiU"/>
          <w:sz w:val="14"/>
          <w:szCs w:val="14"/>
          <w:color w:val="191919"/>
        </w:rPr>
        <w:t></w:t>
      </w:r>
      <w:r>
        <w:rPr>
          <w:rFonts w:ascii="Arial" w:cs="Arial" w:eastAsia="Arial" w:hAnsi="Arial"/>
          <w:sz w:val="14"/>
          <w:szCs w:val="14"/>
          <w:color w:val="191919"/>
        </w:rPr>
        <w:t xml:space="preserve">½ </w:t>
      </w:r>
      <w:r>
        <w:rPr>
          <w:rFonts w:ascii="PMingLiU" w:cs="PMingLiU" w:eastAsia="PMingLiU" w:hAnsi="PMingLiU"/>
          <w:sz w:val="14"/>
          <w:szCs w:val="14"/>
          <w:color w:val="191919"/>
        </w:rPr>
        <w:t/>
      </w:r>
      <w:r>
        <w:rPr>
          <w:rFonts w:ascii="Arial" w:cs="Arial" w:eastAsia="Arial" w:hAnsi="Arial"/>
          <w:sz w:val="14"/>
          <w:szCs w:val="14"/>
          <w:color w:val="191919"/>
        </w:rPr>
        <w:t>ËÝä [</w:t>
      </w:r>
      <w:r>
        <w:rPr>
          <w:rFonts w:ascii="PMingLiU" w:cs="PMingLiU" w:eastAsia="PMingLiU" w:hAnsi="PMingLiU"/>
          <w:sz w:val="14"/>
          <w:szCs w:val="14"/>
          <w:color w:val="191919"/>
        </w:rPr>
        <w:t></w:t>
      </w:r>
      <w:r>
        <w:rPr>
          <w:rFonts w:ascii="Arial" w:cs="Arial" w:eastAsia="Arial" w:hAnsi="Arial"/>
          <w:sz w:val="14"/>
          <w:szCs w:val="14"/>
          <w:color w:val="191919"/>
        </w:rPr>
        <w:t>ô«Ä£ÝǏ Ý</w:t>
      </w:r>
      <w:r>
        <w:rPr>
          <w:rFonts w:ascii="PMingLiU" w:cs="PMingLiU" w:eastAsia="PMingLiU" w:hAnsi="PMingLiU"/>
          <w:sz w:val="14"/>
          <w:szCs w:val="14"/>
          <w:color w:val="191919"/>
        </w:rPr>
        <w:t></w:t>
      </w:r>
      <w:r>
        <w:rPr>
          <w:rFonts w:ascii="Arial" w:cs="Arial" w:eastAsia="Arial" w:hAnsi="Arial"/>
          <w:sz w:val="14"/>
          <w:szCs w:val="14"/>
          <w:color w:val="191919"/>
        </w:rPr>
        <w:t xml:space="preserve"> Ö</w:t>
      </w:r>
      <w:r>
        <w:rPr>
          <w:rFonts w:ascii="PMingLiU" w:cs="PMingLiU" w:eastAsia="PMingLiU" w:hAnsi="PMingLiU"/>
          <w:sz w:val="14"/>
          <w:szCs w:val="14"/>
          <w:color w:val="191919"/>
        </w:rPr>
        <w:t></w:t>
      </w:r>
      <w:r>
        <w:rPr>
          <w:rFonts w:ascii="Arial" w:cs="Arial" w:eastAsia="Arial" w:hAnsi="Arial"/>
          <w:sz w:val="14"/>
          <w:szCs w:val="14"/>
          <w:color w:val="191919"/>
        </w:rPr>
        <w:t>£</w:t>
      </w:r>
      <w:r>
        <w:rPr>
          <w:rFonts w:ascii="PMingLiU" w:cs="PMingLiU" w:eastAsia="PMingLiU" w:hAnsi="PMingLiU"/>
          <w:sz w:val="14"/>
          <w:szCs w:val="14"/>
          <w:color w:val="191919"/>
        </w:rPr>
        <w:t></w:t>
      </w:r>
      <w:r>
        <w:rPr>
          <w:rFonts w:ascii="Arial" w:cs="Arial" w:eastAsia="Arial" w:hAnsi="Arial"/>
          <w:sz w:val="14"/>
          <w:szCs w:val="14"/>
          <w:color w:val="191919"/>
        </w:rPr>
        <w:t xml:space="preserve"> ƎƔ Ë¢ </w:t>
      </w:r>
      <w:r>
        <w:rPr>
          <w:rFonts w:ascii="PMingLiU" w:cs="PMingLiU" w:eastAsia="PMingLiU" w:hAnsi="PMingLiU"/>
          <w:sz w:val="14"/>
          <w:szCs w:val="14"/>
          <w:color w:val="191919"/>
        </w:rPr>
        <w:t/>
      </w:r>
      <w:r>
        <w:rPr>
          <w:rFonts w:ascii="Arial" w:cs="Arial" w:eastAsia="Arial" w:hAnsi="Arial"/>
          <w:sz w:val="14"/>
          <w:szCs w:val="14"/>
          <w:color w:val="191919"/>
        </w:rPr>
        <w:t>úúËÄBË</w:t>
      </w:r>
      <w:r>
        <w:rPr>
          <w:rFonts w:ascii="PMingLiU" w:cs="PMingLiU" w:eastAsia="PMingLiU" w:hAnsi="PMingLiU"/>
          <w:sz w:val="14"/>
          <w:szCs w:val="14"/>
          <w:color w:val="191919"/>
        </w:rPr>
        <w:t></w:t>
      </w:r>
      <w:r>
        <w:rPr>
          <w:rFonts w:ascii="Arial" w:cs="Arial" w:eastAsia="Arial" w:hAnsi="Arial"/>
          <w:sz w:val="14"/>
          <w:szCs w:val="14"/>
          <w:color w:val="191919"/>
        </w:rPr>
        <w:t>«½ǯÝ ƍƋƍƎ $ËÙÃ ƌƋǥ: õ¨«</w:t>
      </w:r>
      <w:r>
        <w:rPr>
          <w:rFonts w:ascii="PMingLiU" w:cs="PMingLiU" w:eastAsia="PMingLiU" w:hAnsi="PMingLiU"/>
          <w:sz w:val="14"/>
          <w:szCs w:val="14"/>
          <w:color w:val="191919"/>
        </w:rPr>
        <w:t></w:t>
      </w:r>
      <w:r>
        <w:rPr>
          <w:rFonts w:ascii="Arial" w:cs="Arial" w:eastAsia="Arial" w:hAnsi="Arial"/>
          <w:sz w:val="14"/>
          <w:szCs w:val="14"/>
          <w:color w:val="191919"/>
        </w:rPr>
        <w:t>¨ ¢ËÙÃÝ Ö</w:t>
      </w:r>
      <w:r>
        <w:rPr>
          <w:rFonts w:ascii="PMingLiU" w:cs="PMingLiU" w:eastAsia="PMingLiU" w:hAnsi="PMingLiU"/>
          <w:sz w:val="14"/>
          <w:szCs w:val="14"/>
          <w:color w:val="191919"/>
        </w:rPr>
        <w:t></w:t>
      </w:r>
      <w:r>
        <w:rPr>
          <w:rFonts w:ascii="Arial" w:cs="Arial" w:eastAsia="Arial" w:hAnsi="Arial"/>
          <w:sz w:val="14"/>
          <w:szCs w:val="14"/>
          <w:color w:val="191919"/>
        </w:rPr>
        <w:t>Ùä Ë¢ ä¨«Ý Ù</w:t>
      </w:r>
      <w:r>
        <w:rPr>
          <w:rFonts w:ascii="PMingLiU" w:cs="PMingLiU" w:eastAsia="PMingLiU" w:hAnsi="PMingLiU"/>
          <w:sz w:val="14"/>
          <w:szCs w:val="14"/>
          <w:color w:val="191919"/>
        </w:rPr>
        <w:t></w:t>
      </w:r>
      <w:r>
        <w:rPr>
          <w:rFonts w:ascii="Arial" w:cs="Arial" w:eastAsia="Arial" w:hAnsi="Arial"/>
          <w:sz w:val="14"/>
          <w:szCs w:val="14"/>
          <w:color w:val="191919"/>
        </w:rPr>
        <w:t>ÖËÙäǔ</w:t>
      </w:r>
    </w:p>
    <w:p>
      <w:pPr>
        <w:spacing w:after="0" w:line="56" w:lineRule="exact"/>
        <w:rPr>
          <w:sz w:val="20"/>
          <w:szCs w:val="20"/>
          <w:color w:val="auto"/>
        </w:rPr>
      </w:pPr>
    </w:p>
    <w:p>
      <w:pPr>
        <w:ind w:left="2" w:right="240"/>
        <w:spacing w:after="0" w:line="169" w:lineRule="exact"/>
        <w:rPr>
          <w:sz w:val="20"/>
          <w:szCs w:val="20"/>
          <w:color w:val="auto"/>
        </w:rPr>
      </w:pPr>
      <w:r>
        <w:rPr>
          <w:rFonts w:ascii="Arial" w:cs="Arial" w:eastAsia="Arial" w:hAnsi="Arial"/>
          <w:sz w:val="16"/>
          <w:szCs w:val="16"/>
          <w:color w:val="191919"/>
          <w:vertAlign w:val="superscript"/>
        </w:rPr>
        <w:t>Ə</w:t>
      </w:r>
      <w:r>
        <w:rPr>
          <w:rFonts w:ascii="PMingLiU" w:cs="PMingLiU" w:eastAsia="PMingLiU" w:hAnsi="PMingLiU"/>
          <w:sz w:val="14"/>
          <w:szCs w:val="14"/>
          <w:color w:val="191919"/>
        </w:rPr>
        <w:t/>
      </w:r>
      <w:r>
        <w:rPr>
          <w:rFonts w:ascii="Arial" w:cs="Arial" w:eastAsia="Arial" w:hAnsi="Arial"/>
          <w:sz w:val="14"/>
          <w:szCs w:val="14"/>
          <w:color w:val="191919"/>
        </w:rPr>
        <w:t>Ã«ÝÝ«ËÄǥÙ</w:t>
      </w:r>
      <w:r>
        <w:rPr>
          <w:rFonts w:ascii="PMingLiU" w:cs="PMingLiU" w:eastAsia="PMingLiU" w:hAnsi="PMingLiU"/>
          <w:sz w:val="14"/>
          <w:szCs w:val="14"/>
          <w:color w:val="191919"/>
        </w:rPr>
        <w:t></w:t>
      </w:r>
      <w:r>
        <w:rPr>
          <w:rFonts w:ascii="Arial" w:cs="Arial" w:eastAsia="Arial" w:hAnsi="Arial"/>
          <w:sz w:val="14"/>
          <w:szCs w:val="14"/>
          <w:color w:val="191919"/>
        </w:rPr>
        <w:t>é</w:t>
      </w:r>
      <w:r>
        <w:rPr>
          <w:rFonts w:ascii="PMingLiU" w:cs="PMingLiU" w:eastAsia="PMingLiU" w:hAnsi="PMingLiU"/>
          <w:sz w:val="14"/>
          <w:szCs w:val="14"/>
          <w:color w:val="191919"/>
        </w:rPr>
        <w:t></w:t>
      </w:r>
      <w:r>
        <w:rPr>
          <w:rFonts w:ascii="Arial" w:cs="Arial" w:eastAsia="Arial" w:hAnsi="Arial"/>
          <w:sz w:val="14"/>
          <w:szCs w:val="14"/>
          <w:color w:val="191919"/>
        </w:rPr>
        <w:t>ä«ËÄ Ö½</w:t>
      </w:r>
      <w:r>
        <w:rPr>
          <w:rFonts w:ascii="PMingLiU" w:cs="PMingLiU" w:eastAsia="PMingLiU" w:hAnsi="PMingLiU"/>
          <w:sz w:val="14"/>
          <w:szCs w:val="14"/>
          <w:color w:val="191919"/>
        </w:rPr>
        <w:t></w:t>
      </w:r>
      <w:r>
        <w:rPr>
          <w:rFonts w:ascii="Arial" w:cs="Arial" w:eastAsia="Arial" w:hAnsi="Arial"/>
          <w:sz w:val="14"/>
          <w:szCs w:val="14"/>
          <w:color w:val="191919"/>
        </w:rPr>
        <w:t xml:space="preserve">ÄÝ </w:t>
      </w:r>
      <w:r>
        <w:rPr>
          <w:rFonts w:ascii="PMingLiU" w:cs="PMingLiU" w:eastAsia="PMingLiU" w:hAnsi="PMingLiU"/>
          <w:sz w:val="14"/>
          <w:szCs w:val="14"/>
          <w:color w:val="191919"/>
        </w:rPr>
        <w:t></w:t>
      </w:r>
      <w:r>
        <w:rPr>
          <w:rFonts w:ascii="Arial" w:cs="Arial" w:eastAsia="Arial" w:hAnsi="Arial"/>
          <w:sz w:val="14"/>
          <w:szCs w:val="14"/>
          <w:color w:val="191919"/>
        </w:rPr>
        <w:t>ÄÄËéÄ</w:t>
      </w:r>
      <w:r>
        <w:rPr>
          <w:rFonts w:ascii="PMingLiU" w:cs="PMingLiU" w:eastAsia="PMingLiU" w:hAnsi="PMingLiU"/>
          <w:sz w:val="14"/>
          <w:szCs w:val="14"/>
          <w:color w:val="191919"/>
        </w:rPr>
        <w:t></w:t>
      </w:r>
      <w:r>
        <w:rPr>
          <w:rFonts w:ascii="Arial" w:cs="Arial" w:eastAsia="Arial" w:hAnsi="Arial"/>
          <w:sz w:val="14"/>
          <w:szCs w:val="14"/>
          <w:color w:val="191919"/>
        </w:rPr>
        <w:t xml:space="preserve"> «Ä </w:t>
      </w:r>
      <w:r>
        <w:rPr>
          <w:rFonts w:ascii="PMingLiU" w:cs="PMingLiU" w:eastAsia="PMingLiU" w:hAnsi="PMingLiU"/>
          <w:sz w:val="14"/>
          <w:szCs w:val="14"/>
          <w:color w:val="191919"/>
        </w:rPr>
        <w:t></w:t>
      </w:r>
      <w:r>
        <w:rPr>
          <w:rFonts w:ascii="Arial" w:cs="Arial" w:eastAsia="Arial" w:hAnsi="Arial"/>
          <w:sz w:val="14"/>
          <w:szCs w:val="14"/>
          <w:color w:val="191919"/>
        </w:rPr>
        <w:t>Ã</w:t>
      </w:r>
      <w:r>
        <w:rPr>
          <w:rFonts w:ascii="PMingLiU" w:cs="PMingLiU" w:eastAsia="PMingLiU" w:hAnsi="PMingLiU"/>
          <w:sz w:val="14"/>
          <w:szCs w:val="14"/>
          <w:color w:val="191919"/>
        </w:rPr>
        <w:t></w:t>
      </w:r>
      <w:r>
        <w:rPr>
          <w:rFonts w:ascii="Arial" w:cs="Arial" w:eastAsia="Arial" w:hAnsi="Arial"/>
          <w:sz w:val="14"/>
          <w:szCs w:val="14"/>
          <w:color w:val="191919"/>
        </w:rPr>
        <w:t>Ù ƍƋƍƌ «Ä</w:t>
      </w:r>
      <w:r>
        <w:rPr>
          <w:rFonts w:ascii="PMingLiU" w:cs="PMingLiU" w:eastAsia="PMingLiU" w:hAnsi="PMingLiU"/>
          <w:sz w:val="14"/>
          <w:szCs w:val="14"/>
          <w:color w:val="191919"/>
        </w:rPr>
        <w:t></w:t>
      </w:r>
      <w:r>
        <w:rPr>
          <w:rFonts w:ascii="Arial" w:cs="Arial" w:eastAsia="Arial" w:hAnsi="Arial"/>
          <w:sz w:val="14"/>
          <w:szCs w:val="14"/>
          <w:color w:val="191919"/>
        </w:rPr>
        <w:t>½é</w:t>
      </w:r>
      <w:r>
        <w:rPr>
          <w:rFonts w:ascii="PMingLiU" w:cs="PMingLiU" w:eastAsia="PMingLiU" w:hAnsi="PMingLiU"/>
          <w:sz w:val="14"/>
          <w:szCs w:val="14"/>
          <w:color w:val="191919"/>
        </w:rPr>
        <w:t> </w:t>
      </w:r>
      <w:r>
        <w:rPr>
          <w:rFonts w:ascii="Arial" w:cs="Arial" w:eastAsia="Arial" w:hAnsi="Arial"/>
          <w:sz w:val="14"/>
          <w:szCs w:val="14"/>
          <w:color w:val="191919"/>
        </w:rPr>
        <w:t xml:space="preserve"> ƍƋȐ äË ƎƋȐ Ù</w:t>
      </w:r>
      <w:r>
        <w:rPr>
          <w:rFonts w:ascii="PMingLiU" w:cs="PMingLiU" w:eastAsia="PMingLiU" w:hAnsi="PMingLiU"/>
          <w:sz w:val="14"/>
          <w:szCs w:val="14"/>
          <w:color w:val="191919"/>
        </w:rPr>
        <w:t></w:t>
      </w:r>
      <w:r>
        <w:rPr>
          <w:rFonts w:ascii="Arial" w:cs="Arial" w:eastAsia="Arial" w:hAnsi="Arial"/>
          <w:sz w:val="14"/>
          <w:szCs w:val="14"/>
          <w:color w:val="191919"/>
        </w:rPr>
        <w:t>é</w:t>
      </w:r>
      <w:r>
        <w:rPr>
          <w:rFonts w:ascii="PMingLiU" w:cs="PMingLiU" w:eastAsia="PMingLiU" w:hAnsi="PMingLiU"/>
          <w:sz w:val="14"/>
          <w:szCs w:val="14"/>
          <w:color w:val="191919"/>
        </w:rPr>
        <w:t></w:t>
      </w:r>
      <w:r>
        <w:rPr>
          <w:rFonts w:ascii="Arial" w:cs="Arial" w:eastAsia="Arial" w:hAnsi="Arial"/>
          <w:sz w:val="14"/>
          <w:szCs w:val="14"/>
          <w:color w:val="191919"/>
        </w:rPr>
        <w:t xml:space="preserve">ä«ËÄ «Ä </w:t>
      </w:r>
      <w:r>
        <w:rPr>
          <w:rFonts w:ascii="PMingLiU" w:cs="PMingLiU" w:eastAsia="PMingLiU" w:hAnsi="PMingLiU"/>
          <w:sz w:val="14"/>
          <w:szCs w:val="14"/>
          <w:color w:val="191919"/>
        </w:rPr>
        <w:t></w:t>
      </w:r>
      <w:r>
        <w:rPr>
          <w:rFonts w:ascii="Arial" w:cs="Arial" w:eastAsia="Arial" w:hAnsi="Arial"/>
          <w:sz w:val="14"/>
          <w:szCs w:val="14"/>
          <w:color w:val="191919"/>
        </w:rPr>
        <w:t>ËÙÖËÙ</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ǥõ«</w:t>
      </w:r>
      <w:r>
        <w:rPr>
          <w:rFonts w:ascii="PMingLiU" w:cs="PMingLiU" w:eastAsia="PMingLiU" w:hAnsi="PMingLiU"/>
          <w:sz w:val="14"/>
          <w:szCs w:val="14"/>
          <w:color w:val="191919"/>
        </w:rPr>
        <w:t></w:t>
      </w:r>
      <w:r>
        <w:rPr>
          <w:rFonts w:ascii="Arial" w:cs="Arial" w:eastAsia="Arial" w:hAnsi="Arial"/>
          <w:sz w:val="14"/>
          <w:szCs w:val="14"/>
          <w:color w:val="191919"/>
        </w:rPr>
        <w:t xml:space="preserve"> £Ù</w:t>
      </w:r>
      <w:r>
        <w:rPr>
          <w:rFonts w:ascii="PMingLiU" w:cs="PMingLiU" w:eastAsia="PMingLiU" w:hAnsi="PMingLiU"/>
          <w:sz w:val="14"/>
          <w:szCs w:val="14"/>
          <w:color w:val="191919"/>
        </w:rPr>
        <w:t></w:t>
      </w:r>
      <w:r>
        <w:rPr>
          <w:rFonts w:ascii="Arial" w:cs="Arial" w:eastAsia="Arial" w:hAnsi="Arial"/>
          <w:sz w:val="14"/>
          <w:szCs w:val="14"/>
          <w:color w:val="191919"/>
        </w:rPr>
        <w:t>Ä¨ËéÝ</w:t>
      </w:r>
      <w:r>
        <w:rPr>
          <w:rFonts w:ascii="PMingLiU" w:cs="PMingLiU" w:eastAsia="PMingLiU" w:hAnsi="PMingLiU"/>
          <w:sz w:val="14"/>
          <w:szCs w:val="14"/>
          <w:color w:val="191919"/>
        </w:rPr>
        <w:t></w:t>
      </w:r>
      <w:r>
        <w:rPr>
          <w:rFonts w:ascii="Arial" w:cs="Arial" w:eastAsia="Arial" w:hAnsi="Arial"/>
          <w:sz w:val="14"/>
          <w:szCs w:val="14"/>
          <w:color w:val="191919"/>
        </w:rPr>
        <w:t xml:space="preserve"> £</w:t>
      </w:r>
      <w:r>
        <w:rPr>
          <w:rFonts w:ascii="PMingLiU" w:cs="PMingLiU" w:eastAsia="PMingLiU" w:hAnsi="PMingLiU"/>
          <w:sz w:val="14"/>
          <w:szCs w:val="14"/>
          <w:color w:val="191919"/>
        </w:rPr>
        <w:t></w:t>
      </w:r>
      <w:r>
        <w:rPr>
          <w:rFonts w:ascii="Arial" w:cs="Arial" w:eastAsia="Arial" w:hAnsi="Arial"/>
          <w:sz w:val="14"/>
          <w:szCs w:val="14"/>
          <w:color w:val="191919"/>
        </w:rPr>
        <w:t>Ý «Ää</w:t>
      </w:r>
      <w:r>
        <w:rPr>
          <w:rFonts w:ascii="PMingLiU" w:cs="PMingLiU" w:eastAsia="PMingLiU" w:hAnsi="PMingLiU"/>
          <w:sz w:val="14"/>
          <w:szCs w:val="14"/>
          <w:color w:val="191919"/>
        </w:rPr>
        <w:t></w:t>
      </w:r>
      <w:r>
        <w:rPr>
          <w:rFonts w:ascii="Arial" w:cs="Arial" w:eastAsia="Arial" w:hAnsi="Arial"/>
          <w:sz w:val="14"/>
          <w:szCs w:val="14"/>
          <w:color w:val="191919"/>
        </w:rPr>
        <w:t xml:space="preserve">ÄÝ«äû </w:t>
      </w:r>
      <w:r>
        <w:rPr>
          <w:rFonts w:ascii="PMingLiU" w:cs="PMingLiU" w:eastAsia="PMingLiU" w:hAnsi="PMingLiU"/>
          <w:sz w:val="14"/>
          <w:szCs w:val="14"/>
          <w:color w:val="191919"/>
        </w:rPr>
        <w:t></w:t>
      </w:r>
      <w:r>
        <w:rPr>
          <w:rFonts w:ascii="Arial" w:cs="Arial" w:eastAsia="Arial" w:hAnsi="Arial"/>
          <w:sz w:val="14"/>
          <w:szCs w:val="14"/>
          <w:color w:val="191919"/>
        </w:rPr>
        <w:t xml:space="preserve">û ƍƋƎƋ </w:t>
      </w:r>
      <w:r>
        <w:rPr>
          <w:rFonts w:ascii="PMingLiU" w:cs="PMingLiU" w:eastAsia="PMingLiU" w:hAnsi="PMingLiU"/>
          <w:sz w:val="14"/>
          <w:szCs w:val="14"/>
          <w:color w:val="191919"/>
        </w:rPr>
        <w:t></w:t>
      </w:r>
      <w:r>
        <w:rPr>
          <w:rFonts w:ascii="Arial" w:cs="Arial" w:eastAsia="Arial" w:hAnsi="Arial"/>
          <w:sz w:val="14"/>
          <w:szCs w:val="14"/>
          <w:color w:val="191919"/>
        </w:rPr>
        <w:t>ËÃÖ</w:t>
      </w:r>
      <w:r>
        <w:rPr>
          <w:rFonts w:ascii="PMingLiU" w:cs="PMingLiU" w:eastAsia="PMingLiU" w:hAnsi="PMingLiU"/>
          <w:sz w:val="14"/>
          <w:szCs w:val="14"/>
          <w:color w:val="191919"/>
        </w:rPr>
        <w:t></w:t>
      </w:r>
      <w:r>
        <w:rPr>
          <w:rFonts w:ascii="Arial" w:cs="Arial" w:eastAsia="Arial" w:hAnsi="Arial"/>
          <w:sz w:val="14"/>
          <w:szCs w:val="14"/>
          <w:color w:val="191919"/>
        </w:rPr>
        <w:t>Ù</w:t>
      </w:r>
      <w:r>
        <w:rPr>
          <w:rFonts w:ascii="PMingLiU" w:cs="PMingLiU" w:eastAsia="PMingLiU" w:hAnsi="PMingLiU"/>
          <w:sz w:val="14"/>
          <w:szCs w:val="14"/>
          <w:color w:val="191919"/>
        </w:rPr>
        <w:t></w:t>
      </w:r>
      <w:r>
        <w:rPr>
          <w:rFonts w:ascii="Arial" w:cs="Arial" w:eastAsia="Arial" w:hAnsi="Arial"/>
          <w:sz w:val="14"/>
          <w:szCs w:val="14"/>
          <w:color w:val="191919"/>
        </w:rPr>
        <w:t xml:space="preserve"> äË ƍƋƌƑ ½</w:t>
      </w:r>
      <w:r>
        <w:rPr>
          <w:rFonts w:ascii="PMingLiU" w:cs="PMingLiU" w:eastAsia="PMingLiU" w:hAnsi="PMingLiU"/>
          <w:sz w:val="14"/>
          <w:szCs w:val="14"/>
          <w:color w:val="191919"/>
        </w:rPr>
        <w:t></w:t>
      </w:r>
      <w:r>
        <w:rPr>
          <w:rFonts w:ascii="Arial" w:cs="Arial" w:eastAsia="Arial" w:hAnsi="Arial"/>
          <w:sz w:val="14"/>
          <w:szCs w:val="14"/>
          <w:color w:val="191919"/>
        </w:rPr>
        <w:t>ô</w:t>
      </w:r>
      <w:r>
        <w:rPr>
          <w:rFonts w:ascii="PMingLiU" w:cs="PMingLiU" w:eastAsia="PMingLiU" w:hAnsi="PMingLiU"/>
          <w:sz w:val="14"/>
          <w:szCs w:val="14"/>
          <w:color w:val="191919"/>
        </w:rPr>
        <w:t></w:t>
      </w:r>
      <w:r>
        <w:rPr>
          <w:rFonts w:ascii="Arial" w:cs="Arial" w:eastAsia="Arial" w:hAnsi="Arial"/>
          <w:sz w:val="14"/>
          <w:szCs w:val="14"/>
          <w:color w:val="191919"/>
        </w:rPr>
        <w:t xml:space="preserve">½Ýǔ b¨«Ý õ«½½ </w:t>
      </w:r>
      <w:r>
        <w:rPr>
          <w:rFonts w:ascii="PMingLiU" w:cs="PMingLiU" w:eastAsia="PMingLiU" w:hAnsi="PMingLiU"/>
          <w:sz w:val="14"/>
          <w:szCs w:val="14"/>
          <w:color w:val="191919"/>
        </w:rPr>
        <w:t></w:t>
      </w:r>
      <w:r>
        <w:rPr>
          <w:rFonts w:ascii="Arial" w:cs="Arial" w:eastAsia="Arial" w:hAnsi="Arial"/>
          <w:sz w:val="14"/>
          <w:szCs w:val="14"/>
          <w:color w:val="191919"/>
        </w:rPr>
        <w:t xml:space="preserve"> ÝéÖÖËÙä</w:t>
      </w:r>
      <w:r>
        <w:rPr>
          <w:rFonts w:ascii="PMingLiU" w:cs="PMingLiU" w:eastAsia="PMingLiU" w:hAnsi="PMingLiU"/>
          <w:sz w:val="14"/>
          <w:szCs w:val="14"/>
          <w:color w:val="191919"/>
        </w:rPr>
        <w:t> </w:t>
      </w:r>
      <w:r>
        <w:rPr>
          <w:rFonts w:ascii="Arial" w:cs="Arial" w:eastAsia="Arial" w:hAnsi="Arial"/>
          <w:sz w:val="14"/>
          <w:szCs w:val="14"/>
          <w:color w:val="191919"/>
        </w:rPr>
        <w:t xml:space="preserve">û </w:t>
      </w:r>
      <w:r>
        <w:rPr>
          <w:rFonts w:ascii="PMingLiU" w:cs="PMingLiU" w:eastAsia="PMingLiU" w:hAnsi="PMingLiU"/>
          <w:sz w:val="14"/>
          <w:szCs w:val="14"/>
          <w:color w:val="191919"/>
        </w:rPr>
        <w:t></w:t>
      </w:r>
      <w:r>
        <w:rPr>
          <w:rFonts w:ascii="Arial" w:cs="Arial" w:eastAsia="Arial" w:hAnsi="Arial"/>
          <w:sz w:val="14"/>
          <w:szCs w:val="14"/>
          <w:color w:val="191919"/>
        </w:rPr>
        <w:t xml:space="preserve"> ƏƋȐ äË ƐƋȐ Ù</w:t>
      </w:r>
      <w:r>
        <w:rPr>
          <w:rFonts w:ascii="PMingLiU" w:cs="PMingLiU" w:eastAsia="PMingLiU" w:hAnsi="PMingLiU"/>
          <w:sz w:val="14"/>
          <w:szCs w:val="14"/>
          <w:color w:val="191919"/>
        </w:rPr>
        <w:t></w:t>
      </w:r>
      <w:r>
        <w:rPr>
          <w:rFonts w:ascii="Arial" w:cs="Arial" w:eastAsia="Arial" w:hAnsi="Arial"/>
          <w:sz w:val="14"/>
          <w:szCs w:val="14"/>
          <w:color w:val="191919"/>
        </w:rPr>
        <w:t>é</w:t>
      </w:r>
      <w:r>
        <w:rPr>
          <w:rFonts w:ascii="PMingLiU" w:cs="PMingLiU" w:eastAsia="PMingLiU" w:hAnsi="PMingLiU"/>
          <w:sz w:val="14"/>
          <w:szCs w:val="14"/>
          <w:color w:val="191919"/>
        </w:rPr>
        <w:t></w:t>
      </w:r>
      <w:r>
        <w:rPr>
          <w:rFonts w:ascii="Arial" w:cs="Arial" w:eastAsia="Arial" w:hAnsi="Arial"/>
          <w:sz w:val="14"/>
          <w:szCs w:val="14"/>
          <w:color w:val="191919"/>
        </w:rPr>
        <w:t>ä«ËÄ «Ä gÖÝäÙ</w:t>
      </w:r>
      <w:r>
        <w:rPr>
          <w:rFonts w:ascii="PMingLiU" w:cs="PMingLiU" w:eastAsia="PMingLiU" w:hAnsi="PMingLiU"/>
          <w:sz w:val="14"/>
          <w:szCs w:val="14"/>
          <w:color w:val="191919"/>
        </w:rPr>
        <w:t></w:t>
      </w:r>
      <w:r>
        <w:rPr>
          <w:rFonts w:ascii="Arial" w:cs="Arial" w:eastAsia="Arial" w:hAnsi="Arial"/>
          <w:sz w:val="14"/>
          <w:szCs w:val="14"/>
          <w:color w:val="191919"/>
        </w:rPr>
        <w:t>Ã £Ù</w:t>
      </w:r>
      <w:r>
        <w:rPr>
          <w:rFonts w:ascii="PMingLiU" w:cs="PMingLiU" w:eastAsia="PMingLiU" w:hAnsi="PMingLiU"/>
          <w:sz w:val="14"/>
          <w:szCs w:val="14"/>
          <w:color w:val="191919"/>
        </w:rPr>
        <w:t></w:t>
      </w:r>
      <w:r>
        <w:rPr>
          <w:rFonts w:ascii="Arial" w:cs="Arial" w:eastAsia="Arial" w:hAnsi="Arial"/>
          <w:sz w:val="14"/>
          <w:szCs w:val="14"/>
          <w:color w:val="191919"/>
        </w:rPr>
        <w:t>Ä¨ËéÝ</w:t>
      </w:r>
      <w:r>
        <w:rPr>
          <w:rFonts w:ascii="PMingLiU" w:cs="PMingLiU" w:eastAsia="PMingLiU" w:hAnsi="PMingLiU"/>
          <w:sz w:val="14"/>
          <w:szCs w:val="14"/>
          <w:color w:val="191919"/>
        </w:rPr>
        <w:t></w:t>
      </w:r>
      <w:r>
        <w:rPr>
          <w:rFonts w:ascii="Arial" w:cs="Arial" w:eastAsia="Arial" w:hAnsi="Arial"/>
          <w:sz w:val="14"/>
          <w:szCs w:val="14"/>
          <w:color w:val="191919"/>
        </w:rPr>
        <w:t xml:space="preserve"> £</w:t>
      </w:r>
      <w:r>
        <w:rPr>
          <w:rFonts w:ascii="PMingLiU" w:cs="PMingLiU" w:eastAsia="PMingLiU" w:hAnsi="PMingLiU"/>
          <w:sz w:val="14"/>
          <w:szCs w:val="14"/>
          <w:color w:val="191919"/>
        </w:rPr>
        <w:t></w:t>
      </w:r>
      <w:r>
        <w:rPr>
          <w:rFonts w:ascii="Arial" w:cs="Arial" w:eastAsia="Arial" w:hAnsi="Arial"/>
          <w:sz w:val="14"/>
          <w:szCs w:val="14"/>
          <w:color w:val="191919"/>
        </w:rPr>
        <w:t>Ý «Ää</w:t>
      </w:r>
      <w:r>
        <w:rPr>
          <w:rFonts w:ascii="PMingLiU" w:cs="PMingLiU" w:eastAsia="PMingLiU" w:hAnsi="PMingLiU"/>
          <w:sz w:val="14"/>
          <w:szCs w:val="14"/>
          <w:color w:val="191919"/>
        </w:rPr>
        <w:t></w:t>
      </w:r>
      <w:r>
        <w:rPr>
          <w:rFonts w:ascii="Arial" w:cs="Arial" w:eastAsia="Arial" w:hAnsi="Arial"/>
          <w:sz w:val="14"/>
          <w:szCs w:val="14"/>
          <w:color w:val="191919"/>
        </w:rPr>
        <w:t xml:space="preserve">ÄÝ«äûǏ </w:t>
      </w:r>
      <w:r>
        <w:rPr>
          <w:rFonts w:ascii="PMingLiU" w:cs="PMingLiU" w:eastAsia="PMingLiU" w:hAnsi="PMingLiU"/>
          <w:sz w:val="14"/>
          <w:szCs w:val="14"/>
          <w:color w:val="191919"/>
        </w:rPr>
        <w:t></w:t>
      </w:r>
      <w:r>
        <w:rPr>
          <w:rFonts w:ascii="Arial" w:cs="Arial" w:eastAsia="Arial" w:hAnsi="Arial"/>
          <w:sz w:val="14"/>
          <w:szCs w:val="14"/>
          <w:color w:val="191919"/>
        </w:rPr>
        <w:t xml:space="preserve"> ƒƋȐ äË ƓƋȐ Ù</w:t>
      </w:r>
      <w:r>
        <w:rPr>
          <w:rFonts w:ascii="PMingLiU" w:cs="PMingLiU" w:eastAsia="PMingLiU" w:hAnsi="PMingLiU"/>
          <w:sz w:val="14"/>
          <w:szCs w:val="14"/>
          <w:color w:val="191919"/>
        </w:rPr>
        <w:t></w:t>
      </w:r>
      <w:r>
        <w:rPr>
          <w:rFonts w:ascii="Arial" w:cs="Arial" w:eastAsia="Arial" w:hAnsi="Arial"/>
          <w:sz w:val="14"/>
          <w:szCs w:val="14"/>
          <w:color w:val="191919"/>
        </w:rPr>
        <w:t>é</w:t>
      </w:r>
      <w:r>
        <w:rPr>
          <w:rFonts w:ascii="PMingLiU" w:cs="PMingLiU" w:eastAsia="PMingLiU" w:hAnsi="PMingLiU"/>
          <w:sz w:val="14"/>
          <w:szCs w:val="14"/>
          <w:color w:val="191919"/>
        </w:rPr>
        <w:t></w:t>
      </w:r>
      <w:r>
        <w:rPr>
          <w:rFonts w:ascii="Arial" w:cs="Arial" w:eastAsia="Arial" w:hAnsi="Arial"/>
          <w:sz w:val="14"/>
          <w:szCs w:val="14"/>
          <w:color w:val="191919"/>
        </w:rPr>
        <w:t xml:space="preserve">ä«ËÄ «Ä </w:t>
      </w:r>
      <w:r>
        <w:rPr>
          <w:rFonts w:ascii="PMingLiU" w:cs="PMingLiU" w:eastAsia="PMingLiU" w:hAnsi="PMingLiU"/>
          <w:sz w:val="14"/>
          <w:szCs w:val="14"/>
          <w:color w:val="191919"/>
        </w:rPr>
        <w:t></w:t>
      </w:r>
      <w:r>
        <w:rPr>
          <w:rFonts w:ascii="Arial" w:cs="Arial" w:eastAsia="Arial" w:hAnsi="Arial"/>
          <w:sz w:val="14"/>
          <w:szCs w:val="14"/>
          <w:color w:val="191919"/>
        </w:rPr>
        <w:t>ËÙÖËÙ</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ǥõ«</w:t>
      </w:r>
      <w:r>
        <w:rPr>
          <w:rFonts w:ascii="PMingLiU" w:cs="PMingLiU" w:eastAsia="PMingLiU" w:hAnsi="PMingLiU"/>
          <w:sz w:val="14"/>
          <w:szCs w:val="14"/>
          <w:color w:val="191919"/>
        </w:rPr>
        <w:t></w:t>
      </w:r>
      <w:r>
        <w:rPr>
          <w:rFonts w:ascii="Arial" w:cs="Arial" w:eastAsia="Arial" w:hAnsi="Arial"/>
          <w:sz w:val="14"/>
          <w:szCs w:val="14"/>
          <w:color w:val="191919"/>
        </w:rPr>
        <w:t xml:space="preserve"> Ã</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 «Ää</w:t>
      </w:r>
      <w:r>
        <w:rPr>
          <w:rFonts w:ascii="PMingLiU" w:cs="PMingLiU" w:eastAsia="PMingLiU" w:hAnsi="PMingLiU"/>
          <w:sz w:val="14"/>
          <w:szCs w:val="14"/>
          <w:color w:val="191919"/>
        </w:rPr>
        <w:t></w:t>
      </w:r>
      <w:r>
        <w:rPr>
          <w:rFonts w:ascii="Arial" w:cs="Arial" w:eastAsia="Arial" w:hAnsi="Arial"/>
          <w:sz w:val="14"/>
          <w:szCs w:val="14"/>
          <w:color w:val="191919"/>
        </w:rPr>
        <w:t xml:space="preserve">ÄÝ«äûǏ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 </w:t>
      </w:r>
      <w:r>
        <w:rPr>
          <w:rFonts w:ascii="Arial" w:cs="Arial" w:eastAsia="Arial" w:hAnsi="Arial"/>
          <w:sz w:val="14"/>
          <w:szCs w:val="14"/>
          <w:color w:val="191919"/>
        </w:rPr>
        <w:t xml:space="preserve"> ƑƋȐ äË ƒƋȐ Ù</w:t>
      </w:r>
      <w:r>
        <w:rPr>
          <w:rFonts w:ascii="PMingLiU" w:cs="PMingLiU" w:eastAsia="PMingLiU" w:hAnsi="PMingLiU"/>
          <w:sz w:val="14"/>
          <w:szCs w:val="14"/>
          <w:color w:val="191919"/>
        </w:rPr>
        <w:t></w:t>
      </w:r>
      <w:r>
        <w:rPr>
          <w:rFonts w:ascii="Arial" w:cs="Arial" w:eastAsia="Arial" w:hAnsi="Arial"/>
          <w:sz w:val="14"/>
          <w:szCs w:val="14"/>
          <w:color w:val="191919"/>
        </w:rPr>
        <w:t>é</w:t>
      </w:r>
      <w:r>
        <w:rPr>
          <w:rFonts w:ascii="PMingLiU" w:cs="PMingLiU" w:eastAsia="PMingLiU" w:hAnsi="PMingLiU"/>
          <w:sz w:val="14"/>
          <w:szCs w:val="14"/>
          <w:color w:val="191919"/>
        </w:rPr>
        <w:t></w:t>
      </w:r>
      <w:r>
        <w:rPr>
          <w:rFonts w:ascii="Arial" w:cs="Arial" w:eastAsia="Arial" w:hAnsi="Arial"/>
          <w:sz w:val="14"/>
          <w:szCs w:val="14"/>
          <w:color w:val="191919"/>
        </w:rPr>
        <w:t xml:space="preserve">ä«ËÄ «Ä </w:t>
      </w:r>
      <w:r>
        <w:rPr>
          <w:rFonts w:ascii="PMingLiU" w:cs="PMingLiU" w:eastAsia="PMingLiU" w:hAnsi="PMingLiU"/>
          <w:sz w:val="14"/>
          <w:szCs w:val="14"/>
          <w:color w:val="191919"/>
        </w:rPr>
        <w:t></w:t>
      </w:r>
      <w:r>
        <w:rPr>
          <w:rFonts w:ascii="Arial" w:cs="Arial" w:eastAsia="Arial" w:hAnsi="Arial"/>
          <w:sz w:val="14"/>
          <w:szCs w:val="14"/>
          <w:color w:val="191919"/>
        </w:rPr>
        <w:t>ËÙÖËÙ</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ǥõ«</w:t>
      </w:r>
      <w:r>
        <w:rPr>
          <w:rFonts w:ascii="PMingLiU" w:cs="PMingLiU" w:eastAsia="PMingLiU" w:hAnsi="PMingLiU"/>
          <w:sz w:val="14"/>
          <w:szCs w:val="14"/>
          <w:color w:val="191919"/>
        </w:rPr>
        <w:t></w:t>
      </w:r>
      <w:r>
        <w:rPr>
          <w:rFonts w:ascii="Arial" w:cs="Arial" w:eastAsia="Arial" w:hAnsi="Arial"/>
          <w:sz w:val="14"/>
          <w:szCs w:val="14"/>
          <w:color w:val="191919"/>
        </w:rPr>
        <w:t xml:space="preserve"> ¢½</w:t>
      </w:r>
      <w:r>
        <w:rPr>
          <w:rFonts w:ascii="PMingLiU" w:cs="PMingLiU" w:eastAsia="PMingLiU" w:hAnsi="PMingLiU"/>
          <w:sz w:val="14"/>
          <w:szCs w:val="14"/>
          <w:color w:val="191919"/>
        </w:rPr>
        <w:t></w:t>
      </w:r>
      <w:r>
        <w:rPr>
          <w:rFonts w:ascii="Arial" w:cs="Arial" w:eastAsia="Arial" w:hAnsi="Arial"/>
          <w:sz w:val="14"/>
          <w:szCs w:val="14"/>
          <w:color w:val="191919"/>
        </w:rPr>
        <w:t>Ù«Ä£ «Ää</w:t>
      </w:r>
      <w:r>
        <w:rPr>
          <w:rFonts w:ascii="PMingLiU" w:cs="PMingLiU" w:eastAsia="PMingLiU" w:hAnsi="PMingLiU"/>
          <w:sz w:val="14"/>
          <w:szCs w:val="14"/>
          <w:color w:val="191919"/>
        </w:rPr>
        <w:t></w:t>
      </w:r>
      <w:r>
        <w:rPr>
          <w:rFonts w:ascii="Arial" w:cs="Arial" w:eastAsia="Arial" w:hAnsi="Arial"/>
          <w:sz w:val="14"/>
          <w:szCs w:val="14"/>
          <w:color w:val="191919"/>
        </w:rPr>
        <w:t xml:space="preserve">ÄÝ«äû </w:t>
      </w:r>
      <w:r>
        <w:rPr>
          <w:rFonts w:ascii="PMingLiU" w:cs="PMingLiU" w:eastAsia="PMingLiU" w:hAnsi="PMingLiU"/>
          <w:sz w:val="14"/>
          <w:szCs w:val="14"/>
          <w:color w:val="191919"/>
        </w:rPr>
        <w:t></w:t>
      </w:r>
      <w:r>
        <w:rPr>
          <w:rFonts w:ascii="Arial" w:cs="Arial" w:eastAsia="Arial" w:hAnsi="Arial"/>
          <w:sz w:val="14"/>
          <w:szCs w:val="14"/>
          <w:color w:val="191919"/>
        </w:rPr>
        <w:t>ËÃÖ</w:t>
      </w:r>
      <w:r>
        <w:rPr>
          <w:rFonts w:ascii="PMingLiU" w:cs="PMingLiU" w:eastAsia="PMingLiU" w:hAnsi="PMingLiU"/>
          <w:sz w:val="14"/>
          <w:szCs w:val="14"/>
          <w:color w:val="191919"/>
        </w:rPr>
        <w:t></w:t>
      </w:r>
      <w:r>
        <w:rPr>
          <w:rFonts w:ascii="Arial" w:cs="Arial" w:eastAsia="Arial" w:hAnsi="Arial"/>
          <w:sz w:val="14"/>
          <w:szCs w:val="14"/>
          <w:color w:val="191919"/>
        </w:rPr>
        <w:t>Ù</w:t>
      </w:r>
      <w:r>
        <w:rPr>
          <w:rFonts w:ascii="PMingLiU" w:cs="PMingLiU" w:eastAsia="PMingLiU" w:hAnsi="PMingLiU"/>
          <w:sz w:val="14"/>
          <w:szCs w:val="14"/>
          <w:color w:val="191919"/>
        </w:rPr>
        <w:t></w:t>
      </w:r>
      <w:r>
        <w:rPr>
          <w:rFonts w:ascii="Arial" w:cs="Arial" w:eastAsia="Arial" w:hAnsi="Arial"/>
          <w:sz w:val="14"/>
          <w:szCs w:val="14"/>
          <w:color w:val="191919"/>
        </w:rPr>
        <w:t xml:space="preserve"> äË ƍƋƌƑǔ T½</w:t>
      </w:r>
      <w:r>
        <w:rPr>
          <w:rFonts w:ascii="PMingLiU" w:cs="PMingLiU" w:eastAsia="PMingLiU" w:hAnsi="PMingLiU"/>
          <w:sz w:val="14"/>
          <w:szCs w:val="14"/>
          <w:color w:val="191919"/>
        </w:rPr>
        <w:t></w:t>
      </w:r>
      <w:r>
        <w:rPr>
          <w:rFonts w:ascii="Arial" w:cs="Arial" w:eastAsia="Arial" w:hAnsi="Arial"/>
          <w:sz w:val="14"/>
          <w:szCs w:val="14"/>
          <w:color w:val="191919"/>
        </w:rPr>
        <w:t xml:space="preserve">ÄÝ </w:t>
      </w:r>
      <w:r>
        <w:rPr>
          <w:rFonts w:ascii="PMingLiU" w:cs="PMingLiU" w:eastAsia="PMingLiU" w:hAnsi="PMingLiU"/>
          <w:sz w:val="14"/>
          <w:szCs w:val="14"/>
          <w:color w:val="191919"/>
        </w:rPr>
        <w:t></w:t>
      </w:r>
      <w:r>
        <w:rPr>
          <w:rFonts w:ascii="Arial" w:cs="Arial" w:eastAsia="Arial" w:hAnsi="Arial"/>
          <w:sz w:val="14"/>
          <w:szCs w:val="14"/>
          <w:color w:val="191919"/>
        </w:rPr>
        <w:t>Ëô</w:t>
      </w:r>
      <w:r>
        <w:rPr>
          <w:rFonts w:ascii="PMingLiU" w:cs="PMingLiU" w:eastAsia="PMingLiU" w:hAnsi="PMingLiU"/>
          <w:sz w:val="14"/>
          <w:szCs w:val="14"/>
          <w:color w:val="191919"/>
        </w:rPr>
        <w:t></w:t>
      </w:r>
      <w:r>
        <w:rPr>
          <w:rFonts w:ascii="Arial" w:cs="Arial" w:eastAsia="Arial" w:hAnsi="Arial"/>
          <w:sz w:val="14"/>
          <w:szCs w:val="14"/>
          <w:color w:val="191919"/>
        </w:rPr>
        <w:t>Ù [</w:t>
      </w:r>
      <w:r>
        <w:rPr>
          <w:rFonts w:ascii="PMingLiU" w:cs="PMingLiU" w:eastAsia="PMingLiU" w:hAnsi="PMingLiU"/>
          <w:sz w:val="14"/>
          <w:szCs w:val="14"/>
          <w:color w:val="191919"/>
        </w:rPr>
        <w:t></w:t>
      </w:r>
      <w:r>
        <w:rPr>
          <w:rFonts w:ascii="Arial" w:cs="Arial" w:eastAsia="Arial" w:hAnsi="Arial"/>
          <w:sz w:val="14"/>
          <w:szCs w:val="14"/>
          <w:color w:val="191919"/>
        </w:rPr>
        <w:t>ËÖ</w:t>
      </w:r>
      <w:r>
        <w:rPr>
          <w:rFonts w:ascii="PMingLiU" w:cs="PMingLiU" w:eastAsia="PMingLiU" w:hAnsi="PMingLiU"/>
          <w:sz w:val="14"/>
          <w:szCs w:val="14"/>
          <w:color w:val="191919"/>
        </w:rPr>
        <w:t></w:t>
      </w:r>
      <w:r>
        <w:rPr>
          <w:rFonts w:ascii="Arial" w:cs="Arial" w:eastAsia="Arial" w:hAnsi="Arial"/>
          <w:sz w:val="14"/>
          <w:szCs w:val="14"/>
          <w:color w:val="191919"/>
        </w:rPr>
        <w:t xml:space="preserve"> ƌ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 xml:space="preserve"> [</w:t>
      </w:r>
      <w:r>
        <w:rPr>
          <w:rFonts w:ascii="PMingLiU" w:cs="PMingLiU" w:eastAsia="PMingLiU" w:hAnsi="PMingLiU"/>
          <w:sz w:val="14"/>
          <w:szCs w:val="14"/>
          <w:color w:val="191919"/>
        </w:rPr>
        <w:t></w:t>
      </w:r>
      <w:r>
        <w:rPr>
          <w:rFonts w:ascii="Arial" w:cs="Arial" w:eastAsia="Arial" w:hAnsi="Arial"/>
          <w:sz w:val="14"/>
          <w:szCs w:val="14"/>
          <w:color w:val="191919"/>
        </w:rPr>
        <w:t>ËÖ</w:t>
      </w:r>
      <w:r>
        <w:rPr>
          <w:rFonts w:ascii="PMingLiU" w:cs="PMingLiU" w:eastAsia="PMingLiU" w:hAnsi="PMingLiU"/>
          <w:sz w:val="14"/>
          <w:szCs w:val="14"/>
          <w:color w:val="191919"/>
        </w:rPr>
        <w:t></w:t>
      </w:r>
      <w:r>
        <w:rPr>
          <w:rFonts w:ascii="Arial" w:cs="Arial" w:eastAsia="Arial" w:hAnsi="Arial"/>
          <w:sz w:val="14"/>
          <w:szCs w:val="14"/>
          <w:color w:val="191919"/>
        </w:rPr>
        <w:t xml:space="preserve"> ƍ </w:t>
      </w:r>
      <w:r>
        <w:rPr>
          <w:rFonts w:ascii="PMingLiU" w:cs="PMingLiU" w:eastAsia="PMingLiU" w:hAnsi="PMingLiU"/>
          <w:sz w:val="14"/>
          <w:szCs w:val="14"/>
          <w:color w:val="191919"/>
        </w:rPr>
        <w:t></w:t>
      </w:r>
      <w:r>
        <w:rPr>
          <w:rFonts w:ascii="Arial" w:cs="Arial" w:eastAsia="Arial" w:hAnsi="Arial"/>
          <w:sz w:val="14"/>
          <w:szCs w:val="14"/>
          <w:color w:val="191919"/>
        </w:rPr>
        <w:t xml:space="preserve">Ã«ÝÝ«ËÄÝ ¢ËÙ </w:t>
      </w:r>
      <w:r>
        <w:rPr>
          <w:rFonts w:ascii="PMingLiU" w:cs="PMingLiU" w:eastAsia="PMingLiU" w:hAnsi="PMingLiU"/>
          <w:sz w:val="14"/>
          <w:szCs w:val="14"/>
          <w:color w:val="191919"/>
        </w:rPr>
        <w:t></w:t>
      </w:r>
      <w:r>
        <w:rPr>
          <w:rFonts w:ascii="Arial" w:cs="Arial" w:eastAsia="Arial" w:hAnsi="Arial"/>
          <w:sz w:val="14"/>
          <w:szCs w:val="14"/>
          <w:color w:val="191919"/>
        </w:rPr>
        <w:t>ÝÝ</w:t>
      </w:r>
      <w:r>
        <w:rPr>
          <w:rFonts w:ascii="PMingLiU" w:cs="PMingLiU" w:eastAsia="PMingLiU" w:hAnsi="PMingLiU"/>
          <w:sz w:val="14"/>
          <w:szCs w:val="14"/>
          <w:color w:val="191919"/>
        </w:rPr>
        <w:t></w:t>
      </w:r>
      <w:r>
        <w:rPr>
          <w:rFonts w:ascii="Arial" w:cs="Arial" w:eastAsia="Arial" w:hAnsi="Arial"/>
          <w:sz w:val="14"/>
          <w:szCs w:val="14"/>
          <w:color w:val="191919"/>
        </w:rPr>
        <w:t>äÝ ËÖ</w:t>
      </w:r>
      <w:r>
        <w:rPr>
          <w:rFonts w:ascii="PMingLiU" w:cs="PMingLiU" w:eastAsia="PMingLiU" w:hAnsi="PMingLiU"/>
          <w:sz w:val="14"/>
          <w:szCs w:val="14"/>
          <w:color w:val="191919"/>
        </w:rPr>
        <w:t></w:t>
      </w:r>
      <w:r>
        <w:rPr>
          <w:rFonts w:ascii="Arial" w:cs="Arial" w:eastAsia="Arial" w:hAnsi="Arial"/>
          <w:sz w:val="14"/>
          <w:szCs w:val="14"/>
          <w:color w:val="191919"/>
        </w:rPr>
        <w:t>Ù</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 </w:t>
      </w:r>
      <w:r>
        <w:rPr>
          <w:rFonts w:ascii="Arial" w:cs="Arial" w:eastAsia="Arial" w:hAnsi="Arial"/>
          <w:sz w:val="14"/>
          <w:szCs w:val="14"/>
          <w:color w:val="191919"/>
        </w:rPr>
        <w:t>û ä¨</w:t>
      </w:r>
      <w:r>
        <w:rPr>
          <w:rFonts w:ascii="PMingLiU" w:cs="PMingLiU" w:eastAsia="PMingLiU" w:hAnsi="PMingLiU"/>
          <w:sz w:val="14"/>
          <w:szCs w:val="14"/>
          <w:color w:val="191919"/>
        </w:rPr>
        <w:t> </w:t>
      </w:r>
      <w:r>
        <w:rPr>
          <w:rFonts w:ascii="Arial" w:cs="Arial" w:eastAsia="Arial" w:hAnsi="Arial"/>
          <w:sz w:val="14"/>
          <w:szCs w:val="14"/>
          <w:color w:val="191919"/>
        </w:rPr>
        <w:t>ËÃÖ</w:t>
      </w:r>
      <w:r>
        <w:rPr>
          <w:rFonts w:ascii="PMingLiU" w:cs="PMingLiU" w:eastAsia="PMingLiU" w:hAnsi="PMingLiU"/>
          <w:sz w:val="14"/>
          <w:szCs w:val="14"/>
          <w:color w:val="191919"/>
        </w:rPr>
        <w:t></w:t>
      </w:r>
      <w:r>
        <w:rPr>
          <w:rFonts w:ascii="Arial" w:cs="Arial" w:eastAsia="Arial" w:hAnsi="Arial"/>
          <w:sz w:val="14"/>
          <w:szCs w:val="14"/>
          <w:color w:val="191919"/>
        </w:rPr>
        <w:t>Äûǔ b¨</w:t>
      </w:r>
      <w:r>
        <w:rPr>
          <w:rFonts w:ascii="PMingLiU" w:cs="PMingLiU" w:eastAsia="PMingLiU" w:hAnsi="PMingLiU"/>
          <w:sz w:val="14"/>
          <w:szCs w:val="14"/>
          <w:color w:val="191919"/>
        </w:rPr>
        <w:t></w:t>
      </w:r>
      <w:r>
        <w:rPr>
          <w:rFonts w:ascii="Arial" w:cs="Arial" w:eastAsia="Arial" w:hAnsi="Arial"/>
          <w:sz w:val="14"/>
          <w:szCs w:val="14"/>
          <w:color w:val="191919"/>
        </w:rPr>
        <w:t>Ý</w:t>
      </w:r>
      <w:r>
        <w:rPr>
          <w:rFonts w:ascii="PMingLiU" w:cs="PMingLiU" w:eastAsia="PMingLiU" w:hAnsi="PMingLiU"/>
          <w:sz w:val="14"/>
          <w:szCs w:val="14"/>
          <w:color w:val="191919"/>
        </w:rPr>
        <w:t></w:t>
      </w:r>
      <w:r>
        <w:rPr>
          <w:rFonts w:ascii="Arial" w:cs="Arial" w:eastAsia="Arial" w:hAnsi="Arial"/>
          <w:sz w:val="14"/>
          <w:szCs w:val="14"/>
          <w:color w:val="191919"/>
        </w:rPr>
        <w:t xml:space="preserve"> Ö½</w:t>
      </w:r>
      <w:r>
        <w:rPr>
          <w:rFonts w:ascii="PMingLiU" w:cs="PMingLiU" w:eastAsia="PMingLiU" w:hAnsi="PMingLiU"/>
          <w:sz w:val="14"/>
          <w:szCs w:val="14"/>
          <w:color w:val="191919"/>
        </w:rPr>
        <w:t></w:t>
      </w:r>
      <w:r>
        <w:rPr>
          <w:rFonts w:ascii="Arial" w:cs="Arial" w:eastAsia="Arial" w:hAnsi="Arial"/>
          <w:sz w:val="14"/>
          <w:szCs w:val="14"/>
          <w:color w:val="191919"/>
        </w:rPr>
        <w:t xml:space="preserve">ÄÝ </w:t>
      </w:r>
      <w:r>
        <w:rPr>
          <w:rFonts w:ascii="PMingLiU" w:cs="PMingLiU" w:eastAsia="PMingLiU" w:hAnsi="PMingLiU"/>
          <w:sz w:val="14"/>
          <w:szCs w:val="14"/>
          <w:color w:val="191919"/>
        </w:rPr>
        <w:t></w:t>
      </w:r>
      <w:r>
        <w:rPr>
          <w:rFonts w:ascii="Arial" w:cs="Arial" w:eastAsia="Arial" w:hAnsi="Arial"/>
          <w:sz w:val="14"/>
          <w:szCs w:val="14"/>
          <w:color w:val="191919"/>
        </w:rPr>
        <w:t>ú</w:t>
      </w:r>
      <w:r>
        <w:rPr>
          <w:rFonts w:ascii="PMingLiU" w:cs="PMingLiU" w:eastAsia="PMingLiU" w:hAnsi="PMingLiU"/>
          <w:sz w:val="14"/>
          <w:szCs w:val="14"/>
          <w:color w:val="191919"/>
        </w:rPr>
        <w:t></w:t>
      </w:r>
      <w:r>
        <w:rPr>
          <w:rFonts w:ascii="Arial" w:cs="Arial" w:eastAsia="Arial" w:hAnsi="Arial"/>
          <w:sz w:val="14"/>
          <w:szCs w:val="14"/>
          <w:color w:val="191919"/>
        </w:rPr>
        <w:t>½é</w:t>
      </w:r>
      <w:r>
        <w:rPr>
          <w:rFonts w:ascii="PMingLiU" w:cs="PMingLiU" w:eastAsia="PMingLiU" w:hAnsi="PMingLiU"/>
          <w:sz w:val="14"/>
          <w:szCs w:val="14"/>
          <w:color w:val="191919"/>
        </w:rPr>
        <w:t></w:t>
      </w:r>
      <w:r>
        <w:rPr>
          <w:rFonts w:ascii="Arial" w:cs="Arial" w:eastAsia="Arial" w:hAnsi="Arial"/>
          <w:sz w:val="14"/>
          <w:szCs w:val="14"/>
          <w:color w:val="191919"/>
        </w:rPr>
        <w:t xml:space="preserve"> ËéÙ Ù</w:t>
      </w:r>
      <w:r>
        <w:rPr>
          <w:rFonts w:ascii="PMingLiU" w:cs="PMingLiU" w:eastAsia="PMingLiU" w:hAnsi="PMingLiU"/>
          <w:sz w:val="14"/>
          <w:szCs w:val="14"/>
          <w:color w:val="191919"/>
        </w:rPr>
        <w:t></w:t>
      </w:r>
      <w:r>
        <w:rPr>
          <w:rFonts w:ascii="Arial" w:cs="Arial" w:eastAsia="Arial" w:hAnsi="Arial"/>
          <w:sz w:val="14"/>
          <w:szCs w:val="14"/>
          <w:color w:val="191919"/>
        </w:rPr>
        <w:t xml:space="preserve">Ää </w:t>
      </w:r>
      <w:r>
        <w:rPr>
          <w:rFonts w:ascii="PMingLiU" w:cs="PMingLiU" w:eastAsia="PMingLiU" w:hAnsi="PMingLiU"/>
          <w:sz w:val="14"/>
          <w:szCs w:val="14"/>
          <w:color w:val="191919"/>
        </w:rPr>
        <w:t></w:t>
      </w:r>
      <w:r>
        <w:rPr>
          <w:rFonts w:ascii="Arial" w:cs="Arial" w:eastAsia="Arial" w:hAnsi="Arial"/>
          <w:sz w:val="14"/>
          <w:szCs w:val="14"/>
          <w:color w:val="191919"/>
        </w:rPr>
        <w:t xml:space="preserve">Øé«Ý«ä«ËÄ Ë¢ </w:t>
      </w:r>
      <w:r>
        <w:rPr>
          <w:rFonts w:ascii="PMingLiU" w:cs="PMingLiU" w:eastAsia="PMingLiU" w:hAnsi="PMingLiU"/>
          <w:sz w:val="14"/>
          <w:szCs w:val="14"/>
          <w:color w:val="191919"/>
        </w:rPr>
        <w:t></w:t>
      </w:r>
      <w:r>
        <w:rPr>
          <w:rFonts w:ascii="Arial" w:cs="Arial" w:eastAsia="Arial" w:hAnsi="Arial"/>
          <w:sz w:val="14"/>
          <w:szCs w:val="14"/>
          <w:color w:val="191919"/>
        </w:rPr>
        <w:t>Ä</w:t>
      </w:r>
      <w:r>
        <w:rPr>
          <w:rFonts w:ascii="PMingLiU" w:cs="PMingLiU" w:eastAsia="PMingLiU" w:hAnsi="PMingLiU"/>
          <w:sz w:val="14"/>
          <w:szCs w:val="14"/>
          <w:color w:val="191919"/>
        </w:rPr>
        <w:t></w:t>
      </w:r>
      <w:r>
        <w:rPr>
          <w:rFonts w:ascii="Arial" w:cs="Arial" w:eastAsia="Arial" w:hAnsi="Arial"/>
          <w:sz w:val="14"/>
          <w:szCs w:val="14"/>
          <w:color w:val="191919"/>
        </w:rPr>
        <w:t>éÙû -Ä</w:t>
      </w:r>
      <w:r>
        <w:rPr>
          <w:rFonts w:ascii="PMingLiU" w:cs="PMingLiU" w:eastAsia="PMingLiU" w:hAnsi="PMingLiU"/>
          <w:sz w:val="14"/>
          <w:szCs w:val="14"/>
          <w:color w:val="191919"/>
        </w:rPr>
        <w:t></w:t>
      </w:r>
      <w:r>
        <w:rPr>
          <w:rFonts w:ascii="Arial" w:cs="Arial" w:eastAsia="Arial" w:hAnsi="Arial"/>
          <w:sz w:val="14"/>
          <w:szCs w:val="14"/>
          <w:color w:val="191919"/>
        </w:rPr>
        <w:t>ǔ</w:t>
      </w:r>
    </w:p>
    <w:p>
      <w:pPr>
        <w:spacing w:after="0" w:line="71" w:lineRule="exact"/>
        <w:rPr>
          <w:sz w:val="20"/>
          <w:szCs w:val="20"/>
          <w:color w:val="auto"/>
        </w:rPr>
      </w:pPr>
    </w:p>
    <w:p>
      <w:pPr>
        <w:ind w:left="2" w:right="500"/>
        <w:spacing w:after="0" w:line="169" w:lineRule="exact"/>
        <w:rPr>
          <w:sz w:val="20"/>
          <w:szCs w:val="20"/>
          <w:color w:val="auto"/>
        </w:rPr>
      </w:pPr>
      <w:r>
        <w:rPr>
          <w:rFonts w:ascii="Arial" w:cs="Arial" w:eastAsia="Arial" w:hAnsi="Arial"/>
          <w:sz w:val="15"/>
          <w:szCs w:val="15"/>
          <w:color w:val="191919"/>
          <w:vertAlign w:val="superscript"/>
        </w:rPr>
        <w:t>Ɛ</w:t>
      </w:r>
      <w:r>
        <w:rPr>
          <w:rFonts w:ascii="Arial" w:cs="Arial" w:eastAsia="Arial" w:hAnsi="Arial"/>
          <w:sz w:val="13"/>
          <w:szCs w:val="13"/>
          <w:color w:val="191919"/>
        </w:rPr>
        <w:t>&lt;Ëõ</w:t>
      </w:r>
      <w:r>
        <w:rPr>
          <w:rFonts w:ascii="PMingLiU" w:cs="PMingLiU" w:eastAsia="PMingLiU" w:hAnsi="PMingLiU"/>
          <w:sz w:val="13"/>
          <w:szCs w:val="13"/>
          <w:color w:val="191919"/>
        </w:rPr>
        <w:t></w:t>
      </w:r>
      <w:r>
        <w:rPr>
          <w:rFonts w:ascii="Arial" w:cs="Arial" w:eastAsia="Arial" w:hAnsi="Arial"/>
          <w:sz w:val="13"/>
          <w:szCs w:val="13"/>
          <w:color w:val="191919"/>
        </w:rPr>
        <w:t>Ùǥ</w:t>
      </w:r>
      <w:r>
        <w:rPr>
          <w:rFonts w:ascii="PMingLiU" w:cs="PMingLiU" w:eastAsia="PMingLiU" w:hAnsi="PMingLiU"/>
          <w:sz w:val="13"/>
          <w:szCs w:val="13"/>
          <w:color w:val="191919"/>
        </w:rPr>
        <w:t></w:t>
      </w:r>
      <w:r>
        <w:rPr>
          <w:rFonts w:ascii="Arial" w:cs="Arial" w:eastAsia="Arial" w:hAnsi="Arial"/>
          <w:sz w:val="13"/>
          <w:szCs w:val="13"/>
          <w:color w:val="191919"/>
        </w:rPr>
        <w:t>Ã«ÝÝ«ËÄ «Äô</w:t>
      </w:r>
      <w:r>
        <w:rPr>
          <w:rFonts w:ascii="PMingLiU" w:cs="PMingLiU" w:eastAsia="PMingLiU" w:hAnsi="PMingLiU"/>
          <w:sz w:val="13"/>
          <w:szCs w:val="13"/>
          <w:color w:val="191919"/>
        </w:rPr>
        <w:t></w:t>
      </w:r>
      <w:r>
        <w:rPr>
          <w:rFonts w:ascii="Arial" w:cs="Arial" w:eastAsia="Arial" w:hAnsi="Arial"/>
          <w:sz w:val="13"/>
          <w:szCs w:val="13"/>
          <w:color w:val="191919"/>
        </w:rPr>
        <w:t>ÝäÃ</w:t>
      </w:r>
      <w:r>
        <w:rPr>
          <w:rFonts w:ascii="PMingLiU" w:cs="PMingLiU" w:eastAsia="PMingLiU" w:hAnsi="PMingLiU"/>
          <w:sz w:val="13"/>
          <w:szCs w:val="13"/>
          <w:color w:val="191919"/>
        </w:rPr>
        <w:t></w:t>
      </w:r>
      <w:r>
        <w:rPr>
          <w:rFonts w:ascii="Arial" w:cs="Arial" w:eastAsia="Arial" w:hAnsi="Arial"/>
          <w:sz w:val="13"/>
          <w:szCs w:val="13"/>
          <w:color w:val="191919"/>
        </w:rPr>
        <w:t xml:space="preserve">Ää ÖËÙä¢Ë½«Ë </w:t>
      </w:r>
      <w:r>
        <w:rPr>
          <w:rFonts w:ascii="PMingLiU" w:cs="PMingLiU" w:eastAsia="PMingLiU" w:hAnsi="PMingLiU"/>
          <w:sz w:val="13"/>
          <w:szCs w:val="13"/>
          <w:color w:val="191919"/>
        </w:rPr>
        <w:t></w:t>
      </w:r>
      <w:r>
        <w:rPr>
          <w:rFonts w:ascii="Arial" w:cs="Arial" w:eastAsia="Arial" w:hAnsi="Arial"/>
          <w:sz w:val="13"/>
          <w:szCs w:val="13"/>
          <w:color w:val="191919"/>
        </w:rPr>
        <w:t>½«ô</w:t>
      </w:r>
      <w:r>
        <w:rPr>
          <w:rFonts w:ascii="PMingLiU" w:cs="PMingLiU" w:eastAsia="PMingLiU" w:hAnsi="PMingLiU"/>
          <w:sz w:val="13"/>
          <w:szCs w:val="13"/>
          <w:color w:val="191919"/>
        </w:rPr>
        <w:t></w:t>
      </w:r>
      <w:r>
        <w:rPr>
          <w:rFonts w:ascii="Arial" w:cs="Arial" w:eastAsia="Arial" w:hAnsi="Arial"/>
          <w:sz w:val="13"/>
          <w:szCs w:val="13"/>
          <w:color w:val="191919"/>
        </w:rPr>
        <w:t>ÙÝ ǾƌƐȐ Ù</w:t>
      </w:r>
      <w:r>
        <w:rPr>
          <w:rFonts w:ascii="PMingLiU" w:cs="PMingLiU" w:eastAsia="PMingLiU" w:hAnsi="PMingLiU"/>
          <w:sz w:val="13"/>
          <w:szCs w:val="13"/>
          <w:color w:val="191919"/>
        </w:rPr>
        <w:t></w:t>
      </w:r>
      <w:r>
        <w:rPr>
          <w:rFonts w:ascii="Arial" w:cs="Arial" w:eastAsia="Arial" w:hAnsi="Arial"/>
          <w:sz w:val="13"/>
          <w:szCs w:val="13"/>
          <w:color w:val="191919"/>
        </w:rPr>
        <w:t xml:space="preserve">äéÙÄ ËÄ </w:t>
      </w:r>
      <w:r>
        <w:rPr>
          <w:rFonts w:ascii="PMingLiU" w:cs="PMingLiU" w:eastAsia="PMingLiU" w:hAnsi="PMingLiU"/>
          <w:sz w:val="13"/>
          <w:szCs w:val="13"/>
          <w:color w:val="191919"/>
        </w:rPr>
        <w:t> </w:t>
      </w:r>
      <w:r>
        <w:rPr>
          <w:rFonts w:ascii="Arial" w:cs="Arial" w:eastAsia="Arial" w:hAnsi="Arial"/>
          <w:sz w:val="13"/>
          <w:szCs w:val="13"/>
          <w:color w:val="191919"/>
        </w:rPr>
        <w:t>Ö«ä</w:t>
      </w:r>
      <w:r>
        <w:rPr>
          <w:rFonts w:ascii="PMingLiU" w:cs="PMingLiU" w:eastAsia="PMingLiU" w:hAnsi="PMingLiU"/>
          <w:sz w:val="13"/>
          <w:szCs w:val="13"/>
          <w:color w:val="191919"/>
        </w:rPr>
        <w:t></w:t>
      </w:r>
      <w:r>
        <w:rPr>
          <w:rFonts w:ascii="Arial" w:cs="Arial" w:eastAsia="Arial" w:hAnsi="Arial"/>
          <w:sz w:val="13"/>
          <w:szCs w:val="13"/>
          <w:color w:val="191919"/>
        </w:rPr>
        <w:t>½ǥõ</w:t>
      </w:r>
      <w:r>
        <w:rPr>
          <w:rFonts w:ascii="PMingLiU" w:cs="PMingLiU" w:eastAsia="PMingLiU" w:hAnsi="PMingLiU"/>
          <w:sz w:val="13"/>
          <w:szCs w:val="13"/>
          <w:color w:val="191919"/>
        </w:rPr>
        <w:t></w:t>
      </w:r>
      <w:r>
        <w:rPr>
          <w:rFonts w:ascii="Arial" w:cs="Arial" w:eastAsia="Arial" w:hAnsi="Arial"/>
          <w:sz w:val="13"/>
          <w:szCs w:val="13"/>
          <w:color w:val="191919"/>
        </w:rPr>
        <w:t>«£¨ä</w:t>
      </w:r>
      <w:r>
        <w:rPr>
          <w:rFonts w:ascii="PMingLiU" w:cs="PMingLiU" w:eastAsia="PMingLiU" w:hAnsi="PMingLiU"/>
          <w:sz w:val="13"/>
          <w:szCs w:val="13"/>
          <w:color w:val="191919"/>
        </w:rPr>
        <w:t> </w:t>
      </w:r>
      <w:r>
        <w:rPr>
          <w:rFonts w:ascii="Arial" w:cs="Arial" w:eastAsia="Arial" w:hAnsi="Arial"/>
          <w:sz w:val="13"/>
          <w:szCs w:val="13"/>
          <w:color w:val="191919"/>
        </w:rPr>
        <w:t>Ý«Ý éÄ</w:t>
      </w:r>
      <w:r>
        <w:rPr>
          <w:rFonts w:ascii="PMingLiU" w:cs="PMingLiU" w:eastAsia="PMingLiU" w:hAnsi="PMingLiU"/>
          <w:sz w:val="13"/>
          <w:szCs w:val="13"/>
          <w:color w:val="191919"/>
        </w:rPr>
        <w:t></w:t>
      </w:r>
      <w:r>
        <w:rPr>
          <w:rFonts w:ascii="Arial" w:cs="Arial" w:eastAsia="Arial" w:hAnsi="Arial"/>
          <w:sz w:val="13"/>
          <w:szCs w:val="13"/>
          <w:color w:val="191919"/>
        </w:rPr>
        <w:t xml:space="preserve">Ù </w:t>
      </w:r>
      <w:r>
        <w:rPr>
          <w:rFonts w:ascii="PMingLiU" w:cs="PMingLiU" w:eastAsia="PMingLiU" w:hAnsi="PMingLiU"/>
          <w:sz w:val="13"/>
          <w:szCs w:val="13"/>
          <w:color w:val="191919"/>
        </w:rPr>
        <w:t></w:t>
      </w:r>
      <w:r>
        <w:rPr>
          <w:rFonts w:ascii="Arial" w:cs="Arial" w:eastAsia="Arial" w:hAnsi="Arial"/>
          <w:sz w:val="13"/>
          <w:szCs w:val="13"/>
          <w:color w:val="191919"/>
        </w:rPr>
        <w:t>éÙÙ</w:t>
      </w:r>
      <w:r>
        <w:rPr>
          <w:rFonts w:ascii="PMingLiU" w:cs="PMingLiU" w:eastAsia="PMingLiU" w:hAnsi="PMingLiU"/>
          <w:sz w:val="13"/>
          <w:szCs w:val="13"/>
          <w:color w:val="191919"/>
        </w:rPr>
        <w:t></w:t>
      </w:r>
      <w:r>
        <w:rPr>
          <w:rFonts w:ascii="Arial" w:cs="Arial" w:eastAsia="Arial" w:hAnsi="Arial"/>
          <w:sz w:val="13"/>
          <w:szCs w:val="13"/>
          <w:color w:val="191919"/>
        </w:rPr>
        <w:t xml:space="preserve">Ää </w:t>
      </w:r>
      <w:r>
        <w:rPr>
          <w:rFonts w:ascii="PMingLiU" w:cs="PMingLiU" w:eastAsia="PMingLiU" w:hAnsi="PMingLiU"/>
          <w:sz w:val="13"/>
          <w:szCs w:val="13"/>
          <w:color w:val="191919"/>
        </w:rPr>
        <w:t></w:t>
      </w:r>
      <w:r>
        <w:rPr>
          <w:rFonts w:ascii="Arial" w:cs="Arial" w:eastAsia="Arial" w:hAnsi="Arial"/>
          <w:sz w:val="13"/>
          <w:szCs w:val="13"/>
          <w:color w:val="191919"/>
        </w:rPr>
        <w:t>Ä</w:t>
      </w:r>
      <w:r>
        <w:rPr>
          <w:rFonts w:ascii="PMingLiU" w:cs="PMingLiU" w:eastAsia="PMingLiU" w:hAnsi="PMingLiU"/>
          <w:sz w:val="13"/>
          <w:szCs w:val="13"/>
          <w:color w:val="191919"/>
        </w:rPr>
        <w:t></w:t>
      </w:r>
      <w:r>
        <w:rPr>
          <w:rFonts w:ascii="Arial" w:cs="Arial" w:eastAsia="Arial" w:hAnsi="Arial"/>
          <w:sz w:val="13"/>
          <w:szCs w:val="13"/>
          <w:color w:val="191919"/>
        </w:rPr>
        <w:t xml:space="preserve"> ÖËä</w:t>
      </w:r>
      <w:r>
        <w:rPr>
          <w:rFonts w:ascii="PMingLiU" w:cs="PMingLiU" w:eastAsia="PMingLiU" w:hAnsi="PMingLiU"/>
          <w:sz w:val="13"/>
          <w:szCs w:val="13"/>
          <w:color w:val="191919"/>
        </w:rPr>
        <w:t></w:t>
      </w:r>
      <w:r>
        <w:rPr>
          <w:rFonts w:ascii="Arial" w:cs="Arial" w:eastAsia="Arial" w:hAnsi="Arial"/>
          <w:sz w:val="13"/>
          <w:szCs w:val="13"/>
          <w:color w:val="191919"/>
        </w:rPr>
        <w:t>Ää«</w:t>
      </w:r>
      <w:r>
        <w:rPr>
          <w:rFonts w:ascii="PMingLiU" w:cs="PMingLiU" w:eastAsia="PMingLiU" w:hAnsi="PMingLiU"/>
          <w:sz w:val="13"/>
          <w:szCs w:val="13"/>
          <w:color w:val="191919"/>
        </w:rPr>
        <w:t></w:t>
      </w:r>
      <w:r>
        <w:rPr>
          <w:rFonts w:ascii="Arial" w:cs="Arial" w:eastAsia="Arial" w:hAnsi="Arial"/>
          <w:sz w:val="13"/>
          <w:szCs w:val="13"/>
          <w:color w:val="191919"/>
        </w:rPr>
        <w:t>½ ¢éäéÙ</w:t>
      </w:r>
      <w:r>
        <w:rPr>
          <w:rFonts w:ascii="PMingLiU" w:cs="PMingLiU" w:eastAsia="PMingLiU" w:hAnsi="PMingLiU"/>
          <w:sz w:val="13"/>
          <w:szCs w:val="13"/>
          <w:color w:val="191919"/>
        </w:rPr>
        <w:t></w:t>
      </w:r>
      <w:r>
        <w:rPr>
          <w:rFonts w:ascii="Arial" w:cs="Arial" w:eastAsia="Arial" w:hAnsi="Arial"/>
          <w:sz w:val="13"/>
          <w:szCs w:val="13"/>
          <w:color w:val="191919"/>
        </w:rPr>
        <w:t xml:space="preserve"> £Ëô</w:t>
      </w:r>
      <w:r>
        <w:rPr>
          <w:rFonts w:ascii="PMingLiU" w:cs="PMingLiU" w:eastAsia="PMingLiU" w:hAnsi="PMingLiU"/>
          <w:sz w:val="13"/>
          <w:szCs w:val="13"/>
          <w:color w:val="191919"/>
        </w:rPr>
        <w:t></w:t>
      </w:r>
      <w:r>
        <w:rPr>
          <w:rFonts w:ascii="Arial" w:cs="Arial" w:eastAsia="Arial" w:hAnsi="Arial"/>
          <w:sz w:val="13"/>
          <w:szCs w:val="13"/>
          <w:color w:val="191919"/>
        </w:rPr>
        <w:t>ÙÄÃ</w:t>
      </w:r>
      <w:r>
        <w:rPr>
          <w:rFonts w:ascii="PMingLiU" w:cs="PMingLiU" w:eastAsia="PMingLiU" w:hAnsi="PMingLiU"/>
          <w:sz w:val="13"/>
          <w:szCs w:val="13"/>
          <w:color w:val="191919"/>
        </w:rPr>
        <w:t></w:t>
      </w:r>
      <w:r>
        <w:rPr>
          <w:rFonts w:ascii="Arial" w:cs="Arial" w:eastAsia="Arial" w:hAnsi="Arial"/>
          <w:sz w:val="13"/>
          <w:szCs w:val="13"/>
          <w:color w:val="191919"/>
        </w:rPr>
        <w:t>Ää ÖË½«</w:t>
      </w:r>
      <w:r>
        <w:rPr>
          <w:rFonts w:ascii="PMingLiU" w:cs="PMingLiU" w:eastAsia="PMingLiU" w:hAnsi="PMingLiU"/>
          <w:sz w:val="13"/>
          <w:szCs w:val="13"/>
          <w:color w:val="191919"/>
        </w:rPr>
        <w:t></w:t>
      </w:r>
      <w:r>
        <w:rPr>
          <w:rFonts w:ascii="Arial" w:cs="Arial" w:eastAsia="Arial" w:hAnsi="Arial"/>
          <w:sz w:val="13"/>
          <w:szCs w:val="13"/>
          <w:color w:val="191919"/>
        </w:rPr>
        <w:t>«</w:t>
      </w:r>
      <w:r>
        <w:rPr>
          <w:rFonts w:ascii="PMingLiU" w:cs="PMingLiU" w:eastAsia="PMingLiU" w:hAnsi="PMingLiU"/>
          <w:sz w:val="13"/>
          <w:szCs w:val="13"/>
          <w:color w:val="191919"/>
        </w:rPr>
        <w:t></w:t>
      </w:r>
      <w:r>
        <w:rPr>
          <w:rFonts w:ascii="Arial" w:cs="Arial" w:eastAsia="Arial" w:hAnsi="Arial"/>
          <w:sz w:val="13"/>
          <w:szCs w:val="13"/>
          <w:color w:val="191919"/>
        </w:rPr>
        <w:t xml:space="preserve">Ý </w:t>
      </w:r>
      <w:r>
        <w:rPr>
          <w:rFonts w:ascii="PMingLiU" w:cs="PMingLiU" w:eastAsia="PMingLiU" w:hAnsi="PMingLiU"/>
          <w:sz w:val="13"/>
          <w:szCs w:val="13"/>
          <w:color w:val="191919"/>
        </w:rPr>
        <w:t></w:t>
      </w:r>
      <w:r>
        <w:rPr>
          <w:rFonts w:ascii="Arial" w:cs="Arial" w:eastAsia="Arial" w:hAnsi="Arial"/>
          <w:sz w:val="13"/>
          <w:szCs w:val="13"/>
          <w:color w:val="191919"/>
        </w:rPr>
        <w:t>Ý</w:t>
      </w:r>
      <w:r>
        <w:rPr>
          <w:rFonts w:ascii="PMingLiU" w:cs="PMingLiU" w:eastAsia="PMingLiU" w:hAnsi="PMingLiU"/>
          <w:sz w:val="13"/>
          <w:szCs w:val="13"/>
          <w:color w:val="191919"/>
        </w:rPr>
        <w:t></w:t>
      </w:r>
      <w:r>
        <w:rPr>
          <w:rFonts w:ascii="Arial" w:cs="Arial" w:eastAsia="Arial" w:hAnsi="Arial"/>
          <w:sz w:val="13"/>
          <w:szCs w:val="13"/>
          <w:color w:val="191919"/>
        </w:rPr>
        <w:t xml:space="preserve"> ËÄ </w:t>
      </w:r>
      <w:r>
        <w:rPr>
          <w:rFonts w:ascii="PMingLiU" w:cs="PMingLiU" w:eastAsia="PMingLiU" w:hAnsi="PMingLiU"/>
          <w:sz w:val="13"/>
          <w:szCs w:val="13"/>
          <w:color w:val="191919"/>
        </w:rPr>
        <w:t/>
      </w:r>
      <w:r>
        <w:rPr>
          <w:rFonts w:ascii="Arial" w:cs="Arial" w:eastAsia="Arial" w:hAnsi="Arial"/>
          <w:sz w:val="13"/>
          <w:szCs w:val="13"/>
          <w:color w:val="191919"/>
        </w:rPr>
        <w:t>úúËÄBË</w:t>
      </w:r>
      <w:r>
        <w:rPr>
          <w:rFonts w:ascii="PMingLiU" w:cs="PMingLiU" w:eastAsia="PMingLiU" w:hAnsi="PMingLiU"/>
          <w:sz w:val="13"/>
          <w:szCs w:val="13"/>
          <w:color w:val="191919"/>
        </w:rPr>
        <w:t></w:t>
      </w:r>
      <w:r>
        <w:rPr>
          <w:rFonts w:ascii="Arial" w:cs="Arial" w:eastAsia="Arial" w:hAnsi="Arial"/>
          <w:sz w:val="13"/>
          <w:szCs w:val="13"/>
          <w:color w:val="191919"/>
        </w:rPr>
        <w:t>«½ ÖÙË·</w:t>
      </w:r>
      <w:r>
        <w:rPr>
          <w:rFonts w:ascii="PMingLiU" w:cs="PMingLiU" w:eastAsia="PMingLiU" w:hAnsi="PMingLiU"/>
          <w:sz w:val="13"/>
          <w:szCs w:val="13"/>
          <w:color w:val="191919"/>
        </w:rPr>
        <w:t></w:t>
      </w:r>
      <w:r>
        <w:rPr>
          <w:rFonts w:ascii="Arial" w:cs="Arial" w:eastAsia="Arial" w:hAnsi="Arial"/>
          <w:sz w:val="13"/>
          <w:szCs w:val="13"/>
          <w:color w:val="191919"/>
        </w:rPr>
        <w:t xml:space="preserve">ä«ËÄÝǔ </w:t>
      </w:r>
      <w:r>
        <w:rPr>
          <w:rFonts w:ascii="PMingLiU" w:cs="PMingLiU" w:eastAsia="PMingLiU" w:hAnsi="PMingLiU"/>
          <w:sz w:val="13"/>
          <w:szCs w:val="13"/>
          <w:color w:val="191919"/>
        </w:rPr>
        <w:t></w:t>
      </w:r>
      <w:r>
        <w:rPr>
          <w:rFonts w:ascii="Arial" w:cs="Arial" w:eastAsia="Arial" w:hAnsi="Arial"/>
          <w:sz w:val="13"/>
          <w:szCs w:val="13"/>
          <w:color w:val="191919"/>
        </w:rPr>
        <w:t>½</w:t>
      </w:r>
      <w:r>
        <w:rPr>
          <w:rFonts w:ascii="PMingLiU" w:cs="PMingLiU" w:eastAsia="PMingLiU" w:hAnsi="PMingLiU"/>
          <w:sz w:val="13"/>
          <w:szCs w:val="13"/>
          <w:color w:val="191919"/>
        </w:rPr>
        <w:t></w:t>
      </w:r>
      <w:r>
        <w:rPr>
          <w:rFonts w:ascii="Arial" w:cs="Arial" w:eastAsia="Arial" w:hAnsi="Arial"/>
          <w:sz w:val="13"/>
          <w:szCs w:val="13"/>
          <w:color w:val="191919"/>
        </w:rPr>
        <w:t>é½</w:t>
      </w:r>
      <w:r>
        <w:rPr>
          <w:rFonts w:ascii="PMingLiU" w:cs="PMingLiU" w:eastAsia="PMingLiU" w:hAnsi="PMingLiU"/>
          <w:sz w:val="13"/>
          <w:szCs w:val="13"/>
          <w:color w:val="191919"/>
        </w:rPr>
        <w:t></w:t>
      </w:r>
      <w:r>
        <w:rPr>
          <w:rFonts w:ascii="Arial" w:cs="Arial" w:eastAsia="Arial" w:hAnsi="Arial"/>
          <w:sz w:val="13"/>
          <w:szCs w:val="13"/>
          <w:color w:val="191919"/>
        </w:rPr>
        <w:t xml:space="preserve">ä«ËÄÝ </w:t>
      </w:r>
      <w:r>
        <w:rPr>
          <w:rFonts w:ascii="PMingLiU" w:cs="PMingLiU" w:eastAsia="PMingLiU" w:hAnsi="PMingLiU"/>
          <w:sz w:val="13"/>
          <w:szCs w:val="13"/>
          <w:color w:val="191919"/>
        </w:rPr>
        <w:t></w:t>
      </w:r>
      <w:r>
        <w:rPr>
          <w:rFonts w:ascii="Arial" w:cs="Arial" w:eastAsia="Arial" w:hAnsi="Arial"/>
          <w:sz w:val="13"/>
          <w:szCs w:val="13"/>
          <w:color w:val="191919"/>
        </w:rPr>
        <w:t>ú</w:t>
      </w:r>
      <w:r>
        <w:rPr>
          <w:rFonts w:ascii="PMingLiU" w:cs="PMingLiU" w:eastAsia="PMingLiU" w:hAnsi="PMingLiU"/>
          <w:sz w:val="13"/>
          <w:szCs w:val="13"/>
          <w:color w:val="191919"/>
        </w:rPr>
        <w:t></w:t>
      </w:r>
      <w:r>
        <w:rPr>
          <w:rFonts w:ascii="Arial" w:cs="Arial" w:eastAsia="Arial" w:hAnsi="Arial"/>
          <w:sz w:val="13"/>
          <w:szCs w:val="13"/>
          <w:color w:val="191919"/>
        </w:rPr>
        <w:t>½é</w:t>
      </w:r>
      <w:r>
        <w:rPr>
          <w:rFonts w:ascii="PMingLiU" w:cs="PMingLiU" w:eastAsia="PMingLiU" w:hAnsi="PMingLiU"/>
          <w:sz w:val="13"/>
          <w:szCs w:val="13"/>
          <w:color w:val="191919"/>
        </w:rPr>
        <w:t> </w:t>
      </w:r>
      <w:r>
        <w:rPr>
          <w:rFonts w:ascii="Arial" w:cs="Arial" w:eastAsia="Arial" w:hAnsi="Arial"/>
          <w:sz w:val="13"/>
          <w:szCs w:val="13"/>
          <w:color w:val="191919"/>
        </w:rPr>
        <w:t>Ö</w:t>
      </w:r>
      <w:r>
        <w:rPr>
          <w:rFonts w:ascii="PMingLiU" w:cs="PMingLiU" w:eastAsia="PMingLiU" w:hAnsi="PMingLiU"/>
          <w:sz w:val="13"/>
          <w:szCs w:val="13"/>
          <w:color w:val="191919"/>
        </w:rPr>
        <w:t></w:t>
      </w:r>
      <w:r>
        <w:rPr>
          <w:rFonts w:ascii="Arial" w:cs="Arial" w:eastAsia="Arial" w:hAnsi="Arial"/>
          <w:sz w:val="13"/>
          <w:szCs w:val="13"/>
          <w:color w:val="191919"/>
        </w:rPr>
        <w:t>ú ¢ËÙ «Ä</w:t>
      </w:r>
      <w:r>
        <w:rPr>
          <w:rFonts w:ascii="PMingLiU" w:cs="PMingLiU" w:eastAsia="PMingLiU" w:hAnsi="PMingLiU"/>
          <w:sz w:val="13"/>
          <w:szCs w:val="13"/>
          <w:color w:val="191919"/>
        </w:rPr>
        <w:t></w:t>
      </w:r>
      <w:r>
        <w:rPr>
          <w:rFonts w:ascii="Arial" w:cs="Arial" w:eastAsia="Arial" w:hAnsi="Arial"/>
          <w:sz w:val="13"/>
          <w:szCs w:val="13"/>
          <w:color w:val="191919"/>
        </w:rPr>
        <w:t>é</w:t>
      </w:r>
      <w:r>
        <w:rPr>
          <w:rFonts w:ascii="PMingLiU" w:cs="PMingLiU" w:eastAsia="PMingLiU" w:hAnsi="PMingLiU"/>
          <w:sz w:val="13"/>
          <w:szCs w:val="13"/>
          <w:color w:val="191919"/>
        </w:rPr>
        <w:t></w:t>
      </w:r>
      <w:r>
        <w:rPr>
          <w:rFonts w:ascii="Arial" w:cs="Arial" w:eastAsia="Arial" w:hAnsi="Arial"/>
          <w:sz w:val="13"/>
          <w:szCs w:val="13"/>
          <w:color w:val="191919"/>
        </w:rPr>
        <w:t>ä«Ä£ ÖÙË·</w:t>
      </w:r>
      <w:r>
        <w:rPr>
          <w:rFonts w:ascii="PMingLiU" w:cs="PMingLiU" w:eastAsia="PMingLiU" w:hAnsi="PMingLiU"/>
          <w:sz w:val="13"/>
          <w:szCs w:val="13"/>
          <w:color w:val="191919"/>
        </w:rPr>
        <w:t></w:t>
      </w:r>
      <w:r>
        <w:rPr>
          <w:rFonts w:ascii="Arial" w:cs="Arial" w:eastAsia="Arial" w:hAnsi="Arial"/>
          <w:sz w:val="13"/>
          <w:szCs w:val="13"/>
          <w:color w:val="191919"/>
        </w:rPr>
        <w:t xml:space="preserve">äÝ </w:t>
      </w:r>
      <w:r>
        <w:rPr>
          <w:rFonts w:ascii="PMingLiU" w:cs="PMingLiU" w:eastAsia="PMingLiU" w:hAnsi="PMingLiU"/>
          <w:sz w:val="13"/>
          <w:szCs w:val="13"/>
          <w:color w:val="191919"/>
        </w:rPr>
        <w:t></w:t>
      </w:r>
      <w:r>
        <w:rPr>
          <w:rFonts w:ascii="Arial" w:cs="Arial" w:eastAsia="Arial" w:hAnsi="Arial"/>
          <w:sz w:val="13"/>
          <w:szCs w:val="13"/>
          <w:color w:val="191919"/>
        </w:rPr>
        <w:t>Ý õ</w:t>
      </w:r>
      <w:r>
        <w:rPr>
          <w:rFonts w:ascii="PMingLiU" w:cs="PMingLiU" w:eastAsia="PMingLiU" w:hAnsi="PMingLiU"/>
          <w:sz w:val="13"/>
          <w:szCs w:val="13"/>
          <w:color w:val="191919"/>
        </w:rPr>
        <w:t></w:t>
      </w:r>
      <w:r>
        <w:rPr>
          <w:rFonts w:ascii="Arial" w:cs="Arial" w:eastAsia="Arial" w:hAnsi="Arial"/>
          <w:sz w:val="13"/>
          <w:szCs w:val="13"/>
          <w:color w:val="191919"/>
        </w:rPr>
        <w:t xml:space="preserve">½½ </w:t>
      </w:r>
      <w:r>
        <w:rPr>
          <w:rFonts w:ascii="PMingLiU" w:cs="PMingLiU" w:eastAsia="PMingLiU" w:hAnsi="PMingLiU"/>
          <w:sz w:val="13"/>
          <w:szCs w:val="13"/>
          <w:color w:val="191919"/>
        </w:rPr>
        <w:t></w:t>
      </w:r>
      <w:r>
        <w:rPr>
          <w:rFonts w:ascii="Arial" w:cs="Arial" w:eastAsia="Arial" w:hAnsi="Arial"/>
          <w:sz w:val="13"/>
          <w:szCs w:val="13"/>
          <w:color w:val="191919"/>
        </w:rPr>
        <w:t>Ý ÝÖ</w:t>
      </w:r>
      <w:r>
        <w:rPr>
          <w:rFonts w:ascii="PMingLiU" w:cs="PMingLiU" w:eastAsia="PMingLiU" w:hAnsi="PMingLiU"/>
          <w:sz w:val="13"/>
          <w:szCs w:val="13"/>
          <w:color w:val="191919"/>
        </w:rPr>
        <w:t></w:t>
      </w:r>
      <w:r>
        <w:rPr>
          <w:rFonts w:ascii="Arial" w:cs="Arial" w:eastAsia="Arial" w:hAnsi="Arial"/>
          <w:sz w:val="13"/>
          <w:szCs w:val="13"/>
          <w:color w:val="191919"/>
        </w:rPr>
        <w:t>Ä</w:t>
      </w:r>
      <w:r>
        <w:rPr>
          <w:rFonts w:ascii="PMingLiU" w:cs="PMingLiU" w:eastAsia="PMingLiU" w:hAnsi="PMingLiU"/>
          <w:sz w:val="13"/>
          <w:szCs w:val="13"/>
          <w:color w:val="191919"/>
        </w:rPr>
        <w:t></w:t>
      </w:r>
      <w:r>
        <w:rPr>
          <w:rFonts w:ascii="Arial" w:cs="Arial" w:eastAsia="Arial" w:hAnsi="Arial"/>
          <w:sz w:val="13"/>
          <w:szCs w:val="13"/>
          <w:color w:val="191919"/>
        </w:rPr>
        <w:t xml:space="preserve"> äË Ù</w:t>
      </w:r>
      <w:r>
        <w:rPr>
          <w:rFonts w:ascii="PMingLiU" w:cs="PMingLiU" w:eastAsia="PMingLiU" w:hAnsi="PMingLiU"/>
          <w:sz w:val="13"/>
          <w:szCs w:val="13"/>
          <w:color w:val="191919"/>
        </w:rPr>
        <w:t></w:t>
      </w:r>
      <w:r>
        <w:rPr>
          <w:rFonts w:ascii="Arial" w:cs="Arial" w:eastAsia="Arial" w:hAnsi="Arial"/>
          <w:sz w:val="13"/>
          <w:szCs w:val="13"/>
          <w:color w:val="191919"/>
        </w:rPr>
        <w:t>é</w:t>
      </w:r>
      <w:r>
        <w:rPr>
          <w:rFonts w:ascii="PMingLiU" w:cs="PMingLiU" w:eastAsia="PMingLiU" w:hAnsi="PMingLiU"/>
          <w:sz w:val="13"/>
          <w:szCs w:val="13"/>
          <w:color w:val="191919"/>
        </w:rPr>
        <w:t></w:t>
      </w:r>
      <w:r>
        <w:rPr>
          <w:rFonts w:ascii="Arial" w:cs="Arial" w:eastAsia="Arial" w:hAnsi="Arial"/>
          <w:sz w:val="13"/>
          <w:szCs w:val="13"/>
          <w:color w:val="191919"/>
        </w:rPr>
        <w:t xml:space="preserve"> ËõÄ </w:t>
      </w:r>
      <w:r>
        <w:rPr>
          <w:rFonts w:ascii="PMingLiU" w:cs="PMingLiU" w:eastAsia="PMingLiU" w:hAnsi="PMingLiU"/>
          <w:sz w:val="13"/>
          <w:szCs w:val="13"/>
          <w:color w:val="191919"/>
        </w:rPr>
        <w:t></w:t>
      </w:r>
      <w:r>
        <w:rPr>
          <w:rFonts w:ascii="Arial" w:cs="Arial" w:eastAsia="Arial" w:hAnsi="Arial"/>
          <w:sz w:val="13"/>
          <w:szCs w:val="13"/>
          <w:color w:val="191919"/>
        </w:rPr>
        <w:t>Ã«ÝÝ«ËÄÝ ÄËä ÝéÖÖËÙä</w:t>
      </w:r>
      <w:r>
        <w:rPr>
          <w:rFonts w:ascii="PMingLiU" w:cs="PMingLiU" w:eastAsia="PMingLiU" w:hAnsi="PMingLiU"/>
          <w:sz w:val="13"/>
          <w:szCs w:val="13"/>
          <w:color w:val="191919"/>
        </w:rPr>
        <w:t> </w:t>
      </w:r>
      <w:r>
        <w:rPr>
          <w:rFonts w:ascii="Arial" w:cs="Arial" w:eastAsia="Arial" w:hAnsi="Arial"/>
          <w:sz w:val="13"/>
          <w:szCs w:val="13"/>
          <w:color w:val="191919"/>
        </w:rPr>
        <w:t>û ÖË½«</w:t>
      </w:r>
      <w:r>
        <w:rPr>
          <w:rFonts w:ascii="PMingLiU" w:cs="PMingLiU" w:eastAsia="PMingLiU" w:hAnsi="PMingLiU"/>
          <w:sz w:val="13"/>
          <w:szCs w:val="13"/>
          <w:color w:val="191919"/>
        </w:rPr>
        <w:t></w:t>
      </w:r>
      <w:r>
        <w:rPr>
          <w:rFonts w:ascii="Arial" w:cs="Arial" w:eastAsia="Arial" w:hAnsi="Arial"/>
          <w:sz w:val="13"/>
          <w:szCs w:val="13"/>
          <w:color w:val="191919"/>
        </w:rPr>
        <w:t>ûǔ</w:t>
      </w:r>
    </w:p>
    <w:p>
      <w:pPr>
        <w:spacing w:after="0" w:line="71" w:lineRule="exact"/>
        <w:rPr>
          <w:sz w:val="20"/>
          <w:szCs w:val="20"/>
          <w:color w:val="auto"/>
        </w:rPr>
      </w:pPr>
    </w:p>
    <w:p>
      <w:pPr>
        <w:ind w:left="2"/>
        <w:spacing w:after="0" w:line="184" w:lineRule="exact"/>
        <w:rPr>
          <w:sz w:val="20"/>
          <w:szCs w:val="20"/>
          <w:color w:val="auto"/>
        </w:rPr>
      </w:pPr>
      <w:r>
        <w:rPr>
          <w:rFonts w:ascii="Arial" w:cs="Arial" w:eastAsia="Arial" w:hAnsi="Arial"/>
          <w:sz w:val="16"/>
          <w:szCs w:val="16"/>
          <w:color w:val="191919"/>
          <w:vertAlign w:val="superscript"/>
        </w:rPr>
        <w:t>Ƒ</w:t>
      </w:r>
      <w:r>
        <w:rPr>
          <w:rFonts w:ascii="Arial" w:cs="Arial" w:eastAsia="Arial" w:hAnsi="Arial"/>
          <w:sz w:val="14"/>
          <w:szCs w:val="14"/>
          <w:color w:val="191919"/>
        </w:rPr>
        <w:t>T½</w:t>
      </w:r>
      <w:r>
        <w:rPr>
          <w:rFonts w:ascii="PMingLiU" w:cs="PMingLiU" w:eastAsia="PMingLiU" w:hAnsi="PMingLiU"/>
          <w:sz w:val="14"/>
          <w:szCs w:val="14"/>
          <w:color w:val="191919"/>
        </w:rPr>
        <w:t></w:t>
      </w:r>
      <w:r>
        <w:rPr>
          <w:rFonts w:ascii="Arial" w:cs="Arial" w:eastAsia="Arial" w:hAnsi="Arial"/>
          <w:sz w:val="14"/>
          <w:szCs w:val="14"/>
          <w:color w:val="191919"/>
        </w:rPr>
        <w:t>Ý</w:t>
      </w:r>
      <w:r>
        <w:rPr>
          <w:rFonts w:ascii="PMingLiU" w:cs="PMingLiU" w:eastAsia="PMingLiU" w:hAnsi="PMingLiU"/>
          <w:sz w:val="14"/>
          <w:szCs w:val="14"/>
          <w:color w:val="191919"/>
        </w:rPr>
        <w:t></w:t>
      </w:r>
      <w:r>
        <w:rPr>
          <w:rFonts w:ascii="Arial" w:cs="Arial" w:eastAsia="Arial" w:hAnsi="Arial"/>
          <w:sz w:val="14"/>
          <w:szCs w:val="14"/>
          <w:color w:val="191919"/>
        </w:rPr>
        <w:t xml:space="preserve"> Ù</w:t>
      </w:r>
      <w:r>
        <w:rPr>
          <w:rFonts w:ascii="PMingLiU" w:cs="PMingLiU" w:eastAsia="PMingLiU" w:hAnsi="PMingLiU"/>
          <w:sz w:val="14"/>
          <w:szCs w:val="14"/>
          <w:color w:val="191919"/>
        </w:rPr>
        <w:t></w:t>
      </w:r>
      <w:r>
        <w:rPr>
          <w:rFonts w:ascii="Arial" w:cs="Arial" w:eastAsia="Arial" w:hAnsi="Arial"/>
          <w:sz w:val="14"/>
          <w:szCs w:val="14"/>
          <w:color w:val="191919"/>
        </w:rPr>
        <w:t>¢</w:t>
      </w:r>
      <w:r>
        <w:rPr>
          <w:rFonts w:ascii="PMingLiU" w:cs="PMingLiU" w:eastAsia="PMingLiU" w:hAnsi="PMingLiU"/>
          <w:sz w:val="14"/>
          <w:szCs w:val="14"/>
          <w:color w:val="191919"/>
        </w:rPr>
        <w:t></w:t>
      </w:r>
      <w:r>
        <w:rPr>
          <w:rFonts w:ascii="Arial" w:cs="Arial" w:eastAsia="Arial" w:hAnsi="Arial"/>
          <w:sz w:val="14"/>
          <w:szCs w:val="14"/>
          <w:color w:val="191919"/>
        </w:rPr>
        <w:t>Ù äË ¢ËËäÄËä</w:t>
      </w:r>
      <w:r>
        <w:rPr>
          <w:rFonts w:ascii="PMingLiU" w:cs="PMingLiU" w:eastAsia="PMingLiU" w:hAnsi="PMingLiU"/>
          <w:sz w:val="14"/>
          <w:szCs w:val="14"/>
          <w:color w:val="191919"/>
        </w:rPr>
        <w:t></w:t>
      </w:r>
      <w:r>
        <w:rPr>
          <w:rFonts w:ascii="Arial" w:cs="Arial" w:eastAsia="Arial" w:hAnsi="Arial"/>
          <w:sz w:val="14"/>
          <w:szCs w:val="14"/>
          <w:color w:val="191919"/>
        </w:rPr>
        <w:t xml:space="preserve"> ƌƐ ËÄ Ö</w:t>
      </w:r>
      <w:r>
        <w:rPr>
          <w:rFonts w:ascii="PMingLiU" w:cs="PMingLiU" w:eastAsia="PMingLiU" w:hAnsi="PMingLiU"/>
          <w:sz w:val="14"/>
          <w:szCs w:val="14"/>
          <w:color w:val="191919"/>
        </w:rPr>
        <w:t></w:t>
      </w:r>
      <w:r>
        <w:rPr>
          <w:rFonts w:ascii="Arial" w:cs="Arial" w:eastAsia="Arial" w:hAnsi="Arial"/>
          <w:sz w:val="14"/>
          <w:szCs w:val="14"/>
          <w:color w:val="191919"/>
        </w:rPr>
        <w:t>£</w:t>
      </w:r>
      <w:r>
        <w:rPr>
          <w:rFonts w:ascii="PMingLiU" w:cs="PMingLiU" w:eastAsia="PMingLiU" w:hAnsi="PMingLiU"/>
          <w:sz w:val="14"/>
          <w:szCs w:val="14"/>
          <w:color w:val="191919"/>
        </w:rPr>
        <w:t></w:t>
      </w:r>
      <w:r>
        <w:rPr>
          <w:rFonts w:ascii="Arial" w:cs="Arial" w:eastAsia="Arial" w:hAnsi="Arial"/>
          <w:sz w:val="14"/>
          <w:szCs w:val="14"/>
          <w:color w:val="191919"/>
        </w:rPr>
        <w:t xml:space="preserve"> ƌƎƓǔ</w:t>
      </w:r>
    </w:p>
    <w:p>
      <w:pPr>
        <w:sectPr>
          <w:pgSz w:w="11880" w:h="15480" w:orient="portrait"/>
          <w:cols w:equalWidth="0" w:num="1">
            <w:col w:w="10642"/>
          </w:cols>
          <w:pgMar w:left="898" w:top="351" w:right="340" w:bottom="0" w:gutter="0" w:footer="0" w:header="0"/>
          <w:type w:val="continuous"/>
        </w:sectPr>
      </w:pPr>
    </w:p>
    <w:p>
      <w:pPr>
        <w:spacing w:after="0" w:line="196" w:lineRule="exact"/>
        <w:rPr>
          <w:sz w:val="20"/>
          <w:szCs w:val="20"/>
          <w:color w:val="auto"/>
        </w:rPr>
      </w:pPr>
    </w:p>
    <w:p>
      <w:pPr>
        <w:ind w:left="10382"/>
        <w:spacing w:after="0"/>
        <w:rPr>
          <w:sz w:val="20"/>
          <w:szCs w:val="20"/>
          <w:color w:val="auto"/>
        </w:rPr>
      </w:pPr>
      <w:r>
        <w:rPr>
          <w:rFonts w:ascii="Arial" w:cs="Arial" w:eastAsia="Arial" w:hAnsi="Arial"/>
          <w:sz w:val="10"/>
          <w:szCs w:val="10"/>
          <w:color w:val="00014F"/>
        </w:rPr>
        <w:t>ƌ Ə ƌ</w:t>
      </w:r>
    </w:p>
    <w:p>
      <w:pPr>
        <w:sectPr>
          <w:pgSz w:w="11880" w:h="15480" w:orient="portrait"/>
          <w:cols w:equalWidth="0" w:num="1">
            <w:col w:w="10642"/>
          </w:cols>
          <w:pgMar w:left="898" w:top="351" w:right="340" w:bottom="0" w:gutter="0" w:footer="0" w:header="0"/>
          <w:type w:val="continuous"/>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762000</wp:posOffset>
            </wp:positionH>
            <wp:positionV relativeFrom="page">
              <wp:posOffset>914400</wp:posOffset>
            </wp:positionV>
            <wp:extent cx="6781800" cy="891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64">
                      <a:extLst>
                        <a:ext uri="{28A0092B-C50C-407E-A947-70E740481C1C}"/>
                      </a:extLst>
                    </a:blip>
                    <a:srcRect/>
                    <a:stretch>
                      <a:fillRect/>
                    </a:stretch>
                  </pic:blipFill>
                  <pic:spPr bwMode="auto">
                    <a:xfrm>
                      <a:off x="0" y="0"/>
                      <a:ext cx="6781800" cy="891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4"/>
          <w:szCs w:val="24"/>
          <w:b w:val="1"/>
          <w:bCs w:val="1"/>
          <w:color w:val="191919"/>
        </w:rPr>
        <w:t>Exxon Mobil Corporation</w:t>
      </w:r>
    </w:p>
    <w:p>
      <w:pPr>
        <w:spacing w:after="0" w:line="12" w:lineRule="exact"/>
        <w:rPr>
          <w:sz w:val="20"/>
          <w:szCs w:val="20"/>
          <w:color w:val="auto"/>
        </w:rPr>
      </w:pPr>
    </w:p>
    <w:p>
      <w:pPr>
        <w:spacing w:after="0"/>
        <w:rPr>
          <w:sz w:val="20"/>
          <w:szCs w:val="20"/>
          <w:color w:val="auto"/>
        </w:rPr>
      </w:pPr>
      <w:r>
        <w:rPr>
          <w:rFonts w:ascii="Arial" w:cs="Arial" w:eastAsia="Arial" w:hAnsi="Arial"/>
          <w:sz w:val="24"/>
          <w:szCs w:val="24"/>
          <w:color w:val="191919"/>
        </w:rPr>
        <w:t>22777 Springwoods Village Parkway</w:t>
      </w:r>
    </w:p>
    <w:p>
      <w:pPr>
        <w:spacing w:after="0" w:line="12" w:lineRule="exact"/>
        <w:rPr>
          <w:sz w:val="20"/>
          <w:szCs w:val="20"/>
          <w:color w:val="auto"/>
        </w:rPr>
      </w:pPr>
    </w:p>
    <w:p>
      <w:pPr>
        <w:spacing w:after="0"/>
        <w:rPr>
          <w:sz w:val="20"/>
          <w:szCs w:val="20"/>
          <w:color w:val="auto"/>
        </w:rPr>
      </w:pPr>
      <w:r>
        <w:rPr>
          <w:rFonts w:ascii="Arial" w:cs="Arial" w:eastAsia="Arial" w:hAnsi="Arial"/>
          <w:sz w:val="24"/>
          <w:szCs w:val="24"/>
          <w:color w:val="191919"/>
        </w:rPr>
        <w:t>Spring, TX 77389-1425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60"/>
        <w:spacing w:after="0"/>
        <w:rPr>
          <w:sz w:val="20"/>
          <w:szCs w:val="20"/>
          <w:color w:val="auto"/>
        </w:rPr>
      </w:pPr>
      <w:r>
        <w:rPr>
          <w:rFonts w:ascii="Arial" w:cs="Arial" w:eastAsia="Arial" w:hAnsi="Arial"/>
          <w:sz w:val="18"/>
          <w:szCs w:val="18"/>
          <w:color w:val="191919"/>
        </w:rPr>
        <w:t>Printed in the U.S.A.</w:t>
      </w:r>
    </w:p>
    <w:p>
      <w:pPr>
        <w:spacing w:after="0" w:line="301" w:lineRule="exact"/>
        <w:rPr>
          <w:sz w:val="20"/>
          <w:szCs w:val="20"/>
          <w:color w:val="auto"/>
        </w:rPr>
      </w:pPr>
    </w:p>
    <w:p>
      <w:pPr>
        <w:ind w:left="1660"/>
        <w:spacing w:after="0"/>
        <w:rPr>
          <w:sz w:val="20"/>
          <w:szCs w:val="20"/>
          <w:color w:val="auto"/>
        </w:rPr>
      </w:pPr>
      <w:r>
        <w:rPr>
          <w:rFonts w:ascii="Arial" w:cs="Arial" w:eastAsia="Arial" w:hAnsi="Arial"/>
          <w:sz w:val="20"/>
          <w:szCs w:val="20"/>
          <w:color w:val="191919"/>
        </w:rPr>
        <w:t>For more information,</w:t>
      </w:r>
    </w:p>
    <w:p>
      <w:pPr>
        <w:spacing w:after="0" w:line="10" w:lineRule="exact"/>
        <w:rPr>
          <w:sz w:val="20"/>
          <w:szCs w:val="20"/>
          <w:color w:val="auto"/>
        </w:rPr>
      </w:pPr>
    </w:p>
    <w:p>
      <w:pPr>
        <w:jc w:val="right"/>
        <w:spacing w:after="0"/>
        <w:tabs>
          <w:tab w:leader="none" w:pos="3660" w:val="left"/>
        </w:tabs>
        <w:rPr>
          <w:sz w:val="20"/>
          <w:szCs w:val="20"/>
          <w:color w:val="auto"/>
        </w:rPr>
      </w:pPr>
      <w:r>
        <w:rPr>
          <w:rFonts w:ascii="Arial" w:cs="Arial" w:eastAsia="Arial" w:hAnsi="Arial"/>
          <w:sz w:val="20"/>
          <w:szCs w:val="20"/>
          <w:color w:val="191919"/>
        </w:rPr>
        <w:t xml:space="preserve">visit </w:t>
      </w:r>
      <w:r>
        <w:rPr>
          <w:rFonts w:ascii="Arial" w:cs="Arial" w:eastAsia="Arial" w:hAnsi="Arial"/>
          <w:sz w:val="20"/>
          <w:szCs w:val="20"/>
          <w:i w:val="1"/>
          <w:iCs w:val="1"/>
          <w:color w:val="191919"/>
        </w:rPr>
        <w:t>exxonmobil.com</w:t>
      </w:r>
      <w:r>
        <w:rPr>
          <w:sz w:val="20"/>
          <w:szCs w:val="20"/>
          <w:color w:val="auto"/>
        </w:rPr>
        <w:tab/>
      </w:r>
      <w:r>
        <w:rPr>
          <w:rFonts w:ascii="Arial" w:cs="Arial" w:eastAsia="Arial" w:hAnsi="Arial"/>
          <w:sz w:val="15"/>
          <w:szCs w:val="15"/>
          <w:b w:val="1"/>
          <w:bCs w:val="1"/>
          <w:color w:val="FFFFFF"/>
        </w:rPr>
        <w:t>© 2 0 2 4 E X X O N M O B I L C O R P O R AT I O N</w:t>
      </w:r>
    </w:p>
    <w:p>
      <w:pPr>
        <w:sectPr>
          <w:pgSz w:w="11880" w:h="15480" w:orient="portrait"/>
          <w:cols w:equalWidth="0" w:num="1">
            <w:col w:w="9120"/>
          </w:cols>
          <w:pgMar w:left="1440" w:top="1440" w:right="1320" w:bottom="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191919"/>
        </w:rPr>
        <w:t>0 0 2 C S N E 6 6 B</w:t>
      </w:r>
    </w:p>
    <w:sectPr>
      <w:pgSz w:w="11880" w:h="15480" w:orient="portrait"/>
      <w:cols w:equalWidth="0" w:num="1">
        <w:col w:w="9120"/>
      </w:cols>
      <w:pgMar w:left="1440" w:top="1440" w:right="132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endash "/>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8"/>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2"/>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2"/>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emdash "/>
      <w:numFmt w:val="bullet"/>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ƌ"/>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2024-04-11T23:51:35Z</dcterms:created>
  <dcterms:modified xsi:type="dcterms:W3CDTF">2024-04-11T23:51:35Z</dcterms:modified>
</cp:coreProperties>
</file>