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8, 2024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340" w:type="dxa"/>
        <w:tblCellMar>
          <w:top w:w="0" w:type="dxa"/>
          <w:left w:w="0" w:type="dxa"/>
          <w:bottom w:w="0" w:type="dxa"/>
          <w:right w:w="0" w:type="dxa"/>
        </w:tblCellMar>
      </w:tblPr>
      <w:tr>
        <w:trPr>
          <w:trHeight w:val="283"/>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920" w:type="dxa"/>
            <w:vAlign w:val="bottom"/>
          </w:tcPr>
          <w:p>
            <w:pPr>
              <w:jc w:val="center"/>
              <w:ind w:right="5"/>
              <w:spacing w:after="0"/>
              <w:rPr>
                <w:sz w:val="20"/>
                <w:szCs w:val="20"/>
                <w:color w:val="auto"/>
              </w:rPr>
            </w:pPr>
            <w:r>
              <w:rPr>
                <w:rFonts w:ascii="Times New Roman" w:cs="Times New Roman" w:eastAsia="Times New Roman" w:hAnsi="Times New Roman"/>
                <w:sz w:val="22"/>
                <w:szCs w:val="22"/>
                <w:b w:val="1"/>
                <w:bCs w:val="1"/>
                <w:color w:val="auto"/>
                <w:w w:val="99"/>
              </w:rPr>
              <w:t>1-2256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9"/>
        </w:trPr>
        <w:tc>
          <w:tcPr>
            <w:tcW w:w="13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(State or other</w:t>
            </w:r>
          </w:p>
        </w:tc>
        <w:tc>
          <w:tcPr>
            <w:tcW w:w="5920" w:type="dxa"/>
            <w:vAlign w:val="bottom"/>
          </w:tcPr>
          <w:p>
            <w:pPr>
              <w:jc w:val="center"/>
              <w:ind w:right="5"/>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13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180"/>
        </w:trPr>
        <w:tc>
          <w:tcPr>
            <w:tcW w:w="1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jurisdiction</w:t>
            </w:r>
          </w:p>
        </w:tc>
        <w:tc>
          <w:tcPr>
            <w:tcW w:w="5920" w:type="dxa"/>
            <w:vAlign w:val="bottom"/>
          </w:tcPr>
          <w:p>
            <w:pPr>
              <w:jc w:val="center"/>
              <w:ind w:right="5"/>
              <w:spacing w:after="0" w:line="181" w:lineRule="exact"/>
              <w:rPr>
                <w:sz w:val="20"/>
                <w:szCs w:val="20"/>
                <w:color w:val="auto"/>
              </w:rPr>
            </w:pPr>
            <w:r>
              <w:rPr>
                <w:rFonts w:ascii="Times New Roman" w:cs="Times New Roman" w:eastAsia="Times New Roman" w:hAnsi="Times New Roman"/>
                <w:sz w:val="18"/>
                <w:szCs w:val="18"/>
                <w:color w:val="auto"/>
              </w:rPr>
              <w:t>File Number)</w:t>
            </w:r>
          </w:p>
        </w:tc>
        <w:tc>
          <w:tcPr>
            <w:tcW w:w="13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1"/>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left="5"/>
              <w:spacing w:after="0"/>
              <w:rPr>
                <w:sz w:val="20"/>
                <w:szCs w:val="20"/>
                <w:color w:val="auto"/>
              </w:rPr>
            </w:pPr>
            <w:r>
              <w:rPr>
                <w:rFonts w:ascii="Times New Roman" w:cs="Times New Roman" w:eastAsia="Times New Roman" w:hAnsi="Times New Roman"/>
                <w:sz w:val="22"/>
                <w:szCs w:val="22"/>
                <w:b w:val="1"/>
                <w:bCs w:val="1"/>
                <w:color w:val="auto"/>
                <w:w w:val="97"/>
              </w:rPr>
              <w:t>22777 Springwoods Village Parkway, Spring, Texas 77389-1425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4"/>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1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97" w:right="1440"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398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Exxon Mobil Corporation 2Q24 Earnings Considerations.</w:t>
            </w:r>
          </w:p>
        </w:tc>
      </w:tr>
      <w:tr>
        <w:trPr>
          <w:trHeight w:val="539"/>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July 8,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jc w:val="center"/>
        <w:ind w:left="6400"/>
        <w:spacing w:after="0"/>
        <w:rPr>
          <w:sz w:val="20"/>
          <w:szCs w:val="20"/>
          <w:color w:val="auto"/>
        </w:rPr>
      </w:pPr>
      <w:r>
        <w:rPr>
          <w:rFonts w:ascii="Times New Roman" w:cs="Times New Roman" w:eastAsia="Times New Roman" w:hAnsi="Times New Roman"/>
          <w:sz w:val="20"/>
          <w:szCs w:val="20"/>
          <w:color w:val="auto"/>
        </w:rPr>
        <w:t>Len M. Fox</w:t>
      </w:r>
    </w:p>
    <w:p>
      <w:pPr>
        <w:spacing w:after="0" w:line="2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9"/>
          <w:szCs w:val="19"/>
          <w:color w:val="auto"/>
        </w:rPr>
        <w:t>Vice President, Controller and Tax</w:t>
      </w:r>
    </w:p>
    <w:p>
      <w:pPr>
        <w:spacing w:after="0" w:line="3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2Q 2024 Earnings Considerations</w:t>
      </w:r>
    </w:p>
    <w:p>
      <w:pPr>
        <w:spacing w:after="0" w:line="24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To give perspective regarding market and planned factors affecting 2Q 2024 results, we are providing the following summary of items management believes will impact 2Q 2024 results relative to 1Q 2024 results. These factors are generally limited to significant planned activities, market dynamics, and seasonal demand patterns. This is only intended to provide information regarding current estimates of these factors. It is not comprehensive of all changes between 1Q 2024 and 2Q 2024 results and is not an estimate of 2Q 2024 earnings for the Corporation. For example, the table below does not reflect operating performance; ongoing improvement initiatives; impacts from the seasonality of base operating expenses; unscheduled downtime; or foreign exchange fluctuation, among other factors. Contributions from new project start-ups or acquisitions are also not included in this table, though some estimated impacts of the Pioneer Natural Resources ("Pioneer") acquisition are included in a separate table below. Further, this list may not account for all adjustments and charges required to fully reflect the changes in industry conditions and are subject to finalization of the Corporation’s financial reporting process for 2Q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 billions</w:t>
            </w:r>
          </w:p>
        </w:tc>
        <w:tc>
          <w:tcPr>
            <w:tcW w:w="1640" w:type="dxa"/>
            <w:vAlign w:val="bottom"/>
            <w:vMerge w:val="restart"/>
          </w:tcPr>
          <w:p>
            <w:pPr>
              <w:ind w:left="520"/>
              <w:spacing w:after="0"/>
              <w:rPr>
                <w:sz w:val="20"/>
                <w:szCs w:val="20"/>
                <w:color w:val="auto"/>
              </w:rPr>
            </w:pPr>
            <w:r>
              <w:rPr>
                <w:rFonts w:ascii="Arial" w:cs="Arial" w:eastAsia="Arial" w:hAnsi="Arial"/>
                <w:sz w:val="20"/>
                <w:szCs w:val="20"/>
                <w:b w:val="1"/>
                <w:bCs w:val="1"/>
                <w:color w:val="auto"/>
              </w:rPr>
              <w:t>Upstream</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7"/>
              </w:rPr>
              <w:t>Energy</w:t>
            </w:r>
          </w:p>
        </w:tc>
        <w:tc>
          <w:tcPr>
            <w:tcW w:w="1300" w:type="dxa"/>
            <w:vAlign w:val="bottom"/>
          </w:tcPr>
          <w:p>
            <w:pPr>
              <w:ind w:left="220"/>
              <w:spacing w:after="0"/>
              <w:rPr>
                <w:sz w:val="20"/>
                <w:szCs w:val="20"/>
                <w:color w:val="auto"/>
              </w:rPr>
            </w:pPr>
            <w:r>
              <w:rPr>
                <w:rFonts w:ascii="Arial" w:cs="Arial" w:eastAsia="Arial" w:hAnsi="Arial"/>
                <w:sz w:val="20"/>
                <w:szCs w:val="20"/>
                <w:b w:val="1"/>
                <w:bCs w:val="1"/>
                <w:color w:val="auto"/>
              </w:rPr>
              <w:t>Chemical</w:t>
            </w:r>
          </w:p>
        </w:tc>
        <w:tc>
          <w:tcPr>
            <w:tcW w:w="1240" w:type="dxa"/>
            <w:vAlign w:val="bottom"/>
          </w:tcPr>
          <w:p>
            <w:pPr>
              <w:ind w:left="200"/>
              <w:spacing w:after="0"/>
              <w:rPr>
                <w:sz w:val="20"/>
                <w:szCs w:val="20"/>
                <w:color w:val="auto"/>
              </w:rPr>
            </w:pPr>
            <w:r>
              <w:rPr>
                <w:rFonts w:ascii="Arial" w:cs="Arial" w:eastAsia="Arial" w:hAnsi="Arial"/>
                <w:sz w:val="20"/>
                <w:szCs w:val="20"/>
                <w:b w:val="1"/>
                <w:bCs w:val="1"/>
                <w:color w:val="auto"/>
              </w:rPr>
              <w:t>Specialty</w:t>
            </w:r>
          </w:p>
        </w:tc>
        <w:tc>
          <w:tcPr>
            <w:tcW w:w="134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Corp &amp; Fin</w:t>
            </w:r>
          </w:p>
        </w:tc>
        <w:tc>
          <w:tcPr>
            <w:tcW w:w="8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52"/>
        </w:trPr>
        <w:tc>
          <w:tcPr>
            <w:tcW w:w="360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300" w:type="dxa"/>
            <w:vAlign w:val="bottom"/>
            <w:vMerge w:val="restart"/>
          </w:tcPr>
          <w:p>
            <w:pPr>
              <w:ind w:left="240"/>
              <w:spacing w:after="0"/>
              <w:rPr>
                <w:sz w:val="20"/>
                <w:szCs w:val="20"/>
                <w:color w:val="auto"/>
              </w:rPr>
            </w:pPr>
            <w:r>
              <w:rPr>
                <w:rFonts w:ascii="Arial" w:cs="Arial" w:eastAsia="Arial" w:hAnsi="Arial"/>
                <w:sz w:val="20"/>
                <w:szCs w:val="20"/>
                <w:b w:val="1"/>
                <w:bCs w:val="1"/>
                <w:color w:val="auto"/>
              </w:rPr>
              <w:t>Products</w:t>
            </w:r>
          </w:p>
        </w:tc>
        <w:tc>
          <w:tcPr>
            <w:tcW w:w="1240" w:type="dxa"/>
            <w:vAlign w:val="bottom"/>
            <w:vMerge w:val="restart"/>
          </w:tcPr>
          <w:p>
            <w:pPr>
              <w:ind w:left="200"/>
              <w:spacing w:after="0"/>
              <w:rPr>
                <w:sz w:val="20"/>
                <w:szCs w:val="20"/>
                <w:color w:val="auto"/>
              </w:rPr>
            </w:pPr>
            <w:r>
              <w:rPr>
                <w:rFonts w:ascii="Arial" w:cs="Arial" w:eastAsia="Arial" w:hAnsi="Arial"/>
                <w:sz w:val="20"/>
                <w:szCs w:val="20"/>
                <w:b w:val="1"/>
                <w:bCs w:val="1"/>
                <w:color w:val="auto"/>
              </w:rPr>
              <w:t>Products</w:t>
            </w:r>
          </w:p>
        </w:tc>
        <w:tc>
          <w:tcPr>
            <w:tcW w:w="13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6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1Q24 earnings (loss), U.S. GAAP</w:t>
            </w:r>
          </w:p>
        </w:tc>
        <w:tc>
          <w:tcPr>
            <w:tcW w:w="1640" w:type="dxa"/>
            <w:vAlign w:val="bottom"/>
          </w:tcPr>
          <w:p>
            <w:pPr>
              <w:jc w:val="center"/>
              <w:ind w:left="201"/>
              <w:spacing w:after="0"/>
              <w:rPr>
                <w:sz w:val="20"/>
                <w:szCs w:val="20"/>
                <w:color w:val="auto"/>
              </w:rPr>
            </w:pPr>
            <w:r>
              <w:rPr>
                <w:rFonts w:ascii="Arial" w:cs="Arial" w:eastAsia="Arial" w:hAnsi="Arial"/>
                <w:sz w:val="20"/>
                <w:szCs w:val="20"/>
                <w:b w:val="1"/>
                <w:bCs w:val="1"/>
                <w:color w:val="auto"/>
                <w:w w:val="93"/>
              </w:rPr>
              <w:t>5.7</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rPr>
              <w:t>1.4</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3"/>
              </w:rPr>
              <w:t>0.8</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7"/>
              </w:rPr>
              <w:t>(0.4)</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3"/>
              </w:rPr>
              <w:t>8.2</w:t>
            </w:r>
          </w:p>
        </w:tc>
        <w:tc>
          <w:tcPr>
            <w:tcW w:w="0" w:type="dxa"/>
            <w:vAlign w:val="bottom"/>
          </w:tcPr>
          <w:p>
            <w:pPr>
              <w:spacing w:after="0"/>
              <w:rPr>
                <w:sz w:val="1"/>
                <w:szCs w:val="1"/>
                <w:color w:val="auto"/>
              </w:rPr>
            </w:pPr>
          </w:p>
        </w:tc>
      </w:tr>
      <w:tr>
        <w:trPr>
          <w:trHeight w:val="432"/>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1Q24 Identified Items</w:t>
            </w:r>
          </w:p>
        </w:tc>
        <w:tc>
          <w:tcPr>
            <w:tcW w:w="1640" w:type="dxa"/>
            <w:vAlign w:val="bottom"/>
          </w:tcPr>
          <w:p>
            <w:pPr>
              <w:jc w:val="center"/>
              <w:ind w:left="201"/>
              <w:spacing w:after="0"/>
              <w:rPr>
                <w:sz w:val="20"/>
                <w:szCs w:val="20"/>
                <w:color w:val="auto"/>
              </w:rPr>
            </w:pPr>
            <w:r>
              <w:rPr>
                <w:rFonts w:ascii="Arial" w:cs="Arial" w:eastAsia="Arial" w:hAnsi="Arial"/>
                <w:sz w:val="20"/>
                <w:szCs w:val="20"/>
                <w:b w:val="1"/>
                <w:bCs w:val="1"/>
                <w:color w:val="auto"/>
                <w:w w:val="89"/>
              </w:rPr>
              <w:t>–</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0" w:type="dxa"/>
            <w:vAlign w:val="bottom"/>
          </w:tcPr>
          <w:p>
            <w:pPr>
              <w:spacing w:after="0"/>
              <w:rPr>
                <w:sz w:val="1"/>
                <w:szCs w:val="1"/>
                <w:color w:val="auto"/>
              </w:rPr>
            </w:pPr>
          </w:p>
        </w:tc>
      </w:tr>
      <w:tr>
        <w:trPr>
          <w:trHeight w:val="388"/>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1Q24 earnings (loss) excluding</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Identified Items (non-GAAP)</w:t>
            </w:r>
          </w:p>
        </w:tc>
        <w:tc>
          <w:tcPr>
            <w:tcW w:w="1640" w:type="dxa"/>
            <w:vAlign w:val="bottom"/>
          </w:tcPr>
          <w:p>
            <w:pPr>
              <w:jc w:val="center"/>
              <w:ind w:left="201"/>
              <w:spacing w:after="0"/>
              <w:rPr>
                <w:sz w:val="20"/>
                <w:szCs w:val="20"/>
                <w:color w:val="auto"/>
              </w:rPr>
            </w:pPr>
            <w:r>
              <w:rPr>
                <w:rFonts w:ascii="Arial" w:cs="Arial" w:eastAsia="Arial" w:hAnsi="Arial"/>
                <w:sz w:val="20"/>
                <w:szCs w:val="20"/>
                <w:b w:val="1"/>
                <w:bCs w:val="1"/>
                <w:color w:val="auto"/>
                <w:w w:val="93"/>
              </w:rPr>
              <w:t>5.7</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rPr>
              <w:t>1.4</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3"/>
              </w:rPr>
              <w:t>0.8</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7"/>
              </w:rPr>
              <w:t>(0.4)</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3"/>
              </w:rPr>
              <w:t>8.2</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Due to rounding, numbers presented above may not add up precisely to the totals indicated.</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market factors impacting 2Q 2024 results; excludes Pioneer-related impacts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2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liquids prices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7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99"/>
              </w:rPr>
              <w:t>- 0.7</w:t>
            </w:r>
          </w:p>
        </w:tc>
        <w:tc>
          <w:tcPr>
            <w:tcW w:w="5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600" w:type="dxa"/>
            <w:vAlign w:val="bottom"/>
            <w:tcBorders>
              <w:top w:val="single" w:sz="8" w:color="auto"/>
              <w:bottom w:val="single" w:sz="8" w:color="auto"/>
              <w:right w:val="single" w:sz="8" w:color="auto"/>
            </w:tcBorders>
          </w:tcPr>
          <w:p>
            <w:pPr>
              <w:spacing w:after="0"/>
              <w:rPr>
                <w:sz w:val="24"/>
                <w:szCs w:val="24"/>
                <w:color w:val="auto"/>
              </w:rPr>
            </w:pPr>
          </w:p>
        </w:tc>
      </w:tr>
      <w:tr>
        <w:trPr>
          <w:trHeight w:val="277"/>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gas prices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97"/>
              </w:rPr>
              <w:t>- (0.3)</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277"/>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industry margins</w:t>
            </w: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(1.1)</w:t>
            </w: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0.0 - 0.2</w:t>
            </w:r>
          </w:p>
        </w:tc>
        <w:tc>
          <w:tcPr>
            <w:tcW w:w="2600" w:type="dxa"/>
            <w:vAlign w:val="bottom"/>
            <w:tcBorders>
              <w:bottom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(0.1) - 0.1</w:t>
            </w:r>
          </w:p>
        </w:tc>
      </w:tr>
      <w:tr>
        <w:trPr>
          <w:trHeight w:val="277"/>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timing effects</w:t>
            </w:r>
          </w:p>
        </w:tc>
        <w:tc>
          <w:tcPr>
            <w:tcW w:w="196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(0.1) - 0.3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- 0.9</w:t>
            </w:r>
          </w:p>
        </w:tc>
        <w:tc>
          <w:tcPr>
            <w:tcW w:w="11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260" w:lineRule="exact"/>
        <w:rPr>
          <w:sz w:val="20"/>
          <w:szCs w:val="20"/>
          <w:color w:val="auto"/>
        </w:rPr>
      </w:pPr>
    </w:p>
    <w:p>
      <w:pPr>
        <w:ind w:left="20" w:right="1440"/>
        <w:spacing w:after="0" w:line="272" w:lineRule="auto"/>
        <w:rPr>
          <w:sz w:val="20"/>
          <w:szCs w:val="20"/>
          <w:color w:val="auto"/>
        </w:rPr>
      </w:pPr>
      <w:r>
        <w:rPr>
          <w:rFonts w:ascii="Arial" w:cs="Arial" w:eastAsia="Arial" w:hAnsi="Arial"/>
          <w:sz w:val="20"/>
          <w:szCs w:val="20"/>
          <w:b w:val="1"/>
          <w:bCs w:val="1"/>
          <w:color w:val="auto"/>
        </w:rPr>
        <w:t>Estimated effects of planned and seasonal factors, and other items impacting 2Q 2024 results; excludes Pioneer-related impacts</w:t>
      </w:r>
    </w:p>
    <w:tbl>
      <w:tblPr>
        <w:tblLayout w:type="fixed"/>
        <w:tblInd w:w="10" w:type="dxa"/>
        <w:tblCellMar>
          <w:top w:w="0" w:type="dxa"/>
          <w:left w:w="0" w:type="dxa"/>
          <w:bottom w:w="0" w:type="dxa"/>
          <w:right w:w="0" w:type="dxa"/>
        </w:tblCellMar>
      </w:tblPr>
      <w:tr>
        <w:trPr>
          <w:trHeight w:val="259"/>
        </w:trPr>
        <w:tc>
          <w:tcPr>
            <w:tcW w:w="36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scheduled maintenance</w:t>
            </w:r>
          </w:p>
        </w:tc>
        <w:tc>
          <w:tcPr>
            <w:tcW w:w="16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rPr>
              <w:t>(0.2) - 0.0</w:t>
            </w:r>
          </w:p>
        </w:tc>
        <w:tc>
          <w:tcPr>
            <w:tcW w:w="12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rPr>
              <w:t>0.1 - 0.3</w:t>
            </w:r>
          </w:p>
        </w:tc>
        <w:tc>
          <w:tcPr>
            <w:tcW w:w="1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(0.1) - 0.1</w:t>
            </w:r>
          </w:p>
        </w:tc>
        <w:tc>
          <w:tcPr>
            <w:tcW w:w="2560" w:type="dxa"/>
            <w:vAlign w:val="bottom"/>
            <w:tcBorders>
              <w:top w:val="single" w:sz="8" w:color="auto"/>
              <w:bottom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(0.1) - 0.1</w:t>
            </w:r>
          </w:p>
        </w:tc>
      </w:tr>
    </w:tbl>
    <w:p>
      <w:pPr>
        <w:spacing w:after="0" w:line="200" w:lineRule="exact"/>
        <w:rPr>
          <w:sz w:val="20"/>
          <w:szCs w:val="20"/>
          <w:color w:val="auto"/>
        </w:rPr>
      </w:pP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652"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0"/>
          <w:szCs w:val="20"/>
          <w:b w:val="1"/>
          <w:bCs w:val="1"/>
          <w:color w:val="auto"/>
        </w:rPr>
        <w:t>2Q 2024 Additional Impacts from the Acquisition of Pioneer Natural Resources</w:t>
      </w:r>
    </w:p>
    <w:p>
      <w:pPr>
        <w:spacing w:after="0" w:line="366"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Performance metrics included in the table represent estimated 2Q 2024 Pioneer impacts on ExxonMobil results post change-in-control, May 3, 2024 – June 30, 2024, and are not intended to cover all measures or indicators that may be disclosed for the 2Q 2024 reporting period. These metrics provide insight into how the acquisition of Pioneer may impact ExxonMobil’s overall 2Q 2024 results. Pioneer-related results will be integrated into the Upstream segment and Corporate &amp; Financing.</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780" w:type="dxa"/>
            <w:vAlign w:val="bottom"/>
          </w:tcPr>
          <w:p>
            <w:pPr>
              <w:ind w:left="20"/>
              <w:spacing w:after="0"/>
              <w:rPr>
                <w:sz w:val="20"/>
                <w:szCs w:val="20"/>
                <w:color w:val="auto"/>
              </w:rPr>
            </w:pPr>
            <w:r>
              <w:rPr>
                <w:rFonts w:ascii="Arial" w:cs="Arial" w:eastAsia="Arial" w:hAnsi="Arial"/>
                <w:sz w:val="20"/>
                <w:szCs w:val="20"/>
                <w:i w:val="1"/>
                <w:iCs w:val="1"/>
                <w:color w:val="auto"/>
              </w:rPr>
              <w:t>$ billions</w:t>
            </w:r>
          </w:p>
        </w:tc>
        <w:tc>
          <w:tcPr>
            <w:tcW w:w="15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2Q 2024 Est.</w:t>
            </w:r>
          </w:p>
        </w:tc>
        <w:tc>
          <w:tcPr>
            <w:tcW w:w="5980" w:type="dxa"/>
            <w:vAlign w:val="bottom"/>
          </w:tcPr>
          <w:p>
            <w:pPr>
              <w:ind w:left="2500"/>
              <w:spacing w:after="0"/>
              <w:rPr>
                <w:sz w:val="20"/>
                <w:szCs w:val="20"/>
                <w:color w:val="auto"/>
              </w:rPr>
            </w:pPr>
            <w:r>
              <w:rPr>
                <w:rFonts w:ascii="Arial" w:cs="Arial" w:eastAsia="Arial" w:hAnsi="Arial"/>
                <w:sz w:val="20"/>
                <w:szCs w:val="20"/>
                <w:b w:val="1"/>
                <w:bCs w:val="1"/>
                <w:color w:val="auto"/>
              </w:rPr>
              <w:t>Comment</w:t>
            </w:r>
          </w:p>
        </w:tc>
        <w:tc>
          <w:tcPr>
            <w:tcW w:w="0" w:type="dxa"/>
            <w:vAlign w:val="bottom"/>
          </w:tcPr>
          <w:p>
            <w:pPr>
              <w:spacing w:after="0"/>
              <w:rPr>
                <w:sz w:val="1"/>
                <w:szCs w:val="1"/>
                <w:color w:val="auto"/>
              </w:rPr>
            </w:pPr>
          </w:p>
        </w:tc>
      </w:tr>
      <w:tr>
        <w:trPr>
          <w:trHeight w:val="409"/>
        </w:trPr>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Key Pioneer Business Drivers (May - June):</w:t>
            </w:r>
          </w:p>
        </w:tc>
        <w:tc>
          <w:tcPr>
            <w:tcW w:w="820" w:type="dxa"/>
            <w:vAlign w:val="bottom"/>
            <w:tcBorders>
              <w:top w:val="single" w:sz="8" w:color="auto"/>
            </w:tcBorders>
          </w:tcPr>
          <w:p>
            <w:pPr>
              <w:spacing w:after="0"/>
              <w:rPr>
                <w:sz w:val="24"/>
                <w:szCs w:val="24"/>
                <w:color w:val="auto"/>
              </w:rPr>
            </w:pPr>
          </w:p>
        </w:tc>
        <w:tc>
          <w:tcPr>
            <w:tcW w:w="5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7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80" w:type="dxa"/>
            <w:vAlign w:val="bottom"/>
            <w:tcBorders>
              <w:left w:val="single" w:sz="8" w:color="auto"/>
              <w:right w:val="single" w:sz="8" w:color="auto"/>
            </w:tcBorders>
          </w:tcPr>
          <w:p>
            <w:pPr>
              <w:ind w:left="40"/>
              <w:spacing w:after="0" w:line="277" w:lineRule="exact"/>
              <w:rPr>
                <w:sz w:val="20"/>
                <w:szCs w:val="20"/>
                <w:color w:val="auto"/>
              </w:rPr>
            </w:pPr>
            <w:r>
              <w:rPr>
                <w:rFonts w:ascii="Arial" w:cs="Arial" w:eastAsia="Arial" w:hAnsi="Arial"/>
                <w:sz w:val="20"/>
                <w:szCs w:val="20"/>
                <w:color w:val="auto"/>
              </w:rPr>
              <w:t>Production (koebd)</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20"/>
                <w:szCs w:val="20"/>
                <w:color w:val="auto"/>
              </w:rPr>
              <w:t>500</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- 550</w:t>
            </w:r>
          </w:p>
        </w:tc>
        <w:tc>
          <w:tcPr>
            <w:tcW w:w="59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Reflects 2 months of Pioneer production averaged for 91 days for</w:t>
            </w:r>
          </w:p>
        </w:tc>
        <w:tc>
          <w:tcPr>
            <w:tcW w:w="0" w:type="dxa"/>
            <w:vAlign w:val="bottom"/>
          </w:tcPr>
          <w:p>
            <w:pPr>
              <w:spacing w:after="0"/>
              <w:rPr>
                <w:sz w:val="1"/>
                <w:szCs w:val="1"/>
                <w:color w:val="auto"/>
              </w:rPr>
            </w:pPr>
          </w:p>
        </w:tc>
      </w:tr>
      <w:tr>
        <w:trPr>
          <w:trHeight w:val="162"/>
        </w:trPr>
        <w:tc>
          <w:tcPr>
            <w:tcW w:w="378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980" w:type="dxa"/>
            <w:vAlign w:val="bottom"/>
            <w:tcBorders>
              <w:bottom w:val="single" w:sz="8" w:color="auto"/>
              <w:right w:val="single" w:sz="8" w:color="auto"/>
            </w:tcBorders>
          </w:tcPr>
          <w:p>
            <w:pPr>
              <w:ind w:left="20"/>
              <w:spacing w:after="0" w:line="162" w:lineRule="exact"/>
              <w:rPr>
                <w:sz w:val="20"/>
                <w:szCs w:val="20"/>
                <w:color w:val="auto"/>
              </w:rPr>
            </w:pPr>
            <w:r>
              <w:rPr>
                <w:rFonts w:ascii="Arial" w:cs="Arial" w:eastAsia="Arial" w:hAnsi="Arial"/>
                <w:sz w:val="18"/>
                <w:szCs w:val="18"/>
                <w:color w:val="auto"/>
              </w:rPr>
              <w:t>2Q</w:t>
            </w:r>
          </w:p>
        </w:tc>
        <w:tc>
          <w:tcPr>
            <w:tcW w:w="0" w:type="dxa"/>
            <w:vAlign w:val="bottom"/>
          </w:tcPr>
          <w:p>
            <w:pPr>
              <w:spacing w:after="0"/>
              <w:rPr>
                <w:sz w:val="1"/>
                <w:szCs w:val="1"/>
                <w:color w:val="auto"/>
              </w:rPr>
            </w:pPr>
          </w:p>
        </w:tc>
      </w:tr>
      <w:tr>
        <w:trPr>
          <w:trHeight w:val="228"/>
        </w:trPr>
        <w:tc>
          <w:tcPr>
            <w:tcW w:w="3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Earnings (loss), U.S. GAAP</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0.2</w:t>
            </w:r>
          </w:p>
        </w:tc>
        <w:tc>
          <w:tcPr>
            <w:tcW w:w="8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- 0.4</w:t>
            </w:r>
          </w:p>
        </w:tc>
        <w:tc>
          <w:tcPr>
            <w:tcW w:w="598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0"/>
                <w:szCs w:val="20"/>
                <w:color w:val="auto"/>
              </w:rPr>
              <w:t>Includes operating results of $0.4B - $0.6B and one-time post-CIC</w:t>
            </w:r>
          </w:p>
        </w:tc>
        <w:tc>
          <w:tcPr>
            <w:tcW w:w="0" w:type="dxa"/>
            <w:vAlign w:val="bottom"/>
          </w:tcPr>
          <w:p>
            <w:pPr>
              <w:spacing w:after="0"/>
              <w:rPr>
                <w:sz w:val="1"/>
                <w:szCs w:val="1"/>
                <w:color w:val="auto"/>
              </w:rPr>
            </w:pPr>
          </w:p>
        </w:tc>
      </w:tr>
      <w:tr>
        <w:trPr>
          <w:trHeight w:val="140"/>
        </w:trPr>
        <w:tc>
          <w:tcPr>
            <w:tcW w:w="3780" w:type="dxa"/>
            <w:vAlign w:val="bottom"/>
            <w:tcBorders>
              <w:left w:val="single" w:sz="8" w:color="auto"/>
              <w:right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59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transaction expenses of ($0.2B) - ($0.1B)</w:t>
            </w:r>
          </w:p>
        </w:tc>
        <w:tc>
          <w:tcPr>
            <w:tcW w:w="0" w:type="dxa"/>
            <w:vAlign w:val="bottom"/>
          </w:tcPr>
          <w:p>
            <w:pPr>
              <w:spacing w:after="0"/>
              <w:rPr>
                <w:sz w:val="1"/>
                <w:szCs w:val="1"/>
                <w:color w:val="auto"/>
              </w:rPr>
            </w:pPr>
          </w:p>
        </w:tc>
      </w:tr>
      <w:tr>
        <w:trPr>
          <w:trHeight w:val="132"/>
        </w:trPr>
        <w:tc>
          <w:tcPr>
            <w:tcW w:w="3780" w:type="dxa"/>
            <w:vAlign w:val="bottom"/>
            <w:tcBorders>
              <w:left w:val="single" w:sz="8" w:color="auto"/>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Pre-tax DD&amp;A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- 1.1</w:t>
            </w:r>
          </w:p>
        </w:tc>
        <w:tc>
          <w:tcPr>
            <w:tcW w:w="5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Includes preliminary estimate of purchase accounting impacts</w:t>
            </w:r>
          </w:p>
        </w:tc>
        <w:tc>
          <w:tcPr>
            <w:tcW w:w="0" w:type="dxa"/>
            <w:vAlign w:val="bottom"/>
          </w:tcPr>
          <w:p>
            <w:pPr>
              <w:spacing w:after="0"/>
              <w:rPr>
                <w:sz w:val="1"/>
                <w:szCs w:val="1"/>
                <w:color w:val="auto"/>
              </w:rPr>
            </w:pPr>
          </w:p>
        </w:tc>
      </w:tr>
      <w:tr>
        <w:trPr>
          <w:trHeight w:val="277"/>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Capex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- 0.9</w:t>
            </w:r>
          </w:p>
        </w:tc>
        <w:tc>
          <w:tcPr>
            <w:tcW w:w="5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Reflects 2 months of Pioneer capex</w:t>
            </w:r>
          </w:p>
        </w:tc>
        <w:tc>
          <w:tcPr>
            <w:tcW w:w="0" w:type="dxa"/>
            <w:vAlign w:val="bottom"/>
          </w:tcPr>
          <w:p>
            <w:pPr>
              <w:spacing w:after="0"/>
              <w:rPr>
                <w:sz w:val="1"/>
                <w:szCs w:val="1"/>
                <w:color w:val="auto"/>
              </w:rPr>
            </w:pPr>
          </w:p>
        </w:tc>
      </w:tr>
      <w:tr>
        <w:trPr>
          <w:trHeight w:val="428"/>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Other Considerations:</w:t>
            </w: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EM Avg. Shares Outstanding (million)</w:t>
            </w:r>
          </w:p>
        </w:tc>
        <w:tc>
          <w:tcPr>
            <w:tcW w:w="1520" w:type="dxa"/>
            <w:vAlign w:val="bottom"/>
            <w:tcBorders>
              <w:right w:val="single" w:sz="8" w:color="auto"/>
            </w:tcBorders>
            <w:gridSpan w:val="2"/>
            <w:vMerge w:val="restart"/>
          </w:tcPr>
          <w:p>
            <w:pPr>
              <w:jc w:val="right"/>
              <w:ind w:right="361"/>
              <w:spacing w:after="0"/>
              <w:rPr>
                <w:sz w:val="20"/>
                <w:szCs w:val="20"/>
                <w:color w:val="auto"/>
              </w:rPr>
            </w:pPr>
            <w:r>
              <w:rPr>
                <w:rFonts w:ascii="Arial" w:cs="Arial" w:eastAsia="Arial" w:hAnsi="Arial"/>
                <w:sz w:val="20"/>
                <w:szCs w:val="20"/>
                <w:color w:val="auto"/>
              </w:rPr>
              <w:t>~4,250</w:t>
            </w:r>
          </w:p>
        </w:tc>
        <w:tc>
          <w:tcPr>
            <w:tcW w:w="5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20"/>
                <w:szCs w:val="20"/>
                <w:color w:val="auto"/>
              </w:rPr>
              <w:t>Includes shares issued for Pioneer less shares repurchased under</w:t>
            </w:r>
          </w:p>
        </w:tc>
        <w:tc>
          <w:tcPr>
            <w:tcW w:w="0" w:type="dxa"/>
            <w:vAlign w:val="bottom"/>
          </w:tcPr>
          <w:p>
            <w:pPr>
              <w:spacing w:after="0"/>
              <w:rPr>
                <w:sz w:val="1"/>
                <w:szCs w:val="1"/>
                <w:color w:val="auto"/>
              </w:rPr>
            </w:pPr>
          </w:p>
        </w:tc>
      </w:tr>
      <w:tr>
        <w:trPr>
          <w:trHeight w:val="153"/>
        </w:trPr>
        <w:tc>
          <w:tcPr>
            <w:tcW w:w="3780" w:type="dxa"/>
            <w:vAlign w:val="bottom"/>
            <w:tcBorders>
              <w:left w:val="single" w:sz="8" w:color="auto"/>
              <w:right w:val="single" w:sz="8" w:color="auto"/>
            </w:tcBorders>
            <w:vMerge w:val="continue"/>
          </w:tcPr>
          <w:p>
            <w:pPr>
              <w:spacing w:after="0"/>
              <w:rPr>
                <w:sz w:val="13"/>
                <w:szCs w:val="13"/>
                <w:color w:val="auto"/>
              </w:rPr>
            </w:pPr>
          </w:p>
        </w:tc>
        <w:tc>
          <w:tcPr>
            <w:tcW w:w="1520" w:type="dxa"/>
            <w:vAlign w:val="bottom"/>
            <w:tcBorders>
              <w:right w:val="single" w:sz="8" w:color="auto"/>
            </w:tcBorders>
            <w:gridSpan w:val="2"/>
            <w:vMerge w:val="continue"/>
          </w:tcPr>
          <w:p>
            <w:pPr>
              <w:spacing w:after="0"/>
              <w:rPr>
                <w:sz w:val="13"/>
                <w:szCs w:val="13"/>
                <w:color w:val="auto"/>
              </w:rPr>
            </w:pPr>
          </w:p>
        </w:tc>
        <w:tc>
          <w:tcPr>
            <w:tcW w:w="59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the announced buyback program</w:t>
            </w:r>
          </w:p>
        </w:tc>
        <w:tc>
          <w:tcPr>
            <w:tcW w:w="0" w:type="dxa"/>
            <w:vAlign w:val="bottom"/>
          </w:tcPr>
          <w:p>
            <w:pPr>
              <w:spacing w:after="0"/>
              <w:rPr>
                <w:sz w:val="1"/>
                <w:szCs w:val="1"/>
                <w:color w:val="auto"/>
              </w:rPr>
            </w:pPr>
          </w:p>
        </w:tc>
      </w:tr>
      <w:tr>
        <w:trPr>
          <w:trHeight w:val="98"/>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59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20" w:firstLine="8"/>
        <w:spacing w:after="0" w:line="231" w:lineRule="auto"/>
        <w:tabs>
          <w:tab w:leader="none" w:pos="126" w:val="left"/>
        </w:tabs>
        <w:numPr>
          <w:ilvl w:val="0"/>
          <w:numId w:val="2"/>
        </w:numPr>
        <w:rPr>
          <w:rFonts w:ascii="Arial" w:cs="Arial" w:eastAsia="Arial" w:hAnsi="Arial"/>
          <w:sz w:val="26"/>
          <w:szCs w:val="26"/>
          <w:color w:val="auto"/>
          <w:vertAlign w:val="superscript"/>
        </w:rPr>
      </w:pPr>
      <w:r>
        <w:rPr>
          <w:rFonts w:ascii="Arial" w:cs="Arial" w:eastAsia="Arial" w:hAnsi="Arial"/>
          <w:sz w:val="20"/>
          <w:szCs w:val="20"/>
          <w:color w:val="auto"/>
        </w:rPr>
        <w:t>Pioneer production attributable to ExxonMobil results is expected to be ~46 - 48 MOEB for the period May 3, 2024 to June 30, 2024. References to average daily production will be based on the impact to the full quarter, and do not represent the actual daily production at the end of the period.</w:t>
      </w:r>
    </w:p>
    <w:p>
      <w:pPr>
        <w:sectPr>
          <w:pgSz w:w="11900" w:h="16838" w:orient="portrait"/>
          <w:cols w:equalWidth="0" w:num="1">
            <w:col w:w="11260"/>
          </w:cols>
          <w:pgMar w:left="320" w:top="7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20" w:top="710" w:right="319" w:bottom="1440" w:gutter="0" w:footer="0" w:header="0"/>
          <w:type w:val="continuous"/>
        </w:sectPr>
      </w:pPr>
    </w:p>
    <w:bookmarkStart w:id="6" w:name="page7"/>
    <w:bookmarkEnd w:id="6"/>
    <w:p>
      <w:pPr>
        <w:ind w:right="20"/>
        <w:spacing w:after="0" w:line="239" w:lineRule="auto"/>
        <w:rPr>
          <w:sz w:val="20"/>
          <w:szCs w:val="20"/>
          <w:color w:val="auto"/>
        </w:rPr>
      </w:pPr>
      <w:r>
        <w:rPr>
          <w:rFonts w:ascii="Arial" w:cs="Arial" w:eastAsia="Arial" w:hAnsi="Arial"/>
          <w:sz w:val="20"/>
          <w:szCs w:val="20"/>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2Q 2024 may vary from our estimates for a number of reasons, including additional unidentified factors related to: sales volume and sales mix numbers; supply and demand imbalances including as a result of direct or indirect restrictions on production; regional pricing differentials and refining and chemical margins; seasonal impacts on product demand and operating expenses; resolution of trading and derivative positions for the quarter; increases in integration benefits or costs of new start-ups or acquisitions; global and regional hostilities, including border disputes, nationalizations, war, terrorism, or civil unrest and its impact on markets and our assets around the world; price impacts and the broader government responses to inflationary pressures; changes in interest and exchange rates;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actions by governments or independent administrative bureaucracies to increase our costs, decrease our ability to produce or replenish reserves, prohibit the export or sale of our products, or prevent the expansion of our low carbon solutions businesses; changes in asset valuation or estimates of fair value as of a certain date; updates or corrections of any estimate used herein; and other market conditions in the oil, natural gas, petroleum, and petrochemical industries. Furthermore, additional factors may exist that will be relevant to 2Q 2024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14"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In accordance with Regulation FD, we are hereby providing notice the Company currently intends to furnish its 2Q 2024 financial results both (1) by posting them on our website at www.exxonmobil.com and (2) in a filing on Form 8-K in the Securities and Exchange Commission EDGAR system, each at approximately 5:30 a.m. CT Friday, August 2, 2024. In the event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August 2, 2024.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6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2024-07-08T06:11:24Z</dcterms:created>
  <dcterms:modified xsi:type="dcterms:W3CDTF">2024-07-08T06:11:24Z</dcterms:modified>
</cp:coreProperties>
</file>