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UNITED STATES</w:t>
      </w:r>
    </w:p>
    <w:p>
      <w:pPr>
        <w:spacing w:after="0" w:line="4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46" w:lineRule="exact"/>
        <w:rPr>
          <w:sz w:val="24"/>
          <w:szCs w:val="24"/>
          <w:color w:val="auto"/>
        </w:rPr>
      </w:pPr>
    </w:p>
    <w:p>
      <w:pPr>
        <w:ind w:left="3000" w:right="2260" w:hanging="932"/>
        <w:spacing w:after="0" w:line="299" w:lineRule="auto"/>
        <w:tabs>
          <w:tab w:leader="none" w:pos="22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For the quarterly period ended March 31, 2026</w:t>
      </w:r>
    </w:p>
    <w:p>
      <w:pPr>
        <w:spacing w:after="0" w:line="32"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000" w:right="2240" w:hanging="928"/>
        <w:spacing w:after="0" w:line="333" w:lineRule="auto"/>
        <w:tabs>
          <w:tab w:leader="none" w:pos="225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9"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color w:val="auto"/>
        </w:rPr>
        <w:t>For the transition period from __________to__________</w:t>
      </w:r>
    </w:p>
    <w:p>
      <w:pPr>
        <w:spacing w:after="0" w:line="266"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Commission File Number 1-2256</w:t>
      </w:r>
    </w:p>
    <w:p>
      <w:pPr>
        <w:spacing w:after="0" w:line="2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36"/>
          <w:szCs w:val="36"/>
          <w:b w:val="1"/>
          <w:bCs w:val="1"/>
          <w:color w:val="auto"/>
        </w:rPr>
        <w:t>Exxon Mobil Corporation</w:t>
      </w:r>
    </w:p>
    <w:p>
      <w:pPr>
        <w:spacing w:after="0" w:line="2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New Jersey</w:t>
            </w:r>
          </w:p>
        </w:tc>
        <w:tc>
          <w:tcPr>
            <w:tcW w:w="2960" w:type="dxa"/>
            <w:vAlign w:val="bottom"/>
          </w:tcPr>
          <w:p>
            <w:pPr>
              <w:spacing w:after="0"/>
              <w:rPr>
                <w:sz w:val="18"/>
                <w:szCs w:val="18"/>
                <w:color w:val="auto"/>
              </w:rPr>
            </w:pPr>
          </w:p>
        </w:tc>
        <w:tc>
          <w:tcPr>
            <w:tcW w:w="2900" w:type="dxa"/>
            <w:vAlign w:val="bottom"/>
          </w:tcPr>
          <w:p>
            <w:pPr>
              <w:jc w:val="right"/>
              <w:ind w:right="1905"/>
              <w:spacing w:after="0"/>
              <w:rPr>
                <w:sz w:val="20"/>
                <w:szCs w:val="20"/>
                <w:color w:val="auto"/>
              </w:rPr>
            </w:pPr>
            <w:r>
              <w:rPr>
                <w:rFonts w:ascii="Times New Roman" w:cs="Times New Roman" w:eastAsia="Times New Roman" w:hAnsi="Times New Roman"/>
                <w:sz w:val="18"/>
                <w:szCs w:val="18"/>
                <w:b w:val="1"/>
                <w:bCs w:val="1"/>
                <w:color w:val="auto"/>
              </w:rPr>
              <w:t>13-5409005</w:t>
            </w:r>
          </w:p>
        </w:tc>
      </w:tr>
      <w:tr>
        <w:trPr>
          <w:trHeight w:val="239"/>
        </w:trPr>
        <w:tc>
          <w:tcPr>
            <w:tcW w:w="40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860" w:type="dxa"/>
            <w:vAlign w:val="bottom"/>
            <w:gridSpan w:val="2"/>
          </w:tcPr>
          <w:p>
            <w:pPr>
              <w:jc w:val="center"/>
              <w:ind w:left="966"/>
              <w:spacing w:after="0"/>
              <w:rPr>
                <w:sz w:val="20"/>
                <w:szCs w:val="20"/>
                <w:color w:val="auto"/>
              </w:rPr>
            </w:pPr>
            <w:r>
              <w:rPr>
                <w:rFonts w:ascii="Times New Roman" w:cs="Times New Roman" w:eastAsia="Times New Roman" w:hAnsi="Times New Roman"/>
                <w:sz w:val="14"/>
                <w:szCs w:val="14"/>
                <w:color w:val="auto"/>
              </w:rPr>
              <w:t>(I.R.S. Employer Identification Number</w:t>
            </w:r>
            <w:r>
              <w:rPr>
                <w:rFonts w:ascii="Times New Roman" w:cs="Times New Roman" w:eastAsia="Times New Roman" w:hAnsi="Times New Roman"/>
                <w:sz w:val="17"/>
                <w:szCs w:val="17"/>
                <w:color w:val="auto"/>
              </w:rPr>
              <w:t>)</w:t>
            </w:r>
          </w:p>
        </w:tc>
      </w:tr>
      <w:tr>
        <w:trPr>
          <w:trHeight w:val="392"/>
        </w:trPr>
        <w:tc>
          <w:tcPr>
            <w:tcW w:w="9880" w:type="dxa"/>
            <w:vAlign w:val="bottom"/>
            <w:gridSpan w:val="3"/>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9"/>
              </w:rPr>
              <w:t>22777 Springwoods Village Parkway, Spring, Texas 77389-1425</w:t>
            </w:r>
          </w:p>
        </w:tc>
      </w:tr>
      <w:tr>
        <w:trPr>
          <w:trHeight w:val="193"/>
        </w:trPr>
        <w:tc>
          <w:tcPr>
            <w:tcW w:w="6980" w:type="dxa"/>
            <w:vAlign w:val="bottom"/>
            <w:gridSpan w:val="2"/>
          </w:tcPr>
          <w:p>
            <w:pPr>
              <w:jc w:val="center"/>
              <w:ind w:left="2663"/>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2900" w:type="dxa"/>
            <w:vAlign w:val="bottom"/>
          </w:tcPr>
          <w:p>
            <w:pPr>
              <w:spacing w:after="0"/>
              <w:rPr>
                <w:sz w:val="16"/>
                <w:szCs w:val="16"/>
                <w:color w:val="auto"/>
              </w:rPr>
            </w:pPr>
          </w:p>
        </w:tc>
      </w:tr>
      <w:tr>
        <w:trPr>
          <w:trHeight w:val="280"/>
        </w:trPr>
        <w:tc>
          <w:tcPr>
            <w:tcW w:w="4020" w:type="dxa"/>
            <w:vAlign w:val="bottom"/>
          </w:tcPr>
          <w:p>
            <w:pPr>
              <w:spacing w:after="0"/>
              <w:rPr>
                <w:sz w:val="24"/>
                <w:szCs w:val="24"/>
                <w:color w:val="auto"/>
              </w:rPr>
            </w:pPr>
          </w:p>
        </w:tc>
        <w:tc>
          <w:tcPr>
            <w:tcW w:w="2960" w:type="dxa"/>
            <w:vAlign w:val="bottom"/>
          </w:tcPr>
          <w:p>
            <w:pPr>
              <w:jc w:val="right"/>
              <w:ind w:right="1486"/>
              <w:spacing w:after="0"/>
              <w:rPr>
                <w:sz w:val="20"/>
                <w:szCs w:val="20"/>
                <w:color w:val="auto"/>
              </w:rPr>
            </w:pPr>
            <w:r>
              <w:rPr>
                <w:rFonts w:ascii="Times New Roman" w:cs="Times New Roman" w:eastAsia="Times New Roman" w:hAnsi="Times New Roman"/>
                <w:sz w:val="18"/>
                <w:szCs w:val="18"/>
                <w:b w:val="1"/>
                <w:bCs w:val="1"/>
                <w:color w:val="auto"/>
              </w:rPr>
              <w:t>(972) 940-6000</w:t>
            </w:r>
          </w:p>
        </w:tc>
        <w:tc>
          <w:tcPr>
            <w:tcW w:w="2900" w:type="dxa"/>
            <w:vAlign w:val="bottom"/>
          </w:tcPr>
          <w:p>
            <w:pPr>
              <w:spacing w:after="0"/>
              <w:rPr>
                <w:sz w:val="24"/>
                <w:szCs w:val="24"/>
                <w:color w:val="auto"/>
              </w:rPr>
            </w:pPr>
          </w:p>
        </w:tc>
      </w:tr>
      <w:tr>
        <w:trPr>
          <w:trHeight w:val="193"/>
        </w:trPr>
        <w:tc>
          <w:tcPr>
            <w:tcW w:w="6980" w:type="dxa"/>
            <w:vAlign w:val="bottom"/>
            <w:gridSpan w:val="2"/>
          </w:tcPr>
          <w:p>
            <w:pPr>
              <w:jc w:val="center"/>
              <w:ind w:left="266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900" w:type="dxa"/>
            <w:vAlign w:val="bottom"/>
          </w:tcPr>
          <w:p>
            <w:pPr>
              <w:spacing w:after="0"/>
              <w:rPr>
                <w:sz w:val="16"/>
                <w:szCs w:val="16"/>
                <w:color w:val="auto"/>
              </w:rPr>
            </w:pPr>
          </w:p>
        </w:tc>
      </w:tr>
      <w:tr>
        <w:trPr>
          <w:trHeight w:val="230"/>
        </w:trPr>
        <w:tc>
          <w:tcPr>
            <w:tcW w:w="4020" w:type="dxa"/>
            <w:vAlign w:val="bottom"/>
          </w:tcPr>
          <w:p>
            <w:pPr>
              <w:spacing w:after="0"/>
              <w:rPr>
                <w:sz w:val="19"/>
                <w:szCs w:val="19"/>
                <w:color w:val="auto"/>
              </w:rPr>
            </w:pPr>
          </w:p>
        </w:tc>
        <w:tc>
          <w:tcPr>
            <w:tcW w:w="2960" w:type="dxa"/>
            <w:vAlign w:val="bottom"/>
          </w:tcPr>
          <w:p>
            <w:pPr>
              <w:jc w:val="right"/>
              <w:ind w:right="1206"/>
              <w:spacing w:after="0"/>
              <w:rPr>
                <w:sz w:val="20"/>
                <w:szCs w:val="20"/>
                <w:color w:val="auto"/>
              </w:rPr>
            </w:pPr>
            <w:r>
              <w:rPr>
                <w:rFonts w:ascii="Times New Roman" w:cs="Times New Roman" w:eastAsia="Times New Roman" w:hAnsi="Times New Roman"/>
                <w:sz w:val="14"/>
                <w:szCs w:val="14"/>
                <w:color w:val="auto"/>
              </w:rPr>
              <w:t>_______________________</w:t>
            </w:r>
          </w:p>
        </w:tc>
        <w:tc>
          <w:tcPr>
            <w:tcW w:w="2900" w:type="dxa"/>
            <w:vAlign w:val="bottom"/>
          </w:tcPr>
          <w:p>
            <w:pPr>
              <w:spacing w:after="0"/>
              <w:rPr>
                <w:sz w:val="19"/>
                <w:szCs w:val="19"/>
                <w:color w:val="auto"/>
              </w:rPr>
            </w:pPr>
          </w:p>
        </w:tc>
      </w:tr>
      <w:tr>
        <w:trPr>
          <w:trHeight w:val="266"/>
        </w:trPr>
        <w:tc>
          <w:tcPr>
            <w:tcW w:w="6980" w:type="dxa"/>
            <w:vAlign w:val="bottom"/>
            <w:gridSpan w:val="2"/>
          </w:tcPr>
          <w:p>
            <w:pPr>
              <w:jc w:val="center"/>
              <w:ind w:left="2683"/>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900" w:type="dxa"/>
            <w:vAlign w:val="bottom"/>
          </w:tcPr>
          <w:p>
            <w:pPr>
              <w:spacing w:after="0"/>
              <w:rPr>
                <w:sz w:val="23"/>
                <w:szCs w:val="23"/>
                <w:color w:val="auto"/>
              </w:rPr>
            </w:pPr>
          </w:p>
        </w:tc>
      </w:tr>
      <w:tr>
        <w:trPr>
          <w:trHeight w:val="270"/>
        </w:trPr>
        <w:tc>
          <w:tcPr>
            <w:tcW w:w="4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Title of Each Class</w:t>
            </w:r>
          </w:p>
        </w:tc>
        <w:tc>
          <w:tcPr>
            <w:tcW w:w="2960" w:type="dxa"/>
            <w:vAlign w:val="bottom"/>
            <w:tcBorders>
              <w:bottom w:val="single" w:sz="8" w:color="auto"/>
            </w:tcBorders>
          </w:tcPr>
          <w:p>
            <w:pPr>
              <w:jc w:val="center"/>
              <w:ind w:right="986"/>
              <w:spacing w:after="0"/>
              <w:rPr>
                <w:sz w:val="20"/>
                <w:szCs w:val="20"/>
                <w:color w:val="auto"/>
              </w:rPr>
            </w:pPr>
            <w:r>
              <w:rPr>
                <w:rFonts w:ascii="Times New Roman" w:cs="Times New Roman" w:eastAsia="Times New Roman" w:hAnsi="Times New Roman"/>
                <w:sz w:val="14"/>
                <w:szCs w:val="14"/>
                <w:color w:val="auto"/>
              </w:rPr>
              <w:t>Trading Symbol</w:t>
            </w:r>
          </w:p>
        </w:tc>
        <w:tc>
          <w:tcPr>
            <w:tcW w:w="29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4"/>
        </w:trPr>
        <w:tc>
          <w:tcPr>
            <w:tcW w:w="4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 without par value</w:t>
            </w:r>
          </w:p>
        </w:tc>
        <w:tc>
          <w:tcPr>
            <w:tcW w:w="2960" w:type="dxa"/>
            <w:vAlign w:val="bottom"/>
          </w:tcPr>
          <w:p>
            <w:pPr>
              <w:jc w:val="center"/>
              <w:ind w:right="966"/>
              <w:spacing w:after="0"/>
              <w:rPr>
                <w:sz w:val="20"/>
                <w:szCs w:val="20"/>
                <w:color w:val="auto"/>
              </w:rPr>
            </w:pPr>
            <w:r>
              <w:rPr>
                <w:rFonts w:ascii="Times New Roman" w:cs="Times New Roman" w:eastAsia="Times New Roman" w:hAnsi="Times New Roman"/>
                <w:sz w:val="14"/>
                <w:szCs w:val="14"/>
                <w:b w:val="1"/>
                <w:bCs w:val="1"/>
                <w:color w:val="auto"/>
              </w:rPr>
              <w:t>XOM</w:t>
            </w:r>
          </w:p>
        </w:tc>
        <w:tc>
          <w:tcPr>
            <w:tcW w:w="290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05"/>
        </w:trPr>
        <w:tc>
          <w:tcPr>
            <w:tcW w:w="4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0.524% Notes due 2028</w:t>
            </w:r>
          </w:p>
        </w:tc>
        <w:tc>
          <w:tcPr>
            <w:tcW w:w="2960" w:type="dxa"/>
            <w:vAlign w:val="bottom"/>
          </w:tcPr>
          <w:p>
            <w:pPr>
              <w:jc w:val="center"/>
              <w:ind w:right="966"/>
              <w:spacing w:after="0"/>
              <w:rPr>
                <w:sz w:val="20"/>
                <w:szCs w:val="20"/>
                <w:color w:val="auto"/>
              </w:rPr>
            </w:pPr>
            <w:r>
              <w:rPr>
                <w:rFonts w:ascii="Times New Roman" w:cs="Times New Roman" w:eastAsia="Times New Roman" w:hAnsi="Times New Roman"/>
                <w:sz w:val="14"/>
                <w:szCs w:val="14"/>
                <w:b w:val="1"/>
                <w:bCs w:val="1"/>
                <w:color w:val="auto"/>
                <w:w w:val="99"/>
              </w:rPr>
              <w:t>XOM28</w:t>
            </w:r>
          </w:p>
        </w:tc>
        <w:tc>
          <w:tcPr>
            <w:tcW w:w="290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16"/>
        </w:trPr>
        <w:tc>
          <w:tcPr>
            <w:tcW w:w="4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0.835% Notes due 2032</w:t>
            </w:r>
          </w:p>
        </w:tc>
        <w:tc>
          <w:tcPr>
            <w:tcW w:w="2960" w:type="dxa"/>
            <w:vAlign w:val="bottom"/>
          </w:tcPr>
          <w:p>
            <w:pPr>
              <w:jc w:val="center"/>
              <w:ind w:right="966"/>
              <w:spacing w:after="0"/>
              <w:rPr>
                <w:sz w:val="20"/>
                <w:szCs w:val="20"/>
                <w:color w:val="auto"/>
              </w:rPr>
            </w:pPr>
            <w:r>
              <w:rPr>
                <w:rFonts w:ascii="Times New Roman" w:cs="Times New Roman" w:eastAsia="Times New Roman" w:hAnsi="Times New Roman"/>
                <w:sz w:val="14"/>
                <w:szCs w:val="14"/>
                <w:b w:val="1"/>
                <w:bCs w:val="1"/>
                <w:color w:val="auto"/>
                <w:w w:val="99"/>
              </w:rPr>
              <w:t>XOM32</w:t>
            </w:r>
          </w:p>
        </w:tc>
        <w:tc>
          <w:tcPr>
            <w:tcW w:w="290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16"/>
        </w:trPr>
        <w:tc>
          <w:tcPr>
            <w:tcW w:w="4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1.408% Notes due 2039</w:t>
            </w:r>
          </w:p>
        </w:tc>
        <w:tc>
          <w:tcPr>
            <w:tcW w:w="2960" w:type="dxa"/>
            <w:vAlign w:val="bottom"/>
          </w:tcPr>
          <w:p>
            <w:pPr>
              <w:jc w:val="center"/>
              <w:ind w:right="966"/>
              <w:spacing w:after="0"/>
              <w:rPr>
                <w:sz w:val="20"/>
                <w:szCs w:val="20"/>
                <w:color w:val="auto"/>
              </w:rPr>
            </w:pPr>
            <w:r>
              <w:rPr>
                <w:rFonts w:ascii="Times New Roman" w:cs="Times New Roman" w:eastAsia="Times New Roman" w:hAnsi="Times New Roman"/>
                <w:sz w:val="14"/>
                <w:szCs w:val="14"/>
                <w:b w:val="1"/>
                <w:bCs w:val="1"/>
                <w:color w:val="auto"/>
              </w:rPr>
              <w:t>XOM39A</w:t>
            </w:r>
          </w:p>
        </w:tc>
        <w:tc>
          <w:tcPr>
            <w:tcW w:w="290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bl>
    <w:p>
      <w:pPr>
        <w:spacing w:after="0" w:line="293" w:lineRule="exact"/>
        <w:rPr>
          <w:sz w:val="24"/>
          <w:szCs w:val="24"/>
          <w:color w:val="auto"/>
        </w:rPr>
      </w:pPr>
    </w:p>
    <w:p>
      <w:pPr>
        <w:ind w:right="200"/>
        <w:spacing w:after="0" w:line="20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196" w:lineRule="exact"/>
        <w:rPr>
          <w:sz w:val="20"/>
          <w:szCs w:val="20"/>
          <w:color w:val="auto"/>
        </w:rPr>
      </w:pPr>
      <w:r>
        <w:rPr>
          <w:rFonts w:ascii="Times New Roman" w:cs="Times New Roman" w:eastAsia="Times New Roman" w:hAnsi="Times New Roman"/>
          <w:sz w:val="16"/>
          <w:szCs w:val="16"/>
          <w:color w:val="auto"/>
        </w:rPr>
        <w:t xml:space="preserve">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54" w:lineRule="exact"/>
        <w:rPr>
          <w:sz w:val="24"/>
          <w:szCs w:val="24"/>
          <w:color w:val="auto"/>
        </w:rPr>
      </w:pPr>
    </w:p>
    <w:p>
      <w:pPr>
        <w:ind w:right="160"/>
        <w:spacing w:after="0" w:line="207"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w:t>
      </w:r>
    </w:p>
    <w:p>
      <w:pPr>
        <w:ind w:right="200"/>
        <w:spacing w:after="0" w:line="222" w:lineRule="auto"/>
        <w:rPr>
          <w:sz w:val="20"/>
          <w:szCs w:val="20"/>
          <w:color w:val="auto"/>
        </w:rPr>
      </w:pPr>
      <w:r>
        <w:rPr>
          <w:rFonts w:ascii="Times New Roman" w:cs="Times New Roman" w:eastAsia="Times New Roman" w:hAnsi="Times New Roman"/>
          <w:sz w:val="16"/>
          <w:szCs w:val="16"/>
          <w:color w:val="auto"/>
        </w:rPr>
        <w:t>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60" w:type="dxa"/>
        <w:tblCellMar>
          <w:top w:w="0" w:type="dxa"/>
          <w:left w:w="0" w:type="dxa"/>
          <w:bottom w:w="0" w:type="dxa"/>
          <w:right w:w="0" w:type="dxa"/>
        </w:tblCellMar>
      </w:tblPr>
      <w:tr>
        <w:trPr>
          <w:trHeight w:val="257"/>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660" w:type="dxa"/>
            <w:vAlign w:val="bottom"/>
          </w:tcPr>
          <w:p>
            <w:pPr>
              <w:ind w:left="800"/>
              <w:spacing w:after="0" w:line="201" w:lineRule="exact"/>
              <w:rPr>
                <w:sz w:val="20"/>
                <w:szCs w:val="20"/>
                <w:color w:val="auto"/>
              </w:rPr>
            </w:pPr>
            <w:r>
              <w:rPr>
                <w:rFonts w:ascii="MS PGothic" w:cs="MS PGothic" w:eastAsia="MS PGothic" w:hAnsi="MS PGothic"/>
                <w:sz w:val="20"/>
                <w:szCs w:val="20"/>
                <w:color w:val="auto"/>
              </w:rPr>
              <w:t>☑</w:t>
            </w:r>
          </w:p>
        </w:tc>
        <w:tc>
          <w:tcPr>
            <w:tcW w:w="3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66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70"/>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660" w:type="dxa"/>
            <w:vAlign w:val="bottom"/>
          </w:tcPr>
          <w:p>
            <w:pPr>
              <w:ind w:left="800"/>
              <w:spacing w:after="0" w:line="201" w:lineRule="exact"/>
              <w:rPr>
                <w:sz w:val="20"/>
                <w:szCs w:val="20"/>
                <w:color w:val="auto"/>
              </w:rPr>
            </w:pPr>
            <w:r>
              <w:rPr>
                <w:rFonts w:ascii="MS PGothic" w:cs="MS PGothic" w:eastAsia="MS PGothic" w:hAnsi="MS PGothic"/>
                <w:sz w:val="20"/>
                <w:szCs w:val="20"/>
                <w:color w:val="auto"/>
              </w:rPr>
              <w:t>☐</w:t>
            </w:r>
          </w:p>
        </w:tc>
        <w:tc>
          <w:tcPr>
            <w:tcW w:w="3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66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34"/>
        </w:trPr>
        <w:tc>
          <w:tcPr>
            <w:tcW w:w="2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66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112" w:lineRule="exact"/>
        <w:rPr>
          <w:sz w:val="24"/>
          <w:szCs w:val="24"/>
          <w:color w:val="auto"/>
        </w:rPr>
      </w:pPr>
    </w:p>
    <w:p>
      <w:pPr>
        <w:ind w:right="2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1600"/>
        <w:spacing w:after="0" w:line="23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6660" w:type="dxa"/>
            <w:vAlign w:val="bottom"/>
            <w:gridSpan w:val="2"/>
          </w:tcPr>
          <w:p>
            <w:pPr>
              <w:jc w:val="center"/>
              <w:ind w:right="404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as of March 31, 2026</w:t>
            </w:r>
          </w:p>
        </w:tc>
      </w:tr>
      <w:tr>
        <w:trPr>
          <w:trHeight w:val="206"/>
        </w:trPr>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without par value</w:t>
            </w:r>
          </w:p>
        </w:tc>
        <w:tc>
          <w:tcPr>
            <w:tcW w:w="4060" w:type="dxa"/>
            <w:vAlign w:val="bottom"/>
          </w:tcPr>
          <w:p>
            <w:pPr>
              <w:spacing w:after="0"/>
              <w:rPr>
                <w:sz w:val="17"/>
                <w:szCs w:val="17"/>
                <w:color w:val="auto"/>
              </w:rPr>
            </w:pPr>
          </w:p>
        </w:tc>
        <w:tc>
          <w:tcPr>
            <w:tcW w:w="3220" w:type="dxa"/>
            <w:vAlign w:val="bottom"/>
            <w:tcBorders>
              <w:top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4,144,947,162</w:t>
            </w:r>
          </w:p>
        </w:tc>
      </w:tr>
    </w:tbl>
    <w:p>
      <w:pPr>
        <w:sectPr>
          <w:pgSz w:w="11900" w:h="16838" w:orient="portrait"/>
          <w:cols w:equalWidth="0" w:num="1">
            <w:col w:w="9880"/>
          </w:cols>
          <w:pgMar w:left="1080" w:top="799" w:right="9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25"/>
          <w:szCs w:val="25"/>
          <w:b w:val="1"/>
          <w:bCs w:val="1"/>
          <w:color w:val="0C479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EXXON MOBIL CORPORATION</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0C479D"/>
        </w:rPr>
        <w:t>FORM 10-Q</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0C479D"/>
        </w:rPr>
        <w:t>FOR THE QUARTERLY PERIOD ENDED MARCH 31, 2026</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0C479D"/>
        </w:rPr>
        <w:t>TABLE OF CONTENTS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FFFFF"/>
        </w:rPr>
        <w:t>PART I. FINANCIAL INFORMATION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1.</w:t>
            </w:r>
          </w:p>
        </w:tc>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120" w:type="dxa"/>
            <w:vAlign w:val="bottom"/>
          </w:tcPr>
          <w:p>
            <w:pPr>
              <w:spacing w:after="0"/>
              <w:rPr>
                <w:sz w:val="20"/>
                <w:szCs w:val="20"/>
                <w:color w:val="auto"/>
              </w:rPr>
            </w:pPr>
          </w:p>
        </w:tc>
      </w:tr>
      <w:tr>
        <w:trPr>
          <w:trHeight w:val="257"/>
        </w:trPr>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 of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57"/>
        </w:trPr>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 of Comprehensive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57"/>
        </w:trPr>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Condensed Consolidated Balance Sheet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57"/>
        </w:trPr>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 of Cash Flows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56"/>
        </w:trPr>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 of Changes in Equity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535"/>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tc>
        <w:tc>
          <w:tcPr>
            <w:tcW w:w="1120" w:type="dxa"/>
            <w:vAlign w:val="bottom"/>
          </w:tcPr>
          <w:p>
            <w:pPr>
              <w:spacing w:after="0"/>
              <w:rPr>
                <w:sz w:val="24"/>
                <w:szCs w:val="24"/>
                <w:color w:val="auto"/>
              </w:rPr>
            </w:pPr>
          </w:p>
        </w:tc>
      </w:tr>
      <w:tr>
        <w:trPr>
          <w:trHeight w:val="257"/>
        </w:trPr>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Note 1. Basis of Financial Statement Preparation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57"/>
        </w:trPr>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Note 2. Earnings Per Share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57"/>
        </w:trPr>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Note 3. Disclosures about Segments and Related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56"/>
        </w:trPr>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0000FF"/>
              </w:rPr>
              <w:t>Note 4. Pension and Other Postretirement Benefits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57"/>
        </w:trPr>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0000FF"/>
                <w:w w:val="98"/>
              </w:rPr>
              <w:t>Note 5.</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Other Comprehensive Income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w:t>
            </w:r>
          </w:p>
        </w:tc>
      </w:tr>
      <w:tr>
        <w:trPr>
          <w:trHeight w:val="257"/>
        </w:trPr>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0000FF"/>
                <w:w w:val="98"/>
              </w:rPr>
              <w:t>Note 6.</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Financial Instruments and Derivatives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w:t>
            </w:r>
          </w:p>
        </w:tc>
      </w:tr>
      <w:tr>
        <w:trPr>
          <w:trHeight w:val="256"/>
        </w:trPr>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0000FF"/>
                <w:w w:val="98"/>
              </w:rPr>
              <w:t>Note 7.</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Litigation and Other Contingencies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261"/>
        </w:trPr>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0000FF"/>
                <w:w w:val="98"/>
              </w:rPr>
              <w:t>Note 8.</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Divestment Activities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w:t>
            </w:r>
          </w:p>
        </w:tc>
      </w:tr>
      <w:tr>
        <w:trPr>
          <w:trHeight w:val="513"/>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9"/>
              </w:rPr>
              <w:t>Item 2.</w:t>
            </w:r>
          </w:p>
        </w:tc>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w:t>
            </w:r>
          </w:p>
        </w:tc>
      </w:tr>
      <w:tr>
        <w:trPr>
          <w:trHeight w:val="513"/>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9"/>
              </w:rPr>
              <w:t>Item 3.</w:t>
            </w:r>
          </w:p>
        </w:tc>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r>
      <w:tr>
        <w:trPr>
          <w:trHeight w:val="513"/>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9"/>
              </w:rPr>
              <w:t>Item 4.</w:t>
            </w:r>
          </w:p>
        </w:tc>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r>
    </w:tbl>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FFFFF"/>
        </w:rPr>
        <w:t>PART II. OTHER INFORMATION</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9"/>
              </w:rPr>
              <w:t>Item 1.</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513"/>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9"/>
              </w:rPr>
              <w:t>Item 2.</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513"/>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9"/>
              </w:rPr>
              <w:t>Item 5.</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513"/>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9"/>
              </w:rPr>
              <w:t>Item 6.</w:t>
            </w:r>
          </w:p>
        </w:tc>
        <w:tc>
          <w:tcPr>
            <w:tcW w:w="6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513"/>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r>
    </w:tbl>
    <w:p>
      <w:pPr>
        <w:spacing w:after="0" w:line="200" w:lineRule="exact"/>
        <w:rPr>
          <w:sz w:val="20"/>
          <w:szCs w:val="20"/>
          <w:color w:val="auto"/>
        </w:rPr>
      </w:pPr>
    </w:p>
    <w:p>
      <w:pPr>
        <w:sectPr>
          <w:pgSz w:w="11900" w:h="16838" w:orient="portrait"/>
          <w:cols w:equalWidth="0" w:num="1">
            <w:col w:w="9460"/>
          </w:cols>
          <w:pgMar w:left="1220" w:top="1002"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460"/>
          </w:cols>
          <w:pgMar w:left="1220" w:top="1002" w:right="1219" w:bottom="1440" w:gutter="0" w:footer="0" w:header="0"/>
          <w:type w:val="continuous"/>
        </w:sectPr>
      </w:pPr>
    </w:p>
    <w:bookmarkStart w:id="2" w:name="page3"/>
    <w:bookmarkEnd w:id="2"/>
    <w:p>
      <w:pPr>
        <w:ind w:left="796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0C479D"/>
        </w:rPr>
        <w:t>PART I. FINANCIAL INFORMATION</w:t>
      </w:r>
    </w:p>
    <w:p>
      <w:pPr>
        <w:spacing w:after="0" w:line="200" w:lineRule="exact"/>
        <w:rPr>
          <w:sz w:val="20"/>
          <w:szCs w:val="20"/>
          <w:color w:val="auto"/>
        </w:rPr>
      </w:pPr>
    </w:p>
    <w:p>
      <w:pPr>
        <w:spacing w:after="0" w:line="3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0C479D"/>
        </w:rPr>
        <w:t>ITEM 1. FINANCIAL STATEMENTS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information in the Notes to Condensed Consolidated Financial Statements is an integral part of these statements.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Due to rounding, numbers presented may not add up precisely to the totals indicated.</w:t>
      </w: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C479D"/>
        </w:rPr>
        <w:t>CONDENSED CONSOLIDATED STATEMENT OF INCOME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60" w:type="dxa"/>
            <w:vAlign w:val="bottom"/>
            <w:shd w:val="clear" w:color="auto" w:fill="0C479D"/>
          </w:tcPr>
          <w:p>
            <w:pPr>
              <w:spacing w:after="0"/>
              <w:rPr>
                <w:sz w:val="18"/>
                <w:szCs w:val="18"/>
                <w:color w:val="auto"/>
              </w:rPr>
            </w:pPr>
          </w:p>
        </w:tc>
        <w:tc>
          <w:tcPr>
            <w:tcW w:w="9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Note</w:t>
            </w:r>
          </w:p>
        </w:tc>
        <w:tc>
          <w:tcPr>
            <w:tcW w:w="1980" w:type="dxa"/>
            <w:vAlign w:val="bottom"/>
            <w:gridSpan w:val="3"/>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18"/>
                <w:szCs w:val="18"/>
                <w:color w:val="auto"/>
              </w:rPr>
            </w:pPr>
          </w:p>
        </w:tc>
      </w:tr>
      <w:tr>
        <w:trPr>
          <w:trHeight w:val="155"/>
        </w:trPr>
        <w:tc>
          <w:tcPr>
            <w:tcW w:w="6360" w:type="dxa"/>
            <w:vAlign w:val="bottom"/>
            <w:shd w:val="clear" w:color="auto" w:fill="0C479D"/>
          </w:tcPr>
          <w:p>
            <w:pPr>
              <w:ind w:left="80"/>
              <w:spacing w:after="0" w:line="135" w:lineRule="exact"/>
              <w:rPr>
                <w:sz w:val="20"/>
                <w:szCs w:val="20"/>
                <w:color w:val="auto"/>
              </w:rPr>
            </w:pPr>
            <w:r>
              <w:rPr>
                <w:rFonts w:ascii="Times New Roman" w:cs="Times New Roman" w:eastAsia="Times New Roman" w:hAnsi="Times New Roman"/>
                <w:sz w:val="14"/>
                <w:szCs w:val="14"/>
                <w:i w:val="1"/>
                <w:iCs w:val="1"/>
                <w:color w:val="FFFFFF"/>
              </w:rPr>
              <w:t>(millions of dollars, unless noted)</w:t>
            </w:r>
          </w:p>
        </w:tc>
        <w:tc>
          <w:tcPr>
            <w:tcW w:w="900" w:type="dxa"/>
            <w:vAlign w:val="bottom"/>
            <w:shd w:val="clear" w:color="auto" w:fill="0C479D"/>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FFFFFF"/>
              </w:rPr>
              <w:t>Reference</w:t>
            </w:r>
          </w:p>
        </w:tc>
        <w:tc>
          <w:tcPr>
            <w:tcW w:w="1360" w:type="dxa"/>
            <w:vAlign w:val="bottom"/>
            <w:gridSpan w:val="2"/>
            <w:shd w:val="clear" w:color="auto" w:fill="0C479D"/>
          </w:tcPr>
          <w:p>
            <w:pPr>
              <w:jc w:val="center"/>
              <w:ind w:left="532"/>
              <w:spacing w:after="0" w:line="135" w:lineRule="exact"/>
              <w:rPr>
                <w:sz w:val="20"/>
                <w:szCs w:val="20"/>
                <w:color w:val="auto"/>
              </w:rPr>
            </w:pPr>
            <w:r>
              <w:rPr>
                <w:rFonts w:ascii="Times New Roman" w:cs="Times New Roman" w:eastAsia="Times New Roman" w:hAnsi="Times New Roman"/>
                <w:sz w:val="14"/>
                <w:szCs w:val="14"/>
                <w:b w:val="1"/>
                <w:bCs w:val="1"/>
                <w:color w:val="FFFFFF"/>
              </w:rPr>
              <w:t>March 31,</w:t>
            </w:r>
          </w:p>
        </w:tc>
        <w:tc>
          <w:tcPr>
            <w:tcW w:w="620" w:type="dxa"/>
            <w:vAlign w:val="bottom"/>
            <w:shd w:val="clear" w:color="auto" w:fill="0C479D"/>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6360" w:type="dxa"/>
            <w:vAlign w:val="bottom"/>
            <w:tcBorders>
              <w:bottom w:val="single" w:sz="8" w:color="0C479D"/>
            </w:tcBorders>
            <w:shd w:val="clear" w:color="auto" w:fill="0C479D"/>
          </w:tcPr>
          <w:p>
            <w:pPr>
              <w:spacing w:after="0"/>
              <w:rPr>
                <w:sz w:val="18"/>
                <w:szCs w:val="18"/>
                <w:color w:val="auto"/>
              </w:rPr>
            </w:pPr>
          </w:p>
        </w:tc>
        <w:tc>
          <w:tcPr>
            <w:tcW w:w="90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Number</w:t>
            </w:r>
          </w:p>
        </w:tc>
        <w:tc>
          <w:tcPr>
            <w:tcW w:w="100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360" w:type="dxa"/>
            <w:vAlign w:val="bottom"/>
            <w:tcBorders>
              <w:bottom w:val="single" w:sz="8" w:color="0C479D"/>
            </w:tcBorders>
            <w:shd w:val="clear" w:color="auto" w:fill="0C479D"/>
          </w:tcPr>
          <w:p>
            <w:pPr>
              <w:spacing w:after="0"/>
              <w:rPr>
                <w:sz w:val="18"/>
                <w:szCs w:val="18"/>
                <w:color w:val="auto"/>
              </w:rPr>
            </w:pPr>
          </w:p>
        </w:tc>
        <w:tc>
          <w:tcPr>
            <w:tcW w:w="62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Borders>
              <w:bottom w:val="single" w:sz="8" w:color="0C479D"/>
            </w:tcBorders>
            <w:shd w:val="clear" w:color="auto" w:fill="0C479D"/>
          </w:tcPr>
          <w:p>
            <w:pPr>
              <w:spacing w:after="0"/>
              <w:rPr>
                <w:sz w:val="18"/>
                <w:szCs w:val="18"/>
                <w:color w:val="auto"/>
              </w:rPr>
            </w:pPr>
          </w:p>
        </w:tc>
      </w:tr>
      <w:tr>
        <w:trPr>
          <w:trHeight w:val="238"/>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Revenues and other income</w:t>
            </w:r>
          </w:p>
        </w:tc>
        <w:tc>
          <w:tcPr>
            <w:tcW w:w="900" w:type="dxa"/>
            <w:vAlign w:val="bottom"/>
          </w:tcPr>
          <w:p>
            <w:pPr>
              <w:spacing w:after="0"/>
              <w:rPr>
                <w:sz w:val="20"/>
                <w:szCs w:val="20"/>
                <w:color w:val="auto"/>
              </w:rPr>
            </w:pPr>
          </w:p>
        </w:tc>
        <w:tc>
          <w:tcPr>
            <w:tcW w:w="1000" w:type="dxa"/>
            <w:vAlign w:val="bottom"/>
            <w:shd w:val="clear" w:color="auto" w:fill="F0F0F0"/>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1"/>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Sales and other operating revenue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3</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83,161</w:t>
            </w:r>
          </w:p>
        </w:tc>
        <w:tc>
          <w:tcPr>
            <w:tcW w:w="3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81,058</w:t>
            </w:r>
          </w:p>
        </w:tc>
        <w:tc>
          <w:tcPr>
            <w:tcW w:w="20" w:type="dxa"/>
            <w:vAlign w:val="bottom"/>
          </w:tcPr>
          <w:p>
            <w:pPr>
              <w:spacing w:after="0"/>
              <w:rPr>
                <w:sz w:val="22"/>
                <w:szCs w:val="22"/>
                <w:color w:val="auto"/>
              </w:rPr>
            </w:pPr>
          </w:p>
        </w:tc>
      </w:tr>
      <w:tr>
        <w:trPr>
          <w:trHeight w:val="257"/>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900" w:type="dxa"/>
            <w:vAlign w:val="bottom"/>
          </w:tcPr>
          <w:p>
            <w:pPr>
              <w:spacing w:after="0"/>
              <w:rPr>
                <w:sz w:val="22"/>
                <w:szCs w:val="22"/>
                <w:color w:val="auto"/>
              </w:rPr>
            </w:pP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3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0" w:type="dxa"/>
            <w:vAlign w:val="bottom"/>
          </w:tcPr>
          <w:p>
            <w:pPr>
              <w:spacing w:after="0"/>
              <w:rPr>
                <w:sz w:val="22"/>
                <w:szCs w:val="22"/>
                <w:color w:val="auto"/>
              </w:rPr>
            </w:pPr>
          </w:p>
        </w:tc>
      </w:tr>
      <w:tr>
        <w:trPr>
          <w:trHeight w:val="256"/>
        </w:trPr>
        <w:tc>
          <w:tcPr>
            <w:tcW w:w="63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Other income</w:t>
            </w:r>
          </w:p>
        </w:tc>
        <w:tc>
          <w:tcPr>
            <w:tcW w:w="900" w:type="dxa"/>
            <w:vAlign w:val="bottom"/>
            <w:tcBorders>
              <w:bottom w:val="single" w:sz="8" w:color="0C479D"/>
            </w:tcBorders>
          </w:tcPr>
          <w:p>
            <w:pPr>
              <w:spacing w:after="0"/>
              <w:rPr>
                <w:sz w:val="22"/>
                <w:szCs w:val="22"/>
                <w:color w:val="auto"/>
              </w:rPr>
            </w:pP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360" w:type="dxa"/>
            <w:vAlign w:val="bottom"/>
            <w:tcBorders>
              <w:bottom w:val="single" w:sz="8" w:color="0C479D"/>
            </w:tcBorders>
          </w:tcPr>
          <w:p>
            <w:pPr>
              <w:spacing w:after="0"/>
              <w:rPr>
                <w:sz w:val="22"/>
                <w:szCs w:val="22"/>
                <w:color w:val="auto"/>
              </w:rPr>
            </w:pP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tcPr>
          <w:p>
            <w:pPr>
              <w:spacing w:after="0"/>
              <w:rPr>
                <w:sz w:val="22"/>
                <w:szCs w:val="22"/>
                <w:color w:val="auto"/>
              </w:rPr>
            </w:pPr>
          </w:p>
        </w:tc>
      </w:tr>
      <w:tr>
        <w:trPr>
          <w:trHeight w:val="237"/>
        </w:trPr>
        <w:tc>
          <w:tcPr>
            <w:tcW w:w="63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revenues and other income</w:t>
            </w:r>
          </w:p>
        </w:tc>
        <w:tc>
          <w:tcPr>
            <w:tcW w:w="900" w:type="dxa"/>
            <w:vAlign w:val="bottom"/>
            <w:tcBorders>
              <w:bottom w:val="single" w:sz="8" w:color="0C479D"/>
            </w:tcBorders>
          </w:tcPr>
          <w:p>
            <w:pPr>
              <w:spacing w:after="0"/>
              <w:rPr>
                <w:sz w:val="20"/>
                <w:szCs w:val="20"/>
                <w:color w:val="auto"/>
              </w:rPr>
            </w:pP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85,138</w:t>
            </w:r>
          </w:p>
        </w:tc>
        <w:tc>
          <w:tcPr>
            <w:tcW w:w="360" w:type="dxa"/>
            <w:vAlign w:val="bottom"/>
            <w:tcBorders>
              <w:bottom w:val="single" w:sz="8" w:color="0C479D"/>
            </w:tcBorders>
          </w:tcPr>
          <w:p>
            <w:pPr>
              <w:spacing w:after="0"/>
              <w:rPr>
                <w:sz w:val="20"/>
                <w:szCs w:val="20"/>
                <w:color w:val="auto"/>
              </w:rPr>
            </w:pP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83,130</w:t>
            </w:r>
          </w:p>
        </w:tc>
        <w:tc>
          <w:tcPr>
            <w:tcW w:w="20" w:type="dxa"/>
            <w:vAlign w:val="bottom"/>
          </w:tcPr>
          <w:p>
            <w:pPr>
              <w:spacing w:after="0"/>
              <w:rPr>
                <w:sz w:val="20"/>
                <w:szCs w:val="20"/>
                <w:color w:val="auto"/>
              </w:rPr>
            </w:pPr>
          </w:p>
        </w:tc>
      </w:tr>
      <w:tr>
        <w:trPr>
          <w:trHeight w:val="237"/>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Costs and other deductions</w:t>
            </w:r>
          </w:p>
        </w:tc>
        <w:tc>
          <w:tcPr>
            <w:tcW w:w="900" w:type="dxa"/>
            <w:vAlign w:val="bottom"/>
          </w:tcPr>
          <w:p>
            <w:pPr>
              <w:spacing w:after="0"/>
              <w:rPr>
                <w:sz w:val="20"/>
                <w:szCs w:val="20"/>
                <w:color w:val="auto"/>
              </w:rPr>
            </w:pPr>
          </w:p>
        </w:tc>
        <w:tc>
          <w:tcPr>
            <w:tcW w:w="1000" w:type="dxa"/>
            <w:vAlign w:val="bottom"/>
            <w:shd w:val="clear" w:color="auto" w:fill="F0F0F0"/>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Crude oil and product purchases</w:t>
            </w:r>
          </w:p>
        </w:tc>
        <w:tc>
          <w:tcPr>
            <w:tcW w:w="900" w:type="dxa"/>
            <w:vAlign w:val="bottom"/>
          </w:tcPr>
          <w:p>
            <w:pPr>
              <w:spacing w:after="0"/>
              <w:rPr>
                <w:sz w:val="22"/>
                <w:szCs w:val="22"/>
                <w:color w:val="auto"/>
              </w:rPr>
            </w:pP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51,802</w:t>
            </w:r>
          </w:p>
        </w:tc>
        <w:tc>
          <w:tcPr>
            <w:tcW w:w="3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46,788</w:t>
            </w:r>
          </w:p>
        </w:tc>
        <w:tc>
          <w:tcPr>
            <w:tcW w:w="20" w:type="dxa"/>
            <w:vAlign w:val="bottom"/>
          </w:tcPr>
          <w:p>
            <w:pPr>
              <w:spacing w:after="0"/>
              <w:rPr>
                <w:sz w:val="22"/>
                <w:szCs w:val="22"/>
                <w:color w:val="auto"/>
              </w:rPr>
            </w:pPr>
          </w:p>
        </w:tc>
      </w:tr>
      <w:tr>
        <w:trPr>
          <w:trHeight w:val="257"/>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Production and manufacturing expenses</w:t>
            </w:r>
          </w:p>
        </w:tc>
        <w:tc>
          <w:tcPr>
            <w:tcW w:w="900" w:type="dxa"/>
            <w:vAlign w:val="bottom"/>
          </w:tcPr>
          <w:p>
            <w:pPr>
              <w:spacing w:after="0"/>
              <w:rPr>
                <w:sz w:val="22"/>
                <w:szCs w:val="22"/>
                <w:color w:val="auto"/>
              </w:rPr>
            </w:pP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3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20" w:type="dxa"/>
            <w:vAlign w:val="bottom"/>
          </w:tcPr>
          <w:p>
            <w:pPr>
              <w:spacing w:after="0"/>
              <w:rPr>
                <w:sz w:val="22"/>
                <w:szCs w:val="22"/>
                <w:color w:val="auto"/>
              </w:rPr>
            </w:pPr>
          </w:p>
        </w:tc>
      </w:tr>
      <w:tr>
        <w:trPr>
          <w:trHeight w:val="256"/>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00" w:type="dxa"/>
            <w:vAlign w:val="bottom"/>
          </w:tcPr>
          <w:p>
            <w:pPr>
              <w:spacing w:after="0"/>
              <w:rPr>
                <w:sz w:val="22"/>
                <w:szCs w:val="22"/>
                <w:color w:val="auto"/>
              </w:rPr>
            </w:pP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3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20" w:type="dxa"/>
            <w:vAlign w:val="bottom"/>
          </w:tcPr>
          <w:p>
            <w:pPr>
              <w:spacing w:after="0"/>
              <w:rPr>
                <w:sz w:val="22"/>
                <w:szCs w:val="22"/>
                <w:color w:val="auto"/>
              </w:rPr>
            </w:pPr>
          </w:p>
        </w:tc>
      </w:tr>
      <w:tr>
        <w:trPr>
          <w:trHeight w:val="257"/>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depletion (includes impairments)</w:t>
            </w:r>
          </w:p>
        </w:tc>
        <w:tc>
          <w:tcPr>
            <w:tcW w:w="900" w:type="dxa"/>
            <w:vAlign w:val="bottom"/>
          </w:tcPr>
          <w:p>
            <w:pPr>
              <w:spacing w:after="0"/>
              <w:rPr>
                <w:sz w:val="22"/>
                <w:szCs w:val="22"/>
                <w:color w:val="auto"/>
              </w:rPr>
            </w:pP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3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20" w:type="dxa"/>
            <w:vAlign w:val="bottom"/>
          </w:tcPr>
          <w:p>
            <w:pPr>
              <w:spacing w:after="0"/>
              <w:rPr>
                <w:sz w:val="22"/>
                <w:szCs w:val="22"/>
                <w:color w:val="auto"/>
              </w:rPr>
            </w:pPr>
          </w:p>
        </w:tc>
      </w:tr>
      <w:tr>
        <w:trPr>
          <w:trHeight w:val="257"/>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Exploration expenses, including dry holes</w:t>
            </w:r>
          </w:p>
        </w:tc>
        <w:tc>
          <w:tcPr>
            <w:tcW w:w="900" w:type="dxa"/>
            <w:vAlign w:val="bottom"/>
          </w:tcPr>
          <w:p>
            <w:pPr>
              <w:spacing w:after="0"/>
              <w:rPr>
                <w:sz w:val="22"/>
                <w:szCs w:val="22"/>
                <w:color w:val="auto"/>
              </w:rPr>
            </w:pP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22"/>
                <w:szCs w:val="22"/>
                <w:color w:val="auto"/>
              </w:rPr>
            </w:pPr>
          </w:p>
        </w:tc>
      </w:tr>
      <w:tr>
        <w:trPr>
          <w:trHeight w:val="257"/>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Non-service pension and postretirement benefit expense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4</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22"/>
                <w:szCs w:val="22"/>
                <w:color w:val="auto"/>
              </w:rPr>
            </w:pPr>
          </w:p>
        </w:tc>
      </w:tr>
      <w:tr>
        <w:trPr>
          <w:trHeight w:val="256"/>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22"/>
                <w:szCs w:val="22"/>
                <w:color w:val="auto"/>
              </w:rPr>
            </w:pP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22"/>
                <w:szCs w:val="22"/>
                <w:color w:val="auto"/>
              </w:rPr>
            </w:pPr>
          </w:p>
        </w:tc>
      </w:tr>
      <w:tr>
        <w:trPr>
          <w:trHeight w:val="256"/>
        </w:trPr>
        <w:tc>
          <w:tcPr>
            <w:tcW w:w="63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Other taxes and duties</w:t>
            </w:r>
          </w:p>
        </w:tc>
        <w:tc>
          <w:tcPr>
            <w:tcW w:w="900" w:type="dxa"/>
            <w:vAlign w:val="bottom"/>
            <w:tcBorders>
              <w:bottom w:val="single" w:sz="8" w:color="0C479D"/>
            </w:tcBorders>
          </w:tcPr>
          <w:p>
            <w:pPr>
              <w:spacing w:after="0"/>
              <w:rPr>
                <w:sz w:val="22"/>
                <w:szCs w:val="22"/>
                <w:color w:val="auto"/>
              </w:rPr>
            </w:pP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360" w:type="dxa"/>
            <w:vAlign w:val="bottom"/>
            <w:tcBorders>
              <w:bottom w:val="single" w:sz="8" w:color="0C479D"/>
            </w:tcBorders>
          </w:tcPr>
          <w:p>
            <w:pPr>
              <w:spacing w:after="0"/>
              <w:rPr>
                <w:sz w:val="22"/>
                <w:szCs w:val="22"/>
                <w:color w:val="auto"/>
              </w:rPr>
            </w:pP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20" w:type="dxa"/>
            <w:vAlign w:val="bottom"/>
          </w:tcPr>
          <w:p>
            <w:pPr>
              <w:spacing w:after="0"/>
              <w:rPr>
                <w:sz w:val="22"/>
                <w:szCs w:val="22"/>
                <w:color w:val="auto"/>
              </w:rPr>
            </w:pPr>
          </w:p>
        </w:tc>
      </w:tr>
      <w:tr>
        <w:trPr>
          <w:trHeight w:val="237"/>
        </w:trPr>
        <w:tc>
          <w:tcPr>
            <w:tcW w:w="63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costs and other deductions</w:t>
            </w:r>
          </w:p>
        </w:tc>
        <w:tc>
          <w:tcPr>
            <w:tcW w:w="900" w:type="dxa"/>
            <w:vAlign w:val="bottom"/>
            <w:tcBorders>
              <w:bottom w:val="single" w:sz="8" w:color="0C479D"/>
            </w:tcBorders>
          </w:tcPr>
          <w:p>
            <w:pPr>
              <w:spacing w:after="0"/>
              <w:rPr>
                <w:sz w:val="20"/>
                <w:szCs w:val="20"/>
                <w:color w:val="auto"/>
              </w:rPr>
            </w:pP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78,171</w:t>
            </w:r>
          </w:p>
        </w:tc>
        <w:tc>
          <w:tcPr>
            <w:tcW w:w="360" w:type="dxa"/>
            <w:vAlign w:val="bottom"/>
            <w:tcBorders>
              <w:bottom w:val="single" w:sz="8" w:color="0C479D"/>
            </w:tcBorders>
          </w:tcPr>
          <w:p>
            <w:pPr>
              <w:spacing w:after="0"/>
              <w:rPr>
                <w:sz w:val="20"/>
                <w:szCs w:val="20"/>
                <w:color w:val="auto"/>
              </w:rPr>
            </w:pP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71,530</w:t>
            </w:r>
          </w:p>
        </w:tc>
        <w:tc>
          <w:tcPr>
            <w:tcW w:w="20" w:type="dxa"/>
            <w:vAlign w:val="bottom"/>
          </w:tcPr>
          <w:p>
            <w:pPr>
              <w:spacing w:after="0"/>
              <w:rPr>
                <w:sz w:val="20"/>
                <w:szCs w:val="20"/>
                <w:color w:val="auto"/>
              </w:rPr>
            </w:pPr>
          </w:p>
        </w:tc>
      </w:tr>
      <w:tr>
        <w:trPr>
          <w:trHeight w:val="237"/>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900" w:type="dxa"/>
            <w:vAlign w:val="bottom"/>
          </w:tcPr>
          <w:p>
            <w:pPr>
              <w:spacing w:after="0"/>
              <w:rPr>
                <w:sz w:val="20"/>
                <w:szCs w:val="20"/>
                <w:color w:val="auto"/>
              </w:rPr>
            </w:pP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6,967</w:t>
            </w: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11,600</w:t>
            </w:r>
          </w:p>
        </w:tc>
        <w:tc>
          <w:tcPr>
            <w:tcW w:w="20" w:type="dxa"/>
            <w:vAlign w:val="bottom"/>
          </w:tcPr>
          <w:p>
            <w:pPr>
              <w:spacing w:after="0"/>
              <w:rPr>
                <w:sz w:val="20"/>
                <w:szCs w:val="20"/>
                <w:color w:val="auto"/>
              </w:rPr>
            </w:pPr>
          </w:p>
        </w:tc>
      </w:tr>
      <w:tr>
        <w:trPr>
          <w:trHeight w:val="256"/>
        </w:trPr>
        <w:tc>
          <w:tcPr>
            <w:tcW w:w="63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00" w:type="dxa"/>
            <w:vAlign w:val="bottom"/>
            <w:tcBorders>
              <w:bottom w:val="single" w:sz="8" w:color="0C479D"/>
            </w:tcBorders>
          </w:tcPr>
          <w:p>
            <w:pPr>
              <w:spacing w:after="0"/>
              <w:rPr>
                <w:sz w:val="22"/>
                <w:szCs w:val="22"/>
                <w:color w:val="auto"/>
              </w:rPr>
            </w:pP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360" w:type="dxa"/>
            <w:vAlign w:val="bottom"/>
            <w:tcBorders>
              <w:bottom w:val="single" w:sz="8" w:color="0C479D"/>
            </w:tcBorders>
          </w:tcPr>
          <w:p>
            <w:pPr>
              <w:spacing w:after="0"/>
              <w:rPr>
                <w:sz w:val="22"/>
                <w:szCs w:val="22"/>
                <w:color w:val="auto"/>
              </w:rPr>
            </w:pP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20" w:type="dxa"/>
            <w:vAlign w:val="bottom"/>
          </w:tcPr>
          <w:p>
            <w:pPr>
              <w:spacing w:after="0"/>
              <w:rPr>
                <w:sz w:val="22"/>
                <w:szCs w:val="22"/>
                <w:color w:val="auto"/>
              </w:rPr>
            </w:pPr>
          </w:p>
        </w:tc>
      </w:tr>
      <w:tr>
        <w:trPr>
          <w:trHeight w:val="237"/>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 including noncontrolling interests</w:t>
            </w:r>
          </w:p>
        </w:tc>
        <w:tc>
          <w:tcPr>
            <w:tcW w:w="900" w:type="dxa"/>
            <w:vAlign w:val="bottom"/>
          </w:tcPr>
          <w:p>
            <w:pPr>
              <w:spacing w:after="0"/>
              <w:rPr>
                <w:sz w:val="20"/>
                <w:szCs w:val="20"/>
                <w:color w:val="auto"/>
              </w:rPr>
            </w:pP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4,472</w:t>
            </w: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8,033</w:t>
            </w:r>
          </w:p>
        </w:tc>
        <w:tc>
          <w:tcPr>
            <w:tcW w:w="20" w:type="dxa"/>
            <w:vAlign w:val="bottom"/>
          </w:tcPr>
          <w:p>
            <w:pPr>
              <w:spacing w:after="0"/>
              <w:rPr>
                <w:sz w:val="20"/>
                <w:szCs w:val="20"/>
                <w:color w:val="auto"/>
              </w:rPr>
            </w:pPr>
          </w:p>
        </w:tc>
      </w:tr>
      <w:tr>
        <w:trPr>
          <w:trHeight w:val="256"/>
        </w:trPr>
        <w:tc>
          <w:tcPr>
            <w:tcW w:w="63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900" w:type="dxa"/>
            <w:vAlign w:val="bottom"/>
            <w:tcBorders>
              <w:bottom w:val="single" w:sz="8" w:color="0C479D"/>
            </w:tcBorders>
          </w:tcPr>
          <w:p>
            <w:pPr>
              <w:spacing w:after="0"/>
              <w:rPr>
                <w:sz w:val="22"/>
                <w:szCs w:val="22"/>
                <w:color w:val="auto"/>
              </w:rPr>
            </w:pP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60" w:type="dxa"/>
            <w:vAlign w:val="bottom"/>
            <w:tcBorders>
              <w:bottom w:val="single" w:sz="8" w:color="0C479D"/>
            </w:tcBorders>
          </w:tcPr>
          <w:p>
            <w:pPr>
              <w:spacing w:after="0"/>
              <w:rPr>
                <w:sz w:val="22"/>
                <w:szCs w:val="22"/>
                <w:color w:val="auto"/>
              </w:rPr>
            </w:pP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Pr>
          <w:p>
            <w:pPr>
              <w:spacing w:after="0"/>
              <w:rPr>
                <w:sz w:val="22"/>
                <w:szCs w:val="22"/>
                <w:color w:val="auto"/>
              </w:rPr>
            </w:pPr>
          </w:p>
        </w:tc>
      </w:tr>
      <w:tr>
        <w:trPr>
          <w:trHeight w:val="230"/>
        </w:trPr>
        <w:tc>
          <w:tcPr>
            <w:tcW w:w="63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 attributable to ExxonMobil</w:t>
            </w:r>
          </w:p>
        </w:tc>
        <w:tc>
          <w:tcPr>
            <w:tcW w:w="900" w:type="dxa"/>
            <w:vAlign w:val="bottom"/>
            <w:tcBorders>
              <w:bottom w:val="single" w:sz="8" w:color="0C479D"/>
            </w:tcBorders>
          </w:tcPr>
          <w:p>
            <w:pPr>
              <w:spacing w:after="0"/>
              <w:rPr>
                <w:sz w:val="20"/>
                <w:szCs w:val="20"/>
                <w:color w:val="auto"/>
              </w:rPr>
            </w:pP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4,183</w:t>
            </w:r>
          </w:p>
        </w:tc>
        <w:tc>
          <w:tcPr>
            <w:tcW w:w="360" w:type="dxa"/>
            <w:vAlign w:val="bottom"/>
            <w:tcBorders>
              <w:bottom w:val="single" w:sz="8" w:color="0C479D"/>
            </w:tcBorders>
          </w:tcPr>
          <w:p>
            <w:pPr>
              <w:spacing w:after="0"/>
              <w:rPr>
                <w:sz w:val="20"/>
                <w:szCs w:val="20"/>
                <w:color w:val="auto"/>
              </w:rPr>
            </w:pP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7,713</w:t>
            </w:r>
          </w:p>
        </w:tc>
        <w:tc>
          <w:tcPr>
            <w:tcW w:w="20" w:type="dxa"/>
            <w:vAlign w:val="bottom"/>
          </w:tcPr>
          <w:p>
            <w:pPr>
              <w:spacing w:after="0"/>
              <w:rPr>
                <w:sz w:val="20"/>
                <w:szCs w:val="20"/>
                <w:color w:val="auto"/>
              </w:rPr>
            </w:pPr>
          </w:p>
        </w:tc>
      </w:tr>
      <w:tr>
        <w:trPr>
          <w:trHeight w:val="365"/>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Earnings (loss) per common share </w:t>
            </w:r>
            <w:r>
              <w:rPr>
                <w:rFonts w:ascii="Times New Roman" w:cs="Times New Roman" w:eastAsia="Times New Roman" w:hAnsi="Times New Roman"/>
                <w:sz w:val="18"/>
                <w:szCs w:val="18"/>
                <w:b w:val="1"/>
                <w:bCs w:val="1"/>
                <w:i w:val="1"/>
                <w:iCs w:val="1"/>
                <w:color w:val="auto"/>
              </w:rPr>
              <w:t>(dollars)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0" w:type="dxa"/>
            <w:vAlign w:val="bottom"/>
          </w:tcPr>
          <w:p>
            <w:pPr>
              <w:spacing w:after="0"/>
              <w:rPr>
                <w:sz w:val="24"/>
                <w:szCs w:val="24"/>
                <w:color w:val="auto"/>
              </w:rPr>
            </w:pPr>
          </w:p>
        </w:tc>
      </w:tr>
      <w:tr>
        <w:trPr>
          <w:trHeight w:val="344"/>
        </w:trPr>
        <w:tc>
          <w:tcPr>
            <w:tcW w:w="63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Earnings (loss) per common share - assuming dilution </w:t>
            </w:r>
            <w:r>
              <w:rPr>
                <w:rFonts w:ascii="Times New Roman" w:cs="Times New Roman" w:eastAsia="Times New Roman" w:hAnsi="Times New Roman"/>
                <w:sz w:val="18"/>
                <w:szCs w:val="18"/>
                <w:b w:val="1"/>
                <w:bCs w:val="1"/>
                <w:i w:val="1"/>
                <w:iCs w:val="1"/>
                <w:color w:val="auto"/>
              </w:rPr>
              <w:t>(dollars)</w:t>
            </w:r>
          </w:p>
        </w:tc>
        <w:tc>
          <w:tcPr>
            <w:tcW w:w="90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4"/>
                <w:szCs w:val="14"/>
                <w:color w:val="0000FF"/>
              </w:rPr>
              <w:t>2</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60" w:type="dxa"/>
            <w:vAlign w:val="bottom"/>
            <w:tcBorders>
              <w:bottom w:val="single" w:sz="8" w:color="0C479D"/>
            </w:tcBorders>
          </w:tcPr>
          <w:p>
            <w:pPr>
              <w:spacing w:after="0"/>
              <w:rPr>
                <w:sz w:val="24"/>
                <w:szCs w:val="24"/>
                <w:color w:val="auto"/>
              </w:rPr>
            </w:pP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260"/>
          </w:cols>
          <w:pgMar w:left="1320" w:top="49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260"/>
          </w:cols>
          <w:pgMar w:left="1320" w:top="499" w:right="1319" w:bottom="1440" w:gutter="0" w:footer="0" w:header="0"/>
          <w:type w:val="continuous"/>
        </w:sectPr>
      </w:pPr>
    </w:p>
    <w:bookmarkStart w:id="3" w:name="page4"/>
    <w:bookmarkEnd w:id="3"/>
    <w:p>
      <w:pPr>
        <w:ind w:left="796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C479D"/>
        </w:rPr>
        <w:t>CONDENSED CONSOLIDATED STATEMENT OF COMPREHENSIVE INCOME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70" w:type="dxa"/>
            <w:vAlign w:val="bottom"/>
            <w:shd w:val="clear" w:color="auto" w:fill="0C479D"/>
          </w:tcPr>
          <w:p>
            <w:pPr>
              <w:spacing w:after="0"/>
              <w:rPr>
                <w:sz w:val="17"/>
                <w:szCs w:val="17"/>
                <w:color w:val="auto"/>
              </w:rPr>
            </w:pPr>
          </w:p>
        </w:tc>
        <w:tc>
          <w:tcPr>
            <w:tcW w:w="1970" w:type="dxa"/>
            <w:vAlign w:val="bottom"/>
            <w:gridSpan w:val="2"/>
            <w:shd w:val="clear" w:color="auto" w:fill="0C479D"/>
          </w:tcPr>
          <w:p>
            <w:pPr>
              <w:ind w:left="330"/>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270" w:type="dxa"/>
            <w:vAlign w:val="bottom"/>
            <w:shd w:val="clear" w:color="auto" w:fill="0C479D"/>
          </w:tcPr>
          <w:p>
            <w:pPr>
              <w:ind w:left="80"/>
              <w:spacing w:after="0" w:line="160" w:lineRule="exact"/>
              <w:rPr>
                <w:sz w:val="20"/>
                <w:szCs w:val="20"/>
                <w:color w:val="auto"/>
              </w:rPr>
            </w:pPr>
            <w:r>
              <w:rPr>
                <w:rFonts w:ascii="Times New Roman" w:cs="Times New Roman" w:eastAsia="Times New Roman" w:hAnsi="Times New Roman"/>
                <w:sz w:val="14"/>
                <w:szCs w:val="14"/>
                <w:i w:val="1"/>
                <w:iCs w:val="1"/>
                <w:color w:val="FFFFFF"/>
              </w:rPr>
              <w:t>(millions of dollars)</w:t>
            </w:r>
          </w:p>
        </w:tc>
        <w:tc>
          <w:tcPr>
            <w:tcW w:w="1470" w:type="dxa"/>
            <w:vAlign w:val="bottom"/>
            <w:shd w:val="clear" w:color="auto" w:fill="0C479D"/>
          </w:tcPr>
          <w:p>
            <w:pPr>
              <w:ind w:left="670"/>
              <w:spacing w:after="0" w:line="160" w:lineRule="exact"/>
              <w:rPr>
                <w:sz w:val="20"/>
                <w:szCs w:val="20"/>
                <w:color w:val="auto"/>
              </w:rPr>
            </w:pPr>
            <w:r>
              <w:rPr>
                <w:rFonts w:ascii="Times New Roman" w:cs="Times New Roman" w:eastAsia="Times New Roman" w:hAnsi="Times New Roman"/>
                <w:sz w:val="14"/>
                <w:szCs w:val="14"/>
                <w:b w:val="1"/>
                <w:bCs w:val="1"/>
                <w:color w:val="FFFFFF"/>
              </w:rPr>
              <w:t>March 31,</w:t>
            </w:r>
          </w:p>
        </w:tc>
        <w:tc>
          <w:tcPr>
            <w:tcW w:w="50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270" w:type="dxa"/>
            <w:vAlign w:val="bottom"/>
            <w:shd w:val="clear" w:color="auto" w:fill="0C479D"/>
          </w:tcPr>
          <w:p>
            <w:pPr>
              <w:spacing w:after="0"/>
              <w:rPr>
                <w:sz w:val="17"/>
                <w:szCs w:val="17"/>
                <w:color w:val="auto"/>
              </w:rPr>
            </w:pPr>
          </w:p>
        </w:tc>
        <w:tc>
          <w:tcPr>
            <w:tcW w:w="1470" w:type="dxa"/>
            <w:vAlign w:val="bottom"/>
            <w:shd w:val="clear" w:color="auto" w:fill="0C479D"/>
          </w:tcPr>
          <w:p>
            <w:pPr>
              <w:ind w:left="650"/>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500" w:type="dxa"/>
            <w:vAlign w:val="bottom"/>
            <w:vMerge w:val="continue"/>
            <w:shd w:val="clear" w:color="auto" w:fill="0C479D"/>
          </w:tcPr>
          <w:p>
            <w:pPr>
              <w:spacing w:after="0"/>
              <w:rPr>
                <w:sz w:val="17"/>
                <w:szCs w:val="17"/>
                <w:color w:val="auto"/>
              </w:rPr>
            </w:pPr>
          </w:p>
        </w:tc>
        <w:tc>
          <w:tcPr>
            <w:tcW w:w="20" w:type="dxa"/>
            <w:vAlign w:val="bottom"/>
            <w:shd w:val="clear" w:color="auto" w:fill="0C479D"/>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270" w:type="dxa"/>
            <w:vAlign w:val="bottom"/>
            <w:shd w:val="clear" w:color="auto" w:fill="0C479D"/>
          </w:tcPr>
          <w:p>
            <w:pPr>
              <w:spacing w:after="0"/>
              <w:rPr>
                <w:sz w:val="2"/>
                <w:szCs w:val="2"/>
                <w:color w:val="auto"/>
              </w:rPr>
            </w:pPr>
          </w:p>
        </w:tc>
        <w:tc>
          <w:tcPr>
            <w:tcW w:w="1470" w:type="dxa"/>
            <w:vAlign w:val="bottom"/>
            <w:shd w:val="clear" w:color="auto" w:fill="0C479D"/>
          </w:tcPr>
          <w:p>
            <w:pPr>
              <w:spacing w:after="0"/>
              <w:rPr>
                <w:sz w:val="2"/>
                <w:szCs w:val="2"/>
                <w:color w:val="auto"/>
              </w:rPr>
            </w:pPr>
          </w:p>
        </w:tc>
        <w:tc>
          <w:tcPr>
            <w:tcW w:w="500" w:type="dxa"/>
            <w:vAlign w:val="bottom"/>
            <w:shd w:val="clear" w:color="auto" w:fill="0C479D"/>
          </w:tcPr>
          <w:p>
            <w:pPr>
              <w:spacing w:after="0"/>
              <w:rPr>
                <w:sz w:val="2"/>
                <w:szCs w:val="2"/>
                <w:color w:val="auto"/>
              </w:rPr>
            </w:pPr>
          </w:p>
        </w:tc>
        <w:tc>
          <w:tcPr>
            <w:tcW w:w="20" w:type="dxa"/>
            <w:vAlign w:val="bottom"/>
            <w:shd w:val="clear" w:color="auto" w:fill="0C479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sectPr>
          <w:pgSz w:w="11900" w:h="16838" w:orient="portrait"/>
          <w:cols w:equalWidth="0" w:num="1">
            <w:col w:w="9260"/>
          </w:cols>
          <w:pgMar w:left="1320" w:top="499" w:right="1319" w:bottom="1440" w:gutter="0" w:footer="0" w:header="0"/>
        </w:sect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 including noncontrolling interests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C479D"/>
        </w:rPr>
        <w:t>Other comprehensive income (net of income taxes)</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Foreign exchange translation adjustment</w:t>
      </w:r>
    </w:p>
    <w:p>
      <w:pPr>
        <w:spacing w:after="0" w:line="36" w:lineRule="exact"/>
        <w:rPr>
          <w:sz w:val="20"/>
          <w:szCs w:val="20"/>
          <w:color w:val="auto"/>
        </w:rPr>
      </w:pPr>
    </w:p>
    <w:p>
      <w:pPr>
        <w:ind w:left="60" w:right="3160"/>
        <w:spacing w:after="0" w:line="237" w:lineRule="auto"/>
        <w:rPr>
          <w:sz w:val="20"/>
          <w:szCs w:val="20"/>
          <w:color w:val="auto"/>
        </w:rPr>
      </w:pPr>
      <w:r>
        <w:rPr>
          <w:rFonts w:ascii="Times New Roman" w:cs="Times New Roman" w:eastAsia="Times New Roman" w:hAnsi="Times New Roman"/>
          <w:sz w:val="18"/>
          <w:szCs w:val="18"/>
          <w:color w:val="auto"/>
        </w:rPr>
        <w:t>Adjustment for foreign exchange translation (gain)/loss included in net income</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Postretirement benefits reserves adjustment (excluding amortization)</w:t>
      </w:r>
    </w:p>
    <w:p>
      <w:pPr>
        <w:spacing w:after="0" w:line="50" w:lineRule="exact"/>
        <w:rPr>
          <w:sz w:val="20"/>
          <w:szCs w:val="20"/>
          <w:color w:val="auto"/>
        </w:rPr>
      </w:pPr>
    </w:p>
    <w:p>
      <w:pPr>
        <w:ind w:left="60"/>
        <w:spacing w:after="0" w:line="237" w:lineRule="auto"/>
        <w:rPr>
          <w:sz w:val="20"/>
          <w:szCs w:val="20"/>
          <w:color w:val="auto"/>
        </w:rPr>
      </w:pPr>
      <w:r>
        <w:rPr>
          <w:rFonts w:ascii="Times New Roman" w:cs="Times New Roman" w:eastAsia="Times New Roman" w:hAnsi="Times New Roman"/>
          <w:sz w:val="18"/>
          <w:szCs w:val="18"/>
          <w:color w:val="auto"/>
        </w:rPr>
        <w:t>Amortization and settlement of postretirement benefits reserves adjustment included in net periodic benefit costs</w:t>
      </w:r>
    </w:p>
    <w:p>
      <w:pPr>
        <w:spacing w:after="0" w:line="20" w:lineRule="exact"/>
        <w:rPr>
          <w:sz w:val="20"/>
          <w:szCs w:val="20"/>
          <w:color w:val="auto"/>
        </w:rPr>
      </w:pPr>
      <w:r>
        <w:rPr>
          <w:sz w:val="20"/>
          <w:szCs w:val="20"/>
          <w:color w:val="auto"/>
        </w:rPr>
        <w:br w:type="column"/>
      </w: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4,472</w:t>
      </w:r>
      <w:r>
        <w:rPr>
          <w:sz w:val="20"/>
          <w:szCs w:val="20"/>
          <w:color w:val="auto"/>
        </w:rPr>
        <w:tab/>
      </w:r>
      <w:r>
        <w:rPr>
          <w:rFonts w:ascii="Times New Roman" w:cs="Times New Roman" w:eastAsia="Times New Roman" w:hAnsi="Times New Roman"/>
          <w:sz w:val="18"/>
          <w:szCs w:val="18"/>
          <w:b w:val="1"/>
          <w:bCs w:val="1"/>
          <w:color w:val="auto"/>
        </w:rPr>
        <w:t>8,033</w:t>
      </w:r>
    </w:p>
    <w:p>
      <w:pPr>
        <w:spacing w:after="0" w:line="200" w:lineRule="exact"/>
        <w:rPr>
          <w:sz w:val="20"/>
          <w:szCs w:val="20"/>
          <w:color w:val="auto"/>
        </w:rPr>
      </w:pPr>
    </w:p>
    <w:p>
      <w:pPr>
        <w:spacing w:after="0" w:line="218" w:lineRule="exact"/>
        <w:rPr>
          <w:sz w:val="20"/>
          <w:szCs w:val="20"/>
          <w:color w:val="auto"/>
        </w:rPr>
      </w:pPr>
    </w:p>
    <w:p>
      <w:pPr>
        <w:ind w:left="1120" w:hanging="1048"/>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w:t>
      </w:r>
    </w:p>
    <w:p>
      <w:pPr>
        <w:spacing w:after="0" w:line="130" w:lineRule="exact"/>
        <w:rPr>
          <w:rFonts w:ascii="Times New Roman" w:cs="Times New Roman" w:eastAsia="Times New Roman" w:hAnsi="Times New Roman"/>
          <w:sz w:val="18"/>
          <w:szCs w:val="18"/>
          <w:color w:val="auto"/>
        </w:rPr>
      </w:pPr>
    </w:p>
    <w:p>
      <w:pPr>
        <w:ind w:left="1200" w:hanging="948"/>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140" w:hanging="978"/>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p>
    <w:p>
      <w:pPr>
        <w:spacing w:after="0" w:line="144" w:lineRule="exact"/>
        <w:rPr>
          <w:sz w:val="20"/>
          <w:szCs w:val="20"/>
          <w:color w:val="auto"/>
        </w:rPr>
      </w:pPr>
    </w:p>
    <w:p>
      <w:pPr>
        <w:ind w:left="1200" w:hanging="103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126" w:lineRule="exact"/>
        <w:rPr>
          <w:sz w:val="20"/>
          <w:szCs w:val="20"/>
          <w:color w:val="auto"/>
        </w:rPr>
      </w:pPr>
    </w:p>
    <w:p>
      <w:pPr>
        <w:sectPr>
          <w:pgSz w:w="11900" w:h="16838" w:orient="portrait"/>
          <w:cols w:equalWidth="0" w:num="2">
            <w:col w:w="7220" w:space="560"/>
            <w:col w:w="1480"/>
          </w:cols>
          <w:pgMar w:left="1320" w:top="499" w:right="131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640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2100" w:type="dxa"/>
            <w:vAlign w:val="bottom"/>
            <w:tcBorders>
              <w:bottom w:val="single" w:sz="8" w:color="0C479D"/>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(330)</w:t>
            </w:r>
          </w:p>
        </w:tc>
        <w:tc>
          <w:tcPr>
            <w:tcW w:w="7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r>
      <w:tr>
        <w:trPr>
          <w:trHeight w:val="250"/>
        </w:trPr>
        <w:tc>
          <w:tcPr>
            <w:tcW w:w="6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Comprehensive income (loss) including noncontrolling interests</w:t>
            </w:r>
          </w:p>
        </w:tc>
        <w:tc>
          <w:tcPr>
            <w:tcW w:w="21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4,142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8,324</w:t>
            </w:r>
          </w:p>
        </w:tc>
      </w:tr>
      <w:tr>
        <w:trPr>
          <w:trHeight w:val="270"/>
        </w:trPr>
        <w:tc>
          <w:tcPr>
            <w:tcW w:w="640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2100" w:type="dxa"/>
            <w:vAlign w:val="bottom"/>
            <w:tcBorders>
              <w:bottom w:val="single" w:sz="8" w:color="0C479D"/>
            </w:tcBorders>
          </w:tcPr>
          <w:p>
            <w:pPr>
              <w:jc w:val="right"/>
              <w:ind w:right="230"/>
              <w:spacing w:after="0"/>
              <w:rPr>
                <w:sz w:val="20"/>
                <w:szCs w:val="20"/>
                <w:color w:val="auto"/>
              </w:rPr>
            </w:pPr>
            <w:r>
              <w:rPr>
                <w:rFonts w:ascii="Times New Roman" w:cs="Times New Roman" w:eastAsia="Times New Roman" w:hAnsi="Times New Roman"/>
                <w:sz w:val="18"/>
                <w:szCs w:val="18"/>
                <w:color w:val="auto"/>
              </w:rPr>
              <w:t>194</w:t>
            </w:r>
          </w:p>
        </w:tc>
        <w:tc>
          <w:tcPr>
            <w:tcW w:w="7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0"/>
        </w:trPr>
        <w:tc>
          <w:tcPr>
            <w:tcW w:w="640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ExxonMobil</w:t>
            </w:r>
          </w:p>
        </w:tc>
        <w:tc>
          <w:tcPr>
            <w:tcW w:w="2100" w:type="dxa"/>
            <w:vAlign w:val="bottom"/>
            <w:tcBorders>
              <w:bottom w:val="single" w:sz="8" w:color="0C479D"/>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3,948</w:t>
            </w:r>
          </w:p>
        </w:tc>
        <w:tc>
          <w:tcPr>
            <w:tcW w:w="7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7,994</w:t>
            </w:r>
          </w:p>
        </w:tc>
      </w:tr>
    </w:tbl>
    <w:p>
      <w:pPr>
        <w:spacing w:after="0" w:line="200" w:lineRule="exact"/>
        <w:rPr>
          <w:sz w:val="20"/>
          <w:szCs w:val="20"/>
          <w:color w:val="auto"/>
        </w:rPr>
      </w:pPr>
    </w:p>
    <w:p>
      <w:pPr>
        <w:sectPr>
          <w:pgSz w:w="11900" w:h="16838" w:orient="portrait"/>
          <w:cols w:equalWidth="0" w:num="1">
            <w:col w:w="9260"/>
          </w:cols>
          <w:pgMar w:left="1320" w:top="499"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260"/>
          </w:cols>
          <w:pgMar w:left="1320" w:top="499" w:right="13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6D6D6D"/>
              </w:rPr>
              <w:t>Table of Contents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64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0C479D"/>
              </w:rPr>
              <w:t>CONDENSED CONSOLIDATED BALANCE SHEET</w:t>
            </w: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64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 unless noted)</w:t>
            </w:r>
          </w:p>
        </w:tc>
        <w:tc>
          <w:tcPr>
            <w:tcW w:w="9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Note</w:t>
            </w:r>
          </w:p>
        </w:tc>
        <w:tc>
          <w:tcPr>
            <w:tcW w:w="1360" w:type="dxa"/>
            <w:vAlign w:val="bottom"/>
            <w:shd w:val="clear" w:color="auto" w:fill="0C479D"/>
          </w:tcPr>
          <w:p>
            <w:pPr>
              <w:spacing w:after="0"/>
              <w:rPr>
                <w:sz w:val="16"/>
                <w:szCs w:val="16"/>
                <w:color w:val="auto"/>
              </w:rPr>
            </w:pPr>
          </w:p>
        </w:tc>
        <w:tc>
          <w:tcPr>
            <w:tcW w:w="1340" w:type="dxa"/>
            <w:vAlign w:val="bottom"/>
            <w:shd w:val="clear" w:color="auto" w:fill="0C479D"/>
          </w:tcPr>
          <w:p>
            <w:pPr>
              <w:spacing w:after="0"/>
              <w:rPr>
                <w:sz w:val="16"/>
                <w:szCs w:val="16"/>
                <w:color w:val="auto"/>
              </w:rPr>
            </w:pPr>
          </w:p>
        </w:tc>
        <w:tc>
          <w:tcPr>
            <w:tcW w:w="2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640" w:type="dxa"/>
            <w:vAlign w:val="bottom"/>
            <w:vMerge w:val="continue"/>
            <w:shd w:val="clear" w:color="auto" w:fill="0C479D"/>
          </w:tcPr>
          <w:p>
            <w:pPr>
              <w:spacing w:after="0"/>
              <w:rPr>
                <w:sz w:val="12"/>
                <w:szCs w:val="12"/>
                <w:color w:val="auto"/>
              </w:rPr>
            </w:pPr>
          </w:p>
        </w:tc>
        <w:tc>
          <w:tcPr>
            <w:tcW w:w="900" w:type="dxa"/>
            <w:vAlign w:val="bottom"/>
            <w:shd w:val="clear" w:color="auto" w:fill="0C479D"/>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Reference</w:t>
            </w:r>
          </w:p>
        </w:tc>
        <w:tc>
          <w:tcPr>
            <w:tcW w:w="1360" w:type="dxa"/>
            <w:vAlign w:val="bottom"/>
            <w:vMerge w:val="restart"/>
            <w:shd w:val="clear" w:color="auto" w:fill="0C479D"/>
          </w:tcPr>
          <w:p>
            <w:pPr>
              <w:jc w:val="right"/>
              <w:ind w:right="111"/>
              <w:spacing w:after="0"/>
              <w:rPr>
                <w:sz w:val="20"/>
                <w:szCs w:val="20"/>
                <w:color w:val="auto"/>
              </w:rPr>
            </w:pPr>
            <w:r>
              <w:rPr>
                <w:rFonts w:ascii="Times New Roman" w:cs="Times New Roman" w:eastAsia="Times New Roman" w:hAnsi="Times New Roman"/>
                <w:sz w:val="14"/>
                <w:szCs w:val="14"/>
                <w:b w:val="1"/>
                <w:bCs w:val="1"/>
                <w:color w:val="FFFFFF"/>
              </w:rPr>
              <w:t>March 31, 2026</w:t>
            </w:r>
          </w:p>
        </w:tc>
        <w:tc>
          <w:tcPr>
            <w:tcW w:w="1340" w:type="dxa"/>
            <w:vAlign w:val="bottom"/>
            <w:vMerge w:val="restart"/>
            <w:shd w:val="clear" w:color="auto" w:fill="0C479D"/>
          </w:tcPr>
          <w:p>
            <w:pPr>
              <w:jc w:val="right"/>
              <w:ind w:right="11"/>
              <w:spacing w:after="0"/>
              <w:rPr>
                <w:sz w:val="20"/>
                <w:szCs w:val="20"/>
                <w:color w:val="auto"/>
              </w:rPr>
            </w:pPr>
            <w:r>
              <w:rPr>
                <w:rFonts w:ascii="Times New Roman" w:cs="Times New Roman" w:eastAsia="Times New Roman" w:hAnsi="Times New Roman"/>
                <w:sz w:val="14"/>
                <w:szCs w:val="14"/>
                <w:b w:val="1"/>
                <w:bCs w:val="1"/>
                <w:color w:val="FFFFFF"/>
              </w:rPr>
              <w:t>December 31, 2025</w:t>
            </w:r>
          </w:p>
        </w:tc>
        <w:tc>
          <w:tcPr>
            <w:tcW w:w="20" w:type="dxa"/>
            <w:vAlign w:val="bottom"/>
            <w:shd w:val="clear" w:color="auto" w:fill="0C479D"/>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40" w:type="dxa"/>
            <w:vAlign w:val="bottom"/>
            <w:shd w:val="clear" w:color="auto" w:fill="0C479D"/>
          </w:tcPr>
          <w:p>
            <w:pPr>
              <w:spacing w:after="0"/>
              <w:rPr>
                <w:sz w:val="15"/>
                <w:szCs w:val="15"/>
                <w:color w:val="auto"/>
              </w:rPr>
            </w:pPr>
          </w:p>
        </w:tc>
        <w:tc>
          <w:tcPr>
            <w:tcW w:w="900" w:type="dxa"/>
            <w:vAlign w:val="bottom"/>
            <w:shd w:val="clear" w:color="auto" w:fill="0C479D"/>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FFFFFF"/>
              </w:rPr>
              <w:t>Number</w:t>
            </w:r>
          </w:p>
        </w:tc>
        <w:tc>
          <w:tcPr>
            <w:tcW w:w="1360" w:type="dxa"/>
            <w:vAlign w:val="bottom"/>
            <w:vMerge w:val="continue"/>
            <w:shd w:val="clear" w:color="auto" w:fill="0C479D"/>
          </w:tcPr>
          <w:p>
            <w:pPr>
              <w:spacing w:after="0"/>
              <w:rPr>
                <w:sz w:val="15"/>
                <w:szCs w:val="15"/>
                <w:color w:val="auto"/>
              </w:rPr>
            </w:pPr>
          </w:p>
        </w:tc>
        <w:tc>
          <w:tcPr>
            <w:tcW w:w="1340" w:type="dxa"/>
            <w:vAlign w:val="bottom"/>
            <w:vMerge w:val="continue"/>
            <w:shd w:val="clear" w:color="auto" w:fill="0C479D"/>
          </w:tcPr>
          <w:p>
            <w:pPr>
              <w:spacing w:after="0"/>
              <w:rPr>
                <w:sz w:val="15"/>
                <w:szCs w:val="15"/>
                <w:color w:val="auto"/>
              </w:rPr>
            </w:pPr>
          </w:p>
        </w:tc>
        <w:tc>
          <w:tcPr>
            <w:tcW w:w="20" w:type="dxa"/>
            <w:vAlign w:val="bottom"/>
            <w:shd w:val="clear" w:color="auto" w:fill="0C479D"/>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ASSETS</w:t>
            </w:r>
          </w:p>
        </w:tc>
        <w:tc>
          <w:tcPr>
            <w:tcW w:w="900" w:type="dxa"/>
            <w:vAlign w:val="bottom"/>
          </w:tcPr>
          <w:p>
            <w:pPr>
              <w:spacing w:after="0"/>
              <w:rPr>
                <w:sz w:val="24"/>
                <w:szCs w:val="24"/>
                <w:color w:val="auto"/>
              </w:rPr>
            </w:pPr>
          </w:p>
        </w:tc>
        <w:tc>
          <w:tcPr>
            <w:tcW w:w="136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Current assets</w:t>
            </w:r>
          </w:p>
        </w:tc>
        <w:tc>
          <w:tcPr>
            <w:tcW w:w="900" w:type="dxa"/>
            <w:vAlign w:val="bottom"/>
          </w:tcPr>
          <w:p>
            <w:pPr>
              <w:spacing w:after="0"/>
              <w:rPr>
                <w:sz w:val="22"/>
                <w:szCs w:val="22"/>
                <w:color w:val="auto"/>
              </w:rPr>
            </w:pPr>
          </w:p>
        </w:tc>
        <w:tc>
          <w:tcPr>
            <w:tcW w:w="1360" w:type="dxa"/>
            <w:vAlign w:val="bottom"/>
            <w:shd w:val="clear" w:color="auto" w:fill="F0F0F0"/>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tcPr>
          <w:p>
            <w:pPr>
              <w:spacing w:after="0"/>
              <w:rPr>
                <w:sz w:val="22"/>
                <w:szCs w:val="22"/>
                <w:color w:val="auto"/>
              </w:rPr>
            </w:pP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Notes and accounts receivable – net</w:t>
            </w:r>
          </w:p>
        </w:tc>
        <w:tc>
          <w:tcPr>
            <w:tcW w:w="900" w:type="dxa"/>
            <w:vAlign w:val="bottom"/>
          </w:tcPr>
          <w:p>
            <w:pPr>
              <w:spacing w:after="0"/>
              <w:rPr>
                <w:sz w:val="22"/>
                <w:szCs w:val="22"/>
                <w:color w:val="auto"/>
              </w:rPr>
            </w:pP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61,783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Inventories</w:t>
            </w:r>
          </w:p>
        </w:tc>
        <w:tc>
          <w:tcPr>
            <w:tcW w:w="900" w:type="dxa"/>
            <w:vAlign w:val="bottom"/>
          </w:tcPr>
          <w:p>
            <w:pPr>
              <w:spacing w:after="0"/>
              <w:rPr>
                <w:sz w:val="22"/>
                <w:szCs w:val="22"/>
                <w:color w:val="auto"/>
              </w:rPr>
            </w:pPr>
          </w:p>
        </w:tc>
        <w:tc>
          <w:tcPr>
            <w:tcW w:w="1360" w:type="dxa"/>
            <w:vAlign w:val="bottom"/>
            <w:shd w:val="clear" w:color="auto" w:fill="F0F0F0"/>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Crude oil, products and merchandise</w:t>
            </w:r>
          </w:p>
        </w:tc>
        <w:tc>
          <w:tcPr>
            <w:tcW w:w="900" w:type="dxa"/>
            <w:vAlign w:val="bottom"/>
          </w:tcPr>
          <w:p>
            <w:pPr>
              <w:spacing w:after="0"/>
              <w:rPr>
                <w:sz w:val="22"/>
                <w:szCs w:val="22"/>
                <w:color w:val="auto"/>
              </w:rPr>
            </w:pP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21,838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Materials and supplies</w:t>
            </w:r>
          </w:p>
        </w:tc>
        <w:tc>
          <w:tcPr>
            <w:tcW w:w="900" w:type="dxa"/>
            <w:vAlign w:val="bottom"/>
          </w:tcPr>
          <w:p>
            <w:pPr>
              <w:spacing w:after="0"/>
              <w:rPr>
                <w:sz w:val="22"/>
                <w:szCs w:val="22"/>
                <w:color w:val="auto"/>
              </w:rPr>
            </w:pP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tcBorders>
              <w:bottom w:val="single" w:sz="8" w:color="0C479D"/>
            </w:tcBorders>
          </w:tcPr>
          <w:p>
            <w:pPr>
              <w:spacing w:after="0"/>
              <w:rPr>
                <w:sz w:val="21"/>
                <w:szCs w:val="21"/>
                <w:color w:val="auto"/>
              </w:rPr>
            </w:pP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00" w:type="dxa"/>
            <w:vAlign w:val="bottom"/>
            <w:tcBorders>
              <w:bottom w:val="single" w:sz="8" w:color="0C479D"/>
            </w:tcBorders>
          </w:tcPr>
          <w:p>
            <w:pPr>
              <w:spacing w:after="0"/>
              <w:rPr>
                <w:sz w:val="20"/>
                <w:szCs w:val="20"/>
                <w:color w:val="auto"/>
              </w:rPr>
            </w:pP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97,787</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Investments, advances and long-term receivables</w:t>
            </w:r>
          </w:p>
        </w:tc>
        <w:tc>
          <w:tcPr>
            <w:tcW w:w="900" w:type="dxa"/>
            <w:vAlign w:val="bottom"/>
          </w:tcPr>
          <w:p>
            <w:pPr>
              <w:spacing w:after="0"/>
              <w:rPr>
                <w:sz w:val="21"/>
                <w:szCs w:val="21"/>
                <w:color w:val="auto"/>
              </w:rPr>
            </w:pP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46,125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900" w:type="dxa"/>
            <w:vAlign w:val="bottom"/>
          </w:tcPr>
          <w:p>
            <w:pPr>
              <w:spacing w:after="0"/>
              <w:rPr>
                <w:sz w:val="22"/>
                <w:szCs w:val="22"/>
                <w:color w:val="auto"/>
              </w:rPr>
            </w:pP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298,781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Other assets, including intangibles – net</w:t>
            </w:r>
          </w:p>
        </w:tc>
        <w:tc>
          <w:tcPr>
            <w:tcW w:w="900" w:type="dxa"/>
            <w:vAlign w:val="bottom"/>
            <w:tcBorders>
              <w:bottom w:val="single" w:sz="8" w:color="0C479D"/>
            </w:tcBorders>
          </w:tcPr>
          <w:p>
            <w:pPr>
              <w:spacing w:after="0"/>
              <w:rPr>
                <w:sz w:val="21"/>
                <w:szCs w:val="21"/>
                <w:color w:val="auto"/>
              </w:rPr>
            </w:pP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21,717</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20,908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00" w:type="dxa"/>
            <w:vAlign w:val="bottom"/>
            <w:tcBorders>
              <w:bottom w:val="single" w:sz="8" w:color="0C479D"/>
            </w:tcBorders>
          </w:tcPr>
          <w:p>
            <w:pPr>
              <w:spacing w:after="0"/>
              <w:rPr>
                <w:sz w:val="20"/>
                <w:szCs w:val="20"/>
                <w:color w:val="auto"/>
              </w:rPr>
            </w:pP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464,410</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448,980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LIABILITIES</w:t>
            </w:r>
          </w:p>
        </w:tc>
        <w:tc>
          <w:tcPr>
            <w:tcW w:w="900" w:type="dxa"/>
            <w:vAlign w:val="bottom"/>
          </w:tcPr>
          <w:p>
            <w:pPr>
              <w:spacing w:after="0"/>
              <w:rPr>
                <w:sz w:val="24"/>
                <w:szCs w:val="24"/>
                <w:color w:val="auto"/>
              </w:rPr>
            </w:pPr>
          </w:p>
        </w:tc>
        <w:tc>
          <w:tcPr>
            <w:tcW w:w="136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Current liabilities</w:t>
            </w:r>
          </w:p>
        </w:tc>
        <w:tc>
          <w:tcPr>
            <w:tcW w:w="900" w:type="dxa"/>
            <w:vAlign w:val="bottom"/>
          </w:tcPr>
          <w:p>
            <w:pPr>
              <w:spacing w:after="0"/>
              <w:rPr>
                <w:sz w:val="22"/>
                <w:szCs w:val="22"/>
                <w:color w:val="auto"/>
              </w:rPr>
            </w:pPr>
          </w:p>
        </w:tc>
        <w:tc>
          <w:tcPr>
            <w:tcW w:w="1360" w:type="dxa"/>
            <w:vAlign w:val="bottom"/>
            <w:shd w:val="clear" w:color="auto" w:fill="F0F0F0"/>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Notes and loans payable</w:t>
            </w:r>
          </w:p>
        </w:tc>
        <w:tc>
          <w:tcPr>
            <w:tcW w:w="900" w:type="dxa"/>
            <w:vAlign w:val="bottom"/>
          </w:tcPr>
          <w:p>
            <w:pPr>
              <w:spacing w:after="0"/>
              <w:rPr>
                <w:sz w:val="22"/>
                <w:szCs w:val="22"/>
                <w:color w:val="auto"/>
              </w:rPr>
            </w:pP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900" w:type="dxa"/>
            <w:vAlign w:val="bottom"/>
          </w:tcPr>
          <w:p>
            <w:pPr>
              <w:spacing w:after="0"/>
              <w:rPr>
                <w:sz w:val="22"/>
                <w:szCs w:val="22"/>
                <w:color w:val="auto"/>
              </w:rPr>
            </w:pP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77,088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Income taxes payable</w:t>
            </w:r>
          </w:p>
        </w:tc>
        <w:tc>
          <w:tcPr>
            <w:tcW w:w="900" w:type="dxa"/>
            <w:vAlign w:val="bottom"/>
            <w:tcBorders>
              <w:bottom w:val="single" w:sz="8" w:color="0C479D"/>
            </w:tcBorders>
          </w:tcPr>
          <w:p>
            <w:pPr>
              <w:spacing w:after="0"/>
              <w:rPr>
                <w:sz w:val="21"/>
                <w:szCs w:val="21"/>
                <w:color w:val="auto"/>
              </w:rPr>
            </w:pP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00" w:type="dxa"/>
            <w:vAlign w:val="bottom"/>
            <w:tcBorders>
              <w:bottom w:val="single" w:sz="8" w:color="0C479D"/>
            </w:tcBorders>
          </w:tcPr>
          <w:p>
            <w:pPr>
              <w:spacing w:after="0"/>
              <w:rPr>
                <w:sz w:val="20"/>
                <w:szCs w:val="20"/>
                <w:color w:val="auto"/>
              </w:rPr>
            </w:pP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94,378</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72,330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Long-term debt</w:t>
            </w:r>
          </w:p>
        </w:tc>
        <w:tc>
          <w:tcPr>
            <w:tcW w:w="900" w:type="dxa"/>
            <w:vAlign w:val="bottom"/>
          </w:tcPr>
          <w:p>
            <w:pPr>
              <w:spacing w:after="0"/>
              <w:rPr>
                <w:sz w:val="21"/>
                <w:szCs w:val="21"/>
                <w:color w:val="auto"/>
              </w:rPr>
            </w:pP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33,130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Postretirement benefits reserves</w:t>
            </w:r>
          </w:p>
        </w:tc>
        <w:tc>
          <w:tcPr>
            <w:tcW w:w="900" w:type="dxa"/>
            <w:vAlign w:val="bottom"/>
          </w:tcPr>
          <w:p>
            <w:pPr>
              <w:spacing w:after="0"/>
              <w:rPr>
                <w:sz w:val="22"/>
                <w:szCs w:val="22"/>
                <w:color w:val="auto"/>
              </w:rPr>
            </w:pP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900" w:type="dxa"/>
            <w:vAlign w:val="bottom"/>
          </w:tcPr>
          <w:p>
            <w:pPr>
              <w:spacing w:after="0"/>
              <w:rPr>
                <w:sz w:val="22"/>
                <w:szCs w:val="22"/>
                <w:color w:val="auto"/>
              </w:rPr>
            </w:pP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40,018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Long-term obligations to equity companies</w:t>
            </w:r>
          </w:p>
        </w:tc>
        <w:tc>
          <w:tcPr>
            <w:tcW w:w="900" w:type="dxa"/>
            <w:vAlign w:val="bottom"/>
          </w:tcPr>
          <w:p>
            <w:pPr>
              <w:spacing w:after="0"/>
              <w:rPr>
                <w:sz w:val="22"/>
                <w:szCs w:val="22"/>
                <w:color w:val="auto"/>
              </w:rPr>
            </w:pP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900" w:type="dxa"/>
            <w:vAlign w:val="bottom"/>
            <w:tcBorders>
              <w:bottom w:val="single" w:sz="8" w:color="0C479D"/>
            </w:tcBorders>
          </w:tcPr>
          <w:p>
            <w:pPr>
              <w:spacing w:after="0"/>
              <w:rPr>
                <w:sz w:val="21"/>
                <w:szCs w:val="21"/>
                <w:color w:val="auto"/>
              </w:rPr>
            </w:pP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26,386</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26,178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00" w:type="dxa"/>
            <w:vAlign w:val="bottom"/>
            <w:tcBorders>
              <w:bottom w:val="single" w:sz="8" w:color="0C479D"/>
            </w:tcBorders>
          </w:tcPr>
          <w:p>
            <w:pPr>
              <w:spacing w:after="0"/>
              <w:rPr>
                <w:sz w:val="20"/>
                <w:szCs w:val="20"/>
                <w:color w:val="auto"/>
              </w:rPr>
            </w:pP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203,414</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182,354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85"/>
              </w:rPr>
              <w:t>7</w:t>
            </w:r>
          </w:p>
        </w:tc>
        <w:tc>
          <w:tcPr>
            <w:tcW w:w="136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EQUITY</w:t>
            </w:r>
          </w:p>
        </w:tc>
        <w:tc>
          <w:tcPr>
            <w:tcW w:w="900" w:type="dxa"/>
            <w:vAlign w:val="bottom"/>
          </w:tcPr>
          <w:p>
            <w:pPr>
              <w:spacing w:after="0"/>
              <w:rPr>
                <w:sz w:val="24"/>
                <w:szCs w:val="24"/>
                <w:color w:val="auto"/>
              </w:rPr>
            </w:pPr>
          </w:p>
        </w:tc>
        <w:tc>
          <w:tcPr>
            <w:tcW w:w="136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6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Common stock without par value</w:t>
            </w:r>
          </w:p>
        </w:tc>
        <w:tc>
          <w:tcPr>
            <w:tcW w:w="900" w:type="dxa"/>
            <w:vAlign w:val="bottom"/>
          </w:tcPr>
          <w:p>
            <w:pPr>
              <w:spacing w:after="0"/>
              <w:rPr>
                <w:sz w:val="16"/>
                <w:szCs w:val="16"/>
                <w:color w:val="auto"/>
              </w:rPr>
            </w:pPr>
          </w:p>
        </w:tc>
        <w:tc>
          <w:tcPr>
            <w:tcW w:w="136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46,426</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46,150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(9,000 million shares authorized, 8,019 million shares issued)</w:t>
            </w:r>
          </w:p>
        </w:tc>
        <w:tc>
          <w:tcPr>
            <w:tcW w:w="900" w:type="dxa"/>
            <w:vAlign w:val="bottom"/>
          </w:tcPr>
          <w:p>
            <w:pPr>
              <w:spacing w:after="0"/>
              <w:rPr>
                <w:sz w:val="12"/>
                <w:szCs w:val="12"/>
                <w:color w:val="auto"/>
              </w:rPr>
            </w:pPr>
          </w:p>
        </w:tc>
        <w:tc>
          <w:tcPr>
            <w:tcW w:w="1360" w:type="dxa"/>
            <w:vAlign w:val="bottom"/>
            <w:vMerge w:val="continue"/>
            <w:shd w:val="clear" w:color="auto" w:fill="F0F0F0"/>
          </w:tcPr>
          <w:p>
            <w:pPr>
              <w:spacing w:after="0"/>
              <w:rPr>
                <w:sz w:val="12"/>
                <w:szCs w:val="12"/>
                <w:color w:val="auto"/>
              </w:rPr>
            </w:pPr>
          </w:p>
        </w:tc>
        <w:tc>
          <w:tcPr>
            <w:tcW w:w="1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6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360" w:type="dxa"/>
            <w:vAlign w:val="bottom"/>
            <w:shd w:val="clear" w:color="auto" w:fill="F0F0F0"/>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Earnings reinvested</w:t>
            </w:r>
          </w:p>
        </w:tc>
        <w:tc>
          <w:tcPr>
            <w:tcW w:w="900" w:type="dxa"/>
            <w:vAlign w:val="bottom"/>
          </w:tcPr>
          <w:p>
            <w:pPr>
              <w:spacing w:after="0"/>
              <w:rPr>
                <w:sz w:val="21"/>
                <w:szCs w:val="21"/>
                <w:color w:val="auto"/>
              </w:rPr>
            </w:pP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482,344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85"/>
              </w:rPr>
              <w:t>5</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highlight w:val="white"/>
              </w:rPr>
              <w:t>Common stock held in treasury</w:t>
            </w:r>
          </w:p>
        </w:tc>
        <w:tc>
          <w:tcPr>
            <w:tcW w:w="900" w:type="dxa"/>
            <w:vAlign w:val="bottom"/>
          </w:tcPr>
          <w:p>
            <w:pPr>
              <w:spacing w:after="0"/>
              <w:rPr>
                <w:sz w:val="17"/>
                <w:szCs w:val="17"/>
                <w:color w:val="auto"/>
              </w:rPr>
            </w:pPr>
          </w:p>
        </w:tc>
        <w:tc>
          <w:tcPr>
            <w:tcW w:w="1360" w:type="dxa"/>
            <w:vAlign w:val="bottom"/>
            <w:shd w:val="clear" w:color="auto" w:fill="F0F0F0"/>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64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highlight w:val="white"/>
              </w:rPr>
              <w:t>(3,874 million shares at March 31, 2026 and</w:t>
            </w:r>
          </w:p>
        </w:tc>
        <w:tc>
          <w:tcPr>
            <w:tcW w:w="900" w:type="dxa"/>
            <w:vAlign w:val="bottom"/>
          </w:tcPr>
          <w:p>
            <w:pPr>
              <w:spacing w:after="0"/>
              <w:rPr>
                <w:sz w:val="15"/>
                <w:szCs w:val="15"/>
                <w:color w:val="auto"/>
              </w:rPr>
            </w:pPr>
          </w:p>
        </w:tc>
        <w:tc>
          <w:tcPr>
            <w:tcW w:w="136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(263,291)</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(258,395)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highlight w:val="white"/>
              </w:rPr>
              <w:t>3,840 million shares at December 31, 2025)</w:t>
            </w:r>
          </w:p>
        </w:tc>
        <w:tc>
          <w:tcPr>
            <w:tcW w:w="900" w:type="dxa"/>
            <w:vAlign w:val="bottom"/>
            <w:tcBorders>
              <w:bottom w:val="single" w:sz="8" w:color="0C479D"/>
            </w:tcBorders>
          </w:tcPr>
          <w:p>
            <w:pPr>
              <w:spacing w:after="0"/>
              <w:rPr>
                <w:sz w:val="18"/>
                <w:szCs w:val="18"/>
                <w:color w:val="auto"/>
              </w:rPr>
            </w:pPr>
          </w:p>
        </w:tc>
        <w:tc>
          <w:tcPr>
            <w:tcW w:w="1360" w:type="dxa"/>
            <w:vAlign w:val="bottom"/>
            <w:tcBorders>
              <w:bottom w:val="single" w:sz="8" w:color="0C479D"/>
            </w:tcBorders>
            <w:vMerge w:val="continue"/>
            <w:shd w:val="clear" w:color="auto" w:fill="F0F0F0"/>
          </w:tcPr>
          <w:p>
            <w:pPr>
              <w:spacing w:after="0"/>
              <w:rPr>
                <w:sz w:val="18"/>
                <w:szCs w:val="18"/>
                <w:color w:val="auto"/>
              </w:rPr>
            </w:pPr>
          </w:p>
        </w:tc>
        <w:tc>
          <w:tcPr>
            <w:tcW w:w="1340" w:type="dxa"/>
            <w:vAlign w:val="bottom"/>
            <w:tcBorders>
              <w:bottom w:val="single" w:sz="8" w:color="0C479D"/>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ExxonMobil share of equity</w:t>
            </w:r>
          </w:p>
        </w:tc>
        <w:tc>
          <w:tcPr>
            <w:tcW w:w="900" w:type="dxa"/>
            <w:vAlign w:val="bottom"/>
            <w:tcBorders>
              <w:bottom w:val="single" w:sz="8" w:color="0C479D"/>
            </w:tcBorders>
          </w:tcPr>
          <w:p>
            <w:pPr>
              <w:spacing w:after="0"/>
              <w:rPr>
                <w:sz w:val="20"/>
                <w:szCs w:val="20"/>
                <w:color w:val="auto"/>
              </w:rPr>
            </w:pP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254,381</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259,386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00" w:type="dxa"/>
            <w:vAlign w:val="bottom"/>
            <w:tcBorders>
              <w:bottom w:val="single" w:sz="8" w:color="0C479D"/>
            </w:tcBorders>
          </w:tcPr>
          <w:p>
            <w:pPr>
              <w:spacing w:after="0"/>
              <w:rPr>
                <w:sz w:val="20"/>
                <w:szCs w:val="20"/>
                <w:color w:val="auto"/>
              </w:rPr>
            </w:pP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900" w:type="dxa"/>
            <w:vAlign w:val="bottom"/>
            <w:tcBorders>
              <w:bottom w:val="single" w:sz="8" w:color="0C479D"/>
            </w:tcBorders>
          </w:tcPr>
          <w:p>
            <w:pPr>
              <w:spacing w:after="0"/>
              <w:rPr>
                <w:sz w:val="20"/>
                <w:szCs w:val="20"/>
                <w:color w:val="auto"/>
              </w:rPr>
            </w:pP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260,996</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266,626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900" w:type="dxa"/>
            <w:vAlign w:val="bottom"/>
            <w:tcBorders>
              <w:bottom w:val="single" w:sz="8" w:color="0C479D"/>
            </w:tcBorders>
          </w:tcPr>
          <w:p>
            <w:pPr>
              <w:spacing w:after="0"/>
              <w:rPr>
                <w:sz w:val="20"/>
                <w:szCs w:val="20"/>
                <w:color w:val="auto"/>
              </w:rPr>
            </w:pP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464,410</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448,980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260"/>
          </w:cols>
          <w:pgMar w:left="1320" w:top="499" w:right="1319" w:bottom="1440" w:gutter="0" w:footer="0" w:header="0"/>
        </w:sect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260"/>
          </w:cols>
          <w:pgMar w:left="1320" w:top="499" w:right="131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6D6D6D"/>
              </w:rPr>
              <w:t>Table of Contents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654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0C479D"/>
                <w:w w:val="98"/>
              </w:rPr>
              <w:t>CONDENSED CONSOLIDATED STATEMENT OF CASH FLOWS</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6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4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2700" w:type="dxa"/>
            <w:vAlign w:val="bottom"/>
            <w:gridSpan w:val="2"/>
            <w:shd w:val="clear" w:color="auto" w:fill="0C479D"/>
          </w:tcPr>
          <w:p>
            <w:pPr>
              <w:jc w:val="right"/>
              <w:ind w:right="271"/>
              <w:spacing w:after="0"/>
              <w:rPr>
                <w:sz w:val="20"/>
                <w:szCs w:val="20"/>
                <w:color w:val="auto"/>
              </w:rPr>
            </w:pPr>
            <w:r>
              <w:rPr>
                <w:rFonts w:ascii="Times New Roman" w:cs="Times New Roman" w:eastAsia="Times New Roman" w:hAnsi="Times New Roman"/>
                <w:sz w:val="14"/>
                <w:szCs w:val="14"/>
                <w:b w:val="1"/>
                <w:bCs w:val="1"/>
                <w:color w:val="FFFFFF"/>
              </w:rPr>
              <w:t>Three Months Ended March 31,</w:t>
            </w:r>
          </w:p>
        </w:tc>
        <w:tc>
          <w:tcPr>
            <w:tcW w:w="20" w:type="dxa"/>
            <w:vAlign w:val="bottom"/>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6540" w:type="dxa"/>
            <w:vAlign w:val="bottom"/>
            <w:vMerge w:val="continue"/>
            <w:shd w:val="clear" w:color="auto" w:fill="0C479D"/>
          </w:tcPr>
          <w:p>
            <w:pPr>
              <w:spacing w:after="0"/>
              <w:rPr>
                <w:sz w:val="10"/>
                <w:szCs w:val="10"/>
                <w:color w:val="auto"/>
              </w:rPr>
            </w:pPr>
          </w:p>
        </w:tc>
        <w:tc>
          <w:tcPr>
            <w:tcW w:w="136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34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6540" w:type="dxa"/>
            <w:vAlign w:val="bottom"/>
            <w:tcBorders>
              <w:bottom w:val="single" w:sz="8" w:color="0C479D"/>
            </w:tcBorders>
            <w:shd w:val="clear" w:color="auto" w:fill="0C479D"/>
          </w:tcPr>
          <w:p>
            <w:pPr>
              <w:spacing w:after="0"/>
              <w:rPr>
                <w:sz w:val="7"/>
                <w:szCs w:val="7"/>
                <w:color w:val="auto"/>
              </w:rPr>
            </w:pPr>
          </w:p>
        </w:tc>
        <w:tc>
          <w:tcPr>
            <w:tcW w:w="1360" w:type="dxa"/>
            <w:vAlign w:val="bottom"/>
            <w:tcBorders>
              <w:bottom w:val="single" w:sz="8" w:color="0C479D"/>
            </w:tcBorders>
            <w:vMerge w:val="continue"/>
            <w:shd w:val="clear" w:color="auto" w:fill="0C479D"/>
          </w:tcPr>
          <w:p>
            <w:pPr>
              <w:spacing w:after="0"/>
              <w:rPr>
                <w:sz w:val="7"/>
                <w:szCs w:val="7"/>
                <w:color w:val="auto"/>
              </w:rPr>
            </w:pPr>
          </w:p>
        </w:tc>
        <w:tc>
          <w:tcPr>
            <w:tcW w:w="1340" w:type="dxa"/>
            <w:vAlign w:val="bottom"/>
            <w:tcBorders>
              <w:bottom w:val="single" w:sz="8" w:color="0C479D"/>
            </w:tcBorders>
            <w:vMerge w:val="continue"/>
            <w:shd w:val="clear" w:color="auto" w:fill="0C479D"/>
          </w:tcPr>
          <w:p>
            <w:pPr>
              <w:spacing w:after="0"/>
              <w:rPr>
                <w:sz w:val="7"/>
                <w:szCs w:val="7"/>
                <w:color w:val="auto"/>
              </w:rPr>
            </w:pPr>
          </w:p>
        </w:tc>
        <w:tc>
          <w:tcPr>
            <w:tcW w:w="20" w:type="dxa"/>
            <w:vAlign w:val="bottom"/>
            <w:tcBorders>
              <w:bottom w:val="single" w:sz="8" w:color="0C479D"/>
            </w:tcBorders>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CASH FLOWS FROM OPERATING ACTIVITIES</w:t>
            </w:r>
          </w:p>
        </w:tc>
        <w:tc>
          <w:tcPr>
            <w:tcW w:w="136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depletion (includes impairments)</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operational working capital, excluding cash and debt</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All other items – net</w:t>
            </w: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8,705</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CASH FLOWS FROM INVESTING ACTIVITIES</w:t>
            </w:r>
          </w:p>
        </w:tc>
        <w:tc>
          <w:tcPr>
            <w:tcW w:w="136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from asset sales and returns of investments</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investments and advances</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Other investing activities including collection of advances</w:t>
            </w: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(6,006)</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CASH FLOWS FROM FINANCING ACTIVITIES</w:t>
            </w:r>
          </w:p>
        </w:tc>
        <w:tc>
          <w:tcPr>
            <w:tcW w:w="136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Additions to long-term debt</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Reductions in long-term debt</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Reductions in short-term debt </w:t>
            </w:r>
            <w:r>
              <w:rPr>
                <w:rFonts w:ascii="Times New Roman" w:cs="Times New Roman" w:eastAsia="Times New Roman" w:hAnsi="Times New Roman"/>
                <w:sz w:val="23"/>
                <w:szCs w:val="23"/>
                <w:i w:val="1"/>
                <w:iCs w:val="1"/>
                <w:color w:val="auto"/>
                <w:vertAlign w:val="superscript"/>
              </w:rPr>
              <w:t>(1)</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Additions/(reductions) in commercial paper, and debt with three months or less maturity</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dividends to ExxonMobil shareholders</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dividends to noncontrolling interests</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noncontrolling interests</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Inflows from noncontrolling interests for major projects</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Common stock acquired</w:t>
            </w: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(4,900)</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65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Increase/(decrease) in cash and cash equivalents (including restricted)</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(2,246)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Cash and cash equivalents at beginning of period (including restricted)</w:t>
            </w: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23,187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 (including restricted)</w:t>
            </w: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8,435</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SUPPLEMENTAL DISCLOSURES</w:t>
            </w:r>
          </w:p>
        </w:tc>
        <w:tc>
          <w:tcPr>
            <w:tcW w:w="136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interest paid</w:t>
            </w:r>
          </w:p>
        </w:tc>
        <w:tc>
          <w:tcPr>
            <w:tcW w:w="1360" w:type="dxa"/>
            <w:vAlign w:val="bottom"/>
            <w:shd w:val="clear" w:color="auto" w:fill="F0F0F0"/>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Included in cash flows from operating activities</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40" w:type="dxa"/>
            <w:vAlign w:val="bottom"/>
            <w:tcBorders>
              <w:bottom w:val="single" w:sz="8" w:color="0C479D"/>
            </w:tcBorders>
          </w:tcPr>
          <w:p>
            <w:pPr>
              <w:ind w:left="280"/>
              <w:spacing w:after="0"/>
              <w:rPr>
                <w:sz w:val="20"/>
                <w:szCs w:val="20"/>
                <w:color w:val="auto"/>
              </w:rPr>
            </w:pPr>
            <w:r>
              <w:rPr>
                <w:rFonts w:ascii="Times New Roman" w:cs="Times New Roman" w:eastAsia="Times New Roman" w:hAnsi="Times New Roman"/>
                <w:sz w:val="18"/>
                <w:szCs w:val="18"/>
                <w:color w:val="auto"/>
              </w:rPr>
              <w:t>Capitalized, included in cash flows from investing activities</w:t>
            </w: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Total cash interest paid</w:t>
            </w: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Noncash right of use assets recorded in exchange for lease liabilities</w:t>
            </w:r>
          </w:p>
        </w:tc>
        <w:tc>
          <w:tcPr>
            <w:tcW w:w="136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1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540" w:type="dxa"/>
            <w:vAlign w:val="bottom"/>
            <w:tcBorders>
              <w:bottom w:val="single" w:sz="8" w:color="0C479D"/>
            </w:tcBorders>
          </w:tcPr>
          <w:p>
            <w:pPr>
              <w:ind w:left="280"/>
              <w:spacing w:after="0"/>
              <w:rPr>
                <w:sz w:val="20"/>
                <w:szCs w:val="20"/>
                <w:color w:val="auto"/>
              </w:rPr>
            </w:pPr>
            <w:r>
              <w:rPr>
                <w:rFonts w:ascii="Times New Roman" w:cs="Times New Roman" w:eastAsia="Times New Roman" w:hAnsi="Times New Roman"/>
                <w:sz w:val="18"/>
                <w:szCs w:val="18"/>
                <w:color w:val="auto"/>
              </w:rPr>
              <w:t>Finance leases</w:t>
            </w:r>
          </w:p>
        </w:tc>
        <w:tc>
          <w:tcPr>
            <w:tcW w:w="1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240" w:hanging="172"/>
        <w:spacing w:after="0"/>
        <w:tabs>
          <w:tab w:leader="none" w:pos="240" w:val="left"/>
        </w:tabs>
        <w:numPr>
          <w:ilvl w:val="0"/>
          <w:numId w:val="7"/>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Includes commercial paper with a maturity greater than three months.</w:t>
      </w:r>
    </w:p>
    <w:p>
      <w:pPr>
        <w:sectPr>
          <w:pgSz w:w="11900" w:h="16838" w:orient="portrait"/>
          <w:cols w:equalWidth="0" w:num="1">
            <w:col w:w="9260"/>
          </w:cols>
          <w:pgMar w:left="1320" w:top="49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260"/>
          </w:cols>
          <w:pgMar w:left="1320" w:top="499" w:right="1319" w:bottom="1440" w:gutter="0" w:footer="0" w:header="0"/>
          <w:type w:val="continuous"/>
        </w:sectPr>
      </w:pPr>
    </w:p>
    <w:bookmarkStart w:id="6" w:name="page7"/>
    <w:bookmarkEnd w:id="6"/>
    <w:p>
      <w:pPr>
        <w:ind w:left="796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C479D"/>
        </w:rPr>
        <w:t>CONDENSED CONSOLIDATED STATEMENT OF CHANGES IN EQUITY</w:t>
      </w:r>
    </w:p>
    <w:p>
      <w:pPr>
        <w:spacing w:after="0" w:line="19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0C479D"/>
        </w:rPr>
        <w:t>ExxonMobil Share of Equity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80" w:type="dxa"/>
            <w:vAlign w:val="bottom"/>
            <w:shd w:val="clear" w:color="auto" w:fill="0C479D"/>
          </w:tcPr>
          <w:p>
            <w:pPr>
              <w:spacing w:after="0"/>
              <w:rPr>
                <w:sz w:val="13"/>
                <w:szCs w:val="13"/>
                <w:color w:val="auto"/>
              </w:rPr>
            </w:pPr>
          </w:p>
        </w:tc>
        <w:tc>
          <w:tcPr>
            <w:tcW w:w="100" w:type="dxa"/>
            <w:vAlign w:val="bottom"/>
            <w:shd w:val="clear" w:color="auto" w:fill="0C479D"/>
          </w:tcPr>
          <w:p>
            <w:pPr>
              <w:spacing w:after="0"/>
              <w:rPr>
                <w:sz w:val="13"/>
                <w:szCs w:val="13"/>
                <w:color w:val="auto"/>
              </w:rPr>
            </w:pPr>
          </w:p>
        </w:tc>
        <w:tc>
          <w:tcPr>
            <w:tcW w:w="620" w:type="dxa"/>
            <w:vAlign w:val="bottom"/>
            <w:shd w:val="clear" w:color="auto" w:fill="0C479D"/>
          </w:tcPr>
          <w:p>
            <w:pPr>
              <w:spacing w:after="0"/>
              <w:rPr>
                <w:sz w:val="13"/>
                <w:szCs w:val="13"/>
                <w:color w:val="auto"/>
              </w:rPr>
            </w:pPr>
          </w:p>
        </w:tc>
        <w:tc>
          <w:tcPr>
            <w:tcW w:w="40" w:type="dxa"/>
            <w:vAlign w:val="bottom"/>
            <w:shd w:val="clear" w:color="auto" w:fill="0C479D"/>
          </w:tcPr>
          <w:p>
            <w:pPr>
              <w:spacing w:after="0"/>
              <w:rPr>
                <w:sz w:val="13"/>
                <w:szCs w:val="13"/>
                <w:color w:val="auto"/>
              </w:rPr>
            </w:pPr>
          </w:p>
        </w:tc>
        <w:tc>
          <w:tcPr>
            <w:tcW w:w="300" w:type="dxa"/>
            <w:vAlign w:val="bottom"/>
            <w:shd w:val="clear" w:color="auto" w:fill="0C479D"/>
          </w:tcPr>
          <w:p>
            <w:pPr>
              <w:spacing w:after="0"/>
              <w:rPr>
                <w:sz w:val="13"/>
                <w:szCs w:val="13"/>
                <w:color w:val="auto"/>
              </w:rPr>
            </w:pPr>
          </w:p>
        </w:tc>
        <w:tc>
          <w:tcPr>
            <w:tcW w:w="420" w:type="dxa"/>
            <w:vAlign w:val="bottom"/>
            <w:shd w:val="clear" w:color="auto" w:fill="0C479D"/>
          </w:tcPr>
          <w:p>
            <w:pPr>
              <w:spacing w:after="0"/>
              <w:rPr>
                <w:sz w:val="13"/>
                <w:szCs w:val="13"/>
                <w:color w:val="auto"/>
              </w:rPr>
            </w:pPr>
          </w:p>
        </w:tc>
        <w:tc>
          <w:tcPr>
            <w:tcW w:w="1080" w:type="dxa"/>
            <w:vAlign w:val="bottom"/>
            <w:gridSpan w:val="4"/>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Accumulated</w:t>
            </w:r>
          </w:p>
        </w:tc>
        <w:tc>
          <w:tcPr>
            <w:tcW w:w="820" w:type="dxa"/>
            <w:vAlign w:val="bottom"/>
            <w:gridSpan w:val="2"/>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Common</w:t>
            </w:r>
          </w:p>
        </w:tc>
        <w:tc>
          <w:tcPr>
            <w:tcW w:w="880" w:type="dxa"/>
            <w:vAlign w:val="bottom"/>
            <w:tcBorders>
              <w:right w:val="single" w:sz="8" w:color="0C479D"/>
            </w:tcBorders>
            <w:gridSpan w:val="3"/>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ExxonMobil</w:t>
            </w:r>
          </w:p>
        </w:tc>
        <w:tc>
          <w:tcPr>
            <w:tcW w:w="780" w:type="dxa"/>
            <w:vAlign w:val="bottom"/>
            <w:gridSpan w:val="2"/>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Non-</w:t>
            </w:r>
          </w:p>
        </w:tc>
        <w:tc>
          <w:tcPr>
            <w:tcW w:w="60" w:type="dxa"/>
            <w:vAlign w:val="bottom"/>
            <w:shd w:val="clear" w:color="auto" w:fill="0C479D"/>
          </w:tcPr>
          <w:p>
            <w:pPr>
              <w:spacing w:after="0"/>
              <w:rPr>
                <w:sz w:val="13"/>
                <w:szCs w:val="13"/>
                <w:color w:val="auto"/>
              </w:rPr>
            </w:pPr>
          </w:p>
        </w:tc>
        <w:tc>
          <w:tcPr>
            <w:tcW w:w="840" w:type="dxa"/>
            <w:vAlign w:val="bottom"/>
            <w:tcBorders>
              <w:right w:val="single" w:sz="8" w:color="0C479D"/>
            </w:tcBorders>
            <w:shd w:val="clear" w:color="auto" w:fill="0C479D"/>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8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4"/>
                <w:szCs w:val="14"/>
                <w:b w:val="1"/>
                <w:bCs w:val="1"/>
                <w:i w:val="1"/>
                <w:iCs w:val="1"/>
                <w:color w:val="FFFFFF"/>
              </w:rPr>
              <w:t>(millions of dollars, unless noted)</w:t>
            </w:r>
          </w:p>
        </w:tc>
        <w:tc>
          <w:tcPr>
            <w:tcW w:w="720" w:type="dxa"/>
            <w:vAlign w:val="bottom"/>
            <w:gridSpan w:val="2"/>
            <w:vMerge w:val="restart"/>
            <w:shd w:val="clear" w:color="auto" w:fill="0C479D"/>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FFFFFF"/>
              </w:rPr>
              <w:t>Common</w:t>
            </w:r>
          </w:p>
        </w:tc>
        <w:tc>
          <w:tcPr>
            <w:tcW w:w="40" w:type="dxa"/>
            <w:vAlign w:val="bottom"/>
            <w:shd w:val="clear" w:color="auto" w:fill="0C479D"/>
          </w:tcPr>
          <w:p>
            <w:pPr>
              <w:spacing w:after="0"/>
              <w:rPr>
                <w:sz w:val="6"/>
                <w:szCs w:val="6"/>
                <w:color w:val="auto"/>
              </w:rPr>
            </w:pPr>
          </w:p>
        </w:tc>
        <w:tc>
          <w:tcPr>
            <w:tcW w:w="720" w:type="dxa"/>
            <w:vAlign w:val="bottom"/>
            <w:gridSpan w:val="2"/>
            <w:vMerge w:val="restart"/>
            <w:shd w:val="clear" w:color="auto" w:fill="0C479D"/>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FFFFFF"/>
              </w:rPr>
              <w:t>Earnings</w:t>
            </w:r>
          </w:p>
        </w:tc>
        <w:tc>
          <w:tcPr>
            <w:tcW w:w="300" w:type="dxa"/>
            <w:vAlign w:val="bottom"/>
            <w:shd w:val="clear" w:color="auto" w:fill="0C479D"/>
          </w:tcPr>
          <w:p>
            <w:pPr>
              <w:spacing w:after="0"/>
              <w:rPr>
                <w:sz w:val="6"/>
                <w:szCs w:val="6"/>
                <w:color w:val="auto"/>
              </w:rPr>
            </w:pPr>
          </w:p>
        </w:tc>
        <w:tc>
          <w:tcPr>
            <w:tcW w:w="40" w:type="dxa"/>
            <w:vAlign w:val="bottom"/>
            <w:shd w:val="clear" w:color="auto" w:fill="0C479D"/>
          </w:tcPr>
          <w:p>
            <w:pPr>
              <w:spacing w:after="0"/>
              <w:rPr>
                <w:sz w:val="6"/>
                <w:szCs w:val="6"/>
                <w:color w:val="auto"/>
              </w:rPr>
            </w:pPr>
          </w:p>
        </w:tc>
        <w:tc>
          <w:tcPr>
            <w:tcW w:w="740" w:type="dxa"/>
            <w:vAlign w:val="bottom"/>
            <w:gridSpan w:val="2"/>
            <w:vMerge w:val="restart"/>
            <w:shd w:val="clear" w:color="auto" w:fill="0C479D"/>
          </w:tcPr>
          <w:p>
            <w:pPr>
              <w:jc w:val="center"/>
              <w:ind w:right="256"/>
              <w:spacing w:after="0" w:line="149" w:lineRule="exact"/>
              <w:rPr>
                <w:sz w:val="20"/>
                <w:szCs w:val="20"/>
                <w:color w:val="auto"/>
              </w:rPr>
            </w:pPr>
            <w:r>
              <w:rPr>
                <w:rFonts w:ascii="Times New Roman" w:cs="Times New Roman" w:eastAsia="Times New Roman" w:hAnsi="Times New Roman"/>
                <w:sz w:val="14"/>
                <w:szCs w:val="14"/>
                <w:b w:val="1"/>
                <w:bCs w:val="1"/>
                <w:color w:val="FFFFFF"/>
              </w:rPr>
              <w:t>Other</w:t>
            </w:r>
          </w:p>
        </w:tc>
        <w:tc>
          <w:tcPr>
            <w:tcW w:w="820" w:type="dxa"/>
            <w:vAlign w:val="bottom"/>
            <w:gridSpan w:val="2"/>
            <w:vMerge w:val="continue"/>
            <w:shd w:val="clear" w:color="auto" w:fill="0C479D"/>
          </w:tcPr>
          <w:p>
            <w:pPr>
              <w:spacing w:after="0"/>
              <w:rPr>
                <w:sz w:val="6"/>
                <w:szCs w:val="6"/>
                <w:color w:val="auto"/>
              </w:rPr>
            </w:pPr>
          </w:p>
        </w:tc>
        <w:tc>
          <w:tcPr>
            <w:tcW w:w="880" w:type="dxa"/>
            <w:vAlign w:val="bottom"/>
            <w:tcBorders>
              <w:right w:val="single" w:sz="8" w:color="0C479D"/>
            </w:tcBorders>
            <w:gridSpan w:val="3"/>
            <w:vMerge w:val="continue"/>
            <w:shd w:val="clear" w:color="auto" w:fill="0C479D"/>
          </w:tcPr>
          <w:p>
            <w:pPr>
              <w:spacing w:after="0"/>
              <w:rPr>
                <w:sz w:val="6"/>
                <w:szCs w:val="6"/>
                <w:color w:val="auto"/>
              </w:rPr>
            </w:pPr>
          </w:p>
        </w:tc>
        <w:tc>
          <w:tcPr>
            <w:tcW w:w="780" w:type="dxa"/>
            <w:vAlign w:val="bottom"/>
            <w:gridSpan w:val="2"/>
            <w:vMerge w:val="continue"/>
            <w:shd w:val="clear" w:color="auto" w:fill="0C479D"/>
          </w:tcPr>
          <w:p>
            <w:pPr>
              <w:spacing w:after="0"/>
              <w:rPr>
                <w:sz w:val="6"/>
                <w:szCs w:val="6"/>
                <w:color w:val="auto"/>
              </w:rPr>
            </w:pPr>
          </w:p>
        </w:tc>
        <w:tc>
          <w:tcPr>
            <w:tcW w:w="60" w:type="dxa"/>
            <w:vAlign w:val="bottom"/>
            <w:shd w:val="clear" w:color="auto" w:fill="0C479D"/>
          </w:tcPr>
          <w:p>
            <w:pPr>
              <w:spacing w:after="0"/>
              <w:rPr>
                <w:sz w:val="6"/>
                <w:szCs w:val="6"/>
                <w:color w:val="auto"/>
              </w:rPr>
            </w:pPr>
          </w:p>
        </w:tc>
        <w:tc>
          <w:tcPr>
            <w:tcW w:w="840" w:type="dxa"/>
            <w:vAlign w:val="bottom"/>
            <w:tcBorders>
              <w:right w:val="single" w:sz="8" w:color="0C479D"/>
            </w:tcBorders>
            <w:vMerge w:val="restart"/>
            <w:shd w:val="clear" w:color="auto" w:fill="0C479D"/>
          </w:tcPr>
          <w:p>
            <w:pPr>
              <w:jc w:val="right"/>
              <w:ind w:right="196"/>
              <w:spacing w:after="0" w:line="149" w:lineRule="exact"/>
              <w:rPr>
                <w:sz w:val="20"/>
                <w:szCs w:val="20"/>
                <w:color w:val="auto"/>
              </w:rPr>
            </w:pPr>
            <w:r>
              <w:rPr>
                <w:rFonts w:ascii="Times New Roman" w:cs="Times New Roman" w:eastAsia="Times New Roman" w:hAnsi="Times New Roman"/>
                <w:sz w:val="14"/>
                <w:szCs w:val="14"/>
                <w:b w:val="1"/>
                <w:bCs w:val="1"/>
                <w:color w:val="FFFFFF"/>
              </w:rPr>
              <w:t>Total</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280" w:type="dxa"/>
            <w:vAlign w:val="bottom"/>
            <w:vMerge w:val="continue"/>
            <w:shd w:val="clear" w:color="auto" w:fill="0C479D"/>
          </w:tcPr>
          <w:p>
            <w:pPr>
              <w:spacing w:after="0"/>
              <w:rPr>
                <w:sz w:val="6"/>
                <w:szCs w:val="6"/>
                <w:color w:val="auto"/>
              </w:rPr>
            </w:pPr>
          </w:p>
        </w:tc>
        <w:tc>
          <w:tcPr>
            <w:tcW w:w="720" w:type="dxa"/>
            <w:vAlign w:val="bottom"/>
            <w:gridSpan w:val="2"/>
            <w:vMerge w:val="continue"/>
            <w:shd w:val="clear" w:color="auto" w:fill="0C479D"/>
          </w:tcPr>
          <w:p>
            <w:pPr>
              <w:spacing w:after="0"/>
              <w:rPr>
                <w:sz w:val="6"/>
                <w:szCs w:val="6"/>
                <w:color w:val="auto"/>
              </w:rPr>
            </w:pPr>
          </w:p>
        </w:tc>
        <w:tc>
          <w:tcPr>
            <w:tcW w:w="40" w:type="dxa"/>
            <w:vAlign w:val="bottom"/>
            <w:shd w:val="clear" w:color="auto" w:fill="0C479D"/>
          </w:tcPr>
          <w:p>
            <w:pPr>
              <w:spacing w:after="0"/>
              <w:rPr>
                <w:sz w:val="6"/>
                <w:szCs w:val="6"/>
                <w:color w:val="auto"/>
              </w:rPr>
            </w:pPr>
          </w:p>
        </w:tc>
        <w:tc>
          <w:tcPr>
            <w:tcW w:w="720" w:type="dxa"/>
            <w:vAlign w:val="bottom"/>
            <w:gridSpan w:val="2"/>
            <w:vMerge w:val="continue"/>
            <w:shd w:val="clear" w:color="auto" w:fill="0C479D"/>
          </w:tcPr>
          <w:p>
            <w:pPr>
              <w:spacing w:after="0"/>
              <w:rPr>
                <w:sz w:val="6"/>
                <w:szCs w:val="6"/>
                <w:color w:val="auto"/>
              </w:rPr>
            </w:pPr>
          </w:p>
        </w:tc>
        <w:tc>
          <w:tcPr>
            <w:tcW w:w="300" w:type="dxa"/>
            <w:vAlign w:val="bottom"/>
            <w:shd w:val="clear" w:color="auto" w:fill="0C479D"/>
          </w:tcPr>
          <w:p>
            <w:pPr>
              <w:spacing w:after="0"/>
              <w:rPr>
                <w:sz w:val="6"/>
                <w:szCs w:val="6"/>
                <w:color w:val="auto"/>
              </w:rPr>
            </w:pPr>
          </w:p>
        </w:tc>
        <w:tc>
          <w:tcPr>
            <w:tcW w:w="40" w:type="dxa"/>
            <w:vAlign w:val="bottom"/>
            <w:shd w:val="clear" w:color="auto" w:fill="0C479D"/>
          </w:tcPr>
          <w:p>
            <w:pPr>
              <w:spacing w:after="0"/>
              <w:rPr>
                <w:sz w:val="6"/>
                <w:szCs w:val="6"/>
                <w:color w:val="auto"/>
              </w:rPr>
            </w:pPr>
          </w:p>
        </w:tc>
        <w:tc>
          <w:tcPr>
            <w:tcW w:w="740" w:type="dxa"/>
            <w:vAlign w:val="bottom"/>
            <w:gridSpan w:val="2"/>
            <w:vMerge w:val="continue"/>
            <w:shd w:val="clear" w:color="auto" w:fill="0C479D"/>
          </w:tcPr>
          <w:p>
            <w:pPr>
              <w:spacing w:after="0"/>
              <w:rPr>
                <w:sz w:val="6"/>
                <w:szCs w:val="6"/>
                <w:color w:val="auto"/>
              </w:rPr>
            </w:pPr>
          </w:p>
        </w:tc>
        <w:tc>
          <w:tcPr>
            <w:tcW w:w="820" w:type="dxa"/>
            <w:vAlign w:val="bottom"/>
            <w:gridSpan w:val="2"/>
            <w:vMerge w:val="restart"/>
            <w:shd w:val="clear" w:color="auto" w:fill="0C479D"/>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FFFFFF"/>
              </w:rPr>
              <w:t>Stock Held</w:t>
            </w:r>
          </w:p>
        </w:tc>
        <w:tc>
          <w:tcPr>
            <w:tcW w:w="800" w:type="dxa"/>
            <w:vAlign w:val="bottom"/>
            <w:gridSpan w:val="2"/>
            <w:vMerge w:val="restart"/>
            <w:shd w:val="clear" w:color="auto" w:fill="0C479D"/>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FFFFFF"/>
              </w:rPr>
              <w:t>Share of</w:t>
            </w:r>
          </w:p>
        </w:tc>
        <w:tc>
          <w:tcPr>
            <w:tcW w:w="80" w:type="dxa"/>
            <w:vAlign w:val="bottom"/>
            <w:tcBorders>
              <w:right w:val="single" w:sz="8" w:color="0C479D"/>
            </w:tcBorders>
            <w:shd w:val="clear" w:color="auto" w:fill="0C479D"/>
          </w:tcPr>
          <w:p>
            <w:pPr>
              <w:spacing w:after="0"/>
              <w:rPr>
                <w:sz w:val="6"/>
                <w:szCs w:val="6"/>
                <w:color w:val="auto"/>
              </w:rPr>
            </w:pPr>
          </w:p>
        </w:tc>
        <w:tc>
          <w:tcPr>
            <w:tcW w:w="780" w:type="dxa"/>
            <w:vAlign w:val="bottom"/>
            <w:gridSpan w:val="2"/>
            <w:vMerge w:val="restart"/>
            <w:shd w:val="clear" w:color="auto" w:fill="0C479D"/>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FFFFFF"/>
              </w:rPr>
              <w:t>controlling</w:t>
            </w:r>
          </w:p>
        </w:tc>
        <w:tc>
          <w:tcPr>
            <w:tcW w:w="60" w:type="dxa"/>
            <w:vAlign w:val="bottom"/>
            <w:shd w:val="clear" w:color="auto" w:fill="0C479D"/>
          </w:tcPr>
          <w:p>
            <w:pPr>
              <w:spacing w:after="0"/>
              <w:rPr>
                <w:sz w:val="6"/>
                <w:szCs w:val="6"/>
                <w:color w:val="auto"/>
              </w:rPr>
            </w:pPr>
          </w:p>
        </w:tc>
        <w:tc>
          <w:tcPr>
            <w:tcW w:w="840" w:type="dxa"/>
            <w:vAlign w:val="bottom"/>
            <w:tcBorders>
              <w:right w:val="single" w:sz="8" w:color="0C479D"/>
            </w:tcBorders>
            <w:vMerge w:val="continue"/>
            <w:shd w:val="clear" w:color="auto" w:fill="0C479D"/>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80" w:type="dxa"/>
            <w:vAlign w:val="bottom"/>
            <w:vMerge w:val="continue"/>
            <w:shd w:val="clear" w:color="auto" w:fill="0C479D"/>
          </w:tcPr>
          <w:p>
            <w:pPr>
              <w:spacing w:after="0"/>
              <w:rPr>
                <w:sz w:val="5"/>
                <w:szCs w:val="5"/>
                <w:color w:val="auto"/>
              </w:rPr>
            </w:pPr>
          </w:p>
        </w:tc>
        <w:tc>
          <w:tcPr>
            <w:tcW w:w="100" w:type="dxa"/>
            <w:vAlign w:val="bottom"/>
            <w:shd w:val="clear" w:color="auto" w:fill="0C479D"/>
          </w:tcPr>
          <w:p>
            <w:pPr>
              <w:spacing w:after="0"/>
              <w:rPr>
                <w:sz w:val="5"/>
                <w:szCs w:val="5"/>
                <w:color w:val="auto"/>
              </w:rPr>
            </w:pPr>
          </w:p>
        </w:tc>
        <w:tc>
          <w:tcPr>
            <w:tcW w:w="620" w:type="dxa"/>
            <w:vAlign w:val="bottom"/>
            <w:vMerge w:val="restart"/>
            <w:shd w:val="clear" w:color="auto" w:fill="0C479D"/>
          </w:tcPr>
          <w:p>
            <w:pPr>
              <w:jc w:val="right"/>
              <w:ind w:right="98"/>
              <w:spacing w:after="0"/>
              <w:rPr>
                <w:sz w:val="20"/>
                <w:szCs w:val="20"/>
                <w:color w:val="auto"/>
              </w:rPr>
            </w:pPr>
            <w:r>
              <w:rPr>
                <w:rFonts w:ascii="Times New Roman" w:cs="Times New Roman" w:eastAsia="Times New Roman" w:hAnsi="Times New Roman"/>
                <w:sz w:val="14"/>
                <w:szCs w:val="14"/>
                <w:b w:val="1"/>
                <w:bCs w:val="1"/>
                <w:color w:val="FFFFFF"/>
              </w:rPr>
              <w:t>Stock</w:t>
            </w:r>
          </w:p>
        </w:tc>
        <w:tc>
          <w:tcPr>
            <w:tcW w:w="40" w:type="dxa"/>
            <w:vAlign w:val="bottom"/>
            <w:shd w:val="clear" w:color="auto" w:fill="0C479D"/>
          </w:tcPr>
          <w:p>
            <w:pPr>
              <w:spacing w:after="0"/>
              <w:rPr>
                <w:sz w:val="5"/>
                <w:szCs w:val="5"/>
                <w:color w:val="auto"/>
              </w:rPr>
            </w:pPr>
          </w:p>
        </w:tc>
        <w:tc>
          <w:tcPr>
            <w:tcW w:w="720" w:type="dxa"/>
            <w:vAlign w:val="bottom"/>
            <w:gridSpan w:val="2"/>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Reinvested</w:t>
            </w:r>
          </w:p>
        </w:tc>
        <w:tc>
          <w:tcPr>
            <w:tcW w:w="1080" w:type="dxa"/>
            <w:vAlign w:val="bottom"/>
            <w:gridSpan w:val="4"/>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Comprehensive</w:t>
            </w:r>
          </w:p>
        </w:tc>
        <w:tc>
          <w:tcPr>
            <w:tcW w:w="820" w:type="dxa"/>
            <w:vAlign w:val="bottom"/>
            <w:gridSpan w:val="2"/>
            <w:vMerge w:val="continue"/>
            <w:shd w:val="clear" w:color="auto" w:fill="0C479D"/>
          </w:tcPr>
          <w:p>
            <w:pPr>
              <w:spacing w:after="0"/>
              <w:rPr>
                <w:sz w:val="5"/>
                <w:szCs w:val="5"/>
                <w:color w:val="auto"/>
              </w:rPr>
            </w:pPr>
          </w:p>
        </w:tc>
        <w:tc>
          <w:tcPr>
            <w:tcW w:w="800" w:type="dxa"/>
            <w:vAlign w:val="bottom"/>
            <w:gridSpan w:val="2"/>
            <w:vMerge w:val="continue"/>
            <w:shd w:val="clear" w:color="auto" w:fill="0C479D"/>
          </w:tcPr>
          <w:p>
            <w:pPr>
              <w:spacing w:after="0"/>
              <w:rPr>
                <w:sz w:val="5"/>
                <w:szCs w:val="5"/>
                <w:color w:val="auto"/>
              </w:rPr>
            </w:pPr>
          </w:p>
        </w:tc>
        <w:tc>
          <w:tcPr>
            <w:tcW w:w="80" w:type="dxa"/>
            <w:vAlign w:val="bottom"/>
            <w:tcBorders>
              <w:right w:val="single" w:sz="8" w:color="0C479D"/>
            </w:tcBorders>
            <w:shd w:val="clear" w:color="auto" w:fill="0C479D"/>
          </w:tcPr>
          <w:p>
            <w:pPr>
              <w:spacing w:after="0"/>
              <w:rPr>
                <w:sz w:val="5"/>
                <w:szCs w:val="5"/>
                <w:color w:val="auto"/>
              </w:rPr>
            </w:pPr>
          </w:p>
        </w:tc>
        <w:tc>
          <w:tcPr>
            <w:tcW w:w="780" w:type="dxa"/>
            <w:vAlign w:val="bottom"/>
            <w:gridSpan w:val="2"/>
            <w:vMerge w:val="continue"/>
            <w:shd w:val="clear" w:color="auto" w:fill="0C479D"/>
          </w:tcPr>
          <w:p>
            <w:pPr>
              <w:spacing w:after="0"/>
              <w:rPr>
                <w:sz w:val="5"/>
                <w:szCs w:val="5"/>
                <w:color w:val="auto"/>
              </w:rPr>
            </w:pPr>
          </w:p>
        </w:tc>
        <w:tc>
          <w:tcPr>
            <w:tcW w:w="60" w:type="dxa"/>
            <w:vAlign w:val="bottom"/>
            <w:shd w:val="clear" w:color="auto" w:fill="0C479D"/>
          </w:tcPr>
          <w:p>
            <w:pPr>
              <w:spacing w:after="0"/>
              <w:rPr>
                <w:sz w:val="5"/>
                <w:szCs w:val="5"/>
                <w:color w:val="auto"/>
              </w:rPr>
            </w:pPr>
          </w:p>
        </w:tc>
        <w:tc>
          <w:tcPr>
            <w:tcW w:w="840" w:type="dxa"/>
            <w:vAlign w:val="bottom"/>
            <w:tcBorders>
              <w:right w:val="single" w:sz="8" w:color="0C479D"/>
            </w:tcBorders>
            <w:vMerge w:val="restart"/>
            <w:shd w:val="clear" w:color="auto" w:fill="0C479D"/>
          </w:tcPr>
          <w:p>
            <w:pPr>
              <w:jc w:val="right"/>
              <w:ind w:right="136"/>
              <w:spacing w:after="0"/>
              <w:rPr>
                <w:sz w:val="20"/>
                <w:szCs w:val="20"/>
                <w:color w:val="auto"/>
              </w:rPr>
            </w:pPr>
            <w:r>
              <w:rPr>
                <w:rFonts w:ascii="Times New Roman" w:cs="Times New Roman" w:eastAsia="Times New Roman" w:hAnsi="Times New Roman"/>
                <w:sz w:val="14"/>
                <w:szCs w:val="14"/>
                <w:b w:val="1"/>
                <w:bCs w:val="1"/>
                <w:color w:val="FFFFFF"/>
              </w:rPr>
              <w:t>Equity</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80" w:type="dxa"/>
            <w:vAlign w:val="bottom"/>
            <w:shd w:val="clear" w:color="auto" w:fill="0C479D"/>
          </w:tcPr>
          <w:p>
            <w:pPr>
              <w:spacing w:after="0"/>
              <w:rPr>
                <w:sz w:val="12"/>
                <w:szCs w:val="12"/>
                <w:color w:val="auto"/>
              </w:rPr>
            </w:pPr>
          </w:p>
        </w:tc>
        <w:tc>
          <w:tcPr>
            <w:tcW w:w="100" w:type="dxa"/>
            <w:vAlign w:val="bottom"/>
            <w:shd w:val="clear" w:color="auto" w:fill="0C479D"/>
          </w:tcPr>
          <w:p>
            <w:pPr>
              <w:spacing w:after="0"/>
              <w:rPr>
                <w:sz w:val="12"/>
                <w:szCs w:val="12"/>
                <w:color w:val="auto"/>
              </w:rPr>
            </w:pPr>
          </w:p>
        </w:tc>
        <w:tc>
          <w:tcPr>
            <w:tcW w:w="620" w:type="dxa"/>
            <w:vAlign w:val="bottom"/>
            <w:vMerge w:val="continue"/>
            <w:shd w:val="clear" w:color="auto" w:fill="0C479D"/>
          </w:tcPr>
          <w:p>
            <w:pPr>
              <w:spacing w:after="0"/>
              <w:rPr>
                <w:sz w:val="12"/>
                <w:szCs w:val="12"/>
                <w:color w:val="auto"/>
              </w:rPr>
            </w:pPr>
          </w:p>
        </w:tc>
        <w:tc>
          <w:tcPr>
            <w:tcW w:w="40" w:type="dxa"/>
            <w:vAlign w:val="bottom"/>
            <w:shd w:val="clear" w:color="auto" w:fill="0C479D"/>
          </w:tcPr>
          <w:p>
            <w:pPr>
              <w:spacing w:after="0"/>
              <w:rPr>
                <w:sz w:val="12"/>
                <w:szCs w:val="12"/>
                <w:color w:val="auto"/>
              </w:rPr>
            </w:pPr>
          </w:p>
        </w:tc>
        <w:tc>
          <w:tcPr>
            <w:tcW w:w="720" w:type="dxa"/>
            <w:vAlign w:val="bottom"/>
            <w:gridSpan w:val="2"/>
            <w:vMerge w:val="continue"/>
            <w:shd w:val="clear" w:color="auto" w:fill="0C479D"/>
          </w:tcPr>
          <w:p>
            <w:pPr>
              <w:spacing w:after="0"/>
              <w:rPr>
                <w:sz w:val="12"/>
                <w:szCs w:val="12"/>
                <w:color w:val="auto"/>
              </w:rPr>
            </w:pPr>
          </w:p>
        </w:tc>
        <w:tc>
          <w:tcPr>
            <w:tcW w:w="1080" w:type="dxa"/>
            <w:vAlign w:val="bottom"/>
            <w:gridSpan w:val="4"/>
            <w:vMerge w:val="continue"/>
            <w:shd w:val="clear" w:color="auto" w:fill="0C479D"/>
          </w:tcPr>
          <w:p>
            <w:pPr>
              <w:spacing w:after="0"/>
              <w:rPr>
                <w:sz w:val="12"/>
                <w:szCs w:val="12"/>
                <w:color w:val="auto"/>
              </w:rPr>
            </w:pPr>
          </w:p>
        </w:tc>
        <w:tc>
          <w:tcPr>
            <w:tcW w:w="820" w:type="dxa"/>
            <w:vAlign w:val="bottom"/>
            <w:gridSpan w:val="2"/>
            <w:shd w:val="clear" w:color="auto" w:fill="0C479D"/>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FFFFFF"/>
              </w:rPr>
              <w:t>in Treasury</w:t>
            </w:r>
          </w:p>
        </w:tc>
        <w:tc>
          <w:tcPr>
            <w:tcW w:w="800" w:type="dxa"/>
            <w:vAlign w:val="bottom"/>
            <w:gridSpan w:val="2"/>
            <w:shd w:val="clear" w:color="auto" w:fill="0C479D"/>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FFFFFF"/>
                <w:w w:val="98"/>
              </w:rPr>
              <w:t>Equity</w:t>
            </w:r>
          </w:p>
        </w:tc>
        <w:tc>
          <w:tcPr>
            <w:tcW w:w="80" w:type="dxa"/>
            <w:vAlign w:val="bottom"/>
            <w:tcBorders>
              <w:right w:val="single" w:sz="8" w:color="0C479D"/>
            </w:tcBorders>
            <w:shd w:val="clear" w:color="auto" w:fill="0C479D"/>
          </w:tcPr>
          <w:p>
            <w:pPr>
              <w:spacing w:after="0"/>
              <w:rPr>
                <w:sz w:val="12"/>
                <w:szCs w:val="12"/>
                <w:color w:val="auto"/>
              </w:rPr>
            </w:pPr>
          </w:p>
        </w:tc>
        <w:tc>
          <w:tcPr>
            <w:tcW w:w="780" w:type="dxa"/>
            <w:vAlign w:val="bottom"/>
            <w:gridSpan w:val="2"/>
            <w:shd w:val="clear" w:color="auto" w:fill="0C479D"/>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FFFFFF"/>
              </w:rPr>
              <w:t>Interests</w:t>
            </w:r>
          </w:p>
        </w:tc>
        <w:tc>
          <w:tcPr>
            <w:tcW w:w="60" w:type="dxa"/>
            <w:vAlign w:val="bottom"/>
            <w:shd w:val="clear" w:color="auto" w:fill="0C479D"/>
          </w:tcPr>
          <w:p>
            <w:pPr>
              <w:spacing w:after="0"/>
              <w:rPr>
                <w:sz w:val="12"/>
                <w:szCs w:val="12"/>
                <w:color w:val="auto"/>
              </w:rPr>
            </w:pPr>
          </w:p>
        </w:tc>
        <w:tc>
          <w:tcPr>
            <w:tcW w:w="840" w:type="dxa"/>
            <w:vAlign w:val="bottom"/>
            <w:tcBorders>
              <w:right w:val="single" w:sz="8" w:color="0C479D"/>
            </w:tcBorders>
            <w:vMerge w:val="continue"/>
            <w:shd w:val="clear" w:color="auto" w:fill="0C479D"/>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0C479D"/>
          </w:tcPr>
          <w:p>
            <w:pPr>
              <w:spacing w:after="0"/>
              <w:rPr>
                <w:sz w:val="11"/>
                <w:szCs w:val="11"/>
                <w:color w:val="auto"/>
              </w:rPr>
            </w:pPr>
          </w:p>
        </w:tc>
        <w:tc>
          <w:tcPr>
            <w:tcW w:w="100" w:type="dxa"/>
            <w:vAlign w:val="bottom"/>
            <w:shd w:val="clear" w:color="auto" w:fill="0C479D"/>
          </w:tcPr>
          <w:p>
            <w:pPr>
              <w:spacing w:after="0"/>
              <w:rPr>
                <w:sz w:val="11"/>
                <w:szCs w:val="11"/>
                <w:color w:val="auto"/>
              </w:rPr>
            </w:pPr>
          </w:p>
        </w:tc>
        <w:tc>
          <w:tcPr>
            <w:tcW w:w="620" w:type="dxa"/>
            <w:vAlign w:val="bottom"/>
            <w:shd w:val="clear" w:color="auto" w:fill="0C479D"/>
          </w:tcPr>
          <w:p>
            <w:pPr>
              <w:spacing w:after="0"/>
              <w:rPr>
                <w:sz w:val="11"/>
                <w:szCs w:val="11"/>
                <w:color w:val="auto"/>
              </w:rPr>
            </w:pPr>
          </w:p>
        </w:tc>
        <w:tc>
          <w:tcPr>
            <w:tcW w:w="40" w:type="dxa"/>
            <w:vAlign w:val="bottom"/>
            <w:shd w:val="clear" w:color="auto" w:fill="0C479D"/>
          </w:tcPr>
          <w:p>
            <w:pPr>
              <w:spacing w:after="0"/>
              <w:rPr>
                <w:sz w:val="11"/>
                <w:szCs w:val="11"/>
                <w:color w:val="auto"/>
              </w:rPr>
            </w:pPr>
          </w:p>
        </w:tc>
        <w:tc>
          <w:tcPr>
            <w:tcW w:w="300" w:type="dxa"/>
            <w:vAlign w:val="bottom"/>
            <w:shd w:val="clear" w:color="auto" w:fill="0C479D"/>
          </w:tcPr>
          <w:p>
            <w:pPr>
              <w:spacing w:after="0"/>
              <w:rPr>
                <w:sz w:val="11"/>
                <w:szCs w:val="11"/>
                <w:color w:val="auto"/>
              </w:rPr>
            </w:pPr>
          </w:p>
        </w:tc>
        <w:tc>
          <w:tcPr>
            <w:tcW w:w="420" w:type="dxa"/>
            <w:vAlign w:val="bottom"/>
            <w:shd w:val="clear" w:color="auto" w:fill="0C479D"/>
          </w:tcPr>
          <w:p>
            <w:pPr>
              <w:spacing w:after="0"/>
              <w:rPr>
                <w:sz w:val="11"/>
                <w:szCs w:val="11"/>
                <w:color w:val="auto"/>
              </w:rPr>
            </w:pPr>
          </w:p>
        </w:tc>
        <w:tc>
          <w:tcPr>
            <w:tcW w:w="300" w:type="dxa"/>
            <w:vAlign w:val="bottom"/>
            <w:shd w:val="clear" w:color="auto" w:fill="0C479D"/>
          </w:tcPr>
          <w:p>
            <w:pPr>
              <w:spacing w:after="0"/>
              <w:rPr>
                <w:sz w:val="11"/>
                <w:szCs w:val="11"/>
                <w:color w:val="auto"/>
              </w:rPr>
            </w:pPr>
          </w:p>
        </w:tc>
        <w:tc>
          <w:tcPr>
            <w:tcW w:w="780" w:type="dxa"/>
            <w:vAlign w:val="bottom"/>
            <w:gridSpan w:val="3"/>
            <w:shd w:val="clear" w:color="auto" w:fill="0C479D"/>
          </w:tcPr>
          <w:p>
            <w:pPr>
              <w:jc w:val="center"/>
              <w:ind w:right="216"/>
              <w:spacing w:after="0" w:line="122" w:lineRule="exact"/>
              <w:rPr>
                <w:sz w:val="20"/>
                <w:szCs w:val="20"/>
                <w:color w:val="auto"/>
              </w:rPr>
            </w:pPr>
            <w:r>
              <w:rPr>
                <w:rFonts w:ascii="Times New Roman" w:cs="Times New Roman" w:eastAsia="Times New Roman" w:hAnsi="Times New Roman"/>
                <w:sz w:val="14"/>
                <w:szCs w:val="14"/>
                <w:b w:val="1"/>
                <w:bCs w:val="1"/>
                <w:color w:val="FFFFFF"/>
                <w:w w:val="99"/>
              </w:rPr>
              <w:t>Income</w:t>
            </w:r>
          </w:p>
        </w:tc>
        <w:tc>
          <w:tcPr>
            <w:tcW w:w="460" w:type="dxa"/>
            <w:vAlign w:val="bottom"/>
            <w:shd w:val="clear" w:color="auto" w:fill="0C479D"/>
          </w:tcPr>
          <w:p>
            <w:pPr>
              <w:spacing w:after="0"/>
              <w:rPr>
                <w:sz w:val="11"/>
                <w:szCs w:val="11"/>
                <w:color w:val="auto"/>
              </w:rPr>
            </w:pPr>
          </w:p>
        </w:tc>
        <w:tc>
          <w:tcPr>
            <w:tcW w:w="360" w:type="dxa"/>
            <w:vAlign w:val="bottom"/>
            <w:shd w:val="clear" w:color="auto" w:fill="0C479D"/>
          </w:tcPr>
          <w:p>
            <w:pPr>
              <w:spacing w:after="0"/>
              <w:rPr>
                <w:sz w:val="11"/>
                <w:szCs w:val="11"/>
                <w:color w:val="auto"/>
              </w:rPr>
            </w:pPr>
          </w:p>
        </w:tc>
        <w:tc>
          <w:tcPr>
            <w:tcW w:w="610" w:type="dxa"/>
            <w:vAlign w:val="bottom"/>
            <w:shd w:val="clear" w:color="auto" w:fill="0C479D"/>
          </w:tcPr>
          <w:p>
            <w:pPr>
              <w:spacing w:after="0"/>
              <w:rPr>
                <w:sz w:val="11"/>
                <w:szCs w:val="11"/>
                <w:color w:val="auto"/>
              </w:rPr>
            </w:pPr>
          </w:p>
        </w:tc>
        <w:tc>
          <w:tcPr>
            <w:tcW w:w="190" w:type="dxa"/>
            <w:vAlign w:val="bottom"/>
            <w:shd w:val="clear" w:color="auto" w:fill="0C479D"/>
          </w:tcPr>
          <w:p>
            <w:pPr>
              <w:spacing w:after="0"/>
              <w:rPr>
                <w:sz w:val="11"/>
                <w:szCs w:val="11"/>
                <w:color w:val="auto"/>
              </w:rPr>
            </w:pPr>
          </w:p>
        </w:tc>
        <w:tc>
          <w:tcPr>
            <w:tcW w:w="80" w:type="dxa"/>
            <w:vAlign w:val="bottom"/>
            <w:tcBorders>
              <w:right w:val="single" w:sz="8" w:color="0C479D"/>
            </w:tcBorders>
            <w:shd w:val="clear" w:color="auto" w:fill="0C479D"/>
          </w:tcPr>
          <w:p>
            <w:pPr>
              <w:spacing w:after="0"/>
              <w:rPr>
                <w:sz w:val="11"/>
                <w:szCs w:val="11"/>
                <w:color w:val="auto"/>
              </w:rPr>
            </w:pPr>
          </w:p>
        </w:tc>
        <w:tc>
          <w:tcPr>
            <w:tcW w:w="700" w:type="dxa"/>
            <w:vAlign w:val="bottom"/>
            <w:shd w:val="clear" w:color="auto" w:fill="0C479D"/>
          </w:tcPr>
          <w:p>
            <w:pPr>
              <w:spacing w:after="0"/>
              <w:rPr>
                <w:sz w:val="11"/>
                <w:szCs w:val="11"/>
                <w:color w:val="auto"/>
              </w:rPr>
            </w:pPr>
          </w:p>
        </w:tc>
        <w:tc>
          <w:tcPr>
            <w:tcW w:w="80" w:type="dxa"/>
            <w:vAlign w:val="bottom"/>
            <w:shd w:val="clear" w:color="auto" w:fill="0C479D"/>
          </w:tcPr>
          <w:p>
            <w:pPr>
              <w:spacing w:after="0"/>
              <w:rPr>
                <w:sz w:val="11"/>
                <w:szCs w:val="11"/>
                <w:color w:val="auto"/>
              </w:rPr>
            </w:pPr>
          </w:p>
        </w:tc>
        <w:tc>
          <w:tcPr>
            <w:tcW w:w="60" w:type="dxa"/>
            <w:vAlign w:val="bottom"/>
            <w:shd w:val="clear" w:color="auto" w:fill="0C479D"/>
          </w:tcPr>
          <w:p>
            <w:pPr>
              <w:spacing w:after="0"/>
              <w:rPr>
                <w:sz w:val="11"/>
                <w:szCs w:val="11"/>
                <w:color w:val="auto"/>
              </w:rPr>
            </w:pPr>
          </w:p>
        </w:tc>
        <w:tc>
          <w:tcPr>
            <w:tcW w:w="840" w:type="dxa"/>
            <w:vAlign w:val="bottom"/>
            <w:tcBorders>
              <w:right w:val="single" w:sz="8" w:color="0C479D"/>
            </w:tcBorders>
            <w:shd w:val="clear" w:color="auto" w:fill="0C479D"/>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Balance as of December 31, 2024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46,238</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470,903</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(14,619)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(238,817)</w:t>
            </w:r>
          </w:p>
        </w:tc>
        <w:tc>
          <w:tcPr>
            <w:tcW w:w="80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7"/>
                <w:szCs w:val="17"/>
                <w:b w:val="1"/>
                <w:bCs w:val="1"/>
                <w:color w:val="auto"/>
              </w:rPr>
              <w:t>263,705</w:t>
            </w:r>
          </w:p>
        </w:tc>
        <w:tc>
          <w:tcPr>
            <w:tcW w:w="80" w:type="dxa"/>
            <w:vAlign w:val="bottom"/>
            <w:tcBorders>
              <w:right w:val="single" w:sz="8" w:color="F0F0F0"/>
            </w:tcBorders>
            <w:shd w:val="clear" w:color="auto" w:fill="F0F0F0"/>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6,901</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270,606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Amortization of stock-based awards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80" w:type="dxa"/>
            <w:vAlign w:val="bottom"/>
            <w:tcBorders>
              <w:right w:val="single" w:sz="8" w:color="F0F0F0"/>
            </w:tcBorders>
            <w:shd w:val="clear" w:color="auto" w:fill="F0F0F0"/>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right w:val="single" w:sz="8" w:color="F0F0F0"/>
            </w:tcBorders>
            <w:shd w:val="clear" w:color="auto" w:fill="F0F0F0"/>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Net income (loss) for the period</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7,713</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7"/>
                <w:szCs w:val="17"/>
                <w:color w:val="auto"/>
              </w:rPr>
              <w:t>7,713</w:t>
            </w:r>
          </w:p>
        </w:tc>
        <w:tc>
          <w:tcPr>
            <w:tcW w:w="80" w:type="dxa"/>
            <w:vAlign w:val="bottom"/>
            <w:tcBorders>
              <w:right w:val="single" w:sz="8" w:color="F0F0F0"/>
            </w:tcBorders>
            <w:shd w:val="clear" w:color="auto" w:fill="F0F0F0"/>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320</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Dividends - common shares</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(4,335)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F0F0F0"/>
            </w:tcBorders>
            <w:gridSpan w:val="3"/>
            <w:shd w:val="clear" w:color="auto" w:fill="F0F0F0"/>
          </w:tcPr>
          <w:p>
            <w:pPr>
              <w:jc w:val="right"/>
              <w:spacing w:after="0"/>
              <w:rPr>
                <w:sz w:val="20"/>
                <w:szCs w:val="20"/>
                <w:color w:val="auto"/>
              </w:rPr>
            </w:pPr>
            <w:r>
              <w:rPr>
                <w:rFonts w:ascii="Times New Roman" w:cs="Times New Roman" w:eastAsia="Times New Roman" w:hAnsi="Times New Roman"/>
                <w:sz w:val="17"/>
                <w:szCs w:val="17"/>
                <w:color w:val="auto"/>
              </w:rPr>
              <w:t>(4,335)</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80" w:type="dxa"/>
            <w:vAlign w:val="bottom"/>
            <w:tcBorders>
              <w:right w:val="single" w:sz="8" w:color="F0F0F0"/>
            </w:tcBorders>
            <w:shd w:val="clear" w:color="auto" w:fill="F0F0F0"/>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Share repurchases, at cost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(4,852)</w:t>
            </w:r>
          </w:p>
        </w:tc>
        <w:tc>
          <w:tcPr>
            <w:tcW w:w="880" w:type="dxa"/>
            <w:vAlign w:val="bottom"/>
            <w:tcBorders>
              <w:right w:val="single" w:sz="8" w:color="F0F0F0"/>
            </w:tcBorders>
            <w:gridSpan w:val="3"/>
            <w:shd w:val="clear" w:color="auto" w:fill="F0F0F0"/>
          </w:tcPr>
          <w:p>
            <w:pPr>
              <w:jc w:val="right"/>
              <w:spacing w:after="0"/>
              <w:rPr>
                <w:sz w:val="20"/>
                <w:szCs w:val="20"/>
                <w:color w:val="auto"/>
              </w:rPr>
            </w:pPr>
            <w:r>
              <w:rPr>
                <w:rFonts w:ascii="Times New Roman" w:cs="Times New Roman" w:eastAsia="Times New Roman" w:hAnsi="Times New Roman"/>
                <w:sz w:val="17"/>
                <w:szCs w:val="17"/>
                <w:color w:val="auto"/>
              </w:rPr>
              <w:t>(4,852)</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8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7"/>
                <w:szCs w:val="17"/>
                <w:color w:val="auto"/>
              </w:rPr>
              <w:t>Dispositions</w:t>
            </w:r>
          </w:p>
        </w:tc>
        <w:tc>
          <w:tcPr>
            <w:tcW w:w="100" w:type="dxa"/>
            <w:vAlign w:val="bottom"/>
            <w:tcBorders>
              <w:bottom w:val="single" w:sz="8" w:color="0C479D"/>
            </w:tcBorders>
          </w:tcPr>
          <w:p>
            <w:pPr>
              <w:spacing w:after="0"/>
              <w:rPr>
                <w:sz w:val="18"/>
                <w:szCs w:val="18"/>
                <w:color w:val="auto"/>
              </w:rPr>
            </w:pPr>
          </w:p>
        </w:tc>
        <w:tc>
          <w:tcPr>
            <w:tcW w:w="660" w:type="dxa"/>
            <w:vAlign w:val="bottom"/>
            <w:tcBorders>
              <w:bottom w:val="single" w:sz="8" w:color="0C479D"/>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0C479D"/>
            </w:tcBorders>
          </w:tcPr>
          <w:p>
            <w:pPr>
              <w:spacing w:after="0"/>
              <w:rPr>
                <w:sz w:val="18"/>
                <w:szCs w:val="18"/>
                <w:color w:val="auto"/>
              </w:rPr>
            </w:pPr>
          </w:p>
        </w:tc>
        <w:tc>
          <w:tcPr>
            <w:tcW w:w="4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0C479D"/>
            </w:tcBorders>
          </w:tcPr>
          <w:p>
            <w:pPr>
              <w:spacing w:after="0"/>
              <w:rPr>
                <w:sz w:val="18"/>
                <w:szCs w:val="18"/>
                <w:color w:val="auto"/>
              </w:rPr>
            </w:pPr>
          </w:p>
        </w:tc>
        <w:tc>
          <w:tcPr>
            <w:tcW w:w="40" w:type="dxa"/>
            <w:vAlign w:val="bottom"/>
            <w:tcBorders>
              <w:bottom w:val="single" w:sz="8" w:color="0C479D"/>
            </w:tcBorders>
          </w:tcPr>
          <w:p>
            <w:pPr>
              <w:spacing w:after="0"/>
              <w:rPr>
                <w:sz w:val="18"/>
                <w:szCs w:val="18"/>
                <w:color w:val="auto"/>
              </w:rPr>
            </w:pPr>
          </w:p>
        </w:tc>
        <w:tc>
          <w:tcPr>
            <w:tcW w:w="210" w:type="dxa"/>
            <w:vAlign w:val="bottom"/>
            <w:tcBorders>
              <w:bottom w:val="single" w:sz="8" w:color="0C479D"/>
            </w:tcBorders>
          </w:tcPr>
          <w:p>
            <w:pPr>
              <w:spacing w:after="0"/>
              <w:rPr>
                <w:sz w:val="18"/>
                <w:szCs w:val="18"/>
                <w:color w:val="auto"/>
              </w:rPr>
            </w:pPr>
          </w:p>
        </w:tc>
        <w:tc>
          <w:tcPr>
            <w:tcW w:w="53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0C479D"/>
            </w:tcBorders>
          </w:tcPr>
          <w:p>
            <w:pPr>
              <w:spacing w:after="0"/>
              <w:rPr>
                <w:sz w:val="18"/>
                <w:szCs w:val="18"/>
                <w:color w:val="auto"/>
              </w:rPr>
            </w:pPr>
          </w:p>
        </w:tc>
        <w:tc>
          <w:tcPr>
            <w:tcW w:w="3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0" w:type="dxa"/>
            <w:vAlign w:val="bottom"/>
            <w:tcBorders>
              <w:bottom w:val="single" w:sz="8" w:color="0C479D"/>
            </w:tcBorders>
            <w:gridSpan w:val="2"/>
            <w:shd w:val="clear" w:color="auto" w:fill="F0F0F0"/>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Borders>
              <w:bottom w:val="single" w:sz="8" w:color="0C479D"/>
              <w:right w:val="single" w:sz="8" w:color="F0F0F0"/>
            </w:tcBorders>
            <w:shd w:val="clear" w:color="auto" w:fill="F0F0F0"/>
          </w:tcPr>
          <w:p>
            <w:pPr>
              <w:spacing w:after="0"/>
              <w:rPr>
                <w:sz w:val="18"/>
                <w:szCs w:val="18"/>
                <w:color w:val="auto"/>
              </w:rPr>
            </w:pPr>
          </w:p>
        </w:tc>
        <w:tc>
          <w:tcPr>
            <w:tcW w:w="780" w:type="dxa"/>
            <w:vAlign w:val="bottom"/>
            <w:tcBorders>
              <w:bottom w:val="single" w:sz="8" w:color="0C479D"/>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0C479D"/>
            </w:tcBorders>
          </w:tcPr>
          <w:p>
            <w:pPr>
              <w:spacing w:after="0"/>
              <w:rPr>
                <w:sz w:val="18"/>
                <w:szCs w:val="18"/>
                <w:color w:val="auto"/>
              </w:rPr>
            </w:pP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Borders>
              <w:bottom w:val="single" w:sz="8" w:color="0C479D"/>
            </w:tcBorders>
          </w:tcPr>
          <w:p>
            <w:pPr>
              <w:ind w:left="60"/>
              <w:spacing w:after="0" w:line="183" w:lineRule="exact"/>
              <w:rPr>
                <w:sz w:val="20"/>
                <w:szCs w:val="20"/>
                <w:color w:val="auto"/>
              </w:rPr>
            </w:pPr>
            <w:r>
              <w:rPr>
                <w:rFonts w:ascii="Times New Roman" w:cs="Times New Roman" w:eastAsia="Times New Roman" w:hAnsi="Times New Roman"/>
                <w:sz w:val="17"/>
                <w:szCs w:val="17"/>
                <w:b w:val="1"/>
                <w:bCs w:val="1"/>
                <w:color w:val="auto"/>
              </w:rPr>
              <w:t>Balance as of March 31, 2025</w:t>
            </w:r>
          </w:p>
        </w:tc>
        <w:tc>
          <w:tcPr>
            <w:tcW w:w="720" w:type="dxa"/>
            <w:vAlign w:val="bottom"/>
            <w:tcBorders>
              <w:bottom w:val="single" w:sz="8" w:color="0C479D"/>
            </w:tcBorders>
            <w:gridSpan w:val="2"/>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46,426</w:t>
            </w:r>
          </w:p>
        </w:tc>
        <w:tc>
          <w:tcPr>
            <w:tcW w:w="40" w:type="dxa"/>
            <w:vAlign w:val="bottom"/>
            <w:tcBorders>
              <w:bottom w:val="single" w:sz="8" w:color="0C479D"/>
            </w:tcBorders>
          </w:tcPr>
          <w:p>
            <w:pPr>
              <w:spacing w:after="0"/>
              <w:rPr>
                <w:sz w:val="16"/>
                <w:szCs w:val="16"/>
                <w:color w:val="auto"/>
              </w:rPr>
            </w:pPr>
          </w:p>
        </w:tc>
        <w:tc>
          <w:tcPr>
            <w:tcW w:w="720" w:type="dxa"/>
            <w:vAlign w:val="bottom"/>
            <w:tcBorders>
              <w:bottom w:val="single" w:sz="8" w:color="0C479D"/>
            </w:tcBorders>
            <w:gridSpan w:val="2"/>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474,290</w:t>
            </w:r>
          </w:p>
        </w:tc>
        <w:tc>
          <w:tcPr>
            <w:tcW w:w="300" w:type="dxa"/>
            <w:vAlign w:val="bottom"/>
            <w:tcBorders>
              <w:bottom w:val="single" w:sz="8" w:color="0C479D"/>
            </w:tcBorders>
          </w:tcPr>
          <w:p>
            <w:pPr>
              <w:spacing w:after="0"/>
              <w:rPr>
                <w:sz w:val="16"/>
                <w:szCs w:val="16"/>
                <w:color w:val="auto"/>
              </w:rPr>
            </w:pPr>
          </w:p>
        </w:tc>
        <w:tc>
          <w:tcPr>
            <w:tcW w:w="40" w:type="dxa"/>
            <w:vAlign w:val="bottom"/>
            <w:tcBorders>
              <w:bottom w:val="single" w:sz="8" w:color="0C479D"/>
            </w:tcBorders>
          </w:tcPr>
          <w:p>
            <w:pPr>
              <w:spacing w:after="0"/>
              <w:rPr>
                <w:sz w:val="16"/>
                <w:szCs w:val="16"/>
                <w:color w:val="auto"/>
              </w:rPr>
            </w:pPr>
          </w:p>
        </w:tc>
        <w:tc>
          <w:tcPr>
            <w:tcW w:w="740" w:type="dxa"/>
            <w:vAlign w:val="bottom"/>
            <w:tcBorders>
              <w:bottom w:val="single" w:sz="8" w:color="0C479D"/>
            </w:tcBorders>
            <w:gridSpan w:val="2"/>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(14,338)</w:t>
            </w:r>
          </w:p>
        </w:tc>
        <w:tc>
          <w:tcPr>
            <w:tcW w:w="820" w:type="dxa"/>
            <w:vAlign w:val="bottom"/>
            <w:tcBorders>
              <w:bottom w:val="single" w:sz="8" w:color="0C479D"/>
            </w:tcBorders>
            <w:gridSpan w:val="2"/>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(243,658)</w:t>
            </w:r>
          </w:p>
        </w:tc>
        <w:tc>
          <w:tcPr>
            <w:tcW w:w="800" w:type="dxa"/>
            <w:vAlign w:val="bottom"/>
            <w:tcBorders>
              <w:bottom w:val="single" w:sz="8" w:color="0C479D"/>
            </w:tcBorders>
            <w:gridSpan w:val="2"/>
            <w:shd w:val="clear" w:color="auto" w:fill="F0F0F0"/>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262,720</w:t>
            </w:r>
          </w:p>
        </w:tc>
        <w:tc>
          <w:tcPr>
            <w:tcW w:w="80" w:type="dxa"/>
            <w:vAlign w:val="bottom"/>
            <w:tcBorders>
              <w:bottom w:val="single" w:sz="8" w:color="0C479D"/>
              <w:right w:val="single" w:sz="8" w:color="F0F0F0"/>
            </w:tcBorders>
            <w:shd w:val="clear" w:color="auto" w:fill="F0F0F0"/>
          </w:tcPr>
          <w:p>
            <w:pPr>
              <w:spacing w:after="0"/>
              <w:rPr>
                <w:sz w:val="16"/>
                <w:szCs w:val="16"/>
                <w:color w:val="auto"/>
              </w:rPr>
            </w:pPr>
          </w:p>
        </w:tc>
        <w:tc>
          <w:tcPr>
            <w:tcW w:w="780" w:type="dxa"/>
            <w:vAlign w:val="bottom"/>
            <w:tcBorders>
              <w:bottom w:val="single" w:sz="8" w:color="0C479D"/>
            </w:tcBorders>
            <w:gridSpan w:val="2"/>
          </w:tcPr>
          <w:p>
            <w:pPr>
              <w:jc w:val="right"/>
              <w:ind w:right="20"/>
              <w:spacing w:after="0" w:line="183" w:lineRule="exact"/>
              <w:rPr>
                <w:sz w:val="20"/>
                <w:szCs w:val="20"/>
                <w:color w:val="auto"/>
              </w:rPr>
            </w:pPr>
            <w:r>
              <w:rPr>
                <w:rFonts w:ascii="Times New Roman" w:cs="Times New Roman" w:eastAsia="Times New Roman" w:hAnsi="Times New Roman"/>
                <w:sz w:val="17"/>
                <w:szCs w:val="17"/>
                <w:b w:val="1"/>
                <w:bCs w:val="1"/>
                <w:color w:val="auto"/>
              </w:rPr>
              <w:t>7,086</w:t>
            </w:r>
          </w:p>
        </w:tc>
        <w:tc>
          <w:tcPr>
            <w:tcW w:w="60" w:type="dxa"/>
            <w:vAlign w:val="bottom"/>
            <w:tcBorders>
              <w:bottom w:val="single" w:sz="8" w:color="0C479D"/>
            </w:tcBorders>
          </w:tcPr>
          <w:p>
            <w:pPr>
              <w:spacing w:after="0"/>
              <w:rPr>
                <w:sz w:val="16"/>
                <w:szCs w:val="16"/>
                <w:color w:val="auto"/>
              </w:rPr>
            </w:pPr>
          </w:p>
        </w:tc>
        <w:tc>
          <w:tcPr>
            <w:tcW w:w="840" w:type="dxa"/>
            <w:vAlign w:val="bottom"/>
            <w:tcBorders>
              <w:bottom w:val="single" w:sz="8" w:color="0C479D"/>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269,806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Balance as of December 31, 2025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46,150</w:t>
            </w:r>
          </w:p>
        </w:tc>
        <w:tc>
          <w:tcPr>
            <w:tcW w:w="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482,494</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(10,863)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(258,395)</w:t>
            </w:r>
          </w:p>
        </w:tc>
        <w:tc>
          <w:tcPr>
            <w:tcW w:w="80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7"/>
                <w:szCs w:val="17"/>
                <w:b w:val="1"/>
                <w:bCs w:val="1"/>
                <w:color w:val="auto"/>
              </w:rPr>
              <w:t>259,386</w:t>
            </w:r>
          </w:p>
        </w:tc>
        <w:tc>
          <w:tcPr>
            <w:tcW w:w="80" w:type="dxa"/>
            <w:vAlign w:val="bottom"/>
            <w:tcBorders>
              <w:right w:val="single" w:sz="8" w:color="F0F0F0"/>
            </w:tcBorders>
            <w:shd w:val="clear" w:color="auto" w:fill="F0F0F0"/>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7,240</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266,626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Amortization of stock-based awards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80" w:type="dxa"/>
            <w:vAlign w:val="bottom"/>
            <w:tcBorders>
              <w:right w:val="single" w:sz="8" w:color="F0F0F0"/>
            </w:tcBorders>
            <w:shd w:val="clear" w:color="auto" w:fill="F0F0F0"/>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F0F0F0"/>
            </w:tcBorders>
            <w:gridSpan w:val="3"/>
            <w:shd w:val="clear" w:color="auto" w:fill="F0F0F0"/>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Net income (loss) for the period</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4,183</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7"/>
                <w:szCs w:val="17"/>
                <w:color w:val="auto"/>
              </w:rPr>
              <w:t>4,183</w:t>
            </w:r>
          </w:p>
        </w:tc>
        <w:tc>
          <w:tcPr>
            <w:tcW w:w="80" w:type="dxa"/>
            <w:vAlign w:val="bottom"/>
            <w:tcBorders>
              <w:right w:val="single" w:sz="8" w:color="F0F0F0"/>
            </w:tcBorders>
            <w:shd w:val="clear" w:color="auto" w:fill="F0F0F0"/>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289</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Dividends - common shares</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(4,334)</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F0F0F0"/>
            </w:tcBorders>
            <w:gridSpan w:val="3"/>
            <w:shd w:val="clear" w:color="auto" w:fill="F0F0F0"/>
          </w:tcPr>
          <w:p>
            <w:pPr>
              <w:jc w:val="right"/>
              <w:spacing w:after="0"/>
              <w:rPr>
                <w:sz w:val="20"/>
                <w:szCs w:val="20"/>
                <w:color w:val="auto"/>
              </w:rPr>
            </w:pPr>
            <w:r>
              <w:rPr>
                <w:rFonts w:ascii="Times New Roman" w:cs="Times New Roman" w:eastAsia="Times New Roman" w:hAnsi="Times New Roman"/>
                <w:sz w:val="17"/>
                <w:szCs w:val="17"/>
                <w:color w:val="auto"/>
              </w:rPr>
              <w:t>(4,334)</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F0F0F0"/>
            </w:tcBorders>
            <w:gridSpan w:val="3"/>
            <w:shd w:val="clear" w:color="auto" w:fill="F0F0F0"/>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Share repurchases, at cost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(4,917)</w:t>
            </w:r>
          </w:p>
        </w:tc>
        <w:tc>
          <w:tcPr>
            <w:tcW w:w="880" w:type="dxa"/>
            <w:vAlign w:val="bottom"/>
            <w:tcBorders>
              <w:right w:val="single" w:sz="8" w:color="F0F0F0"/>
            </w:tcBorders>
            <w:gridSpan w:val="3"/>
            <w:shd w:val="clear" w:color="auto" w:fill="F0F0F0"/>
          </w:tcPr>
          <w:p>
            <w:pPr>
              <w:jc w:val="right"/>
              <w:spacing w:after="0"/>
              <w:rPr>
                <w:sz w:val="20"/>
                <w:szCs w:val="20"/>
                <w:color w:val="auto"/>
              </w:rPr>
            </w:pPr>
            <w:r>
              <w:rPr>
                <w:rFonts w:ascii="Times New Roman" w:cs="Times New Roman" w:eastAsia="Times New Roman" w:hAnsi="Times New Roman"/>
                <w:sz w:val="17"/>
                <w:szCs w:val="17"/>
                <w:color w:val="auto"/>
              </w:rPr>
              <w:t>(4,917)</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highlight w:val="white"/>
              </w:rPr>
              <w:t>—</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rPr>
              <w:t>(4,917)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8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7"/>
                <w:szCs w:val="17"/>
                <w:color w:val="auto"/>
              </w:rPr>
              <w:t>Dispositions</w:t>
            </w:r>
          </w:p>
        </w:tc>
        <w:tc>
          <w:tcPr>
            <w:tcW w:w="100" w:type="dxa"/>
            <w:vAlign w:val="bottom"/>
            <w:tcBorders>
              <w:bottom w:val="single" w:sz="8" w:color="0C479D"/>
            </w:tcBorders>
          </w:tcPr>
          <w:p>
            <w:pPr>
              <w:spacing w:after="0"/>
              <w:rPr>
                <w:sz w:val="18"/>
                <w:szCs w:val="18"/>
                <w:color w:val="auto"/>
              </w:rPr>
            </w:pPr>
          </w:p>
        </w:tc>
        <w:tc>
          <w:tcPr>
            <w:tcW w:w="660" w:type="dxa"/>
            <w:vAlign w:val="bottom"/>
            <w:tcBorders>
              <w:bottom w:val="single" w:sz="8" w:color="0C479D"/>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0C479D"/>
            </w:tcBorders>
          </w:tcPr>
          <w:p>
            <w:pPr>
              <w:spacing w:after="0"/>
              <w:rPr>
                <w:sz w:val="18"/>
                <w:szCs w:val="18"/>
                <w:color w:val="auto"/>
              </w:rPr>
            </w:pPr>
          </w:p>
        </w:tc>
        <w:tc>
          <w:tcPr>
            <w:tcW w:w="4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0C479D"/>
            </w:tcBorders>
          </w:tcPr>
          <w:p>
            <w:pPr>
              <w:spacing w:after="0"/>
              <w:rPr>
                <w:sz w:val="18"/>
                <w:szCs w:val="18"/>
                <w:color w:val="auto"/>
              </w:rPr>
            </w:pPr>
          </w:p>
        </w:tc>
        <w:tc>
          <w:tcPr>
            <w:tcW w:w="40" w:type="dxa"/>
            <w:vAlign w:val="bottom"/>
            <w:tcBorders>
              <w:bottom w:val="single" w:sz="8" w:color="0C479D"/>
            </w:tcBorders>
          </w:tcPr>
          <w:p>
            <w:pPr>
              <w:spacing w:after="0"/>
              <w:rPr>
                <w:sz w:val="18"/>
                <w:szCs w:val="18"/>
                <w:color w:val="auto"/>
              </w:rPr>
            </w:pPr>
          </w:p>
        </w:tc>
        <w:tc>
          <w:tcPr>
            <w:tcW w:w="210" w:type="dxa"/>
            <w:vAlign w:val="bottom"/>
            <w:tcBorders>
              <w:bottom w:val="single" w:sz="8" w:color="0C479D"/>
            </w:tcBorders>
          </w:tcPr>
          <w:p>
            <w:pPr>
              <w:spacing w:after="0"/>
              <w:rPr>
                <w:sz w:val="18"/>
                <w:szCs w:val="18"/>
                <w:color w:val="auto"/>
              </w:rPr>
            </w:pPr>
          </w:p>
        </w:tc>
        <w:tc>
          <w:tcPr>
            <w:tcW w:w="53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0C479D"/>
            </w:tcBorders>
          </w:tcPr>
          <w:p>
            <w:pPr>
              <w:spacing w:after="0"/>
              <w:rPr>
                <w:sz w:val="18"/>
                <w:szCs w:val="18"/>
                <w:color w:val="auto"/>
              </w:rPr>
            </w:pPr>
          </w:p>
        </w:tc>
        <w:tc>
          <w:tcPr>
            <w:tcW w:w="3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0" w:type="dxa"/>
            <w:vAlign w:val="bottom"/>
            <w:tcBorders>
              <w:bottom w:val="single" w:sz="8" w:color="0C479D"/>
            </w:tcBorders>
            <w:gridSpan w:val="2"/>
            <w:shd w:val="clear" w:color="auto" w:fill="F0F0F0"/>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Borders>
              <w:bottom w:val="single" w:sz="8" w:color="0C479D"/>
              <w:right w:val="single" w:sz="8" w:color="F0F0F0"/>
            </w:tcBorders>
            <w:shd w:val="clear" w:color="auto" w:fill="F0F0F0"/>
          </w:tcPr>
          <w:p>
            <w:pPr>
              <w:spacing w:after="0"/>
              <w:rPr>
                <w:sz w:val="18"/>
                <w:szCs w:val="18"/>
                <w:color w:val="auto"/>
              </w:rPr>
            </w:pPr>
          </w:p>
        </w:tc>
        <w:tc>
          <w:tcPr>
            <w:tcW w:w="780" w:type="dxa"/>
            <w:vAlign w:val="bottom"/>
            <w:tcBorders>
              <w:bottom w:val="single" w:sz="8" w:color="0C479D"/>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0C479D"/>
            </w:tcBorders>
          </w:tcPr>
          <w:p>
            <w:pPr>
              <w:spacing w:after="0"/>
              <w:rPr>
                <w:sz w:val="18"/>
                <w:szCs w:val="18"/>
                <w:color w:val="auto"/>
              </w:rPr>
            </w:pP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Borders>
              <w:bottom w:val="single" w:sz="8" w:color="0C479D"/>
            </w:tcBorders>
          </w:tcPr>
          <w:p>
            <w:pPr>
              <w:ind w:left="60"/>
              <w:spacing w:after="0" w:line="183" w:lineRule="exact"/>
              <w:rPr>
                <w:sz w:val="20"/>
                <w:szCs w:val="20"/>
                <w:color w:val="auto"/>
              </w:rPr>
            </w:pPr>
            <w:r>
              <w:rPr>
                <w:rFonts w:ascii="Times New Roman" w:cs="Times New Roman" w:eastAsia="Times New Roman" w:hAnsi="Times New Roman"/>
                <w:sz w:val="17"/>
                <w:szCs w:val="17"/>
                <w:b w:val="1"/>
                <w:bCs w:val="1"/>
                <w:color w:val="auto"/>
              </w:rPr>
              <w:t>Balance as of March 31, 2026</w:t>
            </w:r>
          </w:p>
        </w:tc>
        <w:tc>
          <w:tcPr>
            <w:tcW w:w="720" w:type="dxa"/>
            <w:vAlign w:val="bottom"/>
            <w:tcBorders>
              <w:bottom w:val="single" w:sz="8" w:color="0C479D"/>
            </w:tcBorders>
            <w:gridSpan w:val="2"/>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46,426</w:t>
            </w:r>
          </w:p>
        </w:tc>
        <w:tc>
          <w:tcPr>
            <w:tcW w:w="40" w:type="dxa"/>
            <w:vAlign w:val="bottom"/>
            <w:tcBorders>
              <w:bottom w:val="single" w:sz="8" w:color="0C479D"/>
            </w:tcBorders>
          </w:tcPr>
          <w:p>
            <w:pPr>
              <w:spacing w:after="0"/>
              <w:rPr>
                <w:sz w:val="16"/>
                <w:szCs w:val="16"/>
                <w:color w:val="auto"/>
              </w:rPr>
            </w:pPr>
          </w:p>
        </w:tc>
        <w:tc>
          <w:tcPr>
            <w:tcW w:w="720" w:type="dxa"/>
            <w:vAlign w:val="bottom"/>
            <w:tcBorders>
              <w:bottom w:val="single" w:sz="8" w:color="0C479D"/>
            </w:tcBorders>
            <w:gridSpan w:val="2"/>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482,344</w:t>
            </w:r>
          </w:p>
        </w:tc>
        <w:tc>
          <w:tcPr>
            <w:tcW w:w="300" w:type="dxa"/>
            <w:vAlign w:val="bottom"/>
            <w:tcBorders>
              <w:bottom w:val="single" w:sz="8" w:color="0C479D"/>
            </w:tcBorders>
          </w:tcPr>
          <w:p>
            <w:pPr>
              <w:spacing w:after="0"/>
              <w:rPr>
                <w:sz w:val="16"/>
                <w:szCs w:val="16"/>
                <w:color w:val="auto"/>
              </w:rPr>
            </w:pPr>
          </w:p>
        </w:tc>
        <w:tc>
          <w:tcPr>
            <w:tcW w:w="40" w:type="dxa"/>
            <w:vAlign w:val="bottom"/>
            <w:tcBorders>
              <w:bottom w:val="single" w:sz="8" w:color="0C479D"/>
            </w:tcBorders>
          </w:tcPr>
          <w:p>
            <w:pPr>
              <w:spacing w:after="0"/>
              <w:rPr>
                <w:sz w:val="16"/>
                <w:szCs w:val="16"/>
                <w:color w:val="auto"/>
              </w:rPr>
            </w:pPr>
          </w:p>
        </w:tc>
        <w:tc>
          <w:tcPr>
            <w:tcW w:w="740" w:type="dxa"/>
            <w:vAlign w:val="bottom"/>
            <w:tcBorders>
              <w:bottom w:val="single" w:sz="8" w:color="0C479D"/>
            </w:tcBorders>
            <w:gridSpan w:val="2"/>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(11,098)</w:t>
            </w:r>
          </w:p>
        </w:tc>
        <w:tc>
          <w:tcPr>
            <w:tcW w:w="820" w:type="dxa"/>
            <w:vAlign w:val="bottom"/>
            <w:tcBorders>
              <w:bottom w:val="single" w:sz="8" w:color="0C479D"/>
            </w:tcBorders>
            <w:gridSpan w:val="2"/>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(263,291)</w:t>
            </w:r>
          </w:p>
        </w:tc>
        <w:tc>
          <w:tcPr>
            <w:tcW w:w="800" w:type="dxa"/>
            <w:vAlign w:val="bottom"/>
            <w:tcBorders>
              <w:bottom w:val="single" w:sz="8" w:color="0C479D"/>
            </w:tcBorders>
            <w:gridSpan w:val="2"/>
            <w:shd w:val="clear" w:color="auto" w:fill="F0F0F0"/>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254,381</w:t>
            </w:r>
          </w:p>
        </w:tc>
        <w:tc>
          <w:tcPr>
            <w:tcW w:w="80" w:type="dxa"/>
            <w:vAlign w:val="bottom"/>
            <w:tcBorders>
              <w:bottom w:val="single" w:sz="8" w:color="0C479D"/>
              <w:right w:val="single" w:sz="8" w:color="F0F0F0"/>
            </w:tcBorders>
            <w:shd w:val="clear" w:color="auto" w:fill="F0F0F0"/>
          </w:tcPr>
          <w:p>
            <w:pPr>
              <w:spacing w:after="0"/>
              <w:rPr>
                <w:sz w:val="16"/>
                <w:szCs w:val="16"/>
                <w:color w:val="auto"/>
              </w:rPr>
            </w:pPr>
          </w:p>
        </w:tc>
        <w:tc>
          <w:tcPr>
            <w:tcW w:w="780" w:type="dxa"/>
            <w:vAlign w:val="bottom"/>
            <w:tcBorders>
              <w:bottom w:val="single" w:sz="8" w:color="0C479D"/>
            </w:tcBorders>
            <w:gridSpan w:val="2"/>
          </w:tcPr>
          <w:p>
            <w:pPr>
              <w:jc w:val="right"/>
              <w:ind w:right="20"/>
              <w:spacing w:after="0" w:line="183" w:lineRule="exact"/>
              <w:rPr>
                <w:sz w:val="20"/>
                <w:szCs w:val="20"/>
                <w:color w:val="auto"/>
              </w:rPr>
            </w:pPr>
            <w:r>
              <w:rPr>
                <w:rFonts w:ascii="Times New Roman" w:cs="Times New Roman" w:eastAsia="Times New Roman" w:hAnsi="Times New Roman"/>
                <w:sz w:val="17"/>
                <w:szCs w:val="17"/>
                <w:b w:val="1"/>
                <w:bCs w:val="1"/>
                <w:color w:val="auto"/>
              </w:rPr>
              <w:t>6,615</w:t>
            </w:r>
          </w:p>
        </w:tc>
        <w:tc>
          <w:tcPr>
            <w:tcW w:w="60" w:type="dxa"/>
            <w:vAlign w:val="bottom"/>
            <w:tcBorders>
              <w:bottom w:val="single" w:sz="8" w:color="0C479D"/>
            </w:tcBorders>
          </w:tcPr>
          <w:p>
            <w:pPr>
              <w:spacing w:after="0"/>
              <w:rPr>
                <w:sz w:val="16"/>
                <w:szCs w:val="16"/>
                <w:color w:val="auto"/>
              </w:rPr>
            </w:pPr>
          </w:p>
        </w:tc>
        <w:tc>
          <w:tcPr>
            <w:tcW w:w="840" w:type="dxa"/>
            <w:vAlign w:val="bottom"/>
            <w:tcBorders>
              <w:bottom w:val="single" w:sz="8" w:color="0C479D"/>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260,996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0C479D"/>
              </w:rPr>
              <w:t>Three Months Ended March 31, 2026</w:t>
            </w:r>
          </w:p>
        </w:tc>
        <w:tc>
          <w:tcPr>
            <w:tcW w:w="29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0C479D"/>
              </w:rPr>
              <w:t>Three Months Ended March 31,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0C479D"/>
          </w:tcPr>
          <w:p>
            <w:pPr>
              <w:spacing w:after="0"/>
              <w:rPr>
                <w:sz w:val="14"/>
                <w:szCs w:val="14"/>
                <w:color w:val="auto"/>
              </w:rPr>
            </w:pPr>
          </w:p>
        </w:tc>
        <w:tc>
          <w:tcPr>
            <w:tcW w:w="3280" w:type="dxa"/>
            <w:vAlign w:val="bottom"/>
            <w:shd w:val="clear" w:color="auto" w:fill="0C479D"/>
          </w:tcPr>
          <w:p>
            <w:pPr>
              <w:ind w:left="60"/>
              <w:spacing w:after="0"/>
              <w:rPr>
                <w:sz w:val="20"/>
                <w:szCs w:val="20"/>
                <w:color w:val="auto"/>
              </w:rPr>
            </w:pPr>
            <w:r>
              <w:rPr>
                <w:rFonts w:ascii="Times New Roman" w:cs="Times New Roman" w:eastAsia="Times New Roman" w:hAnsi="Times New Roman"/>
                <w:sz w:val="14"/>
                <w:szCs w:val="14"/>
                <w:b w:val="1"/>
                <w:bCs w:val="1"/>
                <w:color w:val="FFFFFF"/>
              </w:rPr>
              <w:t>Common Stock Share Activity</w:t>
            </w:r>
          </w:p>
        </w:tc>
        <w:tc>
          <w:tcPr>
            <w:tcW w:w="100" w:type="dxa"/>
            <w:vAlign w:val="bottom"/>
            <w:shd w:val="clear" w:color="auto" w:fill="0C479D"/>
          </w:tcPr>
          <w:p>
            <w:pPr>
              <w:spacing w:after="0"/>
              <w:rPr>
                <w:sz w:val="14"/>
                <w:szCs w:val="14"/>
                <w:color w:val="auto"/>
              </w:rPr>
            </w:pPr>
          </w:p>
        </w:tc>
        <w:tc>
          <w:tcPr>
            <w:tcW w:w="660" w:type="dxa"/>
            <w:vAlign w:val="bottom"/>
            <w:gridSpan w:val="2"/>
            <w:vMerge w:val="restart"/>
            <w:shd w:val="clear" w:color="auto" w:fill="0C479D"/>
          </w:tcPr>
          <w:p>
            <w:pPr>
              <w:ind w:left="280"/>
              <w:spacing w:after="0"/>
              <w:rPr>
                <w:sz w:val="20"/>
                <w:szCs w:val="20"/>
                <w:color w:val="auto"/>
              </w:rPr>
            </w:pPr>
            <w:r>
              <w:rPr>
                <w:rFonts w:ascii="Times New Roman" w:cs="Times New Roman" w:eastAsia="Times New Roman" w:hAnsi="Times New Roman"/>
                <w:sz w:val="14"/>
                <w:szCs w:val="14"/>
                <w:b w:val="1"/>
                <w:bCs w:val="1"/>
                <w:color w:val="FFFFFF"/>
                <w:w w:val="94"/>
              </w:rPr>
              <w:t>Issued</w:t>
            </w:r>
          </w:p>
        </w:tc>
        <w:tc>
          <w:tcPr>
            <w:tcW w:w="300" w:type="dxa"/>
            <w:vAlign w:val="bottom"/>
            <w:shd w:val="clear" w:color="auto" w:fill="0C479D"/>
          </w:tcPr>
          <w:p>
            <w:pPr>
              <w:spacing w:after="0"/>
              <w:rPr>
                <w:sz w:val="14"/>
                <w:szCs w:val="14"/>
                <w:color w:val="auto"/>
              </w:rPr>
            </w:pPr>
          </w:p>
        </w:tc>
        <w:tc>
          <w:tcPr>
            <w:tcW w:w="720" w:type="dxa"/>
            <w:vAlign w:val="bottom"/>
            <w:gridSpan w:val="2"/>
            <w:shd w:val="clear" w:color="auto" w:fill="0C479D"/>
          </w:tcPr>
          <w:p>
            <w:pPr>
              <w:jc w:val="center"/>
              <w:ind w:left="157"/>
              <w:spacing w:after="0"/>
              <w:rPr>
                <w:sz w:val="20"/>
                <w:szCs w:val="20"/>
                <w:color w:val="auto"/>
              </w:rPr>
            </w:pPr>
            <w:r>
              <w:rPr>
                <w:rFonts w:ascii="Times New Roman" w:cs="Times New Roman" w:eastAsia="Times New Roman" w:hAnsi="Times New Roman"/>
                <w:sz w:val="14"/>
                <w:szCs w:val="14"/>
                <w:b w:val="1"/>
                <w:bCs w:val="1"/>
                <w:color w:val="FFFFFF"/>
                <w:w w:val="99"/>
              </w:rPr>
              <w:t>Held in</w:t>
            </w:r>
          </w:p>
        </w:tc>
        <w:tc>
          <w:tcPr>
            <w:tcW w:w="40" w:type="dxa"/>
            <w:vAlign w:val="bottom"/>
            <w:shd w:val="clear" w:color="auto" w:fill="0C479D"/>
          </w:tcPr>
          <w:p>
            <w:pPr>
              <w:spacing w:after="0"/>
              <w:rPr>
                <w:sz w:val="14"/>
                <w:szCs w:val="14"/>
                <w:color w:val="auto"/>
              </w:rPr>
            </w:pPr>
          </w:p>
        </w:tc>
        <w:tc>
          <w:tcPr>
            <w:tcW w:w="210" w:type="dxa"/>
            <w:vAlign w:val="bottom"/>
            <w:shd w:val="clear" w:color="auto" w:fill="0C479D"/>
          </w:tcPr>
          <w:p>
            <w:pPr>
              <w:spacing w:after="0"/>
              <w:rPr>
                <w:sz w:val="14"/>
                <w:szCs w:val="14"/>
                <w:color w:val="auto"/>
              </w:rPr>
            </w:pPr>
          </w:p>
        </w:tc>
        <w:tc>
          <w:tcPr>
            <w:tcW w:w="990" w:type="dxa"/>
            <w:vAlign w:val="bottom"/>
            <w:gridSpan w:val="2"/>
            <w:vMerge w:val="restart"/>
            <w:shd w:val="clear" w:color="auto" w:fill="0C479D"/>
          </w:tcPr>
          <w:p>
            <w:pPr>
              <w:jc w:val="right"/>
              <w:ind w:right="38"/>
              <w:spacing w:after="0"/>
              <w:rPr>
                <w:sz w:val="20"/>
                <w:szCs w:val="20"/>
                <w:color w:val="auto"/>
              </w:rPr>
            </w:pPr>
            <w:r>
              <w:rPr>
                <w:rFonts w:ascii="Times New Roman" w:cs="Times New Roman" w:eastAsia="Times New Roman" w:hAnsi="Times New Roman"/>
                <w:sz w:val="14"/>
                <w:szCs w:val="14"/>
                <w:b w:val="1"/>
                <w:bCs w:val="1"/>
                <w:color w:val="FFFFFF"/>
              </w:rPr>
              <w:t>Outstanding</w:t>
            </w:r>
          </w:p>
        </w:tc>
        <w:tc>
          <w:tcPr>
            <w:tcW w:w="970" w:type="dxa"/>
            <w:vAlign w:val="bottom"/>
            <w:gridSpan w:val="2"/>
            <w:vMerge w:val="restart"/>
            <w:shd w:val="clear" w:color="auto" w:fill="0C479D"/>
          </w:tcPr>
          <w:p>
            <w:pPr>
              <w:jc w:val="right"/>
              <w:ind w:right="206"/>
              <w:spacing w:after="0"/>
              <w:rPr>
                <w:sz w:val="20"/>
                <w:szCs w:val="20"/>
                <w:color w:val="auto"/>
              </w:rPr>
            </w:pPr>
            <w:r>
              <w:rPr>
                <w:rFonts w:ascii="Times New Roman" w:cs="Times New Roman" w:eastAsia="Times New Roman" w:hAnsi="Times New Roman"/>
                <w:sz w:val="14"/>
                <w:szCs w:val="14"/>
                <w:b w:val="1"/>
                <w:bCs w:val="1"/>
                <w:color w:val="FFFFFF"/>
              </w:rPr>
              <w:t>Issued</w:t>
            </w:r>
          </w:p>
        </w:tc>
        <w:tc>
          <w:tcPr>
            <w:tcW w:w="190" w:type="dxa"/>
            <w:vAlign w:val="bottom"/>
            <w:shd w:val="clear" w:color="auto" w:fill="0C479D"/>
          </w:tcPr>
          <w:p>
            <w:pPr>
              <w:spacing w:after="0"/>
              <w:rPr>
                <w:sz w:val="14"/>
                <w:szCs w:val="14"/>
                <w:color w:val="auto"/>
              </w:rPr>
            </w:pPr>
          </w:p>
        </w:tc>
        <w:tc>
          <w:tcPr>
            <w:tcW w:w="80" w:type="dxa"/>
            <w:vAlign w:val="bottom"/>
            <w:tcBorders>
              <w:right w:val="single" w:sz="8" w:color="0C479D"/>
            </w:tcBorders>
            <w:shd w:val="clear" w:color="auto" w:fill="0C479D"/>
          </w:tcPr>
          <w:p>
            <w:pPr>
              <w:spacing w:after="0"/>
              <w:rPr>
                <w:sz w:val="14"/>
                <w:szCs w:val="14"/>
                <w:color w:val="auto"/>
              </w:rPr>
            </w:pPr>
          </w:p>
        </w:tc>
        <w:tc>
          <w:tcPr>
            <w:tcW w:w="700" w:type="dxa"/>
            <w:vAlign w:val="bottom"/>
            <w:shd w:val="clear" w:color="auto" w:fill="0C479D"/>
          </w:tcPr>
          <w:p>
            <w:pPr>
              <w:jc w:val="center"/>
              <w:ind w:right="177"/>
              <w:spacing w:after="0"/>
              <w:rPr>
                <w:sz w:val="20"/>
                <w:szCs w:val="20"/>
                <w:color w:val="auto"/>
              </w:rPr>
            </w:pPr>
            <w:r>
              <w:rPr>
                <w:rFonts w:ascii="Times New Roman" w:cs="Times New Roman" w:eastAsia="Times New Roman" w:hAnsi="Times New Roman"/>
                <w:sz w:val="14"/>
                <w:szCs w:val="14"/>
                <w:b w:val="1"/>
                <w:bCs w:val="1"/>
                <w:color w:val="FFFFFF"/>
                <w:w w:val="99"/>
              </w:rPr>
              <w:t>Held in</w:t>
            </w:r>
          </w:p>
        </w:tc>
        <w:tc>
          <w:tcPr>
            <w:tcW w:w="80" w:type="dxa"/>
            <w:vAlign w:val="bottom"/>
            <w:shd w:val="clear" w:color="auto" w:fill="0C479D"/>
          </w:tcPr>
          <w:p>
            <w:pPr>
              <w:spacing w:after="0"/>
              <w:rPr>
                <w:sz w:val="14"/>
                <w:szCs w:val="14"/>
                <w:color w:val="auto"/>
              </w:rPr>
            </w:pPr>
          </w:p>
        </w:tc>
        <w:tc>
          <w:tcPr>
            <w:tcW w:w="900" w:type="dxa"/>
            <w:vAlign w:val="bottom"/>
            <w:tcBorders>
              <w:right w:val="single" w:sz="8" w:color="0C479D"/>
            </w:tcBorders>
            <w:gridSpan w:val="2"/>
            <w:vMerge w:val="restart"/>
            <w:shd w:val="clear" w:color="auto" w:fill="0C479D"/>
          </w:tcPr>
          <w:p>
            <w:pPr>
              <w:jc w:val="right"/>
              <w:ind w:right="16"/>
              <w:spacing w:after="0"/>
              <w:rPr>
                <w:sz w:val="20"/>
                <w:szCs w:val="20"/>
                <w:color w:val="auto"/>
              </w:rPr>
            </w:pPr>
            <w:r>
              <w:rPr>
                <w:rFonts w:ascii="Times New Roman" w:cs="Times New Roman" w:eastAsia="Times New Roman" w:hAnsi="Times New Roman"/>
                <w:sz w:val="14"/>
                <w:szCs w:val="14"/>
                <w:b w:val="1"/>
                <w:bCs w:val="1"/>
                <w:color w:val="FFFFFF"/>
              </w:rPr>
              <w:t>Outstanding</w:t>
            </w:r>
          </w:p>
        </w:tc>
        <w:tc>
          <w:tcPr>
            <w:tcW w:w="20" w:type="dxa"/>
            <w:vAlign w:val="bottom"/>
            <w:shd w:val="clear" w:color="auto" w:fill="0C479D"/>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shd w:val="clear" w:color="auto" w:fill="0C479D"/>
          </w:tcPr>
          <w:p>
            <w:pPr>
              <w:spacing w:after="0"/>
              <w:rPr>
                <w:sz w:val="9"/>
                <w:szCs w:val="9"/>
                <w:color w:val="auto"/>
              </w:rPr>
            </w:pPr>
          </w:p>
        </w:tc>
        <w:tc>
          <w:tcPr>
            <w:tcW w:w="3280" w:type="dxa"/>
            <w:vAlign w:val="bottom"/>
            <w:vMerge w:val="restart"/>
            <w:shd w:val="clear" w:color="auto" w:fill="0C479D"/>
          </w:tcPr>
          <w:p>
            <w:pPr>
              <w:ind w:left="60"/>
              <w:spacing w:after="0"/>
              <w:rPr>
                <w:sz w:val="20"/>
                <w:szCs w:val="20"/>
                <w:color w:val="auto"/>
              </w:rPr>
            </w:pPr>
            <w:r>
              <w:rPr>
                <w:rFonts w:ascii="Times New Roman" w:cs="Times New Roman" w:eastAsia="Times New Roman" w:hAnsi="Times New Roman"/>
                <w:sz w:val="14"/>
                <w:szCs w:val="14"/>
                <w:i w:val="1"/>
                <w:iCs w:val="1"/>
                <w:color w:val="FFFFFF"/>
              </w:rPr>
              <w:t>(millions of shares)</w:t>
            </w:r>
          </w:p>
        </w:tc>
        <w:tc>
          <w:tcPr>
            <w:tcW w:w="100" w:type="dxa"/>
            <w:vAlign w:val="bottom"/>
            <w:shd w:val="clear" w:color="auto" w:fill="0C479D"/>
          </w:tcPr>
          <w:p>
            <w:pPr>
              <w:spacing w:after="0"/>
              <w:rPr>
                <w:sz w:val="9"/>
                <w:szCs w:val="9"/>
                <w:color w:val="auto"/>
              </w:rPr>
            </w:pPr>
          </w:p>
        </w:tc>
        <w:tc>
          <w:tcPr>
            <w:tcW w:w="660" w:type="dxa"/>
            <w:vAlign w:val="bottom"/>
            <w:gridSpan w:val="2"/>
            <w:vMerge w:val="continue"/>
            <w:shd w:val="clear" w:color="auto" w:fill="0C479D"/>
          </w:tcPr>
          <w:p>
            <w:pPr>
              <w:spacing w:after="0"/>
              <w:rPr>
                <w:sz w:val="9"/>
                <w:szCs w:val="9"/>
                <w:color w:val="auto"/>
              </w:rPr>
            </w:pPr>
          </w:p>
        </w:tc>
        <w:tc>
          <w:tcPr>
            <w:tcW w:w="300" w:type="dxa"/>
            <w:vAlign w:val="bottom"/>
            <w:shd w:val="clear" w:color="auto" w:fill="0C479D"/>
          </w:tcPr>
          <w:p>
            <w:pPr>
              <w:spacing w:after="0"/>
              <w:rPr>
                <w:sz w:val="9"/>
                <w:szCs w:val="9"/>
                <w:color w:val="auto"/>
              </w:rPr>
            </w:pPr>
          </w:p>
        </w:tc>
        <w:tc>
          <w:tcPr>
            <w:tcW w:w="760" w:type="dxa"/>
            <w:vAlign w:val="bottom"/>
            <w:gridSpan w:val="3"/>
            <w:vMerge w:val="restart"/>
            <w:shd w:val="clear" w:color="auto" w:fill="0C479D"/>
          </w:tcPr>
          <w:p>
            <w:pPr>
              <w:jc w:val="center"/>
              <w:ind w:left="117"/>
              <w:spacing w:after="0"/>
              <w:rPr>
                <w:sz w:val="20"/>
                <w:szCs w:val="20"/>
                <w:color w:val="auto"/>
              </w:rPr>
            </w:pPr>
            <w:r>
              <w:rPr>
                <w:rFonts w:ascii="Times New Roman" w:cs="Times New Roman" w:eastAsia="Times New Roman" w:hAnsi="Times New Roman"/>
                <w:sz w:val="14"/>
                <w:szCs w:val="14"/>
                <w:b w:val="1"/>
                <w:bCs w:val="1"/>
                <w:color w:val="FFFFFF"/>
              </w:rPr>
              <w:t>Treasury</w:t>
            </w:r>
          </w:p>
        </w:tc>
        <w:tc>
          <w:tcPr>
            <w:tcW w:w="210" w:type="dxa"/>
            <w:vAlign w:val="bottom"/>
            <w:shd w:val="clear" w:color="auto" w:fill="0C479D"/>
          </w:tcPr>
          <w:p>
            <w:pPr>
              <w:spacing w:after="0"/>
              <w:rPr>
                <w:sz w:val="9"/>
                <w:szCs w:val="9"/>
                <w:color w:val="auto"/>
              </w:rPr>
            </w:pPr>
          </w:p>
        </w:tc>
        <w:tc>
          <w:tcPr>
            <w:tcW w:w="990" w:type="dxa"/>
            <w:vAlign w:val="bottom"/>
            <w:gridSpan w:val="2"/>
            <w:vMerge w:val="continue"/>
            <w:shd w:val="clear" w:color="auto" w:fill="0C479D"/>
          </w:tcPr>
          <w:p>
            <w:pPr>
              <w:spacing w:after="0"/>
              <w:rPr>
                <w:sz w:val="9"/>
                <w:szCs w:val="9"/>
                <w:color w:val="auto"/>
              </w:rPr>
            </w:pPr>
          </w:p>
        </w:tc>
        <w:tc>
          <w:tcPr>
            <w:tcW w:w="970" w:type="dxa"/>
            <w:vAlign w:val="bottom"/>
            <w:gridSpan w:val="2"/>
            <w:vMerge w:val="continue"/>
            <w:shd w:val="clear" w:color="auto" w:fill="0C479D"/>
          </w:tcPr>
          <w:p>
            <w:pPr>
              <w:spacing w:after="0"/>
              <w:rPr>
                <w:sz w:val="9"/>
                <w:szCs w:val="9"/>
                <w:color w:val="auto"/>
              </w:rPr>
            </w:pPr>
          </w:p>
        </w:tc>
        <w:tc>
          <w:tcPr>
            <w:tcW w:w="190" w:type="dxa"/>
            <w:vAlign w:val="bottom"/>
            <w:shd w:val="clear" w:color="auto" w:fill="0C479D"/>
          </w:tcPr>
          <w:p>
            <w:pPr>
              <w:spacing w:after="0"/>
              <w:rPr>
                <w:sz w:val="9"/>
                <w:szCs w:val="9"/>
                <w:color w:val="auto"/>
              </w:rPr>
            </w:pPr>
          </w:p>
        </w:tc>
        <w:tc>
          <w:tcPr>
            <w:tcW w:w="780" w:type="dxa"/>
            <w:vAlign w:val="bottom"/>
            <w:gridSpan w:val="2"/>
            <w:vMerge w:val="restart"/>
            <w:shd w:val="clear" w:color="auto" w:fill="0C479D"/>
          </w:tcPr>
          <w:p>
            <w:pPr>
              <w:jc w:val="center"/>
              <w:ind w:right="137"/>
              <w:spacing w:after="0"/>
              <w:rPr>
                <w:sz w:val="20"/>
                <w:szCs w:val="20"/>
                <w:color w:val="auto"/>
              </w:rPr>
            </w:pPr>
            <w:r>
              <w:rPr>
                <w:rFonts w:ascii="Times New Roman" w:cs="Times New Roman" w:eastAsia="Times New Roman" w:hAnsi="Times New Roman"/>
                <w:sz w:val="14"/>
                <w:szCs w:val="14"/>
                <w:b w:val="1"/>
                <w:bCs w:val="1"/>
                <w:color w:val="FFFFFF"/>
              </w:rPr>
              <w:t>Treasury</w:t>
            </w:r>
          </w:p>
        </w:tc>
        <w:tc>
          <w:tcPr>
            <w:tcW w:w="80" w:type="dxa"/>
            <w:vAlign w:val="bottom"/>
            <w:shd w:val="clear" w:color="auto" w:fill="0C479D"/>
          </w:tcPr>
          <w:p>
            <w:pPr>
              <w:spacing w:after="0"/>
              <w:rPr>
                <w:sz w:val="9"/>
                <w:szCs w:val="9"/>
                <w:color w:val="auto"/>
              </w:rPr>
            </w:pPr>
          </w:p>
        </w:tc>
        <w:tc>
          <w:tcPr>
            <w:tcW w:w="900" w:type="dxa"/>
            <w:vAlign w:val="bottom"/>
            <w:tcBorders>
              <w:right w:val="single" w:sz="8" w:color="0C479D"/>
            </w:tcBorders>
            <w:gridSpan w:val="2"/>
            <w:vMerge w:val="continue"/>
            <w:shd w:val="clear" w:color="auto" w:fill="0C479D"/>
          </w:tcPr>
          <w:p>
            <w:pPr>
              <w:spacing w:after="0"/>
              <w:rPr>
                <w:sz w:val="9"/>
                <w:szCs w:val="9"/>
                <w:color w:val="auto"/>
              </w:rPr>
            </w:pPr>
          </w:p>
        </w:tc>
        <w:tc>
          <w:tcPr>
            <w:tcW w:w="20" w:type="dxa"/>
            <w:vAlign w:val="bottom"/>
            <w:shd w:val="clear" w:color="auto" w:fill="0C479D"/>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0C479D"/>
            </w:tcBorders>
            <w:shd w:val="clear" w:color="auto" w:fill="0C479D"/>
          </w:tcPr>
          <w:p>
            <w:pPr>
              <w:spacing w:after="0"/>
              <w:rPr>
                <w:sz w:val="7"/>
                <w:szCs w:val="7"/>
                <w:color w:val="auto"/>
              </w:rPr>
            </w:pPr>
          </w:p>
        </w:tc>
        <w:tc>
          <w:tcPr>
            <w:tcW w:w="3280" w:type="dxa"/>
            <w:vAlign w:val="bottom"/>
            <w:tcBorders>
              <w:bottom w:val="single" w:sz="8" w:color="0C479D"/>
            </w:tcBorders>
            <w:vMerge w:val="continue"/>
            <w:shd w:val="clear" w:color="auto" w:fill="0C479D"/>
          </w:tcPr>
          <w:p>
            <w:pPr>
              <w:spacing w:after="0"/>
              <w:rPr>
                <w:sz w:val="7"/>
                <w:szCs w:val="7"/>
                <w:color w:val="auto"/>
              </w:rPr>
            </w:pPr>
          </w:p>
        </w:tc>
        <w:tc>
          <w:tcPr>
            <w:tcW w:w="100" w:type="dxa"/>
            <w:vAlign w:val="bottom"/>
            <w:tcBorders>
              <w:bottom w:val="single" w:sz="8" w:color="0C479D"/>
            </w:tcBorders>
            <w:shd w:val="clear" w:color="auto" w:fill="0C479D"/>
          </w:tcPr>
          <w:p>
            <w:pPr>
              <w:spacing w:after="0"/>
              <w:rPr>
                <w:sz w:val="7"/>
                <w:szCs w:val="7"/>
                <w:color w:val="auto"/>
              </w:rPr>
            </w:pPr>
          </w:p>
        </w:tc>
        <w:tc>
          <w:tcPr>
            <w:tcW w:w="620" w:type="dxa"/>
            <w:vAlign w:val="bottom"/>
            <w:tcBorders>
              <w:bottom w:val="single" w:sz="8" w:color="0C479D"/>
            </w:tcBorders>
            <w:shd w:val="clear" w:color="auto" w:fill="0C479D"/>
          </w:tcPr>
          <w:p>
            <w:pPr>
              <w:spacing w:after="0"/>
              <w:rPr>
                <w:sz w:val="7"/>
                <w:szCs w:val="7"/>
                <w:color w:val="auto"/>
              </w:rPr>
            </w:pPr>
          </w:p>
        </w:tc>
        <w:tc>
          <w:tcPr>
            <w:tcW w:w="40" w:type="dxa"/>
            <w:vAlign w:val="bottom"/>
            <w:tcBorders>
              <w:bottom w:val="single" w:sz="8" w:color="0C479D"/>
            </w:tcBorders>
            <w:shd w:val="clear" w:color="auto" w:fill="0C479D"/>
          </w:tcPr>
          <w:p>
            <w:pPr>
              <w:spacing w:after="0"/>
              <w:rPr>
                <w:sz w:val="7"/>
                <w:szCs w:val="7"/>
                <w:color w:val="auto"/>
              </w:rPr>
            </w:pPr>
          </w:p>
        </w:tc>
        <w:tc>
          <w:tcPr>
            <w:tcW w:w="300" w:type="dxa"/>
            <w:vAlign w:val="bottom"/>
            <w:tcBorders>
              <w:bottom w:val="single" w:sz="8" w:color="0C479D"/>
            </w:tcBorders>
            <w:shd w:val="clear" w:color="auto" w:fill="0C479D"/>
          </w:tcPr>
          <w:p>
            <w:pPr>
              <w:spacing w:after="0"/>
              <w:rPr>
                <w:sz w:val="7"/>
                <w:szCs w:val="7"/>
                <w:color w:val="auto"/>
              </w:rPr>
            </w:pPr>
          </w:p>
        </w:tc>
        <w:tc>
          <w:tcPr>
            <w:tcW w:w="760" w:type="dxa"/>
            <w:vAlign w:val="bottom"/>
            <w:tcBorders>
              <w:bottom w:val="single" w:sz="8" w:color="0C479D"/>
            </w:tcBorders>
            <w:gridSpan w:val="3"/>
            <w:vMerge w:val="continue"/>
            <w:shd w:val="clear" w:color="auto" w:fill="0C479D"/>
          </w:tcPr>
          <w:p>
            <w:pPr>
              <w:spacing w:after="0"/>
              <w:rPr>
                <w:sz w:val="7"/>
                <w:szCs w:val="7"/>
                <w:color w:val="auto"/>
              </w:rPr>
            </w:pPr>
          </w:p>
        </w:tc>
        <w:tc>
          <w:tcPr>
            <w:tcW w:w="210" w:type="dxa"/>
            <w:vAlign w:val="bottom"/>
            <w:tcBorders>
              <w:bottom w:val="single" w:sz="8" w:color="0C479D"/>
            </w:tcBorders>
            <w:shd w:val="clear" w:color="auto" w:fill="0C479D"/>
          </w:tcPr>
          <w:p>
            <w:pPr>
              <w:spacing w:after="0"/>
              <w:rPr>
                <w:sz w:val="7"/>
                <w:szCs w:val="7"/>
                <w:color w:val="auto"/>
              </w:rPr>
            </w:pPr>
          </w:p>
        </w:tc>
        <w:tc>
          <w:tcPr>
            <w:tcW w:w="530" w:type="dxa"/>
            <w:vAlign w:val="bottom"/>
            <w:tcBorders>
              <w:bottom w:val="single" w:sz="8" w:color="0C479D"/>
            </w:tcBorders>
            <w:shd w:val="clear" w:color="auto" w:fill="0C479D"/>
          </w:tcPr>
          <w:p>
            <w:pPr>
              <w:spacing w:after="0"/>
              <w:rPr>
                <w:sz w:val="7"/>
                <w:szCs w:val="7"/>
                <w:color w:val="auto"/>
              </w:rPr>
            </w:pPr>
          </w:p>
        </w:tc>
        <w:tc>
          <w:tcPr>
            <w:tcW w:w="460" w:type="dxa"/>
            <w:vAlign w:val="bottom"/>
            <w:tcBorders>
              <w:bottom w:val="single" w:sz="8" w:color="0C479D"/>
            </w:tcBorders>
            <w:shd w:val="clear" w:color="auto" w:fill="0C479D"/>
          </w:tcPr>
          <w:p>
            <w:pPr>
              <w:spacing w:after="0"/>
              <w:rPr>
                <w:sz w:val="7"/>
                <w:szCs w:val="7"/>
                <w:color w:val="auto"/>
              </w:rPr>
            </w:pPr>
          </w:p>
        </w:tc>
        <w:tc>
          <w:tcPr>
            <w:tcW w:w="360" w:type="dxa"/>
            <w:vAlign w:val="bottom"/>
            <w:tcBorders>
              <w:bottom w:val="single" w:sz="8" w:color="0C479D"/>
            </w:tcBorders>
            <w:shd w:val="clear" w:color="auto" w:fill="0C479D"/>
          </w:tcPr>
          <w:p>
            <w:pPr>
              <w:spacing w:after="0"/>
              <w:rPr>
                <w:sz w:val="7"/>
                <w:szCs w:val="7"/>
                <w:color w:val="auto"/>
              </w:rPr>
            </w:pPr>
          </w:p>
        </w:tc>
        <w:tc>
          <w:tcPr>
            <w:tcW w:w="610" w:type="dxa"/>
            <w:vAlign w:val="bottom"/>
            <w:tcBorders>
              <w:bottom w:val="single" w:sz="8" w:color="0C479D"/>
            </w:tcBorders>
            <w:shd w:val="clear" w:color="auto" w:fill="0C479D"/>
          </w:tcPr>
          <w:p>
            <w:pPr>
              <w:spacing w:after="0"/>
              <w:rPr>
                <w:sz w:val="7"/>
                <w:szCs w:val="7"/>
                <w:color w:val="auto"/>
              </w:rPr>
            </w:pPr>
          </w:p>
        </w:tc>
        <w:tc>
          <w:tcPr>
            <w:tcW w:w="190" w:type="dxa"/>
            <w:vAlign w:val="bottom"/>
            <w:tcBorders>
              <w:bottom w:val="single" w:sz="8" w:color="0C479D"/>
            </w:tcBorders>
            <w:shd w:val="clear" w:color="auto" w:fill="0C479D"/>
          </w:tcPr>
          <w:p>
            <w:pPr>
              <w:spacing w:after="0"/>
              <w:rPr>
                <w:sz w:val="7"/>
                <w:szCs w:val="7"/>
                <w:color w:val="auto"/>
              </w:rPr>
            </w:pPr>
          </w:p>
        </w:tc>
        <w:tc>
          <w:tcPr>
            <w:tcW w:w="780" w:type="dxa"/>
            <w:vAlign w:val="bottom"/>
            <w:tcBorders>
              <w:bottom w:val="single" w:sz="8" w:color="0C479D"/>
            </w:tcBorders>
            <w:gridSpan w:val="2"/>
            <w:vMerge w:val="continue"/>
            <w:shd w:val="clear" w:color="auto" w:fill="0C479D"/>
          </w:tcPr>
          <w:p>
            <w:pPr>
              <w:spacing w:after="0"/>
              <w:rPr>
                <w:sz w:val="7"/>
                <w:szCs w:val="7"/>
                <w:color w:val="auto"/>
              </w:rPr>
            </w:pPr>
          </w:p>
        </w:tc>
        <w:tc>
          <w:tcPr>
            <w:tcW w:w="80" w:type="dxa"/>
            <w:vAlign w:val="bottom"/>
            <w:tcBorders>
              <w:bottom w:val="single" w:sz="8" w:color="0C479D"/>
            </w:tcBorders>
            <w:shd w:val="clear" w:color="auto" w:fill="0C479D"/>
          </w:tcPr>
          <w:p>
            <w:pPr>
              <w:spacing w:after="0"/>
              <w:rPr>
                <w:sz w:val="7"/>
                <w:szCs w:val="7"/>
                <w:color w:val="auto"/>
              </w:rPr>
            </w:pPr>
          </w:p>
        </w:tc>
        <w:tc>
          <w:tcPr>
            <w:tcW w:w="60" w:type="dxa"/>
            <w:vAlign w:val="bottom"/>
            <w:tcBorders>
              <w:bottom w:val="single" w:sz="8" w:color="0C479D"/>
            </w:tcBorders>
            <w:shd w:val="clear" w:color="auto" w:fill="0C479D"/>
          </w:tcPr>
          <w:p>
            <w:pPr>
              <w:spacing w:after="0"/>
              <w:rPr>
                <w:sz w:val="7"/>
                <w:szCs w:val="7"/>
                <w:color w:val="auto"/>
              </w:rPr>
            </w:pPr>
          </w:p>
        </w:tc>
        <w:tc>
          <w:tcPr>
            <w:tcW w:w="840" w:type="dxa"/>
            <w:vAlign w:val="bottom"/>
            <w:tcBorders>
              <w:bottom w:val="single" w:sz="8" w:color="0C479D"/>
              <w:right w:val="single" w:sz="8" w:color="0C479D"/>
            </w:tcBorders>
            <w:shd w:val="clear" w:color="auto" w:fill="0C479D"/>
          </w:tcPr>
          <w:p>
            <w:pPr>
              <w:spacing w:after="0"/>
              <w:rPr>
                <w:sz w:val="7"/>
                <w:szCs w:val="7"/>
                <w:color w:val="auto"/>
              </w:rPr>
            </w:pPr>
          </w:p>
        </w:tc>
        <w:tc>
          <w:tcPr>
            <w:tcW w:w="20" w:type="dxa"/>
            <w:vAlign w:val="bottom"/>
            <w:tcBorders>
              <w:bottom w:val="single" w:sz="8" w:color="0C479D"/>
            </w:tcBorders>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40"/>
              <w:spacing w:after="0" w:line="194" w:lineRule="exact"/>
              <w:rPr>
                <w:sz w:val="20"/>
                <w:szCs w:val="20"/>
                <w:color w:val="auto"/>
              </w:rPr>
            </w:pPr>
            <w:r>
              <w:rPr>
                <w:rFonts w:ascii="Times New Roman" w:cs="Times New Roman" w:eastAsia="Times New Roman" w:hAnsi="Times New Roman"/>
                <w:sz w:val="17"/>
                <w:szCs w:val="17"/>
                <w:b w:val="1"/>
                <w:bCs w:val="1"/>
                <w:color w:val="auto"/>
              </w:rPr>
              <w:t>Balance as of December 31</w:t>
            </w:r>
          </w:p>
        </w:tc>
        <w:tc>
          <w:tcPr>
            <w:tcW w:w="106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8,019</w:t>
            </w:r>
          </w:p>
        </w:tc>
        <w:tc>
          <w:tcPr>
            <w:tcW w:w="420" w:type="dxa"/>
            <w:vAlign w:val="bottom"/>
          </w:tcPr>
          <w:p>
            <w:pPr>
              <w:spacing w:after="0"/>
              <w:rPr>
                <w:sz w:val="16"/>
                <w:szCs w:val="16"/>
                <w:color w:val="auto"/>
              </w:rPr>
            </w:pPr>
          </w:p>
        </w:tc>
        <w:tc>
          <w:tcPr>
            <w:tcW w:w="55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(3,840)</w:t>
            </w:r>
          </w:p>
        </w:tc>
        <w:tc>
          <w:tcPr>
            <w:tcW w:w="530" w:type="dxa"/>
            <w:vAlign w:val="bottom"/>
          </w:tcPr>
          <w:p>
            <w:pPr>
              <w:spacing w:after="0"/>
              <w:rPr>
                <w:sz w:val="16"/>
                <w:szCs w:val="16"/>
                <w:color w:val="auto"/>
              </w:rPr>
            </w:pPr>
          </w:p>
        </w:tc>
        <w:tc>
          <w:tcPr>
            <w:tcW w:w="4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w w:val="93"/>
              </w:rPr>
              <w:t>4,179</w:t>
            </w:r>
          </w:p>
        </w:tc>
        <w:tc>
          <w:tcPr>
            <w:tcW w:w="360" w:type="dxa"/>
            <w:vAlign w:val="bottom"/>
          </w:tcPr>
          <w:p>
            <w:pPr>
              <w:spacing w:after="0"/>
              <w:rPr>
                <w:sz w:val="16"/>
                <w:szCs w:val="16"/>
                <w:color w:val="auto"/>
              </w:rPr>
            </w:pPr>
          </w:p>
        </w:tc>
        <w:tc>
          <w:tcPr>
            <w:tcW w:w="61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8,019</w:t>
            </w:r>
          </w:p>
        </w:tc>
        <w:tc>
          <w:tcPr>
            <w:tcW w:w="19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(3,666)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4,353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0C479D"/>
            </w:tcBorders>
          </w:tcPr>
          <w:p>
            <w:pPr>
              <w:spacing w:after="0"/>
              <w:rPr>
                <w:sz w:val="19"/>
                <w:szCs w:val="19"/>
                <w:color w:val="auto"/>
              </w:rPr>
            </w:pPr>
          </w:p>
        </w:tc>
        <w:tc>
          <w:tcPr>
            <w:tcW w:w="3280" w:type="dxa"/>
            <w:vAlign w:val="bottom"/>
            <w:tcBorders>
              <w:bottom w:val="single" w:sz="8" w:color="0C479D"/>
            </w:tcBorders>
          </w:tcPr>
          <w:p>
            <w:pPr>
              <w:ind w:left="40"/>
              <w:spacing w:after="0"/>
              <w:rPr>
                <w:sz w:val="20"/>
                <w:szCs w:val="20"/>
                <w:color w:val="auto"/>
              </w:rPr>
            </w:pPr>
            <w:r>
              <w:rPr>
                <w:rFonts w:ascii="Times New Roman" w:cs="Times New Roman" w:eastAsia="Times New Roman" w:hAnsi="Times New Roman"/>
                <w:sz w:val="17"/>
                <w:szCs w:val="17"/>
                <w:color w:val="auto"/>
              </w:rPr>
              <w:t>Share repurchases, at cost</w:t>
            </w:r>
          </w:p>
        </w:tc>
        <w:tc>
          <w:tcPr>
            <w:tcW w:w="100" w:type="dxa"/>
            <w:vAlign w:val="bottom"/>
            <w:tcBorders>
              <w:bottom w:val="single" w:sz="8" w:color="0C479D"/>
            </w:tcBorders>
          </w:tcPr>
          <w:p>
            <w:pPr>
              <w:spacing w:after="0"/>
              <w:rPr>
                <w:sz w:val="19"/>
                <w:szCs w:val="19"/>
                <w:color w:val="auto"/>
              </w:rPr>
            </w:pPr>
          </w:p>
        </w:tc>
        <w:tc>
          <w:tcPr>
            <w:tcW w:w="620" w:type="dxa"/>
            <w:vAlign w:val="bottom"/>
            <w:tcBorders>
              <w:bottom w:val="single" w:sz="8" w:color="0C479D"/>
            </w:tcBorders>
          </w:tcPr>
          <w:p>
            <w:pPr>
              <w:spacing w:after="0"/>
              <w:rPr>
                <w:sz w:val="19"/>
                <w:szCs w:val="19"/>
                <w:color w:val="auto"/>
              </w:rPr>
            </w:pPr>
          </w:p>
        </w:tc>
        <w:tc>
          <w:tcPr>
            <w:tcW w:w="40" w:type="dxa"/>
            <w:vAlign w:val="bottom"/>
            <w:tcBorders>
              <w:bottom w:val="single" w:sz="8" w:color="0C479D"/>
            </w:tcBorders>
          </w:tcPr>
          <w:p>
            <w:pPr>
              <w:spacing w:after="0"/>
              <w:rPr>
                <w:sz w:val="19"/>
                <w:szCs w:val="19"/>
                <w:color w:val="auto"/>
              </w:rPr>
            </w:pPr>
          </w:p>
        </w:tc>
        <w:tc>
          <w:tcPr>
            <w:tcW w:w="720" w:type="dxa"/>
            <w:vAlign w:val="bottom"/>
            <w:tcBorders>
              <w:bottom w:val="single" w:sz="8" w:color="0C479D"/>
            </w:tcBorders>
            <w:gridSpan w:val="2"/>
          </w:tcPr>
          <w:p>
            <w:pPr>
              <w:jc w:val="right"/>
              <w:ind w:right="417"/>
              <w:spacing w:after="0"/>
              <w:rPr>
                <w:sz w:val="20"/>
                <w:szCs w:val="20"/>
                <w:color w:val="auto"/>
              </w:rPr>
            </w:pPr>
            <w:r>
              <w:rPr>
                <w:rFonts w:ascii="Times New Roman" w:cs="Times New Roman" w:eastAsia="Times New Roman" w:hAnsi="Times New Roman"/>
                <w:sz w:val="17"/>
                <w:szCs w:val="17"/>
                <w:color w:val="auto"/>
              </w:rPr>
              <w:t>—</w:t>
            </w:r>
          </w:p>
        </w:tc>
        <w:tc>
          <w:tcPr>
            <w:tcW w:w="550" w:type="dxa"/>
            <w:vAlign w:val="bottom"/>
            <w:tcBorders>
              <w:bottom w:val="single" w:sz="8" w:color="0C479D"/>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530" w:type="dxa"/>
            <w:vAlign w:val="bottom"/>
            <w:tcBorders>
              <w:bottom w:val="single" w:sz="8" w:color="0C479D"/>
            </w:tcBorders>
          </w:tcPr>
          <w:p>
            <w:pPr>
              <w:spacing w:after="0"/>
              <w:rPr>
                <w:sz w:val="19"/>
                <w:szCs w:val="19"/>
                <w:color w:val="auto"/>
              </w:rPr>
            </w:pPr>
          </w:p>
        </w:tc>
        <w:tc>
          <w:tcPr>
            <w:tcW w:w="4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360" w:type="dxa"/>
            <w:vAlign w:val="bottom"/>
            <w:tcBorders>
              <w:bottom w:val="single" w:sz="8" w:color="0C479D"/>
            </w:tcBorders>
          </w:tcPr>
          <w:p>
            <w:pPr>
              <w:spacing w:after="0"/>
              <w:rPr>
                <w:sz w:val="19"/>
                <w:szCs w:val="19"/>
                <w:color w:val="auto"/>
              </w:rPr>
            </w:pPr>
          </w:p>
        </w:tc>
        <w:tc>
          <w:tcPr>
            <w:tcW w:w="800" w:type="dxa"/>
            <w:vAlign w:val="bottom"/>
            <w:tcBorders>
              <w:bottom w:val="single" w:sz="8" w:color="0C479D"/>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0C479D"/>
            </w:tcBorders>
          </w:tcPr>
          <w:p>
            <w:pPr>
              <w:spacing w:after="0"/>
              <w:rPr>
                <w:sz w:val="19"/>
                <w:szCs w:val="19"/>
                <w:color w:val="auto"/>
              </w:rPr>
            </w:pP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Borders>
              <w:bottom w:val="single" w:sz="8" w:color="0C479D"/>
            </w:tcBorders>
          </w:tcPr>
          <w:p>
            <w:pPr>
              <w:spacing w:after="0"/>
              <w:rPr>
                <w:sz w:val="19"/>
                <w:szCs w:val="19"/>
                <w:color w:val="auto"/>
              </w:rPr>
            </w:pPr>
          </w:p>
        </w:tc>
        <w:tc>
          <w:tcPr>
            <w:tcW w:w="60" w:type="dxa"/>
            <w:vAlign w:val="bottom"/>
            <w:tcBorders>
              <w:bottom w:val="single" w:sz="8" w:color="0C479D"/>
            </w:tcBorders>
          </w:tcPr>
          <w:p>
            <w:pPr>
              <w:spacing w:after="0"/>
              <w:rPr>
                <w:sz w:val="19"/>
                <w:szCs w:val="19"/>
                <w:color w:val="auto"/>
              </w:rPr>
            </w:pP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0C479D"/>
            </w:tcBorders>
          </w:tcPr>
          <w:p>
            <w:pPr>
              <w:spacing w:after="0"/>
              <w:rPr>
                <w:sz w:val="16"/>
                <w:szCs w:val="16"/>
                <w:color w:val="auto"/>
              </w:rPr>
            </w:pPr>
          </w:p>
        </w:tc>
        <w:tc>
          <w:tcPr>
            <w:tcW w:w="3280" w:type="dxa"/>
            <w:vAlign w:val="bottom"/>
            <w:tcBorders>
              <w:bottom w:val="single" w:sz="8" w:color="0C479D"/>
            </w:tcBorders>
          </w:tcPr>
          <w:p>
            <w:pPr>
              <w:ind w:left="40"/>
              <w:spacing w:after="0" w:line="183" w:lineRule="exact"/>
              <w:rPr>
                <w:sz w:val="20"/>
                <w:szCs w:val="20"/>
                <w:color w:val="auto"/>
              </w:rPr>
            </w:pPr>
            <w:r>
              <w:rPr>
                <w:rFonts w:ascii="Times New Roman" w:cs="Times New Roman" w:eastAsia="Times New Roman" w:hAnsi="Times New Roman"/>
                <w:sz w:val="17"/>
                <w:szCs w:val="17"/>
                <w:b w:val="1"/>
                <w:bCs w:val="1"/>
                <w:color w:val="auto"/>
              </w:rPr>
              <w:t>Balance as of March 31</w:t>
            </w:r>
          </w:p>
        </w:tc>
        <w:tc>
          <w:tcPr>
            <w:tcW w:w="1060" w:type="dxa"/>
            <w:vAlign w:val="bottom"/>
            <w:tcBorders>
              <w:bottom w:val="single" w:sz="8" w:color="0C479D"/>
            </w:tcBorders>
            <w:gridSpan w:val="4"/>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8,019</w:t>
            </w:r>
          </w:p>
        </w:tc>
        <w:tc>
          <w:tcPr>
            <w:tcW w:w="420" w:type="dxa"/>
            <w:vAlign w:val="bottom"/>
            <w:tcBorders>
              <w:bottom w:val="single" w:sz="8" w:color="0C479D"/>
            </w:tcBorders>
          </w:tcPr>
          <w:p>
            <w:pPr>
              <w:spacing w:after="0"/>
              <w:rPr>
                <w:sz w:val="16"/>
                <w:szCs w:val="16"/>
                <w:color w:val="auto"/>
              </w:rPr>
            </w:pPr>
          </w:p>
        </w:tc>
        <w:tc>
          <w:tcPr>
            <w:tcW w:w="550" w:type="dxa"/>
            <w:vAlign w:val="bottom"/>
            <w:tcBorders>
              <w:bottom w:val="single" w:sz="8" w:color="0C479D"/>
            </w:tcBorders>
            <w:gridSpan w:val="3"/>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(3,874)</w:t>
            </w:r>
          </w:p>
        </w:tc>
        <w:tc>
          <w:tcPr>
            <w:tcW w:w="530" w:type="dxa"/>
            <w:vAlign w:val="bottom"/>
            <w:tcBorders>
              <w:bottom w:val="single" w:sz="8" w:color="0C479D"/>
            </w:tcBorders>
          </w:tcPr>
          <w:p>
            <w:pPr>
              <w:spacing w:after="0"/>
              <w:rPr>
                <w:sz w:val="16"/>
                <w:szCs w:val="16"/>
                <w:color w:val="auto"/>
              </w:rPr>
            </w:pPr>
          </w:p>
        </w:tc>
        <w:tc>
          <w:tcPr>
            <w:tcW w:w="460" w:type="dxa"/>
            <w:vAlign w:val="bottom"/>
            <w:tcBorders>
              <w:bottom w:val="single" w:sz="8" w:color="0C479D"/>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w w:val="93"/>
              </w:rPr>
              <w:t>4,145</w:t>
            </w:r>
          </w:p>
        </w:tc>
        <w:tc>
          <w:tcPr>
            <w:tcW w:w="360" w:type="dxa"/>
            <w:vAlign w:val="bottom"/>
            <w:tcBorders>
              <w:bottom w:val="single" w:sz="8" w:color="0C479D"/>
            </w:tcBorders>
          </w:tcPr>
          <w:p>
            <w:pPr>
              <w:spacing w:after="0"/>
              <w:rPr>
                <w:sz w:val="16"/>
                <w:szCs w:val="16"/>
                <w:color w:val="auto"/>
              </w:rPr>
            </w:pPr>
          </w:p>
        </w:tc>
        <w:tc>
          <w:tcPr>
            <w:tcW w:w="610" w:type="dxa"/>
            <w:vAlign w:val="bottom"/>
            <w:tcBorders>
              <w:bottom w:val="single" w:sz="8" w:color="0C479D"/>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8,019</w:t>
            </w:r>
          </w:p>
        </w:tc>
        <w:tc>
          <w:tcPr>
            <w:tcW w:w="190" w:type="dxa"/>
            <w:vAlign w:val="bottom"/>
            <w:tcBorders>
              <w:bottom w:val="single" w:sz="8" w:color="0C479D"/>
            </w:tcBorders>
          </w:tcPr>
          <w:p>
            <w:pPr>
              <w:spacing w:after="0"/>
              <w:rPr>
                <w:sz w:val="16"/>
                <w:szCs w:val="16"/>
                <w:color w:val="auto"/>
              </w:rPr>
            </w:pPr>
          </w:p>
        </w:tc>
        <w:tc>
          <w:tcPr>
            <w:tcW w:w="80" w:type="dxa"/>
            <w:vAlign w:val="bottom"/>
            <w:tcBorders>
              <w:bottom w:val="single" w:sz="8" w:color="0C479D"/>
            </w:tcBorders>
          </w:tcPr>
          <w:p>
            <w:pPr>
              <w:spacing w:after="0"/>
              <w:rPr>
                <w:sz w:val="16"/>
                <w:szCs w:val="16"/>
                <w:color w:val="auto"/>
              </w:rPr>
            </w:pPr>
          </w:p>
        </w:tc>
        <w:tc>
          <w:tcPr>
            <w:tcW w:w="700" w:type="dxa"/>
            <w:vAlign w:val="bottom"/>
            <w:tcBorders>
              <w:bottom w:val="single" w:sz="8" w:color="0C479D"/>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(3,709)</w:t>
            </w:r>
          </w:p>
        </w:tc>
        <w:tc>
          <w:tcPr>
            <w:tcW w:w="80" w:type="dxa"/>
            <w:vAlign w:val="bottom"/>
            <w:tcBorders>
              <w:bottom w:val="single" w:sz="8" w:color="0C479D"/>
            </w:tcBorders>
          </w:tcPr>
          <w:p>
            <w:pPr>
              <w:spacing w:after="0"/>
              <w:rPr>
                <w:sz w:val="16"/>
                <w:szCs w:val="16"/>
                <w:color w:val="auto"/>
              </w:rPr>
            </w:pPr>
          </w:p>
        </w:tc>
        <w:tc>
          <w:tcPr>
            <w:tcW w:w="60" w:type="dxa"/>
            <w:vAlign w:val="bottom"/>
            <w:tcBorders>
              <w:bottom w:val="single" w:sz="8" w:color="0C479D"/>
            </w:tcBorders>
          </w:tcPr>
          <w:p>
            <w:pPr>
              <w:spacing w:after="0"/>
              <w:rPr>
                <w:sz w:val="16"/>
                <w:szCs w:val="16"/>
                <w:color w:val="auto"/>
              </w:rPr>
            </w:pPr>
          </w:p>
        </w:tc>
        <w:tc>
          <w:tcPr>
            <w:tcW w:w="840" w:type="dxa"/>
            <w:vAlign w:val="bottom"/>
            <w:tcBorders>
              <w:bottom w:val="single" w:sz="8" w:color="0C479D"/>
            </w:tcBorders>
          </w:tcPr>
          <w:p>
            <w:pPr>
              <w:jc w:val="right"/>
              <w:spacing w:after="0" w:line="183" w:lineRule="exact"/>
              <w:rPr>
                <w:sz w:val="20"/>
                <w:szCs w:val="20"/>
                <w:color w:val="auto"/>
              </w:rPr>
            </w:pPr>
            <w:r>
              <w:rPr>
                <w:rFonts w:ascii="Times New Roman" w:cs="Times New Roman" w:eastAsia="Times New Roman" w:hAnsi="Times New Roman"/>
                <w:sz w:val="17"/>
                <w:szCs w:val="17"/>
                <w:b w:val="1"/>
                <w:bCs w:val="1"/>
                <w:color w:val="auto"/>
              </w:rPr>
              <w:t>4,310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C479D"/>
        </w:rPr>
        <w:t>NOTES TO CONDENSED CONSOLIDATED FINANCIAL STATEMENTS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Due to rounding, numbers presented may not add up precisely to the totals indicated.</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1. Basis of Financial Statement Preparation</w:t>
      </w:r>
    </w:p>
    <w:p>
      <w:pPr>
        <w:spacing w:after="0" w:line="11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the context of the Consolidated Financial Statements and notes thereto filed with the Securities and Exchange Commission in the Corporation's 2025 Annual Report on Form 10-K. In the opinion of the Corporation, the information furnished herein reflects all known accruals and adjustments necessary for a fair statement of the results for the periods reported herein. All such adjustments are of a normal recurring nature.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Corporation's exploration and production activities are accounted for under the "successful efforts" method.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2. Earnings Per Share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60" w:type="dxa"/>
            <w:vAlign w:val="bottom"/>
            <w:shd w:val="clear" w:color="auto" w:fill="0C479D"/>
          </w:tcPr>
          <w:p>
            <w:pPr>
              <w:spacing w:after="0"/>
              <w:rPr>
                <w:sz w:val="16"/>
                <w:szCs w:val="16"/>
                <w:color w:val="auto"/>
              </w:rPr>
            </w:pPr>
          </w:p>
        </w:tc>
        <w:tc>
          <w:tcPr>
            <w:tcW w:w="1980" w:type="dxa"/>
            <w:vAlign w:val="bottom"/>
            <w:gridSpan w:val="3"/>
            <w:shd w:val="clear" w:color="auto" w:fill="0C479D"/>
          </w:tcPr>
          <w:p>
            <w:pPr>
              <w:jc w:val="right"/>
              <w:ind w:right="254"/>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726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8"/>
                <w:szCs w:val="18"/>
                <w:b w:val="1"/>
                <w:bCs w:val="1"/>
                <w:color w:val="FFFFFF"/>
              </w:rPr>
              <w:t>Earnings per common share</w:t>
            </w:r>
          </w:p>
        </w:tc>
        <w:tc>
          <w:tcPr>
            <w:tcW w:w="100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March</w:t>
            </w:r>
          </w:p>
        </w:tc>
        <w:tc>
          <w:tcPr>
            <w:tcW w:w="400" w:type="dxa"/>
            <w:vAlign w:val="bottom"/>
            <w:shd w:val="clear" w:color="auto" w:fill="0C479D"/>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rPr>
              <w:t>31,</w:t>
            </w:r>
          </w:p>
        </w:tc>
        <w:tc>
          <w:tcPr>
            <w:tcW w:w="580" w:type="dxa"/>
            <w:vAlign w:val="bottom"/>
            <w:shd w:val="clear" w:color="auto" w:fill="0C479D"/>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7260" w:type="dxa"/>
            <w:vAlign w:val="bottom"/>
            <w:vMerge w:val="continue"/>
            <w:shd w:val="clear" w:color="auto" w:fill="0C479D"/>
          </w:tcPr>
          <w:p>
            <w:pPr>
              <w:spacing w:after="0"/>
              <w:rPr>
                <w:sz w:val="7"/>
                <w:szCs w:val="7"/>
                <w:color w:val="auto"/>
              </w:rPr>
            </w:pPr>
          </w:p>
        </w:tc>
        <w:tc>
          <w:tcPr>
            <w:tcW w:w="100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00" w:type="dxa"/>
            <w:vAlign w:val="bottom"/>
            <w:shd w:val="clear" w:color="auto" w:fill="0C479D"/>
          </w:tcPr>
          <w:p>
            <w:pPr>
              <w:spacing w:after="0"/>
              <w:rPr>
                <w:sz w:val="7"/>
                <w:szCs w:val="7"/>
                <w:color w:val="auto"/>
              </w:rPr>
            </w:pPr>
          </w:p>
        </w:tc>
        <w:tc>
          <w:tcPr>
            <w:tcW w:w="58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7260" w:type="dxa"/>
            <w:vAlign w:val="bottom"/>
            <w:tcBorders>
              <w:bottom w:val="single" w:sz="8" w:color="0C479D"/>
            </w:tcBorders>
            <w:shd w:val="clear" w:color="auto" w:fill="0C479D"/>
          </w:tcPr>
          <w:p>
            <w:pPr>
              <w:spacing w:after="0"/>
              <w:rPr>
                <w:sz w:val="11"/>
                <w:szCs w:val="11"/>
                <w:color w:val="auto"/>
              </w:rPr>
            </w:pPr>
          </w:p>
        </w:tc>
        <w:tc>
          <w:tcPr>
            <w:tcW w:w="1000" w:type="dxa"/>
            <w:vAlign w:val="bottom"/>
            <w:tcBorders>
              <w:bottom w:val="single" w:sz="8" w:color="0C479D"/>
            </w:tcBorders>
            <w:vMerge w:val="continue"/>
            <w:shd w:val="clear" w:color="auto" w:fill="0C479D"/>
          </w:tcPr>
          <w:p>
            <w:pPr>
              <w:spacing w:after="0"/>
              <w:rPr>
                <w:sz w:val="11"/>
                <w:szCs w:val="11"/>
                <w:color w:val="auto"/>
              </w:rPr>
            </w:pPr>
          </w:p>
        </w:tc>
        <w:tc>
          <w:tcPr>
            <w:tcW w:w="400" w:type="dxa"/>
            <w:vAlign w:val="bottom"/>
            <w:tcBorders>
              <w:bottom w:val="single" w:sz="8" w:color="0C479D"/>
            </w:tcBorders>
            <w:shd w:val="clear" w:color="auto" w:fill="0C479D"/>
          </w:tcPr>
          <w:p>
            <w:pPr>
              <w:spacing w:after="0"/>
              <w:rPr>
                <w:sz w:val="11"/>
                <w:szCs w:val="11"/>
                <w:color w:val="auto"/>
              </w:rPr>
            </w:pPr>
          </w:p>
        </w:tc>
        <w:tc>
          <w:tcPr>
            <w:tcW w:w="580" w:type="dxa"/>
            <w:vAlign w:val="bottom"/>
            <w:tcBorders>
              <w:bottom w:val="single" w:sz="8" w:color="0C479D"/>
            </w:tcBorders>
            <w:vMerge w:val="continue"/>
            <w:shd w:val="clear" w:color="auto" w:fill="0C479D"/>
          </w:tcPr>
          <w:p>
            <w:pPr>
              <w:spacing w:after="0"/>
              <w:rPr>
                <w:sz w:val="11"/>
                <w:szCs w:val="11"/>
                <w:color w:val="auto"/>
              </w:rPr>
            </w:pPr>
          </w:p>
        </w:tc>
        <w:tc>
          <w:tcPr>
            <w:tcW w:w="20" w:type="dxa"/>
            <w:vAlign w:val="bottom"/>
            <w:tcBorders>
              <w:bottom w:val="single" w:sz="8" w:color="0C479D"/>
            </w:tcBorders>
            <w:shd w:val="clear" w:color="auto" w:fill="0C479D"/>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Net income (loss) attributable to ExxonMobil </w:t>
            </w:r>
            <w:r>
              <w:rPr>
                <w:rFonts w:ascii="Times New Roman" w:cs="Times New Roman" w:eastAsia="Times New Roman" w:hAnsi="Times New Roman"/>
                <w:sz w:val="18"/>
                <w:szCs w:val="18"/>
                <w:i w:val="1"/>
                <w:iCs w:val="1"/>
                <w:color w:val="auto"/>
              </w:rPr>
              <w:t>(millions of dollars)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Weighted-average number of common shares outstanding </w:t>
            </w:r>
            <w:r>
              <w:rPr>
                <w:rFonts w:ascii="Times New Roman" w:cs="Times New Roman" w:eastAsia="Times New Roman" w:hAnsi="Times New Roman"/>
                <w:sz w:val="18"/>
                <w:szCs w:val="18"/>
                <w:i w:val="1"/>
                <w:iCs w:val="1"/>
                <w:color w:val="auto"/>
              </w:rPr>
              <w:t>(millions of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i w:val="1"/>
                <w:iCs w:val="1"/>
                <w:color w:val="auto"/>
                <w:vertAlign w:val="superscript"/>
              </w:rPr>
              <w:t>(1)</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4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260" w:type="dxa"/>
            <w:vAlign w:val="bottom"/>
          </w:tcPr>
          <w:p>
            <w:pPr>
              <w:ind w:left="60"/>
              <w:spacing w:after="0" w:line="259" w:lineRule="exact"/>
              <w:rPr>
                <w:sz w:val="20"/>
                <w:szCs w:val="20"/>
                <w:color w:val="auto"/>
              </w:rPr>
            </w:pPr>
            <w:r>
              <w:rPr>
                <w:rFonts w:ascii="Times New Roman" w:cs="Times New Roman" w:eastAsia="Times New Roman" w:hAnsi="Times New Roman"/>
                <w:sz w:val="18"/>
                <w:szCs w:val="18"/>
                <w:color w:val="auto"/>
              </w:rPr>
              <w:t xml:space="preserve">Earnings (loss) per common share </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i w:val="1"/>
                <w:iCs w:val="1"/>
                <w:color w:val="auto"/>
                <w:vertAlign w:val="superscript"/>
              </w:rPr>
              <w:t>(2)</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 xml:space="preserve">Dividends paid per common share </w:t>
            </w:r>
            <w:r>
              <w:rPr>
                <w:rFonts w:ascii="Times New Roman" w:cs="Times New Roman" w:eastAsia="Times New Roman" w:hAnsi="Times New Roman"/>
                <w:sz w:val="18"/>
                <w:szCs w:val="18"/>
                <w:i w:val="1"/>
                <w:iCs w:val="1"/>
                <w:color w:val="auto"/>
              </w:rPr>
              <w:t>(dollars)</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Borders>
              <w:bottom w:val="single" w:sz="8" w:color="0C479D"/>
            </w:tcBorders>
          </w:tcPr>
          <w:p>
            <w:pPr>
              <w:spacing w:after="0"/>
              <w:rPr>
                <w:sz w:val="19"/>
                <w:szCs w:val="19"/>
                <w:color w:val="auto"/>
              </w:rPr>
            </w:pP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240" w:hanging="172"/>
        <w:spacing w:after="0"/>
        <w:tabs>
          <w:tab w:leader="none" w:pos="240" w:val="left"/>
        </w:tabs>
        <w:numPr>
          <w:ilvl w:val="0"/>
          <w:numId w:val="8"/>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Includes restricted shares not vested.</w:t>
      </w:r>
    </w:p>
    <w:p>
      <w:pPr>
        <w:spacing w:after="0" w:line="37" w:lineRule="exact"/>
        <w:rPr>
          <w:rFonts w:ascii="Times New Roman" w:cs="Times New Roman" w:eastAsia="Times New Roman" w:hAnsi="Times New Roman"/>
          <w:sz w:val="21"/>
          <w:szCs w:val="21"/>
          <w:i w:val="1"/>
          <w:iCs w:val="1"/>
          <w:color w:val="auto"/>
          <w:vertAlign w:val="superscript"/>
        </w:rPr>
      </w:pPr>
    </w:p>
    <w:p>
      <w:pPr>
        <w:ind w:left="240" w:hanging="172"/>
        <w:spacing w:after="0" w:line="191" w:lineRule="auto"/>
        <w:tabs>
          <w:tab w:leader="none" w:pos="240" w:val="left"/>
        </w:tabs>
        <w:numPr>
          <w:ilvl w:val="0"/>
          <w:numId w:val="8"/>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Earnings (loss) per common share and earnings (loss) per common share – assuming dilution are the same in each period shown.</w:t>
      </w:r>
    </w:p>
    <w:p>
      <w:pPr>
        <w:sectPr>
          <w:pgSz w:w="11900" w:h="16838" w:orient="portrait"/>
          <w:cols w:equalWidth="0" w:num="1">
            <w:col w:w="9260"/>
          </w:cols>
          <w:pgMar w:left="1320" w:top="499" w:right="131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260"/>
          </w:cols>
          <w:pgMar w:left="1320" w:top="499" w:right="1319" w:bottom="1440" w:gutter="0" w:footer="0" w:header="0"/>
          <w:type w:val="continuous"/>
        </w:sectPr>
      </w:pPr>
    </w:p>
    <w:bookmarkStart w:id="7" w:name="page8"/>
    <w:bookmarkEnd w:id="7"/>
    <w:p>
      <w:pPr>
        <w:ind w:left="844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3. Disclosures about Segments and Related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four reportable segments are Upstream, Energy Products, Chemical Products, and Specialty Products.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380" w:type="dxa"/>
            <w:vAlign w:val="bottom"/>
            <w:gridSpan w:val="2"/>
            <w:shd w:val="clear" w:color="auto" w:fill="0C479D"/>
          </w:tcPr>
          <w:p>
            <w:pPr>
              <w:jc w:val="right"/>
              <w:ind w:right="300"/>
              <w:spacing w:after="0"/>
              <w:rPr>
                <w:sz w:val="20"/>
                <w:szCs w:val="20"/>
                <w:color w:val="auto"/>
              </w:rPr>
            </w:pPr>
            <w:r>
              <w:rPr>
                <w:rFonts w:ascii="Times New Roman" w:cs="Times New Roman" w:eastAsia="Times New Roman" w:hAnsi="Times New Roman"/>
                <w:sz w:val="14"/>
                <w:szCs w:val="14"/>
                <w:b w:val="1"/>
                <w:bCs w:val="1"/>
                <w:color w:val="FFFFFF"/>
              </w:rPr>
              <w:t>Upstream</w:t>
            </w:r>
          </w:p>
        </w:tc>
        <w:tc>
          <w:tcPr>
            <w:tcW w:w="1380" w:type="dxa"/>
            <w:vAlign w:val="bottom"/>
            <w:gridSpan w:val="2"/>
            <w:shd w:val="clear" w:color="auto" w:fill="0C479D"/>
          </w:tcPr>
          <w:p>
            <w:pPr>
              <w:jc w:val="right"/>
              <w:ind w:right="100"/>
              <w:spacing w:after="0"/>
              <w:rPr>
                <w:sz w:val="20"/>
                <w:szCs w:val="20"/>
                <w:color w:val="auto"/>
              </w:rPr>
            </w:pPr>
            <w:r>
              <w:rPr>
                <w:rFonts w:ascii="Times New Roman" w:cs="Times New Roman" w:eastAsia="Times New Roman" w:hAnsi="Times New Roman"/>
                <w:sz w:val="14"/>
                <w:szCs w:val="14"/>
                <w:b w:val="1"/>
                <w:bCs w:val="1"/>
                <w:color w:val="FFFFFF"/>
              </w:rPr>
              <w:t>Energy Products</w:t>
            </w:r>
          </w:p>
        </w:tc>
        <w:tc>
          <w:tcPr>
            <w:tcW w:w="1380" w:type="dxa"/>
            <w:vAlign w:val="bottom"/>
            <w:gridSpan w:val="2"/>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Chemical Products</w:t>
            </w:r>
          </w:p>
        </w:tc>
        <w:tc>
          <w:tcPr>
            <w:tcW w:w="1380" w:type="dxa"/>
            <w:vAlign w:val="bottom"/>
            <w:gridSpan w:val="2"/>
            <w:shd w:val="clear" w:color="auto" w:fill="0C479D"/>
          </w:tcPr>
          <w:p>
            <w:pPr>
              <w:jc w:val="right"/>
              <w:ind w:right="40"/>
              <w:spacing w:after="0"/>
              <w:rPr>
                <w:sz w:val="20"/>
                <w:szCs w:val="20"/>
                <w:color w:val="auto"/>
              </w:rPr>
            </w:pPr>
            <w:r>
              <w:rPr>
                <w:rFonts w:ascii="Times New Roman" w:cs="Times New Roman" w:eastAsia="Times New Roman" w:hAnsi="Times New Roman"/>
                <w:sz w:val="14"/>
                <w:szCs w:val="14"/>
                <w:b w:val="1"/>
                <w:bCs w:val="1"/>
                <w:color w:val="FFFFFF"/>
              </w:rPr>
              <w:t>Specialty Products</w:t>
            </w:r>
          </w:p>
        </w:tc>
        <w:tc>
          <w:tcPr>
            <w:tcW w:w="760" w:type="dxa"/>
            <w:vAlign w:val="bottom"/>
            <w:shd w:val="clear" w:color="auto" w:fill="0C479D"/>
          </w:tcPr>
          <w:p>
            <w:pPr>
              <w:jc w:val="right"/>
              <w:ind w:right="40"/>
              <w:spacing w:after="0"/>
              <w:rPr>
                <w:sz w:val="20"/>
                <w:szCs w:val="20"/>
                <w:color w:val="auto"/>
              </w:rPr>
            </w:pPr>
            <w:r>
              <w:rPr>
                <w:rFonts w:ascii="Times New Roman" w:cs="Times New Roman" w:eastAsia="Times New Roman" w:hAnsi="Times New Roman"/>
                <w:sz w:val="14"/>
                <w:szCs w:val="14"/>
                <w:b w:val="1"/>
                <w:bCs w:val="1"/>
                <w:color w:val="FFFFFF"/>
              </w:rPr>
              <w:t>Segment</w:t>
            </w:r>
          </w:p>
        </w:tc>
        <w:tc>
          <w:tcPr>
            <w:tcW w:w="20" w:type="dxa"/>
            <w:vAlign w:val="bottom"/>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3440" w:type="dxa"/>
            <w:vAlign w:val="bottom"/>
            <w:vMerge w:val="continue"/>
            <w:shd w:val="clear" w:color="auto" w:fill="0C479D"/>
          </w:tcPr>
          <w:p>
            <w:pPr>
              <w:spacing w:after="0"/>
              <w:rPr>
                <w:sz w:val="9"/>
                <w:szCs w:val="9"/>
                <w:color w:val="auto"/>
              </w:rPr>
            </w:pPr>
          </w:p>
        </w:tc>
        <w:tc>
          <w:tcPr>
            <w:tcW w:w="700" w:type="dxa"/>
            <w:vAlign w:val="bottom"/>
            <w:vMerge w:val="restart"/>
            <w:shd w:val="clear" w:color="auto" w:fill="0C479D"/>
          </w:tcPr>
          <w:p>
            <w:pPr>
              <w:jc w:val="right"/>
              <w:ind w:right="140"/>
              <w:spacing w:after="0"/>
              <w:rPr>
                <w:sz w:val="20"/>
                <w:szCs w:val="20"/>
                <w:color w:val="auto"/>
              </w:rPr>
            </w:pPr>
            <w:r>
              <w:rPr>
                <w:rFonts w:ascii="Times New Roman" w:cs="Times New Roman" w:eastAsia="Times New Roman" w:hAnsi="Times New Roman"/>
                <w:sz w:val="14"/>
                <w:szCs w:val="14"/>
                <w:b w:val="1"/>
                <w:bCs w:val="1"/>
                <w:color w:val="FFFFFF"/>
              </w:rPr>
              <w:t>U.S.</w:t>
            </w:r>
          </w:p>
        </w:tc>
        <w:tc>
          <w:tcPr>
            <w:tcW w:w="68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00" w:type="dxa"/>
            <w:vAlign w:val="bottom"/>
            <w:vMerge w:val="restart"/>
            <w:shd w:val="clear" w:color="auto" w:fill="0C479D"/>
          </w:tcPr>
          <w:p>
            <w:pPr>
              <w:jc w:val="right"/>
              <w:ind w:right="140"/>
              <w:spacing w:after="0"/>
              <w:rPr>
                <w:sz w:val="20"/>
                <w:szCs w:val="20"/>
                <w:color w:val="auto"/>
              </w:rPr>
            </w:pPr>
            <w:r>
              <w:rPr>
                <w:rFonts w:ascii="Times New Roman" w:cs="Times New Roman" w:eastAsia="Times New Roman" w:hAnsi="Times New Roman"/>
                <w:sz w:val="14"/>
                <w:szCs w:val="14"/>
                <w:b w:val="1"/>
                <w:bCs w:val="1"/>
                <w:color w:val="FFFFFF"/>
              </w:rPr>
              <w:t>U.S.</w:t>
            </w:r>
          </w:p>
        </w:tc>
        <w:tc>
          <w:tcPr>
            <w:tcW w:w="68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80" w:type="dxa"/>
            <w:vAlign w:val="bottom"/>
            <w:vMerge w:val="restart"/>
            <w:shd w:val="clear" w:color="auto" w:fill="0C479D"/>
          </w:tcPr>
          <w:p>
            <w:pPr>
              <w:jc w:val="right"/>
              <w:ind w:right="12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0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80" w:type="dxa"/>
            <w:vAlign w:val="bottom"/>
            <w:vMerge w:val="restart"/>
            <w:shd w:val="clear" w:color="auto" w:fill="0C479D"/>
          </w:tcPr>
          <w:p>
            <w:pPr>
              <w:jc w:val="right"/>
              <w:ind w:right="14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0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60" w:type="dxa"/>
            <w:vAlign w:val="bottom"/>
            <w:vMerge w:val="restart"/>
            <w:shd w:val="clear" w:color="auto" w:fill="0C479D"/>
          </w:tcPr>
          <w:p>
            <w:pPr>
              <w:jc w:val="right"/>
              <w:ind w:right="160"/>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20" w:type="dxa"/>
            <w:vAlign w:val="bottom"/>
            <w:shd w:val="clear" w:color="auto" w:fill="0C479D"/>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440" w:type="dxa"/>
            <w:vAlign w:val="bottom"/>
            <w:tcBorders>
              <w:bottom w:val="single" w:sz="8" w:color="0C479D"/>
            </w:tcBorders>
            <w:shd w:val="clear" w:color="auto" w:fill="0C479D"/>
          </w:tcPr>
          <w:p>
            <w:pPr>
              <w:spacing w:after="0"/>
              <w:rPr>
                <w:sz w:val="8"/>
                <w:szCs w:val="8"/>
                <w:color w:val="auto"/>
              </w:rPr>
            </w:pPr>
          </w:p>
        </w:tc>
        <w:tc>
          <w:tcPr>
            <w:tcW w:w="700" w:type="dxa"/>
            <w:vAlign w:val="bottom"/>
            <w:tcBorders>
              <w:bottom w:val="single" w:sz="8" w:color="0C479D"/>
            </w:tcBorders>
            <w:vMerge w:val="continue"/>
            <w:shd w:val="clear" w:color="auto" w:fill="0C479D"/>
          </w:tcPr>
          <w:p>
            <w:pPr>
              <w:spacing w:after="0"/>
              <w:rPr>
                <w:sz w:val="8"/>
                <w:szCs w:val="8"/>
                <w:color w:val="auto"/>
              </w:rPr>
            </w:pPr>
          </w:p>
        </w:tc>
        <w:tc>
          <w:tcPr>
            <w:tcW w:w="680" w:type="dxa"/>
            <w:vAlign w:val="bottom"/>
            <w:tcBorders>
              <w:bottom w:val="single" w:sz="8" w:color="0C479D"/>
            </w:tcBorders>
            <w:vMerge w:val="continue"/>
            <w:shd w:val="clear" w:color="auto" w:fill="0C479D"/>
          </w:tcPr>
          <w:p>
            <w:pPr>
              <w:spacing w:after="0"/>
              <w:rPr>
                <w:sz w:val="8"/>
                <w:szCs w:val="8"/>
                <w:color w:val="auto"/>
              </w:rPr>
            </w:pPr>
          </w:p>
        </w:tc>
        <w:tc>
          <w:tcPr>
            <w:tcW w:w="700" w:type="dxa"/>
            <w:vAlign w:val="bottom"/>
            <w:tcBorders>
              <w:bottom w:val="single" w:sz="8" w:color="0C479D"/>
            </w:tcBorders>
            <w:vMerge w:val="continue"/>
            <w:shd w:val="clear" w:color="auto" w:fill="0C479D"/>
          </w:tcPr>
          <w:p>
            <w:pPr>
              <w:spacing w:after="0"/>
              <w:rPr>
                <w:sz w:val="8"/>
                <w:szCs w:val="8"/>
                <w:color w:val="auto"/>
              </w:rPr>
            </w:pPr>
          </w:p>
        </w:tc>
        <w:tc>
          <w:tcPr>
            <w:tcW w:w="680" w:type="dxa"/>
            <w:vAlign w:val="bottom"/>
            <w:tcBorders>
              <w:bottom w:val="single" w:sz="8" w:color="0C479D"/>
            </w:tcBorders>
            <w:vMerge w:val="continue"/>
            <w:shd w:val="clear" w:color="auto" w:fill="0C479D"/>
          </w:tcPr>
          <w:p>
            <w:pPr>
              <w:spacing w:after="0"/>
              <w:rPr>
                <w:sz w:val="8"/>
                <w:szCs w:val="8"/>
                <w:color w:val="auto"/>
              </w:rPr>
            </w:pPr>
          </w:p>
        </w:tc>
        <w:tc>
          <w:tcPr>
            <w:tcW w:w="680" w:type="dxa"/>
            <w:vAlign w:val="bottom"/>
            <w:tcBorders>
              <w:bottom w:val="single" w:sz="8" w:color="0C479D"/>
            </w:tcBorders>
            <w:vMerge w:val="continue"/>
            <w:shd w:val="clear" w:color="auto" w:fill="0C479D"/>
          </w:tcPr>
          <w:p>
            <w:pPr>
              <w:spacing w:after="0"/>
              <w:rPr>
                <w:sz w:val="8"/>
                <w:szCs w:val="8"/>
                <w:color w:val="auto"/>
              </w:rPr>
            </w:pPr>
          </w:p>
        </w:tc>
        <w:tc>
          <w:tcPr>
            <w:tcW w:w="700" w:type="dxa"/>
            <w:vAlign w:val="bottom"/>
            <w:tcBorders>
              <w:bottom w:val="single" w:sz="8" w:color="0C479D"/>
            </w:tcBorders>
            <w:vMerge w:val="continue"/>
            <w:shd w:val="clear" w:color="auto" w:fill="0C479D"/>
          </w:tcPr>
          <w:p>
            <w:pPr>
              <w:spacing w:after="0"/>
              <w:rPr>
                <w:sz w:val="8"/>
                <w:szCs w:val="8"/>
                <w:color w:val="auto"/>
              </w:rPr>
            </w:pPr>
          </w:p>
        </w:tc>
        <w:tc>
          <w:tcPr>
            <w:tcW w:w="680" w:type="dxa"/>
            <w:vAlign w:val="bottom"/>
            <w:tcBorders>
              <w:bottom w:val="single" w:sz="8" w:color="0C479D"/>
            </w:tcBorders>
            <w:vMerge w:val="continue"/>
            <w:shd w:val="clear" w:color="auto" w:fill="0C479D"/>
          </w:tcPr>
          <w:p>
            <w:pPr>
              <w:spacing w:after="0"/>
              <w:rPr>
                <w:sz w:val="8"/>
                <w:szCs w:val="8"/>
                <w:color w:val="auto"/>
              </w:rPr>
            </w:pPr>
          </w:p>
        </w:tc>
        <w:tc>
          <w:tcPr>
            <w:tcW w:w="700" w:type="dxa"/>
            <w:vAlign w:val="bottom"/>
            <w:tcBorders>
              <w:bottom w:val="single" w:sz="8" w:color="0C479D"/>
            </w:tcBorders>
            <w:vMerge w:val="continue"/>
            <w:shd w:val="clear" w:color="auto" w:fill="0C479D"/>
          </w:tcPr>
          <w:p>
            <w:pPr>
              <w:spacing w:after="0"/>
              <w:rPr>
                <w:sz w:val="8"/>
                <w:szCs w:val="8"/>
                <w:color w:val="auto"/>
              </w:rPr>
            </w:pPr>
          </w:p>
        </w:tc>
        <w:tc>
          <w:tcPr>
            <w:tcW w:w="760" w:type="dxa"/>
            <w:vAlign w:val="bottom"/>
            <w:tcBorders>
              <w:bottom w:val="single" w:sz="8" w:color="0C479D"/>
            </w:tcBorders>
            <w:vMerge w:val="continue"/>
            <w:shd w:val="clear" w:color="auto" w:fill="0C479D"/>
          </w:tcPr>
          <w:p>
            <w:pPr>
              <w:spacing w:after="0"/>
              <w:rPr>
                <w:sz w:val="8"/>
                <w:szCs w:val="8"/>
                <w:color w:val="auto"/>
              </w:rPr>
            </w:pPr>
          </w:p>
        </w:tc>
        <w:tc>
          <w:tcPr>
            <w:tcW w:w="20" w:type="dxa"/>
            <w:vAlign w:val="bottom"/>
            <w:tcBorders>
              <w:bottom w:val="single" w:sz="8" w:color="0C479D"/>
            </w:tcBorders>
            <w:shd w:val="clear" w:color="auto" w:fill="0C479D"/>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700" w:type="dxa"/>
            <w:vAlign w:val="bottom"/>
            <w:shd w:val="clear" w:color="auto" w:fill="F0F0F0"/>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700" w:type="dxa"/>
            <w:vAlign w:val="bottom"/>
            <w:shd w:val="clear" w:color="auto" w:fill="F0F0F0"/>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shd w:val="clear" w:color="auto" w:fill="DCDD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0C479D"/>
              </w:rPr>
              <w:t>Revenues and other income</w:t>
            </w:r>
          </w:p>
        </w:tc>
        <w:tc>
          <w:tcPr>
            <w:tcW w:w="700" w:type="dxa"/>
            <w:vAlign w:val="bottom"/>
            <w:shd w:val="clear" w:color="auto" w:fill="F0F0F0"/>
          </w:tcPr>
          <w:p>
            <w:pPr>
              <w:spacing w:after="0"/>
              <w:rPr>
                <w:sz w:val="22"/>
                <w:szCs w:val="22"/>
                <w:color w:val="auto"/>
              </w:rPr>
            </w:pPr>
          </w:p>
        </w:tc>
        <w:tc>
          <w:tcPr>
            <w:tcW w:w="680" w:type="dxa"/>
            <w:vAlign w:val="bottom"/>
            <w:shd w:val="clear" w:color="auto" w:fill="F0F0F0"/>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shd w:val="clear" w:color="auto" w:fill="F0F0F0"/>
          </w:tcPr>
          <w:p>
            <w:pPr>
              <w:spacing w:after="0"/>
              <w:rPr>
                <w:sz w:val="22"/>
                <w:szCs w:val="22"/>
                <w:color w:val="auto"/>
              </w:rPr>
            </w:pPr>
          </w:p>
        </w:tc>
        <w:tc>
          <w:tcPr>
            <w:tcW w:w="700" w:type="dxa"/>
            <w:vAlign w:val="bottom"/>
            <w:shd w:val="clear" w:color="auto" w:fill="F0F0F0"/>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shd w:val="clear" w:color="auto" w:fill="DCDDD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Sales and other operating revenue</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7,265</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25,990</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37,204</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3,504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83,136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Income from equity affiliates</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Intersegment revenue</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7,593</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10,023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6,421</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7,105</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34,447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color w:val="auto"/>
              </w:rPr>
              <w:t>Other income</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Segment revenues and other income</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15,043</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13,781</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32,474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44,798</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3,694</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4,584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1,872</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3,169</w:t>
            </w:r>
          </w:p>
        </w:tc>
        <w:tc>
          <w:tcPr>
            <w:tcW w:w="760" w:type="dxa"/>
            <w:vAlign w:val="bottom"/>
            <w:shd w:val="clear" w:color="auto" w:fill="DCDDDE"/>
          </w:tcPr>
          <w:p>
            <w:pPr>
              <w:ind w:left="180"/>
              <w:spacing w:after="0"/>
              <w:rPr>
                <w:sz w:val="20"/>
                <w:szCs w:val="20"/>
                <w:color w:val="auto"/>
              </w:rPr>
            </w:pPr>
            <w:r>
              <w:rPr>
                <w:rFonts w:ascii="Times New Roman" w:cs="Times New Roman" w:eastAsia="Times New Roman" w:hAnsi="Times New Roman"/>
                <w:sz w:val="16"/>
                <w:szCs w:val="16"/>
                <w:b w:val="1"/>
                <w:bCs w:val="1"/>
                <w:color w:val="auto"/>
              </w:rPr>
              <w:t>119,415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0C479D"/>
              </w:rPr>
              <w:t>Costs and other items</w:t>
            </w:r>
          </w:p>
        </w:tc>
        <w:tc>
          <w:tcPr>
            <w:tcW w:w="700" w:type="dxa"/>
            <w:vAlign w:val="bottom"/>
            <w:shd w:val="clear" w:color="auto" w:fill="F0F0F0"/>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700" w:type="dxa"/>
            <w:vAlign w:val="bottom"/>
            <w:shd w:val="clear" w:color="auto" w:fill="F0F0F0"/>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shd w:val="clear" w:color="auto" w:fill="DCDD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Crude oil and product purchases</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6,083</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39,967</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85,679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44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auto"/>
              </w:rPr>
              <w:t>Operating expenses, excl. depreciation and</w:t>
            </w:r>
          </w:p>
        </w:tc>
        <w:tc>
          <w:tcPr>
            <w:tcW w:w="700" w:type="dxa"/>
            <w:vAlign w:val="bottom"/>
            <w:shd w:val="clear" w:color="auto" w:fill="F0F0F0"/>
          </w:tcPr>
          <w:p>
            <w:pPr>
              <w:spacing w:after="0"/>
              <w:rPr>
                <w:sz w:val="14"/>
                <w:szCs w:val="14"/>
                <w:color w:val="auto"/>
              </w:rPr>
            </w:pPr>
          </w:p>
        </w:tc>
        <w:tc>
          <w:tcPr>
            <w:tcW w:w="680" w:type="dxa"/>
            <w:vAlign w:val="bottom"/>
            <w:shd w:val="clear" w:color="auto" w:fill="F0F0F0"/>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shd w:val="clear" w:color="auto" w:fill="F0F0F0"/>
          </w:tcPr>
          <w:p>
            <w:pPr>
              <w:spacing w:after="0"/>
              <w:rPr>
                <w:sz w:val="14"/>
                <w:szCs w:val="14"/>
                <w:color w:val="auto"/>
              </w:rPr>
            </w:pPr>
          </w:p>
        </w:tc>
        <w:tc>
          <w:tcPr>
            <w:tcW w:w="700" w:type="dxa"/>
            <w:vAlign w:val="bottom"/>
            <w:shd w:val="clear" w:color="auto" w:fill="F0F0F0"/>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shd w:val="clear" w:color="auto" w:fill="DCDDD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60"/>
              <w:spacing w:after="0" w:line="229" w:lineRule="exact"/>
              <w:rPr>
                <w:sz w:val="20"/>
                <w:szCs w:val="20"/>
                <w:color w:val="auto"/>
              </w:rPr>
            </w:pPr>
            <w:r>
              <w:rPr>
                <w:rFonts w:ascii="Times New Roman" w:cs="Times New Roman" w:eastAsia="Times New Roman" w:hAnsi="Times New Roman"/>
                <w:sz w:val="16"/>
                <w:szCs w:val="16"/>
                <w:color w:val="auto"/>
              </w:rPr>
              <w:t xml:space="preserve">depletion </w:t>
            </w:r>
            <w:r>
              <w:rPr>
                <w:rFonts w:ascii="Times New Roman" w:cs="Times New Roman" w:eastAsia="Times New Roman" w:hAnsi="Times New Roman"/>
                <w:sz w:val="21"/>
                <w:szCs w:val="21"/>
                <w:i w:val="1"/>
                <w:iCs w:val="1"/>
                <w:color w:val="auto"/>
                <w:vertAlign w:val="superscript"/>
              </w:rPr>
              <w:t>(1)</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3,035</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13,190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Depreciation and depletion (includes impairments)</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6,498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 expense</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color w:val="auto"/>
              </w:rPr>
              <w:t>Other taxes and duties</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5,736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Total costs and other deductions</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13,019</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7,561</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31,447</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46,795</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3,289</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4,803</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1,502</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2,694</w:t>
            </w:r>
          </w:p>
        </w:tc>
        <w:tc>
          <w:tcPr>
            <w:tcW w:w="760" w:type="dxa"/>
            <w:vAlign w:val="bottom"/>
            <w:tcBorders>
              <w:bottom w:val="single" w:sz="8" w:color="0C479D"/>
            </w:tcBorders>
            <w:shd w:val="clear" w:color="auto" w:fill="DCDDDE"/>
          </w:tcPr>
          <w:p>
            <w:pPr>
              <w:ind w:left="180"/>
              <w:spacing w:after="0"/>
              <w:rPr>
                <w:sz w:val="20"/>
                <w:szCs w:val="20"/>
                <w:color w:val="auto"/>
              </w:rPr>
            </w:pPr>
            <w:r>
              <w:rPr>
                <w:rFonts w:ascii="Times New Roman" w:cs="Times New Roman" w:eastAsia="Times New Roman" w:hAnsi="Times New Roman"/>
                <w:sz w:val="16"/>
                <w:szCs w:val="16"/>
                <w:b w:val="1"/>
                <w:bCs w:val="1"/>
                <w:color w:val="auto"/>
              </w:rPr>
              <w:t>111,110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Segment income (loss) before income taxes</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6,220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1,027</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(1,997)</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405</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(219)</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475</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8,305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2,762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40" w:type="dxa"/>
            <w:vAlign w:val="bottom"/>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Segment net income (loss) incl. noncontrolling</w:t>
            </w:r>
          </w:p>
        </w:tc>
        <w:tc>
          <w:tcPr>
            <w:tcW w:w="700" w:type="dxa"/>
            <w:vAlign w:val="bottom"/>
            <w:shd w:val="clear" w:color="auto" w:fill="F0F0F0"/>
          </w:tcPr>
          <w:p>
            <w:pPr>
              <w:spacing w:after="0"/>
              <w:rPr>
                <w:sz w:val="13"/>
                <w:szCs w:val="13"/>
                <w:color w:val="auto"/>
              </w:rPr>
            </w:pPr>
          </w:p>
        </w:tc>
        <w:tc>
          <w:tcPr>
            <w:tcW w:w="680" w:type="dxa"/>
            <w:vAlign w:val="bottom"/>
            <w:shd w:val="clear" w:color="auto" w:fill="F0F0F0"/>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shd w:val="clear" w:color="auto" w:fill="F0F0F0"/>
          </w:tcPr>
          <w:p>
            <w:pPr>
              <w:spacing w:after="0"/>
              <w:rPr>
                <w:sz w:val="13"/>
                <w:szCs w:val="13"/>
                <w:color w:val="auto"/>
              </w:rPr>
            </w:pPr>
          </w:p>
        </w:tc>
        <w:tc>
          <w:tcPr>
            <w:tcW w:w="700" w:type="dxa"/>
            <w:vAlign w:val="bottom"/>
            <w:shd w:val="clear" w:color="auto" w:fill="F0F0F0"/>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shd w:val="clear" w:color="auto" w:fill="DCDDD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1,574</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4,264</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726</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(1,796)</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319</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(202)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385</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5,543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44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auto"/>
              </w:rPr>
              <w:t>Net income (loss) attributable to noncontrolling</w:t>
            </w:r>
          </w:p>
        </w:tc>
        <w:tc>
          <w:tcPr>
            <w:tcW w:w="700" w:type="dxa"/>
            <w:vAlign w:val="bottom"/>
            <w:shd w:val="clear" w:color="auto" w:fill="F0F0F0"/>
          </w:tcPr>
          <w:p>
            <w:pPr>
              <w:spacing w:after="0"/>
              <w:rPr>
                <w:sz w:val="14"/>
                <w:szCs w:val="14"/>
                <w:color w:val="auto"/>
              </w:rPr>
            </w:pPr>
          </w:p>
        </w:tc>
        <w:tc>
          <w:tcPr>
            <w:tcW w:w="680" w:type="dxa"/>
            <w:vAlign w:val="bottom"/>
            <w:shd w:val="clear" w:color="auto" w:fill="F0F0F0"/>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shd w:val="clear" w:color="auto" w:fill="F0F0F0"/>
          </w:tcPr>
          <w:p>
            <w:pPr>
              <w:spacing w:after="0"/>
              <w:rPr>
                <w:sz w:val="14"/>
                <w:szCs w:val="14"/>
                <w:color w:val="auto"/>
              </w:rPr>
            </w:pPr>
          </w:p>
        </w:tc>
        <w:tc>
          <w:tcPr>
            <w:tcW w:w="700" w:type="dxa"/>
            <w:vAlign w:val="bottom"/>
            <w:shd w:val="clear" w:color="auto" w:fill="F0F0F0"/>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shd w:val="clear" w:color="auto" w:fill="DCDDD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color w:val="auto"/>
              </w:rPr>
              <w:t>interests</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Segment income (loss)</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1,574</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4,163</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661</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(1,923)</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319</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(209)</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274</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377</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5,236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0C479D"/>
              </w:rPr>
              <w:t>Reconciliation of consolidated revenues</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Segment revenues and other income</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119,415</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440" w:type="dxa"/>
            <w:vAlign w:val="bottom"/>
          </w:tcPr>
          <w:p>
            <w:pPr>
              <w:ind w:left="60"/>
              <w:spacing w:after="0" w:line="241" w:lineRule="exact"/>
              <w:rPr>
                <w:sz w:val="20"/>
                <w:szCs w:val="20"/>
                <w:color w:val="auto"/>
              </w:rPr>
            </w:pPr>
            <w:r>
              <w:rPr>
                <w:rFonts w:ascii="Times New Roman" w:cs="Times New Roman" w:eastAsia="Times New Roman" w:hAnsi="Times New Roman"/>
                <w:sz w:val="16"/>
                <w:szCs w:val="16"/>
                <w:color w:val="auto"/>
              </w:rPr>
              <w:t xml:space="preserve">Other revenues </w:t>
            </w:r>
            <w:r>
              <w:rPr>
                <w:rFonts w:ascii="Times New Roman" w:cs="Times New Roman" w:eastAsia="Times New Roman" w:hAnsi="Times New Roman"/>
                <w:sz w:val="21"/>
                <w:szCs w:val="21"/>
                <w:i w:val="1"/>
                <w:iCs w:val="1"/>
                <w:color w:val="auto"/>
                <w:vertAlign w:val="superscript"/>
              </w:rPr>
              <w:t>(2)</w:t>
            </w: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Elimination of intersegment revenues</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(34,447)</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9740"/>
          </w:cols>
          <w:pgMar w:left="1080" w:top="499" w:right="1079" w:bottom="1440" w:gutter="0" w:footer="0" w:header="0"/>
        </w:sectPr>
      </w:pPr>
    </w:p>
    <w:p>
      <w:pPr>
        <w:ind w:left="60"/>
        <w:spacing w:after="0"/>
        <w:rPr>
          <w:sz w:val="20"/>
          <w:szCs w:val="20"/>
          <w:color w:val="auto"/>
        </w:rPr>
      </w:pPr>
      <w:r>
        <w:rPr>
          <w:rFonts w:ascii="Times New Roman" w:cs="Times New Roman" w:eastAsia="Times New Roman" w:hAnsi="Times New Roman"/>
          <w:sz w:val="16"/>
          <w:szCs w:val="16"/>
          <w:b w:val="1"/>
          <w:bCs w:val="1"/>
          <w:color w:val="auto"/>
        </w:rPr>
        <w:t>Total consolidated revenues and other income</w:t>
      </w:r>
    </w:p>
    <w:p>
      <w:pPr>
        <w:spacing w:after="0" w:line="152" w:lineRule="exact"/>
        <w:rPr>
          <w:sz w:val="20"/>
          <w:szCs w:val="20"/>
          <w:color w:val="auto"/>
        </w:rPr>
      </w:pPr>
    </w:p>
    <w:p>
      <w:pPr>
        <w:ind w:left="60" w:right="280"/>
        <w:spacing w:after="0" w:line="293" w:lineRule="auto"/>
        <w:rPr>
          <w:sz w:val="20"/>
          <w:szCs w:val="20"/>
          <w:color w:val="auto"/>
        </w:rPr>
      </w:pPr>
      <w:r>
        <w:rPr>
          <w:rFonts w:ascii="Times New Roman" w:cs="Times New Roman" w:eastAsia="Times New Roman" w:hAnsi="Times New Roman"/>
          <w:sz w:val="16"/>
          <w:szCs w:val="16"/>
          <w:b w:val="1"/>
          <w:bCs w:val="1"/>
          <w:i w:val="1"/>
          <w:iCs w:val="1"/>
          <w:color w:val="0C479D"/>
        </w:rPr>
        <w:t xml:space="preserve">Reconciliation of income (loss) attributable to ExxonMobil </w:t>
      </w:r>
      <w:r>
        <w:rPr>
          <w:rFonts w:ascii="Times New Roman" w:cs="Times New Roman" w:eastAsia="Times New Roman" w:hAnsi="Times New Roman"/>
          <w:sz w:val="16"/>
          <w:szCs w:val="16"/>
          <w:color w:val="000000"/>
        </w:rPr>
        <w:t>Total segment income (loss)</w:t>
      </w:r>
    </w:p>
    <w:p>
      <w:pPr>
        <w:ind w:left="60"/>
        <w:spacing w:after="0"/>
        <w:rPr>
          <w:sz w:val="20"/>
          <w:szCs w:val="20"/>
          <w:color w:val="auto"/>
        </w:rPr>
      </w:pPr>
      <w:r>
        <w:rPr>
          <w:rFonts w:ascii="Times New Roman" w:cs="Times New Roman" w:eastAsia="Times New Roman" w:hAnsi="Times New Roman"/>
          <w:sz w:val="16"/>
          <w:szCs w:val="16"/>
          <w:color w:val="auto"/>
        </w:rPr>
        <w:t>Corporate and Financing income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85,138</w:t>
      </w:r>
    </w:p>
    <w:p>
      <w:pPr>
        <w:spacing w:after="0" w:line="3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5,236</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(1,053)</w:t>
      </w:r>
    </w:p>
    <w:p>
      <w:pPr>
        <w:spacing w:after="0" w:line="19" w:lineRule="exact"/>
        <w:rPr>
          <w:sz w:val="20"/>
          <w:szCs w:val="20"/>
          <w:color w:val="auto"/>
        </w:rPr>
      </w:pPr>
    </w:p>
    <w:p>
      <w:pPr>
        <w:sectPr>
          <w:pgSz w:w="11900" w:h="16838" w:orient="portrait"/>
          <w:cols w:equalWidth="0" w:num="2">
            <w:col w:w="4280" w:space="720"/>
            <w:col w:w="4740"/>
          </w:cols>
          <w:pgMar w:left="1080" w:top="499" w:right="107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3440" w:type="dxa"/>
            <w:vAlign w:val="bottom"/>
            <w:tcBorders>
              <w:top w:val="single" w:sz="8" w:color="0C479D"/>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Net income (loss) attributable to ExxonMobil</w:t>
            </w:r>
          </w:p>
        </w:tc>
        <w:tc>
          <w:tcPr>
            <w:tcW w:w="700" w:type="dxa"/>
            <w:vAlign w:val="bottom"/>
            <w:tcBorders>
              <w:top w:val="single" w:sz="8" w:color="0C479D"/>
            </w:tcBorders>
          </w:tcPr>
          <w:p>
            <w:pPr>
              <w:spacing w:after="0"/>
              <w:rPr>
                <w:sz w:val="18"/>
                <w:szCs w:val="18"/>
                <w:color w:val="auto"/>
              </w:rPr>
            </w:pPr>
          </w:p>
        </w:tc>
        <w:tc>
          <w:tcPr>
            <w:tcW w:w="680" w:type="dxa"/>
            <w:vAlign w:val="bottom"/>
            <w:tcBorders>
              <w:top w:val="single" w:sz="8" w:color="0C479D"/>
            </w:tcBorders>
          </w:tcPr>
          <w:p>
            <w:pPr>
              <w:spacing w:after="0"/>
              <w:rPr>
                <w:sz w:val="18"/>
                <w:szCs w:val="18"/>
                <w:color w:val="auto"/>
              </w:rPr>
            </w:pPr>
          </w:p>
        </w:tc>
        <w:tc>
          <w:tcPr>
            <w:tcW w:w="7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4,183</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3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44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380" w:type="dxa"/>
            <w:vAlign w:val="bottom"/>
            <w:gridSpan w:val="2"/>
            <w:shd w:val="clear" w:color="auto" w:fill="0C479D"/>
          </w:tcPr>
          <w:p>
            <w:pPr>
              <w:jc w:val="right"/>
              <w:ind w:right="300"/>
              <w:spacing w:after="0"/>
              <w:rPr>
                <w:sz w:val="20"/>
                <w:szCs w:val="20"/>
                <w:color w:val="auto"/>
              </w:rPr>
            </w:pPr>
            <w:r>
              <w:rPr>
                <w:rFonts w:ascii="Times New Roman" w:cs="Times New Roman" w:eastAsia="Times New Roman" w:hAnsi="Times New Roman"/>
                <w:sz w:val="14"/>
                <w:szCs w:val="14"/>
                <w:b w:val="1"/>
                <w:bCs w:val="1"/>
                <w:color w:val="FFFFFF"/>
              </w:rPr>
              <w:t>Upstream</w:t>
            </w:r>
          </w:p>
        </w:tc>
        <w:tc>
          <w:tcPr>
            <w:tcW w:w="1380" w:type="dxa"/>
            <w:vAlign w:val="bottom"/>
            <w:gridSpan w:val="2"/>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Energy Products</w:t>
            </w:r>
          </w:p>
        </w:tc>
        <w:tc>
          <w:tcPr>
            <w:tcW w:w="1380" w:type="dxa"/>
            <w:vAlign w:val="bottom"/>
            <w:gridSpan w:val="2"/>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Chemical Products</w:t>
            </w:r>
          </w:p>
        </w:tc>
        <w:tc>
          <w:tcPr>
            <w:tcW w:w="1380" w:type="dxa"/>
            <w:vAlign w:val="bottom"/>
            <w:tcBorders>
              <w:left w:val="single" w:sz="8" w:color="0C479D"/>
            </w:tcBorders>
            <w:gridSpan w:val="2"/>
            <w:shd w:val="clear" w:color="auto" w:fill="0C479D"/>
          </w:tcPr>
          <w:p>
            <w:pPr>
              <w:jc w:val="right"/>
              <w:ind w:right="41"/>
              <w:spacing w:after="0"/>
              <w:rPr>
                <w:sz w:val="20"/>
                <w:szCs w:val="20"/>
                <w:color w:val="auto"/>
              </w:rPr>
            </w:pPr>
            <w:r>
              <w:rPr>
                <w:rFonts w:ascii="Times New Roman" w:cs="Times New Roman" w:eastAsia="Times New Roman" w:hAnsi="Times New Roman"/>
                <w:sz w:val="14"/>
                <w:szCs w:val="14"/>
                <w:b w:val="1"/>
                <w:bCs w:val="1"/>
                <w:color w:val="FFFFFF"/>
              </w:rPr>
              <w:t>Specialty Products</w:t>
            </w:r>
          </w:p>
        </w:tc>
        <w:tc>
          <w:tcPr>
            <w:tcW w:w="760" w:type="dxa"/>
            <w:vAlign w:val="bottom"/>
            <w:shd w:val="clear" w:color="auto" w:fill="0C479D"/>
          </w:tcPr>
          <w:p>
            <w:pPr>
              <w:jc w:val="right"/>
              <w:ind w:right="43"/>
              <w:spacing w:after="0"/>
              <w:rPr>
                <w:sz w:val="20"/>
                <w:szCs w:val="20"/>
                <w:color w:val="auto"/>
              </w:rPr>
            </w:pPr>
            <w:r>
              <w:rPr>
                <w:rFonts w:ascii="Times New Roman" w:cs="Times New Roman" w:eastAsia="Times New Roman" w:hAnsi="Times New Roman"/>
                <w:sz w:val="14"/>
                <w:szCs w:val="14"/>
                <w:b w:val="1"/>
                <w:bCs w:val="1"/>
                <w:color w:val="FFFFFF"/>
              </w:rPr>
              <w:t>Segment</w:t>
            </w:r>
          </w:p>
        </w:tc>
        <w:tc>
          <w:tcPr>
            <w:tcW w:w="2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3440" w:type="dxa"/>
            <w:vAlign w:val="bottom"/>
            <w:vMerge w:val="continue"/>
            <w:shd w:val="clear" w:color="auto" w:fill="0C479D"/>
          </w:tcPr>
          <w:p>
            <w:pPr>
              <w:spacing w:after="0"/>
              <w:rPr>
                <w:sz w:val="9"/>
                <w:szCs w:val="9"/>
                <w:color w:val="auto"/>
              </w:rPr>
            </w:pPr>
          </w:p>
        </w:tc>
        <w:tc>
          <w:tcPr>
            <w:tcW w:w="700" w:type="dxa"/>
            <w:vAlign w:val="bottom"/>
            <w:vMerge w:val="restart"/>
            <w:shd w:val="clear" w:color="auto" w:fill="0C479D"/>
          </w:tcPr>
          <w:p>
            <w:pPr>
              <w:jc w:val="right"/>
              <w:ind w:right="144"/>
              <w:spacing w:after="0"/>
              <w:rPr>
                <w:sz w:val="20"/>
                <w:szCs w:val="20"/>
                <w:color w:val="auto"/>
              </w:rPr>
            </w:pPr>
            <w:r>
              <w:rPr>
                <w:rFonts w:ascii="Times New Roman" w:cs="Times New Roman" w:eastAsia="Times New Roman" w:hAnsi="Times New Roman"/>
                <w:sz w:val="14"/>
                <w:szCs w:val="14"/>
                <w:b w:val="1"/>
                <w:bCs w:val="1"/>
                <w:color w:val="FFFFFF"/>
              </w:rPr>
              <w:t>U.S.</w:t>
            </w:r>
          </w:p>
        </w:tc>
        <w:tc>
          <w:tcPr>
            <w:tcW w:w="68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00" w:type="dxa"/>
            <w:vAlign w:val="bottom"/>
            <w:vMerge w:val="restart"/>
            <w:shd w:val="clear" w:color="auto" w:fill="0C479D"/>
          </w:tcPr>
          <w:p>
            <w:pPr>
              <w:jc w:val="right"/>
              <w:ind w:right="144"/>
              <w:spacing w:after="0"/>
              <w:rPr>
                <w:sz w:val="20"/>
                <w:szCs w:val="20"/>
                <w:color w:val="auto"/>
              </w:rPr>
            </w:pPr>
            <w:r>
              <w:rPr>
                <w:rFonts w:ascii="Times New Roman" w:cs="Times New Roman" w:eastAsia="Times New Roman" w:hAnsi="Times New Roman"/>
                <w:sz w:val="14"/>
                <w:szCs w:val="14"/>
                <w:b w:val="1"/>
                <w:bCs w:val="1"/>
                <w:color w:val="FFFFFF"/>
              </w:rPr>
              <w:t>U.S.</w:t>
            </w:r>
          </w:p>
        </w:tc>
        <w:tc>
          <w:tcPr>
            <w:tcW w:w="68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80" w:type="dxa"/>
            <w:vAlign w:val="bottom"/>
            <w:vMerge w:val="restart"/>
            <w:shd w:val="clear" w:color="auto" w:fill="0C479D"/>
          </w:tcPr>
          <w:p>
            <w:pPr>
              <w:jc w:val="right"/>
              <w:ind w:right="124"/>
              <w:spacing w:after="0"/>
              <w:rPr>
                <w:sz w:val="20"/>
                <w:szCs w:val="20"/>
                <w:color w:val="auto"/>
              </w:rPr>
            </w:pPr>
            <w:r>
              <w:rPr>
                <w:rFonts w:ascii="Times New Roman" w:cs="Times New Roman" w:eastAsia="Times New Roman" w:hAnsi="Times New Roman"/>
                <w:sz w:val="14"/>
                <w:szCs w:val="14"/>
                <w:b w:val="1"/>
                <w:bCs w:val="1"/>
                <w:color w:val="FFFFFF"/>
              </w:rPr>
              <w:t>U.S.</w:t>
            </w:r>
          </w:p>
        </w:tc>
        <w:tc>
          <w:tcPr>
            <w:tcW w:w="70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80" w:type="dxa"/>
            <w:vAlign w:val="bottom"/>
            <w:tcBorders>
              <w:left w:val="single" w:sz="8" w:color="0C479D"/>
            </w:tcBorders>
            <w:vMerge w:val="restart"/>
            <w:shd w:val="clear" w:color="auto" w:fill="0C479D"/>
          </w:tcPr>
          <w:p>
            <w:pPr>
              <w:jc w:val="right"/>
              <w:ind w:right="143"/>
              <w:spacing w:after="0"/>
              <w:rPr>
                <w:sz w:val="20"/>
                <w:szCs w:val="20"/>
                <w:color w:val="auto"/>
              </w:rPr>
            </w:pPr>
            <w:r>
              <w:rPr>
                <w:rFonts w:ascii="Times New Roman" w:cs="Times New Roman" w:eastAsia="Times New Roman" w:hAnsi="Times New Roman"/>
                <w:sz w:val="14"/>
                <w:szCs w:val="14"/>
                <w:b w:val="1"/>
                <w:bCs w:val="1"/>
                <w:color w:val="FFFFFF"/>
              </w:rPr>
              <w:t>U.S.</w:t>
            </w:r>
          </w:p>
        </w:tc>
        <w:tc>
          <w:tcPr>
            <w:tcW w:w="70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60" w:type="dxa"/>
            <w:vAlign w:val="bottom"/>
            <w:vMerge w:val="restart"/>
            <w:shd w:val="clear" w:color="auto" w:fill="0C479D"/>
          </w:tcPr>
          <w:p>
            <w:pPr>
              <w:jc w:val="right"/>
              <w:ind w:right="163"/>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20" w:type="dxa"/>
            <w:vAlign w:val="bottom"/>
            <w:shd w:val="clear" w:color="auto" w:fill="0C479D"/>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440" w:type="dxa"/>
            <w:vAlign w:val="bottom"/>
            <w:tcBorders>
              <w:bottom w:val="single" w:sz="8" w:color="0C479D"/>
            </w:tcBorders>
            <w:shd w:val="clear" w:color="auto" w:fill="0C479D"/>
          </w:tcPr>
          <w:p>
            <w:pPr>
              <w:spacing w:after="0"/>
              <w:rPr>
                <w:sz w:val="10"/>
                <w:szCs w:val="10"/>
                <w:color w:val="auto"/>
              </w:rPr>
            </w:pPr>
          </w:p>
        </w:tc>
        <w:tc>
          <w:tcPr>
            <w:tcW w:w="700" w:type="dxa"/>
            <w:vAlign w:val="bottom"/>
            <w:tcBorders>
              <w:bottom w:val="single" w:sz="8" w:color="0C479D"/>
            </w:tcBorders>
            <w:vMerge w:val="continue"/>
            <w:shd w:val="clear" w:color="auto" w:fill="0C479D"/>
          </w:tcPr>
          <w:p>
            <w:pPr>
              <w:spacing w:after="0"/>
              <w:rPr>
                <w:sz w:val="10"/>
                <w:szCs w:val="10"/>
                <w:color w:val="auto"/>
              </w:rPr>
            </w:pPr>
          </w:p>
        </w:tc>
        <w:tc>
          <w:tcPr>
            <w:tcW w:w="680" w:type="dxa"/>
            <w:vAlign w:val="bottom"/>
            <w:tcBorders>
              <w:bottom w:val="single" w:sz="8" w:color="0C479D"/>
            </w:tcBorders>
            <w:vMerge w:val="continue"/>
            <w:shd w:val="clear" w:color="auto" w:fill="0C479D"/>
          </w:tcPr>
          <w:p>
            <w:pPr>
              <w:spacing w:after="0"/>
              <w:rPr>
                <w:sz w:val="10"/>
                <w:szCs w:val="10"/>
                <w:color w:val="auto"/>
              </w:rPr>
            </w:pPr>
          </w:p>
        </w:tc>
        <w:tc>
          <w:tcPr>
            <w:tcW w:w="700" w:type="dxa"/>
            <w:vAlign w:val="bottom"/>
            <w:tcBorders>
              <w:bottom w:val="single" w:sz="8" w:color="0C479D"/>
            </w:tcBorders>
            <w:vMerge w:val="continue"/>
            <w:shd w:val="clear" w:color="auto" w:fill="0C479D"/>
          </w:tcPr>
          <w:p>
            <w:pPr>
              <w:spacing w:after="0"/>
              <w:rPr>
                <w:sz w:val="10"/>
                <w:szCs w:val="10"/>
                <w:color w:val="auto"/>
              </w:rPr>
            </w:pPr>
          </w:p>
        </w:tc>
        <w:tc>
          <w:tcPr>
            <w:tcW w:w="680" w:type="dxa"/>
            <w:vAlign w:val="bottom"/>
            <w:tcBorders>
              <w:bottom w:val="single" w:sz="8" w:color="0C479D"/>
            </w:tcBorders>
            <w:vMerge w:val="continue"/>
            <w:shd w:val="clear" w:color="auto" w:fill="0C479D"/>
          </w:tcPr>
          <w:p>
            <w:pPr>
              <w:spacing w:after="0"/>
              <w:rPr>
                <w:sz w:val="10"/>
                <w:szCs w:val="10"/>
                <w:color w:val="auto"/>
              </w:rPr>
            </w:pPr>
          </w:p>
        </w:tc>
        <w:tc>
          <w:tcPr>
            <w:tcW w:w="680" w:type="dxa"/>
            <w:vAlign w:val="bottom"/>
            <w:tcBorders>
              <w:bottom w:val="single" w:sz="8" w:color="0C479D"/>
            </w:tcBorders>
            <w:vMerge w:val="continue"/>
            <w:shd w:val="clear" w:color="auto" w:fill="0C479D"/>
          </w:tcPr>
          <w:p>
            <w:pPr>
              <w:spacing w:after="0"/>
              <w:rPr>
                <w:sz w:val="10"/>
                <w:szCs w:val="10"/>
                <w:color w:val="auto"/>
              </w:rPr>
            </w:pPr>
          </w:p>
        </w:tc>
        <w:tc>
          <w:tcPr>
            <w:tcW w:w="700" w:type="dxa"/>
            <w:vAlign w:val="bottom"/>
            <w:tcBorders>
              <w:bottom w:val="single" w:sz="8" w:color="0C479D"/>
            </w:tcBorders>
            <w:vMerge w:val="continue"/>
            <w:shd w:val="clear" w:color="auto" w:fill="0C479D"/>
          </w:tcPr>
          <w:p>
            <w:pPr>
              <w:spacing w:after="0"/>
              <w:rPr>
                <w:sz w:val="10"/>
                <w:szCs w:val="10"/>
                <w:color w:val="auto"/>
              </w:rPr>
            </w:pPr>
          </w:p>
        </w:tc>
        <w:tc>
          <w:tcPr>
            <w:tcW w:w="680" w:type="dxa"/>
            <w:vAlign w:val="bottom"/>
            <w:tcBorders>
              <w:left w:val="single" w:sz="8" w:color="0C479D"/>
              <w:bottom w:val="single" w:sz="8" w:color="0C479D"/>
            </w:tcBorders>
            <w:vMerge w:val="continue"/>
            <w:shd w:val="clear" w:color="auto" w:fill="0C479D"/>
          </w:tcPr>
          <w:p>
            <w:pPr>
              <w:spacing w:after="0"/>
              <w:rPr>
                <w:sz w:val="10"/>
                <w:szCs w:val="10"/>
                <w:color w:val="auto"/>
              </w:rPr>
            </w:pPr>
          </w:p>
        </w:tc>
        <w:tc>
          <w:tcPr>
            <w:tcW w:w="700" w:type="dxa"/>
            <w:vAlign w:val="bottom"/>
            <w:tcBorders>
              <w:bottom w:val="single" w:sz="8" w:color="0C479D"/>
            </w:tcBorders>
            <w:vMerge w:val="continue"/>
            <w:shd w:val="clear" w:color="auto" w:fill="0C479D"/>
          </w:tcPr>
          <w:p>
            <w:pPr>
              <w:spacing w:after="0"/>
              <w:rPr>
                <w:sz w:val="10"/>
                <w:szCs w:val="10"/>
                <w:color w:val="auto"/>
              </w:rPr>
            </w:pPr>
          </w:p>
        </w:tc>
        <w:tc>
          <w:tcPr>
            <w:tcW w:w="760" w:type="dxa"/>
            <w:vAlign w:val="bottom"/>
            <w:tcBorders>
              <w:bottom w:val="single" w:sz="8" w:color="0C479D"/>
            </w:tcBorders>
            <w:vMerge w:val="continue"/>
            <w:shd w:val="clear" w:color="auto" w:fill="0C479D"/>
          </w:tcPr>
          <w:p>
            <w:pPr>
              <w:spacing w:after="0"/>
              <w:rPr>
                <w:sz w:val="10"/>
                <w:szCs w:val="10"/>
                <w:color w:val="auto"/>
              </w:rPr>
            </w:pPr>
          </w:p>
        </w:tc>
        <w:tc>
          <w:tcPr>
            <w:tcW w:w="20" w:type="dxa"/>
            <w:vAlign w:val="bottom"/>
            <w:tcBorders>
              <w:bottom w:val="single" w:sz="8" w:color="0C479D"/>
            </w:tcBorders>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700" w:type="dxa"/>
            <w:vAlign w:val="bottom"/>
            <w:shd w:val="clear" w:color="auto" w:fill="F0F0F0"/>
          </w:tcPr>
          <w:p>
            <w:pPr>
              <w:spacing w:after="0"/>
              <w:rPr>
                <w:sz w:val="18"/>
                <w:szCs w:val="18"/>
                <w:color w:val="auto"/>
              </w:rPr>
            </w:pPr>
          </w:p>
        </w:tc>
        <w:tc>
          <w:tcPr>
            <w:tcW w:w="680" w:type="dxa"/>
            <w:vAlign w:val="bottom"/>
            <w:shd w:val="clear" w:color="auto" w:fill="F0F0F0"/>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shd w:val="clear" w:color="auto" w:fill="F0F0F0"/>
          </w:tcPr>
          <w:p>
            <w:pPr>
              <w:spacing w:after="0"/>
              <w:rPr>
                <w:sz w:val="18"/>
                <w:szCs w:val="18"/>
                <w:color w:val="auto"/>
              </w:rPr>
            </w:pPr>
          </w:p>
        </w:tc>
        <w:tc>
          <w:tcPr>
            <w:tcW w:w="700" w:type="dxa"/>
            <w:vAlign w:val="bottom"/>
            <w:shd w:val="clear" w:color="auto" w:fill="F0F0F0"/>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shd w:val="clear" w:color="auto" w:fill="DCDDD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Additions to property, plant and equipment </w:t>
            </w:r>
            <w:r>
              <w:rPr>
                <w:rFonts w:ascii="Times New Roman" w:cs="Times New Roman" w:eastAsia="Times New Roman" w:hAnsi="Times New Roman"/>
                <w:sz w:val="21"/>
                <w:szCs w:val="21"/>
                <w:i w:val="1"/>
                <w:iCs w:val="1"/>
                <w:color w:val="auto"/>
                <w:vertAlign w:val="superscript"/>
              </w:rPr>
              <w:t>(3)</w:t>
            </w:r>
          </w:p>
        </w:tc>
        <w:tc>
          <w:tcPr>
            <w:tcW w:w="700" w:type="dxa"/>
            <w:vAlign w:val="bottom"/>
            <w:shd w:val="clear" w:color="auto" w:fill="F0F0F0"/>
          </w:tcPr>
          <w:p>
            <w:pPr>
              <w:jc w:val="right"/>
              <w:ind w:right="4"/>
              <w:spacing w:after="0"/>
              <w:rPr>
                <w:sz w:val="20"/>
                <w:szCs w:val="20"/>
                <w:color w:val="auto"/>
              </w:rPr>
            </w:pPr>
            <w:r>
              <w:rPr>
                <w:rFonts w:ascii="Times New Roman" w:cs="Times New Roman" w:eastAsia="Times New Roman" w:hAnsi="Times New Roman"/>
                <w:sz w:val="16"/>
                <w:szCs w:val="16"/>
                <w:color w:val="auto"/>
              </w:rPr>
              <w:t>3,275</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851</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6,407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700" w:type="dxa"/>
            <w:vAlign w:val="bottom"/>
            <w:shd w:val="clear" w:color="auto" w:fill="F0F0F0"/>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700" w:type="dxa"/>
            <w:vAlign w:val="bottom"/>
            <w:shd w:val="clear" w:color="auto" w:fill="F0F0F0"/>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shd w:val="clear" w:color="auto" w:fill="DCDD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Investments in equity companies</w:t>
            </w:r>
          </w:p>
        </w:tc>
        <w:tc>
          <w:tcPr>
            <w:tcW w:w="700" w:type="dxa"/>
            <w:vAlign w:val="bottom"/>
            <w:shd w:val="clear" w:color="auto" w:fill="F0F0F0"/>
          </w:tcPr>
          <w:p>
            <w:pPr>
              <w:jc w:val="right"/>
              <w:ind w:right="4"/>
              <w:spacing w:after="0"/>
              <w:rPr>
                <w:sz w:val="20"/>
                <w:szCs w:val="20"/>
                <w:color w:val="auto"/>
              </w:rPr>
            </w:pPr>
            <w:r>
              <w:rPr>
                <w:rFonts w:ascii="Times New Roman" w:cs="Times New Roman" w:eastAsia="Times New Roman" w:hAnsi="Times New Roman"/>
                <w:sz w:val="16"/>
                <w:szCs w:val="16"/>
                <w:color w:val="auto"/>
              </w:rPr>
              <w:t>5,669</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19,909</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463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752</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33,830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color w:val="auto"/>
              </w:rPr>
              <w:t>Total assets</w:t>
            </w:r>
          </w:p>
        </w:tc>
        <w:tc>
          <w:tcPr>
            <w:tcW w:w="700" w:type="dxa"/>
            <w:vAlign w:val="bottom"/>
            <w:tcBorders>
              <w:bottom w:val="single" w:sz="8" w:color="0C479D"/>
            </w:tcBorders>
            <w:shd w:val="clear" w:color="auto" w:fill="F0F0F0"/>
          </w:tcPr>
          <w:p>
            <w:pPr>
              <w:jc w:val="right"/>
              <w:ind w:right="4"/>
              <w:spacing w:after="0"/>
              <w:rPr>
                <w:sz w:val="20"/>
                <w:szCs w:val="20"/>
                <w:color w:val="auto"/>
              </w:rPr>
            </w:pPr>
            <w:r>
              <w:rPr>
                <w:rFonts w:ascii="Times New Roman" w:cs="Times New Roman" w:eastAsia="Times New Roman" w:hAnsi="Times New Roman"/>
                <w:sz w:val="16"/>
                <w:szCs w:val="16"/>
                <w:color w:val="auto"/>
              </w:rPr>
              <w:t>153,871</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137,240</w:t>
            </w:r>
          </w:p>
        </w:tc>
        <w:tc>
          <w:tcPr>
            <w:tcW w:w="700" w:type="dxa"/>
            <w:vAlign w:val="bottom"/>
            <w:tcBorders>
              <w:bottom w:val="single" w:sz="8" w:color="0C479D"/>
            </w:tcBorders>
          </w:tcPr>
          <w:p>
            <w:pPr>
              <w:jc w:val="right"/>
              <w:ind w:right="4"/>
              <w:spacing w:after="0"/>
              <w:rPr>
                <w:sz w:val="20"/>
                <w:szCs w:val="20"/>
                <w:color w:val="auto"/>
              </w:rPr>
            </w:pPr>
            <w:r>
              <w:rPr>
                <w:rFonts w:ascii="Times New Roman" w:cs="Times New Roman" w:eastAsia="Times New Roman" w:hAnsi="Times New Roman"/>
                <w:sz w:val="16"/>
                <w:szCs w:val="16"/>
                <w:color w:val="auto"/>
              </w:rPr>
              <w:t>39,224</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54,765</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17,682</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18,097</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70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7,843</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431,609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4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i w:val="1"/>
                <w:iCs w:val="1"/>
                <w:color w:val="0C479D"/>
              </w:rPr>
              <w:t>Reconciliation to Corporate Total</w:t>
            </w:r>
          </w:p>
        </w:tc>
        <w:tc>
          <w:tcPr>
            <w:tcW w:w="1380" w:type="dxa"/>
            <w:vAlign w:val="bottom"/>
            <w:gridSpan w:val="2"/>
            <w:vMerge w:val="restart"/>
            <w:shd w:val="clear" w:color="auto" w:fill="0C479D"/>
          </w:tcPr>
          <w:p>
            <w:pPr>
              <w:jc w:val="right"/>
              <w:ind w:right="180"/>
              <w:spacing w:after="0"/>
              <w:rPr>
                <w:sz w:val="20"/>
                <w:szCs w:val="20"/>
                <w:color w:val="auto"/>
              </w:rPr>
            </w:pPr>
            <w:r>
              <w:rPr>
                <w:rFonts w:ascii="Times New Roman" w:cs="Times New Roman" w:eastAsia="Times New Roman" w:hAnsi="Times New Roman"/>
                <w:sz w:val="14"/>
                <w:szCs w:val="14"/>
                <w:b w:val="1"/>
                <w:bCs w:val="1"/>
                <w:color w:val="FFFFFF"/>
              </w:rPr>
              <w:t>Segment Total</w:t>
            </w:r>
          </w:p>
        </w:tc>
        <w:tc>
          <w:tcPr>
            <w:tcW w:w="1380" w:type="dxa"/>
            <w:vAlign w:val="bottom"/>
            <w:gridSpan w:val="2"/>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Corporate and</w:t>
            </w:r>
          </w:p>
        </w:tc>
        <w:tc>
          <w:tcPr>
            <w:tcW w:w="1380" w:type="dxa"/>
            <w:vAlign w:val="bottom"/>
            <w:gridSpan w:val="2"/>
            <w:vMerge w:val="restart"/>
            <w:shd w:val="clear" w:color="auto" w:fill="0C479D"/>
          </w:tcPr>
          <w:p>
            <w:pPr>
              <w:jc w:val="right"/>
              <w:ind w:right="120"/>
              <w:spacing w:after="0"/>
              <w:rPr>
                <w:sz w:val="20"/>
                <w:szCs w:val="20"/>
                <w:color w:val="auto"/>
              </w:rPr>
            </w:pPr>
            <w:r>
              <w:rPr>
                <w:rFonts w:ascii="Times New Roman" w:cs="Times New Roman" w:eastAsia="Times New Roman" w:hAnsi="Times New Roman"/>
                <w:sz w:val="14"/>
                <w:szCs w:val="14"/>
                <w:b w:val="1"/>
                <w:bCs w:val="1"/>
                <w:color w:val="FFFFFF"/>
              </w:rPr>
              <w:t>Corporate Total</w:t>
            </w:r>
          </w:p>
        </w:tc>
        <w:tc>
          <w:tcPr>
            <w:tcW w:w="680" w:type="dxa"/>
            <w:vAlign w:val="bottom"/>
            <w:tcBorders>
              <w:left w:val="single" w:sz="8" w:color="0C479D"/>
            </w:tcBorders>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40" w:type="dxa"/>
            <w:vAlign w:val="bottom"/>
            <w:vMerge w:val="continue"/>
          </w:tcPr>
          <w:p>
            <w:pPr>
              <w:spacing w:after="0"/>
              <w:rPr>
                <w:sz w:val="11"/>
                <w:szCs w:val="11"/>
                <w:color w:val="auto"/>
              </w:rPr>
            </w:pPr>
          </w:p>
        </w:tc>
        <w:tc>
          <w:tcPr>
            <w:tcW w:w="1380" w:type="dxa"/>
            <w:vAlign w:val="bottom"/>
            <w:gridSpan w:val="2"/>
            <w:vMerge w:val="continue"/>
            <w:shd w:val="clear" w:color="auto" w:fill="0C479D"/>
          </w:tcPr>
          <w:p>
            <w:pPr>
              <w:spacing w:after="0"/>
              <w:rPr>
                <w:sz w:val="11"/>
                <w:szCs w:val="11"/>
                <w:color w:val="auto"/>
              </w:rPr>
            </w:pPr>
          </w:p>
        </w:tc>
        <w:tc>
          <w:tcPr>
            <w:tcW w:w="1380" w:type="dxa"/>
            <w:vAlign w:val="bottom"/>
            <w:gridSpan w:val="2"/>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Financing</w:t>
            </w:r>
          </w:p>
        </w:tc>
        <w:tc>
          <w:tcPr>
            <w:tcW w:w="1380" w:type="dxa"/>
            <w:vAlign w:val="bottom"/>
            <w:gridSpan w:val="2"/>
            <w:vMerge w:val="continue"/>
            <w:shd w:val="clear" w:color="auto" w:fill="0C479D"/>
          </w:tcPr>
          <w:p>
            <w:pPr>
              <w:spacing w:after="0"/>
              <w:rPr>
                <w:sz w:val="11"/>
                <w:szCs w:val="11"/>
                <w:color w:val="auto"/>
              </w:rPr>
            </w:pPr>
          </w:p>
        </w:tc>
        <w:tc>
          <w:tcPr>
            <w:tcW w:w="680" w:type="dxa"/>
            <w:vAlign w:val="bottom"/>
            <w:tcBorders>
              <w:left w:val="single" w:sz="8" w:color="0C479D"/>
            </w:tcBorders>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3440" w:type="dxa"/>
            <w:vAlign w:val="bottom"/>
          </w:tcPr>
          <w:p>
            <w:pPr>
              <w:spacing w:after="0"/>
              <w:rPr>
                <w:sz w:val="5"/>
                <w:szCs w:val="5"/>
                <w:color w:val="auto"/>
              </w:rPr>
            </w:pPr>
          </w:p>
        </w:tc>
        <w:tc>
          <w:tcPr>
            <w:tcW w:w="700" w:type="dxa"/>
            <w:vAlign w:val="bottom"/>
            <w:tcBorders>
              <w:bottom w:val="single" w:sz="8" w:color="0C479D"/>
            </w:tcBorders>
            <w:shd w:val="clear" w:color="auto" w:fill="0C479D"/>
          </w:tcPr>
          <w:p>
            <w:pPr>
              <w:spacing w:after="0"/>
              <w:rPr>
                <w:sz w:val="5"/>
                <w:szCs w:val="5"/>
                <w:color w:val="auto"/>
              </w:rPr>
            </w:pPr>
          </w:p>
        </w:tc>
        <w:tc>
          <w:tcPr>
            <w:tcW w:w="680" w:type="dxa"/>
            <w:vAlign w:val="bottom"/>
            <w:tcBorders>
              <w:bottom w:val="single" w:sz="8" w:color="0C479D"/>
            </w:tcBorders>
            <w:shd w:val="clear" w:color="auto" w:fill="0C479D"/>
          </w:tcPr>
          <w:p>
            <w:pPr>
              <w:spacing w:after="0"/>
              <w:rPr>
                <w:sz w:val="5"/>
                <w:szCs w:val="5"/>
                <w:color w:val="auto"/>
              </w:rPr>
            </w:pPr>
          </w:p>
        </w:tc>
        <w:tc>
          <w:tcPr>
            <w:tcW w:w="1380" w:type="dxa"/>
            <w:vAlign w:val="bottom"/>
            <w:tcBorders>
              <w:bottom w:val="single" w:sz="8" w:color="0C479D"/>
            </w:tcBorders>
            <w:gridSpan w:val="2"/>
            <w:vMerge w:val="continue"/>
            <w:shd w:val="clear" w:color="auto" w:fill="0C479D"/>
          </w:tcPr>
          <w:p>
            <w:pPr>
              <w:spacing w:after="0"/>
              <w:rPr>
                <w:sz w:val="5"/>
                <w:szCs w:val="5"/>
                <w:color w:val="auto"/>
              </w:rPr>
            </w:pPr>
          </w:p>
        </w:tc>
        <w:tc>
          <w:tcPr>
            <w:tcW w:w="680" w:type="dxa"/>
            <w:vAlign w:val="bottom"/>
            <w:tcBorders>
              <w:bottom w:val="single" w:sz="8" w:color="0C479D"/>
            </w:tcBorders>
            <w:shd w:val="clear" w:color="auto" w:fill="0C479D"/>
          </w:tcPr>
          <w:p>
            <w:pPr>
              <w:spacing w:after="0"/>
              <w:rPr>
                <w:sz w:val="5"/>
                <w:szCs w:val="5"/>
                <w:color w:val="auto"/>
              </w:rPr>
            </w:pPr>
          </w:p>
        </w:tc>
        <w:tc>
          <w:tcPr>
            <w:tcW w:w="700" w:type="dxa"/>
            <w:vAlign w:val="bottom"/>
            <w:tcBorders>
              <w:bottom w:val="single" w:sz="8" w:color="0C479D"/>
            </w:tcBorders>
            <w:shd w:val="clear" w:color="auto" w:fill="0C479D"/>
          </w:tcPr>
          <w:p>
            <w:pPr>
              <w:spacing w:after="0"/>
              <w:rPr>
                <w:sz w:val="5"/>
                <w:szCs w:val="5"/>
                <w:color w:val="auto"/>
              </w:rPr>
            </w:pPr>
          </w:p>
        </w:tc>
        <w:tc>
          <w:tcPr>
            <w:tcW w:w="680" w:type="dxa"/>
            <w:vAlign w:val="bottom"/>
            <w:tcBorders>
              <w:left w:val="single" w:sz="8" w:color="0C479D"/>
            </w:tcBorders>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700" w:type="dxa"/>
            <w:vAlign w:val="bottom"/>
            <w:shd w:val="clear" w:color="auto" w:fill="F0F0F0"/>
          </w:tcPr>
          <w:p>
            <w:pPr>
              <w:spacing w:after="0"/>
              <w:rPr>
                <w:sz w:val="18"/>
                <w:szCs w:val="18"/>
                <w:color w:val="auto"/>
              </w:rPr>
            </w:pPr>
          </w:p>
        </w:tc>
        <w:tc>
          <w:tcPr>
            <w:tcW w:w="680" w:type="dxa"/>
            <w:vAlign w:val="bottom"/>
            <w:shd w:val="clear" w:color="auto" w:fill="F0F0F0"/>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shd w:val="clear" w:color="auto" w:fill="DCDDDE"/>
          </w:tcPr>
          <w:p>
            <w:pPr>
              <w:spacing w:after="0"/>
              <w:rPr>
                <w:sz w:val="18"/>
                <w:szCs w:val="18"/>
                <w:color w:val="auto"/>
              </w:rPr>
            </w:pPr>
          </w:p>
        </w:tc>
        <w:tc>
          <w:tcPr>
            <w:tcW w:w="700" w:type="dxa"/>
            <w:vAlign w:val="bottom"/>
            <w:shd w:val="clear" w:color="auto" w:fill="DCDDDE"/>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40" w:type="dxa"/>
            <w:vAlign w:val="bottom"/>
          </w:tcPr>
          <w:p>
            <w:pPr>
              <w:ind w:left="60"/>
              <w:spacing w:after="0" w:line="236" w:lineRule="exact"/>
              <w:rPr>
                <w:sz w:val="20"/>
                <w:szCs w:val="20"/>
                <w:color w:val="auto"/>
              </w:rPr>
            </w:pPr>
            <w:r>
              <w:rPr>
                <w:rFonts w:ascii="Times New Roman" w:cs="Times New Roman" w:eastAsia="Times New Roman" w:hAnsi="Times New Roman"/>
                <w:sz w:val="16"/>
                <w:szCs w:val="16"/>
                <w:color w:val="auto"/>
              </w:rPr>
              <w:t xml:space="preserve">Additions to property, plant and equipment </w:t>
            </w:r>
            <w:r>
              <w:rPr>
                <w:rFonts w:ascii="Times New Roman" w:cs="Times New Roman" w:eastAsia="Times New Roman" w:hAnsi="Times New Roman"/>
                <w:sz w:val="21"/>
                <w:szCs w:val="21"/>
                <w:i w:val="1"/>
                <w:iCs w:val="1"/>
                <w:color w:val="auto"/>
                <w:vertAlign w:val="superscript"/>
              </w:rPr>
              <w:t>(3)</w:t>
            </w:r>
          </w:p>
        </w:tc>
        <w:tc>
          <w:tcPr>
            <w:tcW w:w="700" w:type="dxa"/>
            <w:vAlign w:val="bottom"/>
            <w:shd w:val="clear" w:color="auto" w:fill="F0F0F0"/>
          </w:tcPr>
          <w:p>
            <w:pPr>
              <w:spacing w:after="0"/>
              <w:rPr>
                <w:sz w:val="20"/>
                <w:szCs w:val="20"/>
                <w:color w:val="auto"/>
              </w:rPr>
            </w:pP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6,407</w:t>
            </w:r>
          </w:p>
        </w:tc>
        <w:tc>
          <w:tcPr>
            <w:tcW w:w="7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680" w:type="dxa"/>
            <w:vAlign w:val="bottom"/>
            <w:shd w:val="clear" w:color="auto" w:fill="DCDDDE"/>
          </w:tcPr>
          <w:p>
            <w:pPr>
              <w:spacing w:after="0"/>
              <w:rPr>
                <w:sz w:val="20"/>
                <w:szCs w:val="20"/>
                <w:color w:val="auto"/>
              </w:rPr>
            </w:pPr>
          </w:p>
        </w:tc>
        <w:tc>
          <w:tcPr>
            <w:tcW w:w="70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6,754</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700" w:type="dxa"/>
            <w:vAlign w:val="bottom"/>
            <w:shd w:val="clear" w:color="auto" w:fill="F0F0F0"/>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shd w:val="clear" w:color="auto" w:fill="DCDDDE"/>
          </w:tcPr>
          <w:p>
            <w:pPr>
              <w:spacing w:after="0"/>
              <w:rPr>
                <w:sz w:val="24"/>
                <w:szCs w:val="24"/>
                <w:color w:val="auto"/>
              </w:rPr>
            </w:pPr>
          </w:p>
        </w:tc>
        <w:tc>
          <w:tcPr>
            <w:tcW w:w="700" w:type="dxa"/>
            <w:vAlign w:val="bottom"/>
            <w:shd w:val="clear" w:color="auto" w:fill="DCDDDE"/>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Investments in equity companies</w:t>
            </w:r>
          </w:p>
        </w:tc>
        <w:tc>
          <w:tcPr>
            <w:tcW w:w="700" w:type="dxa"/>
            <w:vAlign w:val="bottom"/>
            <w:shd w:val="clear" w:color="auto" w:fill="F0F0F0"/>
          </w:tcPr>
          <w:p>
            <w:pPr>
              <w:spacing w:after="0"/>
              <w:rPr>
                <w:sz w:val="21"/>
                <w:szCs w:val="21"/>
                <w:color w:val="auto"/>
              </w:rPr>
            </w:pP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33,830</w:t>
            </w:r>
          </w:p>
        </w:tc>
        <w:tc>
          <w:tcPr>
            <w:tcW w:w="7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680" w:type="dxa"/>
            <w:vAlign w:val="bottom"/>
            <w:shd w:val="clear" w:color="auto" w:fill="DCDDDE"/>
          </w:tcPr>
          <w:p>
            <w:pPr>
              <w:spacing w:after="0"/>
              <w:rPr>
                <w:sz w:val="21"/>
                <w:szCs w:val="21"/>
                <w:color w:val="auto"/>
              </w:rPr>
            </w:pPr>
          </w:p>
        </w:tc>
        <w:tc>
          <w:tcPr>
            <w:tcW w:w="70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33,713</w:t>
            </w: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assets</w:t>
            </w:r>
          </w:p>
        </w:tc>
        <w:tc>
          <w:tcPr>
            <w:tcW w:w="700" w:type="dxa"/>
            <w:vAlign w:val="bottom"/>
            <w:shd w:val="clear" w:color="auto" w:fill="F0F0F0"/>
          </w:tcPr>
          <w:p>
            <w:pPr>
              <w:spacing w:after="0"/>
              <w:rPr>
                <w:sz w:val="19"/>
                <w:szCs w:val="19"/>
                <w:color w:val="auto"/>
              </w:rPr>
            </w:pP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431,609</w:t>
            </w: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32,801</w:t>
            </w:r>
          </w:p>
        </w:tc>
        <w:tc>
          <w:tcPr>
            <w:tcW w:w="680" w:type="dxa"/>
            <w:vAlign w:val="bottom"/>
            <w:shd w:val="clear" w:color="auto" w:fill="DCDDDE"/>
          </w:tcPr>
          <w:p>
            <w:pPr>
              <w:spacing w:after="0"/>
              <w:rPr>
                <w:sz w:val="19"/>
                <w:szCs w:val="19"/>
                <w:color w:val="auto"/>
              </w:rPr>
            </w:pPr>
          </w:p>
        </w:tc>
        <w:tc>
          <w:tcPr>
            <w:tcW w:w="70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464,410</w:t>
            </w: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60" w:right="120" w:firstLine="5"/>
        <w:spacing w:after="0" w:line="229" w:lineRule="auto"/>
        <w:tabs>
          <w:tab w:leader="none" w:pos="205" w:val="left"/>
        </w:tabs>
        <w:numPr>
          <w:ilvl w:val="0"/>
          <w:numId w:val="9"/>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Operating expenses, excl. depreciation and depletion includes the following GAAP line items, as reflected on the Income Statement: Production and manufacturing expenses; Selling, general and administrative expenses; Exploration expenses, including dry holes; and Non-service pension and postretirement benefit expense.</w:t>
      </w:r>
    </w:p>
    <w:p>
      <w:pPr>
        <w:spacing w:after="0" w:line="26" w:lineRule="exact"/>
        <w:rPr>
          <w:rFonts w:ascii="Times New Roman" w:cs="Times New Roman" w:eastAsia="Times New Roman" w:hAnsi="Times New Roman"/>
          <w:sz w:val="18"/>
          <w:szCs w:val="18"/>
          <w:i w:val="1"/>
          <w:iCs w:val="1"/>
          <w:color w:val="auto"/>
          <w:vertAlign w:val="superscript"/>
        </w:rPr>
      </w:pPr>
    </w:p>
    <w:p>
      <w:pPr>
        <w:ind w:left="200" w:hanging="135"/>
        <w:spacing w:after="0"/>
        <w:tabs>
          <w:tab w:leader="none" w:pos="200" w:val="left"/>
        </w:tabs>
        <w:numPr>
          <w:ilvl w:val="0"/>
          <w:numId w:val="9"/>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Primarily Corporate and Financing Interest revenue of $206 million.</w:t>
      </w:r>
    </w:p>
    <w:p>
      <w:pPr>
        <w:spacing w:after="0" w:line="55" w:lineRule="exact"/>
        <w:rPr>
          <w:rFonts w:ascii="Times New Roman" w:cs="Times New Roman" w:eastAsia="Times New Roman" w:hAnsi="Times New Roman"/>
          <w:sz w:val="9"/>
          <w:szCs w:val="9"/>
          <w:i w:val="1"/>
          <w:iCs w:val="1"/>
          <w:color w:val="auto"/>
        </w:rPr>
      </w:pPr>
    </w:p>
    <w:p>
      <w:pPr>
        <w:ind w:left="200" w:hanging="135"/>
        <w:spacing w:after="0"/>
        <w:tabs>
          <w:tab w:leader="none" w:pos="200" w:val="left"/>
        </w:tabs>
        <w:numPr>
          <w:ilvl w:val="0"/>
          <w:numId w:val="9"/>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Includes non-cash additions.</w:t>
      </w:r>
    </w:p>
    <w:p>
      <w:pPr>
        <w:sectPr>
          <w:pgSz w:w="11900" w:h="16838" w:orient="portrait"/>
          <w:cols w:equalWidth="0" w:num="1">
            <w:col w:w="9740"/>
          </w:cols>
          <w:pgMar w:left="1080" w:top="499" w:right="1079" w:bottom="1440" w:gutter="0" w:footer="0" w:header="0"/>
          <w:type w:val="continuous"/>
        </w:sect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40"/>
          </w:cols>
          <w:pgMar w:left="1080" w:top="499" w:right="1079" w:bottom="1440" w:gutter="0" w:footer="0" w:header="0"/>
          <w:type w:val="continuous"/>
        </w:sectPr>
      </w:pPr>
    </w:p>
    <w:bookmarkStart w:id="8" w:name="page9"/>
    <w:bookmarkEnd w:id="8"/>
    <w:p>
      <w:pPr>
        <w:ind w:left="844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380" w:type="dxa"/>
            <w:vAlign w:val="bottom"/>
            <w:gridSpan w:val="2"/>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Upstream</w:t>
            </w:r>
          </w:p>
        </w:tc>
        <w:tc>
          <w:tcPr>
            <w:tcW w:w="1380" w:type="dxa"/>
            <w:vAlign w:val="bottom"/>
            <w:gridSpan w:val="2"/>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Energy Products</w:t>
            </w:r>
          </w:p>
        </w:tc>
        <w:tc>
          <w:tcPr>
            <w:tcW w:w="1380" w:type="dxa"/>
            <w:vAlign w:val="bottom"/>
            <w:gridSpan w:val="2"/>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Chemical Products</w:t>
            </w:r>
          </w:p>
        </w:tc>
        <w:tc>
          <w:tcPr>
            <w:tcW w:w="1380" w:type="dxa"/>
            <w:vAlign w:val="bottom"/>
            <w:tcBorders>
              <w:left w:val="single" w:sz="8" w:color="0C479D"/>
            </w:tcBorders>
            <w:gridSpan w:val="2"/>
            <w:shd w:val="clear" w:color="auto" w:fill="0C479D"/>
          </w:tcPr>
          <w:p>
            <w:pPr>
              <w:jc w:val="right"/>
              <w:ind w:right="40"/>
              <w:spacing w:after="0"/>
              <w:rPr>
                <w:sz w:val="20"/>
                <w:szCs w:val="20"/>
                <w:color w:val="auto"/>
              </w:rPr>
            </w:pPr>
            <w:r>
              <w:rPr>
                <w:rFonts w:ascii="Times New Roman" w:cs="Times New Roman" w:eastAsia="Times New Roman" w:hAnsi="Times New Roman"/>
                <w:sz w:val="14"/>
                <w:szCs w:val="14"/>
                <w:b w:val="1"/>
                <w:bCs w:val="1"/>
                <w:color w:val="FFFFFF"/>
              </w:rPr>
              <w:t>Specialty Products</w:t>
            </w:r>
          </w:p>
        </w:tc>
        <w:tc>
          <w:tcPr>
            <w:tcW w:w="76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Segment</w:t>
            </w:r>
          </w:p>
        </w:tc>
        <w:tc>
          <w:tcPr>
            <w:tcW w:w="20" w:type="dxa"/>
            <w:vAlign w:val="bottom"/>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3440" w:type="dxa"/>
            <w:vAlign w:val="bottom"/>
            <w:vMerge w:val="continue"/>
            <w:shd w:val="clear" w:color="auto" w:fill="0C479D"/>
          </w:tcPr>
          <w:p>
            <w:pPr>
              <w:spacing w:after="0"/>
              <w:rPr>
                <w:sz w:val="10"/>
                <w:szCs w:val="10"/>
                <w:color w:val="auto"/>
              </w:rPr>
            </w:pPr>
          </w:p>
        </w:tc>
        <w:tc>
          <w:tcPr>
            <w:tcW w:w="700" w:type="dxa"/>
            <w:vAlign w:val="bottom"/>
            <w:vMerge w:val="restart"/>
            <w:shd w:val="clear" w:color="auto" w:fill="0C479D"/>
          </w:tcPr>
          <w:p>
            <w:pPr>
              <w:jc w:val="right"/>
              <w:ind w:right="141"/>
              <w:spacing w:after="0"/>
              <w:rPr>
                <w:sz w:val="20"/>
                <w:szCs w:val="20"/>
                <w:color w:val="auto"/>
              </w:rPr>
            </w:pPr>
            <w:r>
              <w:rPr>
                <w:rFonts w:ascii="Times New Roman" w:cs="Times New Roman" w:eastAsia="Times New Roman" w:hAnsi="Times New Roman"/>
                <w:sz w:val="14"/>
                <w:szCs w:val="14"/>
                <w:b w:val="1"/>
                <w:bCs w:val="1"/>
                <w:color w:val="FFFFFF"/>
              </w:rPr>
              <w:t>U.S.</w:t>
            </w:r>
          </w:p>
        </w:tc>
        <w:tc>
          <w:tcPr>
            <w:tcW w:w="68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00" w:type="dxa"/>
            <w:vAlign w:val="bottom"/>
            <w:vMerge w:val="restart"/>
            <w:shd w:val="clear" w:color="auto" w:fill="0C479D"/>
          </w:tcPr>
          <w:p>
            <w:pPr>
              <w:jc w:val="right"/>
              <w:ind w:right="141"/>
              <w:spacing w:after="0"/>
              <w:rPr>
                <w:sz w:val="20"/>
                <w:szCs w:val="20"/>
                <w:color w:val="auto"/>
              </w:rPr>
            </w:pPr>
            <w:r>
              <w:rPr>
                <w:rFonts w:ascii="Times New Roman" w:cs="Times New Roman" w:eastAsia="Times New Roman" w:hAnsi="Times New Roman"/>
                <w:sz w:val="14"/>
                <w:szCs w:val="14"/>
                <w:b w:val="1"/>
                <w:bCs w:val="1"/>
                <w:color w:val="FFFFFF"/>
              </w:rPr>
              <w:t>U.S.</w:t>
            </w:r>
          </w:p>
        </w:tc>
        <w:tc>
          <w:tcPr>
            <w:tcW w:w="68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80" w:type="dxa"/>
            <w:vAlign w:val="bottom"/>
            <w:vMerge w:val="restart"/>
            <w:shd w:val="clear" w:color="auto" w:fill="0C479D"/>
          </w:tcPr>
          <w:p>
            <w:pPr>
              <w:jc w:val="right"/>
              <w:ind w:right="121"/>
              <w:spacing w:after="0"/>
              <w:rPr>
                <w:sz w:val="20"/>
                <w:szCs w:val="20"/>
                <w:color w:val="auto"/>
              </w:rPr>
            </w:pPr>
            <w:r>
              <w:rPr>
                <w:rFonts w:ascii="Times New Roman" w:cs="Times New Roman" w:eastAsia="Times New Roman" w:hAnsi="Times New Roman"/>
                <w:sz w:val="14"/>
                <w:szCs w:val="14"/>
                <w:b w:val="1"/>
                <w:bCs w:val="1"/>
                <w:color w:val="FFFFFF"/>
              </w:rPr>
              <w:t>U.S.</w:t>
            </w:r>
          </w:p>
        </w:tc>
        <w:tc>
          <w:tcPr>
            <w:tcW w:w="70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80" w:type="dxa"/>
            <w:vAlign w:val="bottom"/>
            <w:tcBorders>
              <w:left w:val="single" w:sz="8" w:color="0C479D"/>
            </w:tcBorders>
            <w:vMerge w:val="restart"/>
            <w:shd w:val="clear" w:color="auto" w:fill="0C479D"/>
          </w:tcPr>
          <w:p>
            <w:pPr>
              <w:jc w:val="right"/>
              <w:ind w:right="141"/>
              <w:spacing w:after="0"/>
              <w:rPr>
                <w:sz w:val="20"/>
                <w:szCs w:val="20"/>
                <w:color w:val="auto"/>
              </w:rPr>
            </w:pPr>
            <w:r>
              <w:rPr>
                <w:rFonts w:ascii="Times New Roman" w:cs="Times New Roman" w:eastAsia="Times New Roman" w:hAnsi="Times New Roman"/>
                <w:sz w:val="14"/>
                <w:szCs w:val="14"/>
                <w:b w:val="1"/>
                <w:bCs w:val="1"/>
                <w:color w:val="FFFFFF"/>
              </w:rPr>
              <w:t>U.S.</w:t>
            </w:r>
          </w:p>
        </w:tc>
        <w:tc>
          <w:tcPr>
            <w:tcW w:w="70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6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3"/>
              </w:rPr>
              <w:t>Total</w:t>
            </w:r>
          </w:p>
        </w:tc>
        <w:tc>
          <w:tcPr>
            <w:tcW w:w="20" w:type="dxa"/>
            <w:vAlign w:val="bottom"/>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3440" w:type="dxa"/>
            <w:vAlign w:val="bottom"/>
            <w:tcBorders>
              <w:bottom w:val="single" w:sz="8" w:color="0C479D"/>
            </w:tcBorders>
            <w:shd w:val="clear" w:color="auto" w:fill="0C479D"/>
          </w:tcPr>
          <w:p>
            <w:pPr>
              <w:spacing w:after="0"/>
              <w:rPr>
                <w:sz w:val="7"/>
                <w:szCs w:val="7"/>
                <w:color w:val="auto"/>
              </w:rPr>
            </w:pPr>
          </w:p>
        </w:tc>
        <w:tc>
          <w:tcPr>
            <w:tcW w:w="700" w:type="dxa"/>
            <w:vAlign w:val="bottom"/>
            <w:tcBorders>
              <w:bottom w:val="single" w:sz="8" w:color="0C479D"/>
            </w:tcBorders>
            <w:vMerge w:val="continue"/>
            <w:shd w:val="clear" w:color="auto" w:fill="0C479D"/>
          </w:tcPr>
          <w:p>
            <w:pPr>
              <w:spacing w:after="0"/>
              <w:rPr>
                <w:sz w:val="7"/>
                <w:szCs w:val="7"/>
                <w:color w:val="auto"/>
              </w:rPr>
            </w:pPr>
          </w:p>
        </w:tc>
        <w:tc>
          <w:tcPr>
            <w:tcW w:w="680" w:type="dxa"/>
            <w:vAlign w:val="bottom"/>
            <w:tcBorders>
              <w:bottom w:val="single" w:sz="8" w:color="0C479D"/>
            </w:tcBorders>
            <w:vMerge w:val="continue"/>
            <w:shd w:val="clear" w:color="auto" w:fill="0C479D"/>
          </w:tcPr>
          <w:p>
            <w:pPr>
              <w:spacing w:after="0"/>
              <w:rPr>
                <w:sz w:val="7"/>
                <w:szCs w:val="7"/>
                <w:color w:val="auto"/>
              </w:rPr>
            </w:pPr>
          </w:p>
        </w:tc>
        <w:tc>
          <w:tcPr>
            <w:tcW w:w="700" w:type="dxa"/>
            <w:vAlign w:val="bottom"/>
            <w:tcBorders>
              <w:bottom w:val="single" w:sz="8" w:color="0C479D"/>
            </w:tcBorders>
            <w:vMerge w:val="continue"/>
            <w:shd w:val="clear" w:color="auto" w:fill="0C479D"/>
          </w:tcPr>
          <w:p>
            <w:pPr>
              <w:spacing w:after="0"/>
              <w:rPr>
                <w:sz w:val="7"/>
                <w:szCs w:val="7"/>
                <w:color w:val="auto"/>
              </w:rPr>
            </w:pPr>
          </w:p>
        </w:tc>
        <w:tc>
          <w:tcPr>
            <w:tcW w:w="680" w:type="dxa"/>
            <w:vAlign w:val="bottom"/>
            <w:tcBorders>
              <w:bottom w:val="single" w:sz="8" w:color="0C479D"/>
            </w:tcBorders>
            <w:vMerge w:val="continue"/>
            <w:shd w:val="clear" w:color="auto" w:fill="0C479D"/>
          </w:tcPr>
          <w:p>
            <w:pPr>
              <w:spacing w:after="0"/>
              <w:rPr>
                <w:sz w:val="7"/>
                <w:szCs w:val="7"/>
                <w:color w:val="auto"/>
              </w:rPr>
            </w:pPr>
          </w:p>
        </w:tc>
        <w:tc>
          <w:tcPr>
            <w:tcW w:w="680" w:type="dxa"/>
            <w:vAlign w:val="bottom"/>
            <w:tcBorders>
              <w:bottom w:val="single" w:sz="8" w:color="0C479D"/>
            </w:tcBorders>
            <w:vMerge w:val="continue"/>
            <w:shd w:val="clear" w:color="auto" w:fill="0C479D"/>
          </w:tcPr>
          <w:p>
            <w:pPr>
              <w:spacing w:after="0"/>
              <w:rPr>
                <w:sz w:val="7"/>
                <w:szCs w:val="7"/>
                <w:color w:val="auto"/>
              </w:rPr>
            </w:pPr>
          </w:p>
        </w:tc>
        <w:tc>
          <w:tcPr>
            <w:tcW w:w="700" w:type="dxa"/>
            <w:vAlign w:val="bottom"/>
            <w:tcBorders>
              <w:bottom w:val="single" w:sz="8" w:color="0C479D"/>
            </w:tcBorders>
            <w:vMerge w:val="continue"/>
            <w:shd w:val="clear" w:color="auto" w:fill="0C479D"/>
          </w:tcPr>
          <w:p>
            <w:pPr>
              <w:spacing w:after="0"/>
              <w:rPr>
                <w:sz w:val="7"/>
                <w:szCs w:val="7"/>
                <w:color w:val="auto"/>
              </w:rPr>
            </w:pPr>
          </w:p>
        </w:tc>
        <w:tc>
          <w:tcPr>
            <w:tcW w:w="680" w:type="dxa"/>
            <w:vAlign w:val="bottom"/>
            <w:tcBorders>
              <w:left w:val="single" w:sz="8" w:color="0C479D"/>
              <w:bottom w:val="single" w:sz="8" w:color="0C479D"/>
            </w:tcBorders>
            <w:vMerge w:val="continue"/>
            <w:shd w:val="clear" w:color="auto" w:fill="0C479D"/>
          </w:tcPr>
          <w:p>
            <w:pPr>
              <w:spacing w:after="0"/>
              <w:rPr>
                <w:sz w:val="7"/>
                <w:szCs w:val="7"/>
                <w:color w:val="auto"/>
              </w:rPr>
            </w:pPr>
          </w:p>
        </w:tc>
        <w:tc>
          <w:tcPr>
            <w:tcW w:w="700" w:type="dxa"/>
            <w:vAlign w:val="bottom"/>
            <w:tcBorders>
              <w:bottom w:val="single" w:sz="8" w:color="0C479D"/>
            </w:tcBorders>
            <w:vMerge w:val="continue"/>
            <w:shd w:val="clear" w:color="auto" w:fill="0C479D"/>
          </w:tcPr>
          <w:p>
            <w:pPr>
              <w:spacing w:after="0"/>
              <w:rPr>
                <w:sz w:val="7"/>
                <w:szCs w:val="7"/>
                <w:color w:val="auto"/>
              </w:rPr>
            </w:pPr>
          </w:p>
        </w:tc>
        <w:tc>
          <w:tcPr>
            <w:tcW w:w="760" w:type="dxa"/>
            <w:vAlign w:val="bottom"/>
            <w:tcBorders>
              <w:bottom w:val="single" w:sz="8" w:color="0C479D"/>
            </w:tcBorders>
            <w:vMerge w:val="continue"/>
            <w:shd w:val="clear" w:color="auto" w:fill="0C479D"/>
          </w:tcPr>
          <w:p>
            <w:pPr>
              <w:spacing w:after="0"/>
              <w:rPr>
                <w:sz w:val="7"/>
                <w:szCs w:val="7"/>
                <w:color w:val="auto"/>
              </w:rPr>
            </w:pPr>
          </w:p>
        </w:tc>
        <w:tc>
          <w:tcPr>
            <w:tcW w:w="20" w:type="dxa"/>
            <w:vAlign w:val="bottom"/>
            <w:tcBorders>
              <w:bottom w:val="single" w:sz="8" w:color="0C479D"/>
            </w:tcBorders>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700" w:type="dxa"/>
            <w:vAlign w:val="bottom"/>
            <w:shd w:val="clear" w:color="auto" w:fill="F0F0F0"/>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700" w:type="dxa"/>
            <w:vAlign w:val="bottom"/>
            <w:shd w:val="clear" w:color="auto" w:fill="F0F0F0"/>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shd w:val="clear" w:color="auto" w:fill="DCDD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0C479D"/>
              </w:rPr>
              <w:t>Revenues and other income</w:t>
            </w:r>
          </w:p>
        </w:tc>
        <w:tc>
          <w:tcPr>
            <w:tcW w:w="700" w:type="dxa"/>
            <w:vAlign w:val="bottom"/>
            <w:shd w:val="clear" w:color="auto" w:fill="F0F0F0"/>
          </w:tcPr>
          <w:p>
            <w:pPr>
              <w:spacing w:after="0"/>
              <w:rPr>
                <w:sz w:val="19"/>
                <w:szCs w:val="19"/>
                <w:color w:val="auto"/>
              </w:rPr>
            </w:pPr>
          </w:p>
        </w:tc>
        <w:tc>
          <w:tcPr>
            <w:tcW w:w="680" w:type="dxa"/>
            <w:vAlign w:val="bottom"/>
            <w:shd w:val="clear" w:color="auto" w:fill="F0F0F0"/>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shd w:val="clear" w:color="auto" w:fill="F0F0F0"/>
          </w:tcPr>
          <w:p>
            <w:pPr>
              <w:spacing w:after="0"/>
              <w:rPr>
                <w:sz w:val="19"/>
                <w:szCs w:val="19"/>
                <w:color w:val="auto"/>
              </w:rPr>
            </w:pPr>
          </w:p>
        </w:tc>
        <w:tc>
          <w:tcPr>
            <w:tcW w:w="700" w:type="dxa"/>
            <w:vAlign w:val="bottom"/>
            <w:shd w:val="clear" w:color="auto" w:fill="F0F0F0"/>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shd w:val="clear" w:color="auto" w:fill="DCDDD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Sales and other operating revenue</w:t>
            </w:r>
          </w:p>
        </w:tc>
        <w:tc>
          <w:tcPr>
            <w:tcW w:w="700" w:type="dxa"/>
            <w:vAlign w:val="bottom"/>
            <w:shd w:val="clear" w:color="auto" w:fill="F0F0F0"/>
          </w:tcPr>
          <w:p>
            <w:pPr>
              <w:jc w:val="right"/>
              <w:ind w:right="1"/>
              <w:spacing w:after="0"/>
              <w:rPr>
                <w:sz w:val="20"/>
                <w:szCs w:val="20"/>
                <w:color w:val="auto"/>
              </w:rPr>
            </w:pPr>
            <w:r>
              <w:rPr>
                <w:rFonts w:ascii="Times New Roman" w:cs="Times New Roman" w:eastAsia="Times New Roman" w:hAnsi="Times New Roman"/>
                <w:sz w:val="16"/>
                <w:szCs w:val="16"/>
                <w:color w:val="auto"/>
              </w:rPr>
              <w:t>7,318</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3,960</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23,885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36,077</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3,025</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81,039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Income from equity affiliates</w:t>
            </w:r>
          </w:p>
        </w:tc>
        <w:tc>
          <w:tcPr>
            <w:tcW w:w="700" w:type="dxa"/>
            <w:vAlign w:val="bottom"/>
            <w:shd w:val="clear" w:color="auto" w:fill="F0F0F0"/>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Intersegment revenue</w:t>
            </w:r>
          </w:p>
        </w:tc>
        <w:tc>
          <w:tcPr>
            <w:tcW w:w="700" w:type="dxa"/>
            <w:vAlign w:val="bottom"/>
            <w:shd w:val="clear" w:color="auto" w:fill="F0F0F0"/>
          </w:tcPr>
          <w:p>
            <w:pPr>
              <w:jc w:val="right"/>
              <w:ind w:right="1"/>
              <w:spacing w:after="0"/>
              <w:rPr>
                <w:sz w:val="20"/>
                <w:szCs w:val="20"/>
                <w:color w:val="auto"/>
              </w:rPr>
            </w:pPr>
            <w:r>
              <w:rPr>
                <w:rFonts w:ascii="Times New Roman" w:cs="Times New Roman" w:eastAsia="Times New Roman" w:hAnsi="Times New Roman"/>
                <w:sz w:val="16"/>
                <w:szCs w:val="16"/>
                <w:color w:val="auto"/>
              </w:rPr>
              <w:t>6,556</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9,850</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4,624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6,672</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30,779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color w:val="auto"/>
              </w:rPr>
              <w:t>Other income</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70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Segment revenues and other income</w:t>
            </w:r>
          </w:p>
        </w:tc>
        <w:tc>
          <w:tcPr>
            <w:tcW w:w="700" w:type="dxa"/>
            <w:vAlign w:val="bottom"/>
            <w:shd w:val="clear" w:color="auto" w:fill="F0F0F0"/>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13,743</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15,431</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28,601</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42,774</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3,721</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4,263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1,916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3,144</w:t>
            </w:r>
          </w:p>
        </w:tc>
        <w:tc>
          <w:tcPr>
            <w:tcW w:w="760" w:type="dxa"/>
            <w:vAlign w:val="bottom"/>
            <w:shd w:val="clear" w:color="auto" w:fill="DCDDDE"/>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113,593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0C479D"/>
              </w:rPr>
              <w:t>Costs and other items</w:t>
            </w:r>
          </w:p>
        </w:tc>
        <w:tc>
          <w:tcPr>
            <w:tcW w:w="700" w:type="dxa"/>
            <w:vAlign w:val="bottom"/>
            <w:shd w:val="clear" w:color="auto" w:fill="F0F0F0"/>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700" w:type="dxa"/>
            <w:vAlign w:val="bottom"/>
            <w:shd w:val="clear" w:color="auto" w:fill="F0F0F0"/>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shd w:val="clear" w:color="auto" w:fill="DCDD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Crude oil and product purchases</w:t>
            </w:r>
          </w:p>
        </w:tc>
        <w:tc>
          <w:tcPr>
            <w:tcW w:w="700" w:type="dxa"/>
            <w:vAlign w:val="bottom"/>
            <w:shd w:val="clear" w:color="auto" w:fill="F0F0F0"/>
          </w:tcPr>
          <w:p>
            <w:pPr>
              <w:jc w:val="right"/>
              <w:ind w:right="1"/>
              <w:spacing w:after="0"/>
              <w:rPr>
                <w:sz w:val="20"/>
                <w:szCs w:val="20"/>
                <w:color w:val="auto"/>
              </w:rPr>
            </w:pPr>
            <w:r>
              <w:rPr>
                <w:rFonts w:ascii="Times New Roman" w:cs="Times New Roman" w:eastAsia="Times New Roman" w:hAnsi="Times New Roman"/>
                <w:sz w:val="16"/>
                <w:szCs w:val="16"/>
                <w:color w:val="auto"/>
              </w:rPr>
              <w:t>5,429</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25,106</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35,046</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77,087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44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color w:val="auto"/>
              </w:rPr>
              <w:t>Operating expenses, excl. depreciation and</w:t>
            </w:r>
          </w:p>
        </w:tc>
        <w:tc>
          <w:tcPr>
            <w:tcW w:w="700" w:type="dxa"/>
            <w:vAlign w:val="bottom"/>
            <w:vMerge w:val="restart"/>
            <w:shd w:val="clear" w:color="auto" w:fill="F0F0F0"/>
          </w:tcPr>
          <w:p>
            <w:pPr>
              <w:jc w:val="right"/>
              <w:ind w:right="1"/>
              <w:spacing w:after="0"/>
              <w:rPr>
                <w:sz w:val="20"/>
                <w:szCs w:val="20"/>
                <w:color w:val="auto"/>
              </w:rPr>
            </w:pPr>
            <w:r>
              <w:rPr>
                <w:rFonts w:ascii="Times New Roman" w:cs="Times New Roman" w:eastAsia="Times New Roman" w:hAnsi="Times New Roman"/>
                <w:sz w:val="16"/>
                <w:szCs w:val="16"/>
                <w:color w:val="auto"/>
              </w:rPr>
              <w:t>2,763</w:t>
            </w:r>
          </w:p>
        </w:tc>
        <w:tc>
          <w:tcPr>
            <w:tcW w:w="6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7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2,082</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6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70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760" w:type="dxa"/>
            <w:vAlign w:val="bottom"/>
            <w:vMerge w:val="restart"/>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12,474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440" w:type="dxa"/>
            <w:vAlign w:val="bottom"/>
          </w:tcPr>
          <w:p>
            <w:pPr>
              <w:ind w:left="60"/>
              <w:spacing w:after="0" w:line="227" w:lineRule="exact"/>
              <w:rPr>
                <w:sz w:val="20"/>
                <w:szCs w:val="20"/>
                <w:color w:val="auto"/>
              </w:rPr>
            </w:pPr>
            <w:r>
              <w:rPr>
                <w:rFonts w:ascii="Times New Roman" w:cs="Times New Roman" w:eastAsia="Times New Roman" w:hAnsi="Times New Roman"/>
                <w:sz w:val="16"/>
                <w:szCs w:val="16"/>
                <w:color w:val="auto"/>
              </w:rPr>
              <w:t xml:space="preserve">depletion </w:t>
            </w:r>
            <w:r>
              <w:rPr>
                <w:rFonts w:ascii="Times New Roman" w:cs="Times New Roman" w:eastAsia="Times New Roman" w:hAnsi="Times New Roman"/>
                <w:sz w:val="21"/>
                <w:szCs w:val="21"/>
                <w:i w:val="1"/>
                <w:iCs w:val="1"/>
                <w:color w:val="auto"/>
                <w:vertAlign w:val="superscript"/>
              </w:rPr>
              <w:t>(1)</w:t>
            </w:r>
          </w:p>
        </w:tc>
        <w:tc>
          <w:tcPr>
            <w:tcW w:w="700" w:type="dxa"/>
            <w:vAlign w:val="bottom"/>
            <w:vMerge w:val="continue"/>
            <w:shd w:val="clear" w:color="auto" w:fill="F0F0F0"/>
          </w:tcPr>
          <w:p>
            <w:pPr>
              <w:spacing w:after="0"/>
              <w:rPr>
                <w:sz w:val="19"/>
                <w:szCs w:val="19"/>
                <w:color w:val="auto"/>
              </w:rPr>
            </w:pPr>
          </w:p>
        </w:tc>
        <w:tc>
          <w:tcPr>
            <w:tcW w:w="680" w:type="dxa"/>
            <w:vAlign w:val="bottom"/>
            <w:vMerge w:val="continue"/>
            <w:shd w:val="clear" w:color="auto" w:fill="F0F0F0"/>
          </w:tcPr>
          <w:p>
            <w:pPr>
              <w:spacing w:after="0"/>
              <w:rPr>
                <w:sz w:val="19"/>
                <w:szCs w:val="19"/>
                <w:color w:val="auto"/>
              </w:rPr>
            </w:pPr>
          </w:p>
        </w:tc>
        <w:tc>
          <w:tcPr>
            <w:tcW w:w="70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680" w:type="dxa"/>
            <w:vAlign w:val="bottom"/>
            <w:vMerge w:val="continue"/>
            <w:shd w:val="clear" w:color="auto" w:fill="F0F0F0"/>
          </w:tcPr>
          <w:p>
            <w:pPr>
              <w:spacing w:after="0"/>
              <w:rPr>
                <w:sz w:val="19"/>
                <w:szCs w:val="19"/>
                <w:color w:val="auto"/>
              </w:rPr>
            </w:pPr>
          </w:p>
        </w:tc>
        <w:tc>
          <w:tcPr>
            <w:tcW w:w="700" w:type="dxa"/>
            <w:vAlign w:val="bottom"/>
            <w:vMerge w:val="continue"/>
            <w:shd w:val="clear" w:color="auto" w:fill="F0F0F0"/>
          </w:tcPr>
          <w:p>
            <w:pPr>
              <w:spacing w:after="0"/>
              <w:rPr>
                <w:sz w:val="19"/>
                <w:szCs w:val="19"/>
                <w:color w:val="auto"/>
              </w:rPr>
            </w:pPr>
          </w:p>
        </w:tc>
        <w:tc>
          <w:tcPr>
            <w:tcW w:w="6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760" w:type="dxa"/>
            <w:vAlign w:val="bottom"/>
            <w:vMerge w:val="continue"/>
            <w:shd w:val="clear" w:color="auto" w:fill="DCDDD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Depreciation and depletion (includes impairments)</w:t>
            </w:r>
          </w:p>
        </w:tc>
        <w:tc>
          <w:tcPr>
            <w:tcW w:w="700" w:type="dxa"/>
            <w:vAlign w:val="bottom"/>
            <w:shd w:val="clear" w:color="auto" w:fill="F0F0F0"/>
          </w:tcPr>
          <w:p>
            <w:pPr>
              <w:jc w:val="right"/>
              <w:ind w:right="1"/>
              <w:spacing w:after="0"/>
              <w:rPr>
                <w:sz w:val="20"/>
                <w:szCs w:val="20"/>
                <w:color w:val="auto"/>
              </w:rPr>
            </w:pPr>
            <w:r>
              <w:rPr>
                <w:rFonts w:ascii="Times New Roman" w:cs="Times New Roman" w:eastAsia="Times New Roman" w:hAnsi="Times New Roman"/>
                <w:sz w:val="16"/>
                <w:szCs w:val="16"/>
                <w:color w:val="auto"/>
              </w:rPr>
              <w:t>3,038</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5,427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 expense</w:t>
            </w:r>
          </w:p>
        </w:tc>
        <w:tc>
          <w:tcPr>
            <w:tcW w:w="700" w:type="dxa"/>
            <w:vAlign w:val="bottom"/>
            <w:shd w:val="clear" w:color="auto" w:fill="F0F0F0"/>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color w:val="auto"/>
              </w:rPr>
              <w:t>Other taxes and duties</w:t>
            </w:r>
          </w:p>
        </w:tc>
        <w:tc>
          <w:tcPr>
            <w:tcW w:w="700" w:type="dxa"/>
            <w:vAlign w:val="bottom"/>
            <w:tcBorders>
              <w:bottom w:val="single" w:sz="8" w:color="0C479D"/>
            </w:tcBorders>
            <w:shd w:val="clear" w:color="auto" w:fill="F0F0F0"/>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70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787</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6,036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Total costs and other deductions</w:t>
            </w:r>
          </w:p>
        </w:tc>
        <w:tc>
          <w:tcPr>
            <w:tcW w:w="700" w:type="dxa"/>
            <w:vAlign w:val="bottom"/>
            <w:tcBorders>
              <w:bottom w:val="single" w:sz="8" w:color="0C479D"/>
            </w:tcBorders>
            <w:shd w:val="clear" w:color="auto" w:fill="F0F0F0"/>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11,331</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7,776</w:t>
            </w:r>
          </w:p>
        </w:tc>
        <w:tc>
          <w:tcPr>
            <w:tcW w:w="70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28,170</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41,941</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3,378</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4,243</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1,498</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2,731</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101,068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Segment income (loss) before income taxes</w:t>
            </w:r>
          </w:p>
        </w:tc>
        <w:tc>
          <w:tcPr>
            <w:tcW w:w="700" w:type="dxa"/>
            <w:vAlign w:val="bottom"/>
            <w:shd w:val="clear" w:color="auto" w:fill="F0F0F0"/>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2,412</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7,655</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431</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833</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343</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418</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413</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12,525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700" w:type="dxa"/>
            <w:vAlign w:val="bottom"/>
            <w:tcBorders>
              <w:bottom w:val="single" w:sz="8" w:color="0C479D"/>
            </w:tcBorders>
            <w:shd w:val="clear" w:color="auto" w:fill="F0F0F0"/>
          </w:tcPr>
          <w:p>
            <w:pPr>
              <w:jc w:val="right"/>
              <w:ind w:right="1"/>
              <w:spacing w:after="0"/>
              <w:rPr>
                <w:sz w:val="20"/>
                <w:szCs w:val="20"/>
                <w:color w:val="auto"/>
              </w:rPr>
            </w:pPr>
            <w:r>
              <w:rPr>
                <w:rFonts w:ascii="Times New Roman" w:cs="Times New Roman" w:eastAsia="Times New Roman" w:hAnsi="Times New Roman"/>
                <w:sz w:val="16"/>
                <w:szCs w:val="16"/>
                <w:color w:val="auto"/>
              </w:rPr>
              <w:t>542</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2,598</w:t>
            </w:r>
          </w:p>
        </w:tc>
        <w:tc>
          <w:tcPr>
            <w:tcW w:w="70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94</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40" w:type="dxa"/>
            <w:vAlign w:val="bottom"/>
          </w:tcPr>
          <w:p>
            <w:pPr>
              <w:ind w:left="60"/>
              <w:spacing w:after="0" w:line="169" w:lineRule="exact"/>
              <w:rPr>
                <w:sz w:val="20"/>
                <w:szCs w:val="20"/>
                <w:color w:val="auto"/>
              </w:rPr>
            </w:pPr>
            <w:r>
              <w:rPr>
                <w:rFonts w:ascii="Times New Roman" w:cs="Times New Roman" w:eastAsia="Times New Roman" w:hAnsi="Times New Roman"/>
                <w:sz w:val="16"/>
                <w:szCs w:val="16"/>
                <w:b w:val="1"/>
                <w:bCs w:val="1"/>
                <w:color w:val="auto"/>
              </w:rPr>
              <w:t>Segment net income (loss) incl. noncontrolling</w:t>
            </w:r>
          </w:p>
        </w:tc>
        <w:tc>
          <w:tcPr>
            <w:tcW w:w="700" w:type="dxa"/>
            <w:vAlign w:val="bottom"/>
            <w:vMerge w:val="restart"/>
            <w:shd w:val="clear" w:color="auto" w:fill="F0F0F0"/>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1,870</w:t>
            </w:r>
          </w:p>
        </w:tc>
        <w:tc>
          <w:tcPr>
            <w:tcW w:w="6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5,057</w:t>
            </w:r>
          </w:p>
        </w:tc>
        <w:tc>
          <w:tcPr>
            <w:tcW w:w="7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337</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646</w:t>
            </w:r>
          </w:p>
        </w:tc>
        <w:tc>
          <w:tcPr>
            <w:tcW w:w="6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255</w:t>
            </w:r>
          </w:p>
        </w:tc>
        <w:tc>
          <w:tcPr>
            <w:tcW w:w="70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322</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336</w:t>
            </w:r>
          </w:p>
        </w:tc>
        <w:tc>
          <w:tcPr>
            <w:tcW w:w="760" w:type="dxa"/>
            <w:vAlign w:val="bottom"/>
            <w:vMerge w:val="restart"/>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8,849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700" w:type="dxa"/>
            <w:vAlign w:val="bottom"/>
            <w:vMerge w:val="continue"/>
            <w:shd w:val="clear" w:color="auto" w:fill="F0F0F0"/>
          </w:tcPr>
          <w:p>
            <w:pPr>
              <w:spacing w:after="0"/>
              <w:rPr>
                <w:sz w:val="18"/>
                <w:szCs w:val="18"/>
                <w:color w:val="auto"/>
              </w:rPr>
            </w:pPr>
          </w:p>
        </w:tc>
        <w:tc>
          <w:tcPr>
            <w:tcW w:w="680" w:type="dxa"/>
            <w:vAlign w:val="bottom"/>
            <w:vMerge w:val="continue"/>
            <w:shd w:val="clear" w:color="auto" w:fill="F0F0F0"/>
          </w:tcPr>
          <w:p>
            <w:pPr>
              <w:spacing w:after="0"/>
              <w:rPr>
                <w:sz w:val="18"/>
                <w:szCs w:val="18"/>
                <w:color w:val="auto"/>
              </w:rPr>
            </w:pPr>
          </w:p>
        </w:tc>
        <w:tc>
          <w:tcPr>
            <w:tcW w:w="7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680" w:type="dxa"/>
            <w:vAlign w:val="bottom"/>
            <w:vMerge w:val="continue"/>
            <w:shd w:val="clear" w:color="auto" w:fill="F0F0F0"/>
          </w:tcPr>
          <w:p>
            <w:pPr>
              <w:spacing w:after="0"/>
              <w:rPr>
                <w:sz w:val="18"/>
                <w:szCs w:val="18"/>
                <w:color w:val="auto"/>
              </w:rPr>
            </w:pPr>
          </w:p>
        </w:tc>
        <w:tc>
          <w:tcPr>
            <w:tcW w:w="700" w:type="dxa"/>
            <w:vAlign w:val="bottom"/>
            <w:vMerge w:val="continue"/>
            <w:shd w:val="clear" w:color="auto" w:fill="F0F0F0"/>
          </w:tcPr>
          <w:p>
            <w:pPr>
              <w:spacing w:after="0"/>
              <w:rPr>
                <w:sz w:val="18"/>
                <w:szCs w:val="18"/>
                <w:color w:val="auto"/>
              </w:rPr>
            </w:pPr>
          </w:p>
        </w:tc>
        <w:tc>
          <w:tcPr>
            <w:tcW w:w="6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760" w:type="dxa"/>
            <w:vAlign w:val="bottom"/>
            <w:vMerge w:val="continue"/>
            <w:shd w:val="clear" w:color="auto" w:fill="DCDDD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440" w:type="dxa"/>
            <w:vAlign w:val="bottom"/>
          </w:tcPr>
          <w:p>
            <w:pPr>
              <w:ind w:left="60"/>
              <w:spacing w:after="0" w:line="179" w:lineRule="exact"/>
              <w:rPr>
                <w:sz w:val="20"/>
                <w:szCs w:val="20"/>
                <w:color w:val="auto"/>
              </w:rPr>
            </w:pPr>
            <w:r>
              <w:rPr>
                <w:rFonts w:ascii="Times New Roman" w:cs="Times New Roman" w:eastAsia="Times New Roman" w:hAnsi="Times New Roman"/>
                <w:sz w:val="16"/>
                <w:szCs w:val="16"/>
                <w:color w:val="auto"/>
              </w:rPr>
              <w:t>Net income (loss) attributable to noncontrolling</w:t>
            </w:r>
          </w:p>
        </w:tc>
        <w:tc>
          <w:tcPr>
            <w:tcW w:w="700" w:type="dxa"/>
            <w:vAlign w:val="bottom"/>
            <w:vMerge w:val="restart"/>
            <w:shd w:val="clear" w:color="auto" w:fill="F0F0F0"/>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7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6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760" w:type="dxa"/>
            <w:vAlign w:val="bottom"/>
            <w:vMerge w:val="restart"/>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color w:val="auto"/>
              </w:rPr>
              <w:t>interests</w:t>
            </w:r>
          </w:p>
        </w:tc>
        <w:tc>
          <w:tcPr>
            <w:tcW w:w="700" w:type="dxa"/>
            <w:vAlign w:val="bottom"/>
            <w:tcBorders>
              <w:bottom w:val="single" w:sz="8" w:color="0C479D"/>
            </w:tcBorders>
            <w:vMerge w:val="continue"/>
            <w:shd w:val="clear" w:color="auto" w:fill="F0F0F0"/>
          </w:tcPr>
          <w:p>
            <w:pPr>
              <w:spacing w:after="0"/>
              <w:rPr>
                <w:sz w:val="17"/>
                <w:szCs w:val="17"/>
                <w:color w:val="auto"/>
              </w:rPr>
            </w:pPr>
          </w:p>
        </w:tc>
        <w:tc>
          <w:tcPr>
            <w:tcW w:w="680" w:type="dxa"/>
            <w:vAlign w:val="bottom"/>
            <w:tcBorders>
              <w:bottom w:val="single" w:sz="8" w:color="0C479D"/>
            </w:tcBorders>
            <w:vMerge w:val="continue"/>
            <w:shd w:val="clear" w:color="auto" w:fill="F0F0F0"/>
          </w:tcPr>
          <w:p>
            <w:pPr>
              <w:spacing w:after="0"/>
              <w:rPr>
                <w:sz w:val="17"/>
                <w:szCs w:val="17"/>
                <w:color w:val="auto"/>
              </w:rPr>
            </w:pPr>
          </w:p>
        </w:tc>
        <w:tc>
          <w:tcPr>
            <w:tcW w:w="700" w:type="dxa"/>
            <w:vAlign w:val="bottom"/>
            <w:tcBorders>
              <w:bottom w:val="single" w:sz="8" w:color="0C479D"/>
            </w:tcBorders>
            <w:vMerge w:val="continue"/>
          </w:tcPr>
          <w:p>
            <w:pPr>
              <w:spacing w:after="0"/>
              <w:rPr>
                <w:sz w:val="17"/>
                <w:szCs w:val="17"/>
                <w:color w:val="auto"/>
              </w:rPr>
            </w:pPr>
          </w:p>
        </w:tc>
        <w:tc>
          <w:tcPr>
            <w:tcW w:w="680" w:type="dxa"/>
            <w:vAlign w:val="bottom"/>
            <w:tcBorders>
              <w:bottom w:val="single" w:sz="8" w:color="0C479D"/>
            </w:tcBorders>
            <w:vMerge w:val="continue"/>
          </w:tcPr>
          <w:p>
            <w:pPr>
              <w:spacing w:after="0"/>
              <w:rPr>
                <w:sz w:val="17"/>
                <w:szCs w:val="17"/>
                <w:color w:val="auto"/>
              </w:rPr>
            </w:pPr>
          </w:p>
        </w:tc>
        <w:tc>
          <w:tcPr>
            <w:tcW w:w="680" w:type="dxa"/>
            <w:vAlign w:val="bottom"/>
            <w:tcBorders>
              <w:bottom w:val="single" w:sz="8" w:color="0C479D"/>
            </w:tcBorders>
            <w:vMerge w:val="continue"/>
            <w:shd w:val="clear" w:color="auto" w:fill="F0F0F0"/>
          </w:tcPr>
          <w:p>
            <w:pPr>
              <w:spacing w:after="0"/>
              <w:rPr>
                <w:sz w:val="17"/>
                <w:szCs w:val="17"/>
                <w:color w:val="auto"/>
              </w:rPr>
            </w:pPr>
          </w:p>
        </w:tc>
        <w:tc>
          <w:tcPr>
            <w:tcW w:w="700" w:type="dxa"/>
            <w:vAlign w:val="bottom"/>
            <w:tcBorders>
              <w:bottom w:val="single" w:sz="8" w:color="0C479D"/>
            </w:tcBorders>
            <w:vMerge w:val="continue"/>
            <w:shd w:val="clear" w:color="auto" w:fill="F0F0F0"/>
          </w:tcPr>
          <w:p>
            <w:pPr>
              <w:spacing w:after="0"/>
              <w:rPr>
                <w:sz w:val="17"/>
                <w:szCs w:val="17"/>
                <w:color w:val="auto"/>
              </w:rPr>
            </w:pPr>
          </w:p>
        </w:tc>
        <w:tc>
          <w:tcPr>
            <w:tcW w:w="680" w:type="dxa"/>
            <w:vAlign w:val="bottom"/>
            <w:tcBorders>
              <w:bottom w:val="single" w:sz="8" w:color="0C479D"/>
            </w:tcBorders>
            <w:vMerge w:val="continue"/>
          </w:tcPr>
          <w:p>
            <w:pPr>
              <w:spacing w:after="0"/>
              <w:rPr>
                <w:sz w:val="17"/>
                <w:szCs w:val="17"/>
                <w:color w:val="auto"/>
              </w:rPr>
            </w:pPr>
          </w:p>
        </w:tc>
        <w:tc>
          <w:tcPr>
            <w:tcW w:w="700" w:type="dxa"/>
            <w:vAlign w:val="bottom"/>
            <w:tcBorders>
              <w:bottom w:val="single" w:sz="8" w:color="0C479D"/>
            </w:tcBorders>
            <w:vMerge w:val="continue"/>
          </w:tcPr>
          <w:p>
            <w:pPr>
              <w:spacing w:after="0"/>
              <w:rPr>
                <w:sz w:val="17"/>
                <w:szCs w:val="17"/>
                <w:color w:val="auto"/>
              </w:rPr>
            </w:pPr>
          </w:p>
        </w:tc>
        <w:tc>
          <w:tcPr>
            <w:tcW w:w="760" w:type="dxa"/>
            <w:vAlign w:val="bottom"/>
            <w:tcBorders>
              <w:bottom w:val="single" w:sz="8" w:color="0C479D"/>
            </w:tcBorders>
            <w:vMerge w:val="continue"/>
            <w:shd w:val="clear" w:color="auto" w:fill="DCDDD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Segment income (loss)</w:t>
            </w:r>
          </w:p>
        </w:tc>
        <w:tc>
          <w:tcPr>
            <w:tcW w:w="700" w:type="dxa"/>
            <w:vAlign w:val="bottom"/>
            <w:tcBorders>
              <w:bottom w:val="single" w:sz="8" w:color="0C479D"/>
            </w:tcBorders>
            <w:shd w:val="clear" w:color="auto" w:fill="F0F0F0"/>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1,870</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4,886</w:t>
            </w:r>
          </w:p>
        </w:tc>
        <w:tc>
          <w:tcPr>
            <w:tcW w:w="70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297</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530</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255</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322</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333</w:t>
            </w:r>
          </w:p>
        </w:tc>
        <w:tc>
          <w:tcPr>
            <w:tcW w:w="760" w:type="dxa"/>
            <w:vAlign w:val="bottom"/>
            <w:tcBorders>
              <w:bottom w:val="single" w:sz="8" w:color="0C479D"/>
            </w:tcBorders>
            <w:shd w:val="clear" w:color="auto" w:fill="DCDDDE"/>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8,511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2"/>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0C479D"/>
              </w:rPr>
              <w:t>Reconciliation of consolidated revenues</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Segment revenues and other income</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113,593</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Other revenues </w:t>
            </w:r>
            <w:r>
              <w:rPr>
                <w:rFonts w:ascii="Times New Roman" w:cs="Times New Roman" w:eastAsia="Times New Roman" w:hAnsi="Times New Roman"/>
                <w:sz w:val="21"/>
                <w:szCs w:val="21"/>
                <w:i w:val="1"/>
                <w:iCs w:val="1"/>
                <w:color w:val="auto"/>
                <w:vertAlign w:val="superscript"/>
              </w:rPr>
              <w:t>(2)</w:t>
            </w: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316</w:t>
            </w: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color w:val="auto"/>
              </w:rPr>
              <w:t>Elimination of intersegment revenues</w:t>
            </w:r>
          </w:p>
        </w:tc>
        <w:tc>
          <w:tcPr>
            <w:tcW w:w="700" w:type="dxa"/>
            <w:vAlign w:val="bottom"/>
            <w:tcBorders>
              <w:bottom w:val="single" w:sz="8" w:color="0C479D"/>
            </w:tcBorders>
          </w:tcPr>
          <w:p>
            <w:pPr>
              <w:spacing w:after="0"/>
              <w:rPr>
                <w:sz w:val="17"/>
                <w:szCs w:val="17"/>
                <w:color w:val="auto"/>
              </w:rPr>
            </w:pPr>
          </w:p>
        </w:tc>
        <w:tc>
          <w:tcPr>
            <w:tcW w:w="680" w:type="dxa"/>
            <w:vAlign w:val="bottom"/>
            <w:tcBorders>
              <w:bottom w:val="single" w:sz="8" w:color="0C479D"/>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(30,779)</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 consolidated revenues and other income</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83,130</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i w:val="1"/>
                <w:iCs w:val="1"/>
                <w:color w:val="0C479D"/>
              </w:rPr>
              <w:t>Reconciliation of income (loss) attributable to ExxonMobil</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segment income (loss)</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8,511</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color w:val="auto"/>
              </w:rPr>
              <w:t>Corporate and Financing income (loss)</w:t>
            </w:r>
          </w:p>
        </w:tc>
        <w:tc>
          <w:tcPr>
            <w:tcW w:w="700" w:type="dxa"/>
            <w:vAlign w:val="bottom"/>
            <w:tcBorders>
              <w:bottom w:val="single" w:sz="8" w:color="0C479D"/>
            </w:tcBorders>
          </w:tcPr>
          <w:p>
            <w:pPr>
              <w:spacing w:after="0"/>
              <w:rPr>
                <w:sz w:val="19"/>
                <w:szCs w:val="19"/>
                <w:color w:val="auto"/>
              </w:rPr>
            </w:pPr>
          </w:p>
        </w:tc>
        <w:tc>
          <w:tcPr>
            <w:tcW w:w="680" w:type="dxa"/>
            <w:vAlign w:val="bottom"/>
            <w:tcBorders>
              <w:bottom w:val="single" w:sz="8" w:color="0C479D"/>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Net income (loss) attributable to ExxonMobil</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7,713</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3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44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380" w:type="dxa"/>
            <w:vAlign w:val="bottom"/>
            <w:gridSpan w:val="2"/>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Upstream</w:t>
            </w:r>
          </w:p>
        </w:tc>
        <w:tc>
          <w:tcPr>
            <w:tcW w:w="1380" w:type="dxa"/>
            <w:vAlign w:val="bottom"/>
            <w:gridSpan w:val="2"/>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Energy Products</w:t>
            </w:r>
          </w:p>
        </w:tc>
        <w:tc>
          <w:tcPr>
            <w:tcW w:w="1380" w:type="dxa"/>
            <w:vAlign w:val="bottom"/>
            <w:gridSpan w:val="2"/>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Chemical Products</w:t>
            </w:r>
          </w:p>
        </w:tc>
        <w:tc>
          <w:tcPr>
            <w:tcW w:w="1380" w:type="dxa"/>
            <w:vAlign w:val="bottom"/>
            <w:tcBorders>
              <w:left w:val="single" w:sz="8" w:color="0C479D"/>
            </w:tcBorders>
            <w:gridSpan w:val="2"/>
            <w:shd w:val="clear" w:color="auto" w:fill="0C479D"/>
          </w:tcPr>
          <w:p>
            <w:pPr>
              <w:jc w:val="right"/>
              <w:ind w:right="40"/>
              <w:spacing w:after="0"/>
              <w:rPr>
                <w:sz w:val="20"/>
                <w:szCs w:val="20"/>
                <w:color w:val="auto"/>
              </w:rPr>
            </w:pPr>
            <w:r>
              <w:rPr>
                <w:rFonts w:ascii="Times New Roman" w:cs="Times New Roman" w:eastAsia="Times New Roman" w:hAnsi="Times New Roman"/>
                <w:sz w:val="14"/>
                <w:szCs w:val="14"/>
                <w:b w:val="1"/>
                <w:bCs w:val="1"/>
                <w:color w:val="FFFFFF"/>
              </w:rPr>
              <w:t>Specialty Products</w:t>
            </w:r>
          </w:p>
        </w:tc>
        <w:tc>
          <w:tcPr>
            <w:tcW w:w="76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Segment</w:t>
            </w:r>
          </w:p>
        </w:tc>
        <w:tc>
          <w:tcPr>
            <w:tcW w:w="2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440" w:type="dxa"/>
            <w:vAlign w:val="bottom"/>
            <w:vMerge w:val="continue"/>
            <w:shd w:val="clear" w:color="auto" w:fill="0C479D"/>
          </w:tcPr>
          <w:p>
            <w:pPr>
              <w:spacing w:after="0"/>
              <w:rPr>
                <w:sz w:val="10"/>
                <w:szCs w:val="10"/>
                <w:color w:val="auto"/>
              </w:rPr>
            </w:pPr>
          </w:p>
        </w:tc>
        <w:tc>
          <w:tcPr>
            <w:tcW w:w="700" w:type="dxa"/>
            <w:vAlign w:val="bottom"/>
            <w:vMerge w:val="restart"/>
            <w:shd w:val="clear" w:color="auto" w:fill="0C479D"/>
          </w:tcPr>
          <w:p>
            <w:pPr>
              <w:jc w:val="right"/>
              <w:ind w:right="141"/>
              <w:spacing w:after="0"/>
              <w:rPr>
                <w:sz w:val="20"/>
                <w:szCs w:val="20"/>
                <w:color w:val="auto"/>
              </w:rPr>
            </w:pPr>
            <w:r>
              <w:rPr>
                <w:rFonts w:ascii="Times New Roman" w:cs="Times New Roman" w:eastAsia="Times New Roman" w:hAnsi="Times New Roman"/>
                <w:sz w:val="14"/>
                <w:szCs w:val="14"/>
                <w:b w:val="1"/>
                <w:bCs w:val="1"/>
                <w:color w:val="FFFFFF"/>
              </w:rPr>
              <w:t>U.S.</w:t>
            </w:r>
          </w:p>
        </w:tc>
        <w:tc>
          <w:tcPr>
            <w:tcW w:w="68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00" w:type="dxa"/>
            <w:vAlign w:val="bottom"/>
            <w:vMerge w:val="restart"/>
            <w:shd w:val="clear" w:color="auto" w:fill="0C479D"/>
          </w:tcPr>
          <w:p>
            <w:pPr>
              <w:jc w:val="right"/>
              <w:ind w:right="141"/>
              <w:spacing w:after="0"/>
              <w:rPr>
                <w:sz w:val="20"/>
                <w:szCs w:val="20"/>
                <w:color w:val="auto"/>
              </w:rPr>
            </w:pPr>
            <w:r>
              <w:rPr>
                <w:rFonts w:ascii="Times New Roman" w:cs="Times New Roman" w:eastAsia="Times New Roman" w:hAnsi="Times New Roman"/>
                <w:sz w:val="14"/>
                <w:szCs w:val="14"/>
                <w:b w:val="1"/>
                <w:bCs w:val="1"/>
                <w:color w:val="FFFFFF"/>
              </w:rPr>
              <w:t>U.S.</w:t>
            </w:r>
          </w:p>
        </w:tc>
        <w:tc>
          <w:tcPr>
            <w:tcW w:w="68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80" w:type="dxa"/>
            <w:vAlign w:val="bottom"/>
            <w:vMerge w:val="restart"/>
            <w:shd w:val="clear" w:color="auto" w:fill="0C479D"/>
          </w:tcPr>
          <w:p>
            <w:pPr>
              <w:jc w:val="right"/>
              <w:ind w:right="121"/>
              <w:spacing w:after="0"/>
              <w:rPr>
                <w:sz w:val="20"/>
                <w:szCs w:val="20"/>
                <w:color w:val="auto"/>
              </w:rPr>
            </w:pPr>
            <w:r>
              <w:rPr>
                <w:rFonts w:ascii="Times New Roman" w:cs="Times New Roman" w:eastAsia="Times New Roman" w:hAnsi="Times New Roman"/>
                <w:sz w:val="14"/>
                <w:szCs w:val="14"/>
                <w:b w:val="1"/>
                <w:bCs w:val="1"/>
                <w:color w:val="FFFFFF"/>
              </w:rPr>
              <w:t>U.S.</w:t>
            </w:r>
          </w:p>
        </w:tc>
        <w:tc>
          <w:tcPr>
            <w:tcW w:w="70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80" w:type="dxa"/>
            <w:vAlign w:val="bottom"/>
            <w:tcBorders>
              <w:left w:val="single" w:sz="8" w:color="0C479D"/>
            </w:tcBorders>
            <w:vMerge w:val="restart"/>
            <w:shd w:val="clear" w:color="auto" w:fill="0C479D"/>
          </w:tcPr>
          <w:p>
            <w:pPr>
              <w:jc w:val="right"/>
              <w:ind w:right="141"/>
              <w:spacing w:after="0"/>
              <w:rPr>
                <w:sz w:val="20"/>
                <w:szCs w:val="20"/>
                <w:color w:val="auto"/>
              </w:rPr>
            </w:pPr>
            <w:r>
              <w:rPr>
                <w:rFonts w:ascii="Times New Roman" w:cs="Times New Roman" w:eastAsia="Times New Roman" w:hAnsi="Times New Roman"/>
                <w:sz w:val="14"/>
                <w:szCs w:val="14"/>
                <w:b w:val="1"/>
                <w:bCs w:val="1"/>
                <w:color w:val="FFFFFF"/>
              </w:rPr>
              <w:t>U.S.</w:t>
            </w:r>
          </w:p>
        </w:tc>
        <w:tc>
          <w:tcPr>
            <w:tcW w:w="70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6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3"/>
              </w:rPr>
              <w:t>Total</w:t>
            </w:r>
          </w:p>
        </w:tc>
        <w:tc>
          <w:tcPr>
            <w:tcW w:w="20" w:type="dxa"/>
            <w:vAlign w:val="bottom"/>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3440" w:type="dxa"/>
            <w:vAlign w:val="bottom"/>
            <w:tcBorders>
              <w:bottom w:val="single" w:sz="8" w:color="0C479D"/>
            </w:tcBorders>
            <w:shd w:val="clear" w:color="auto" w:fill="0C479D"/>
          </w:tcPr>
          <w:p>
            <w:pPr>
              <w:spacing w:after="0"/>
              <w:rPr>
                <w:sz w:val="9"/>
                <w:szCs w:val="9"/>
                <w:color w:val="auto"/>
              </w:rPr>
            </w:pPr>
          </w:p>
        </w:tc>
        <w:tc>
          <w:tcPr>
            <w:tcW w:w="700" w:type="dxa"/>
            <w:vAlign w:val="bottom"/>
            <w:tcBorders>
              <w:bottom w:val="single" w:sz="8" w:color="0C479D"/>
            </w:tcBorders>
            <w:vMerge w:val="continue"/>
            <w:shd w:val="clear" w:color="auto" w:fill="0C479D"/>
          </w:tcPr>
          <w:p>
            <w:pPr>
              <w:spacing w:after="0"/>
              <w:rPr>
                <w:sz w:val="9"/>
                <w:szCs w:val="9"/>
                <w:color w:val="auto"/>
              </w:rPr>
            </w:pPr>
          </w:p>
        </w:tc>
        <w:tc>
          <w:tcPr>
            <w:tcW w:w="680" w:type="dxa"/>
            <w:vAlign w:val="bottom"/>
            <w:tcBorders>
              <w:bottom w:val="single" w:sz="8" w:color="0C479D"/>
            </w:tcBorders>
            <w:vMerge w:val="continue"/>
            <w:shd w:val="clear" w:color="auto" w:fill="0C479D"/>
          </w:tcPr>
          <w:p>
            <w:pPr>
              <w:spacing w:after="0"/>
              <w:rPr>
                <w:sz w:val="9"/>
                <w:szCs w:val="9"/>
                <w:color w:val="auto"/>
              </w:rPr>
            </w:pPr>
          </w:p>
        </w:tc>
        <w:tc>
          <w:tcPr>
            <w:tcW w:w="700" w:type="dxa"/>
            <w:vAlign w:val="bottom"/>
            <w:tcBorders>
              <w:bottom w:val="single" w:sz="8" w:color="0C479D"/>
            </w:tcBorders>
            <w:vMerge w:val="continue"/>
            <w:shd w:val="clear" w:color="auto" w:fill="0C479D"/>
          </w:tcPr>
          <w:p>
            <w:pPr>
              <w:spacing w:after="0"/>
              <w:rPr>
                <w:sz w:val="9"/>
                <w:szCs w:val="9"/>
                <w:color w:val="auto"/>
              </w:rPr>
            </w:pPr>
          </w:p>
        </w:tc>
        <w:tc>
          <w:tcPr>
            <w:tcW w:w="680" w:type="dxa"/>
            <w:vAlign w:val="bottom"/>
            <w:tcBorders>
              <w:bottom w:val="single" w:sz="8" w:color="0C479D"/>
            </w:tcBorders>
            <w:vMerge w:val="continue"/>
            <w:shd w:val="clear" w:color="auto" w:fill="0C479D"/>
          </w:tcPr>
          <w:p>
            <w:pPr>
              <w:spacing w:after="0"/>
              <w:rPr>
                <w:sz w:val="9"/>
                <w:szCs w:val="9"/>
                <w:color w:val="auto"/>
              </w:rPr>
            </w:pPr>
          </w:p>
        </w:tc>
        <w:tc>
          <w:tcPr>
            <w:tcW w:w="680" w:type="dxa"/>
            <w:vAlign w:val="bottom"/>
            <w:tcBorders>
              <w:bottom w:val="single" w:sz="8" w:color="0C479D"/>
            </w:tcBorders>
            <w:vMerge w:val="continue"/>
            <w:shd w:val="clear" w:color="auto" w:fill="0C479D"/>
          </w:tcPr>
          <w:p>
            <w:pPr>
              <w:spacing w:after="0"/>
              <w:rPr>
                <w:sz w:val="9"/>
                <w:szCs w:val="9"/>
                <w:color w:val="auto"/>
              </w:rPr>
            </w:pPr>
          </w:p>
        </w:tc>
        <w:tc>
          <w:tcPr>
            <w:tcW w:w="700" w:type="dxa"/>
            <w:vAlign w:val="bottom"/>
            <w:tcBorders>
              <w:bottom w:val="single" w:sz="8" w:color="0C479D"/>
            </w:tcBorders>
            <w:vMerge w:val="continue"/>
            <w:shd w:val="clear" w:color="auto" w:fill="0C479D"/>
          </w:tcPr>
          <w:p>
            <w:pPr>
              <w:spacing w:after="0"/>
              <w:rPr>
                <w:sz w:val="9"/>
                <w:szCs w:val="9"/>
                <w:color w:val="auto"/>
              </w:rPr>
            </w:pPr>
          </w:p>
        </w:tc>
        <w:tc>
          <w:tcPr>
            <w:tcW w:w="680" w:type="dxa"/>
            <w:vAlign w:val="bottom"/>
            <w:tcBorders>
              <w:left w:val="single" w:sz="8" w:color="0C479D"/>
              <w:bottom w:val="single" w:sz="8" w:color="0C479D"/>
            </w:tcBorders>
            <w:vMerge w:val="continue"/>
            <w:shd w:val="clear" w:color="auto" w:fill="0C479D"/>
          </w:tcPr>
          <w:p>
            <w:pPr>
              <w:spacing w:after="0"/>
              <w:rPr>
                <w:sz w:val="9"/>
                <w:szCs w:val="9"/>
                <w:color w:val="auto"/>
              </w:rPr>
            </w:pPr>
          </w:p>
        </w:tc>
        <w:tc>
          <w:tcPr>
            <w:tcW w:w="700" w:type="dxa"/>
            <w:vAlign w:val="bottom"/>
            <w:tcBorders>
              <w:bottom w:val="single" w:sz="8" w:color="0C479D"/>
            </w:tcBorders>
            <w:vMerge w:val="continue"/>
            <w:shd w:val="clear" w:color="auto" w:fill="0C479D"/>
          </w:tcPr>
          <w:p>
            <w:pPr>
              <w:spacing w:after="0"/>
              <w:rPr>
                <w:sz w:val="9"/>
                <w:szCs w:val="9"/>
                <w:color w:val="auto"/>
              </w:rPr>
            </w:pPr>
          </w:p>
        </w:tc>
        <w:tc>
          <w:tcPr>
            <w:tcW w:w="760" w:type="dxa"/>
            <w:vAlign w:val="bottom"/>
            <w:tcBorders>
              <w:bottom w:val="single" w:sz="8" w:color="0C479D"/>
            </w:tcBorders>
            <w:vMerge w:val="continue"/>
            <w:shd w:val="clear" w:color="auto" w:fill="0C479D"/>
          </w:tcPr>
          <w:p>
            <w:pPr>
              <w:spacing w:after="0"/>
              <w:rPr>
                <w:sz w:val="9"/>
                <w:szCs w:val="9"/>
                <w:color w:val="auto"/>
              </w:rPr>
            </w:pPr>
          </w:p>
        </w:tc>
        <w:tc>
          <w:tcPr>
            <w:tcW w:w="20" w:type="dxa"/>
            <w:vAlign w:val="bottom"/>
            <w:tcBorders>
              <w:bottom w:val="single" w:sz="8" w:color="0C479D"/>
            </w:tcBorders>
            <w:shd w:val="clear" w:color="auto" w:fill="0C479D"/>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700" w:type="dxa"/>
            <w:vAlign w:val="bottom"/>
            <w:shd w:val="clear" w:color="auto" w:fill="F0F0F0"/>
          </w:tcPr>
          <w:p>
            <w:pPr>
              <w:spacing w:after="0"/>
              <w:rPr>
                <w:sz w:val="18"/>
                <w:szCs w:val="18"/>
                <w:color w:val="auto"/>
              </w:rPr>
            </w:pPr>
          </w:p>
        </w:tc>
        <w:tc>
          <w:tcPr>
            <w:tcW w:w="680" w:type="dxa"/>
            <w:vAlign w:val="bottom"/>
            <w:shd w:val="clear" w:color="auto" w:fill="F0F0F0"/>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shd w:val="clear" w:color="auto" w:fill="F0F0F0"/>
          </w:tcPr>
          <w:p>
            <w:pPr>
              <w:spacing w:after="0"/>
              <w:rPr>
                <w:sz w:val="18"/>
                <w:szCs w:val="18"/>
                <w:color w:val="auto"/>
              </w:rPr>
            </w:pPr>
          </w:p>
        </w:tc>
        <w:tc>
          <w:tcPr>
            <w:tcW w:w="700" w:type="dxa"/>
            <w:vAlign w:val="bottom"/>
            <w:shd w:val="clear" w:color="auto" w:fill="F0F0F0"/>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shd w:val="clear" w:color="auto" w:fill="DCDDD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Additions to property, plant and equipment </w:t>
            </w:r>
            <w:r>
              <w:rPr>
                <w:rFonts w:ascii="Times New Roman" w:cs="Times New Roman" w:eastAsia="Times New Roman" w:hAnsi="Times New Roman"/>
                <w:sz w:val="21"/>
                <w:szCs w:val="21"/>
                <w:i w:val="1"/>
                <w:iCs w:val="1"/>
                <w:color w:val="auto"/>
                <w:vertAlign w:val="superscript"/>
              </w:rPr>
              <w:t>(3)</w:t>
            </w:r>
          </w:p>
        </w:tc>
        <w:tc>
          <w:tcPr>
            <w:tcW w:w="700" w:type="dxa"/>
            <w:vAlign w:val="bottom"/>
            <w:shd w:val="clear" w:color="auto" w:fill="F0F0F0"/>
          </w:tcPr>
          <w:p>
            <w:pPr>
              <w:jc w:val="right"/>
              <w:ind w:right="1"/>
              <w:spacing w:after="0"/>
              <w:rPr>
                <w:sz w:val="20"/>
                <w:szCs w:val="20"/>
                <w:color w:val="auto"/>
              </w:rPr>
            </w:pPr>
            <w:r>
              <w:rPr>
                <w:rFonts w:ascii="Times New Roman" w:cs="Times New Roman" w:eastAsia="Times New Roman" w:hAnsi="Times New Roman"/>
                <w:sz w:val="16"/>
                <w:szCs w:val="16"/>
                <w:color w:val="auto"/>
              </w:rPr>
              <w:t>2,780</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116</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5,510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700" w:type="dxa"/>
            <w:vAlign w:val="bottom"/>
            <w:shd w:val="clear" w:color="auto" w:fill="F0F0F0"/>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700" w:type="dxa"/>
            <w:vAlign w:val="bottom"/>
            <w:shd w:val="clear" w:color="auto" w:fill="F0F0F0"/>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shd w:val="clear" w:color="auto" w:fill="DCDD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Investments in equity companies</w:t>
            </w:r>
          </w:p>
        </w:tc>
        <w:tc>
          <w:tcPr>
            <w:tcW w:w="700" w:type="dxa"/>
            <w:vAlign w:val="bottom"/>
            <w:shd w:val="clear" w:color="auto" w:fill="F0F0F0"/>
          </w:tcPr>
          <w:p>
            <w:pPr>
              <w:jc w:val="right"/>
              <w:ind w:right="1"/>
              <w:spacing w:after="0"/>
              <w:rPr>
                <w:sz w:val="20"/>
                <w:szCs w:val="20"/>
                <w:color w:val="auto"/>
              </w:rPr>
            </w:pPr>
            <w:r>
              <w:rPr>
                <w:rFonts w:ascii="Times New Roman" w:cs="Times New Roman" w:eastAsia="Times New Roman" w:hAnsi="Times New Roman"/>
                <w:sz w:val="16"/>
                <w:szCs w:val="16"/>
                <w:color w:val="auto"/>
              </w:rPr>
              <w:t>5,491</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19,429</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460</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2,946</w:t>
            </w:r>
          </w:p>
        </w:tc>
        <w:tc>
          <w:tcPr>
            <w:tcW w:w="7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32,765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color w:val="auto"/>
              </w:rPr>
              <w:t>Total assets</w:t>
            </w:r>
          </w:p>
        </w:tc>
        <w:tc>
          <w:tcPr>
            <w:tcW w:w="700" w:type="dxa"/>
            <w:vAlign w:val="bottom"/>
            <w:tcBorders>
              <w:bottom w:val="single" w:sz="8" w:color="0C479D"/>
            </w:tcBorders>
            <w:shd w:val="clear" w:color="auto" w:fill="F0F0F0"/>
          </w:tcPr>
          <w:p>
            <w:pPr>
              <w:jc w:val="right"/>
              <w:ind w:right="1"/>
              <w:spacing w:after="0"/>
              <w:rPr>
                <w:sz w:val="20"/>
                <w:szCs w:val="20"/>
                <w:color w:val="auto"/>
              </w:rPr>
            </w:pPr>
            <w:r>
              <w:rPr>
                <w:rFonts w:ascii="Times New Roman" w:cs="Times New Roman" w:eastAsia="Times New Roman" w:hAnsi="Times New Roman"/>
                <w:sz w:val="16"/>
                <w:szCs w:val="16"/>
                <w:color w:val="auto"/>
              </w:rPr>
              <w:t>153,042</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134,529</w:t>
            </w:r>
          </w:p>
        </w:tc>
        <w:tc>
          <w:tcPr>
            <w:tcW w:w="70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32,652</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47,265</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17,365</w:t>
            </w:r>
          </w:p>
        </w:tc>
        <w:tc>
          <w:tcPr>
            <w:tcW w:w="7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17,991</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8,020</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413,825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34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i w:val="1"/>
                <w:iCs w:val="1"/>
                <w:color w:val="0C479D"/>
              </w:rPr>
              <w:t>Reconciliation to Corporate Total</w:t>
            </w:r>
          </w:p>
        </w:tc>
        <w:tc>
          <w:tcPr>
            <w:tcW w:w="1380" w:type="dxa"/>
            <w:vAlign w:val="bottom"/>
            <w:gridSpan w:val="2"/>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Segment Total</w:t>
            </w:r>
          </w:p>
        </w:tc>
        <w:tc>
          <w:tcPr>
            <w:tcW w:w="1380" w:type="dxa"/>
            <w:vAlign w:val="bottom"/>
            <w:gridSpan w:val="2"/>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Corporate and</w:t>
            </w:r>
          </w:p>
        </w:tc>
        <w:tc>
          <w:tcPr>
            <w:tcW w:w="1380" w:type="dxa"/>
            <w:vAlign w:val="bottom"/>
            <w:gridSpan w:val="2"/>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Corporate Total</w:t>
            </w:r>
          </w:p>
        </w:tc>
        <w:tc>
          <w:tcPr>
            <w:tcW w:w="680" w:type="dxa"/>
            <w:vAlign w:val="bottom"/>
            <w:tcBorders>
              <w:left w:val="single" w:sz="8" w:color="0C479D"/>
            </w:tcBorders>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40" w:type="dxa"/>
            <w:vAlign w:val="bottom"/>
            <w:vMerge w:val="continue"/>
          </w:tcPr>
          <w:p>
            <w:pPr>
              <w:spacing w:after="0"/>
              <w:rPr>
                <w:sz w:val="12"/>
                <w:szCs w:val="12"/>
                <w:color w:val="auto"/>
              </w:rPr>
            </w:pPr>
          </w:p>
        </w:tc>
        <w:tc>
          <w:tcPr>
            <w:tcW w:w="1380" w:type="dxa"/>
            <w:vAlign w:val="bottom"/>
            <w:gridSpan w:val="2"/>
            <w:vMerge w:val="continue"/>
            <w:shd w:val="clear" w:color="auto" w:fill="0C479D"/>
          </w:tcPr>
          <w:p>
            <w:pPr>
              <w:spacing w:after="0"/>
              <w:rPr>
                <w:sz w:val="12"/>
                <w:szCs w:val="12"/>
                <w:color w:val="auto"/>
              </w:rPr>
            </w:pPr>
          </w:p>
        </w:tc>
        <w:tc>
          <w:tcPr>
            <w:tcW w:w="1380" w:type="dxa"/>
            <w:vAlign w:val="bottom"/>
            <w:gridSpan w:val="2"/>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Financing</w:t>
            </w:r>
          </w:p>
        </w:tc>
        <w:tc>
          <w:tcPr>
            <w:tcW w:w="1380" w:type="dxa"/>
            <w:vAlign w:val="bottom"/>
            <w:gridSpan w:val="2"/>
            <w:vMerge w:val="continue"/>
            <w:shd w:val="clear" w:color="auto" w:fill="0C479D"/>
          </w:tcPr>
          <w:p>
            <w:pPr>
              <w:spacing w:after="0"/>
              <w:rPr>
                <w:sz w:val="12"/>
                <w:szCs w:val="12"/>
                <w:color w:val="auto"/>
              </w:rPr>
            </w:pPr>
          </w:p>
        </w:tc>
        <w:tc>
          <w:tcPr>
            <w:tcW w:w="680" w:type="dxa"/>
            <w:vAlign w:val="bottom"/>
            <w:tcBorders>
              <w:left w:val="single" w:sz="8" w:color="0C479D"/>
            </w:tcBorders>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700" w:type="dxa"/>
            <w:vAlign w:val="bottom"/>
            <w:tcBorders>
              <w:bottom w:val="single" w:sz="8" w:color="0C479D"/>
            </w:tcBorders>
            <w:shd w:val="clear" w:color="auto" w:fill="0C479D"/>
          </w:tcPr>
          <w:p>
            <w:pPr>
              <w:spacing w:after="0"/>
              <w:rPr>
                <w:sz w:val="4"/>
                <w:szCs w:val="4"/>
                <w:color w:val="auto"/>
              </w:rPr>
            </w:pPr>
          </w:p>
        </w:tc>
        <w:tc>
          <w:tcPr>
            <w:tcW w:w="680" w:type="dxa"/>
            <w:vAlign w:val="bottom"/>
            <w:tcBorders>
              <w:bottom w:val="single" w:sz="8" w:color="0C479D"/>
            </w:tcBorders>
            <w:shd w:val="clear" w:color="auto" w:fill="0C479D"/>
          </w:tcPr>
          <w:p>
            <w:pPr>
              <w:spacing w:after="0"/>
              <w:rPr>
                <w:sz w:val="4"/>
                <w:szCs w:val="4"/>
                <w:color w:val="auto"/>
              </w:rPr>
            </w:pPr>
          </w:p>
        </w:tc>
        <w:tc>
          <w:tcPr>
            <w:tcW w:w="1380" w:type="dxa"/>
            <w:vAlign w:val="bottom"/>
            <w:tcBorders>
              <w:bottom w:val="single" w:sz="8" w:color="0C479D"/>
            </w:tcBorders>
            <w:gridSpan w:val="2"/>
            <w:vMerge w:val="continue"/>
            <w:shd w:val="clear" w:color="auto" w:fill="0C479D"/>
          </w:tcPr>
          <w:p>
            <w:pPr>
              <w:spacing w:after="0"/>
              <w:rPr>
                <w:sz w:val="4"/>
                <w:szCs w:val="4"/>
                <w:color w:val="auto"/>
              </w:rPr>
            </w:pPr>
          </w:p>
        </w:tc>
        <w:tc>
          <w:tcPr>
            <w:tcW w:w="680" w:type="dxa"/>
            <w:vAlign w:val="bottom"/>
            <w:tcBorders>
              <w:bottom w:val="single" w:sz="8" w:color="0C479D"/>
            </w:tcBorders>
            <w:shd w:val="clear" w:color="auto" w:fill="0C479D"/>
          </w:tcPr>
          <w:p>
            <w:pPr>
              <w:spacing w:after="0"/>
              <w:rPr>
                <w:sz w:val="4"/>
                <w:szCs w:val="4"/>
                <w:color w:val="auto"/>
              </w:rPr>
            </w:pPr>
          </w:p>
        </w:tc>
        <w:tc>
          <w:tcPr>
            <w:tcW w:w="700" w:type="dxa"/>
            <w:vAlign w:val="bottom"/>
            <w:tcBorders>
              <w:bottom w:val="single" w:sz="8" w:color="0C479D"/>
            </w:tcBorders>
            <w:shd w:val="clear" w:color="auto" w:fill="0C479D"/>
          </w:tcPr>
          <w:p>
            <w:pPr>
              <w:spacing w:after="0"/>
              <w:rPr>
                <w:sz w:val="4"/>
                <w:szCs w:val="4"/>
                <w:color w:val="auto"/>
              </w:rPr>
            </w:pPr>
          </w:p>
        </w:tc>
        <w:tc>
          <w:tcPr>
            <w:tcW w:w="680" w:type="dxa"/>
            <w:vAlign w:val="bottom"/>
            <w:tcBorders>
              <w:left w:val="single" w:sz="8" w:color="0C479D"/>
            </w:tcBorders>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700" w:type="dxa"/>
            <w:vAlign w:val="bottom"/>
            <w:shd w:val="clear" w:color="auto" w:fill="F0F0F0"/>
          </w:tcPr>
          <w:p>
            <w:pPr>
              <w:spacing w:after="0"/>
              <w:rPr>
                <w:sz w:val="19"/>
                <w:szCs w:val="19"/>
                <w:color w:val="auto"/>
              </w:rPr>
            </w:pPr>
          </w:p>
        </w:tc>
        <w:tc>
          <w:tcPr>
            <w:tcW w:w="680" w:type="dxa"/>
            <w:vAlign w:val="bottom"/>
            <w:shd w:val="clear" w:color="auto" w:fill="F0F0F0"/>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shd w:val="clear" w:color="auto" w:fill="DCDDDE"/>
          </w:tcPr>
          <w:p>
            <w:pPr>
              <w:spacing w:after="0"/>
              <w:rPr>
                <w:sz w:val="19"/>
                <w:szCs w:val="19"/>
                <w:color w:val="auto"/>
              </w:rPr>
            </w:pPr>
          </w:p>
        </w:tc>
        <w:tc>
          <w:tcPr>
            <w:tcW w:w="700" w:type="dxa"/>
            <w:vAlign w:val="bottom"/>
            <w:shd w:val="clear" w:color="auto" w:fill="DCDDDE"/>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40" w:type="dxa"/>
            <w:vAlign w:val="bottom"/>
          </w:tcPr>
          <w:p>
            <w:pPr>
              <w:ind w:left="60"/>
              <w:spacing w:after="0" w:line="222" w:lineRule="exact"/>
              <w:rPr>
                <w:sz w:val="20"/>
                <w:szCs w:val="20"/>
                <w:color w:val="auto"/>
              </w:rPr>
            </w:pPr>
            <w:r>
              <w:rPr>
                <w:rFonts w:ascii="Times New Roman" w:cs="Times New Roman" w:eastAsia="Times New Roman" w:hAnsi="Times New Roman"/>
                <w:sz w:val="16"/>
                <w:szCs w:val="16"/>
                <w:color w:val="auto"/>
              </w:rPr>
              <w:t xml:space="preserve">Additions to property, plant and equipment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21"/>
                <w:szCs w:val="21"/>
                <w:i w:val="1"/>
                <w:iCs w:val="1"/>
                <w:color w:val="auto"/>
                <w:vertAlign w:val="superscript"/>
              </w:rPr>
              <w:t>3)</w:t>
            </w:r>
          </w:p>
        </w:tc>
        <w:tc>
          <w:tcPr>
            <w:tcW w:w="700" w:type="dxa"/>
            <w:vAlign w:val="bottom"/>
            <w:shd w:val="clear" w:color="auto" w:fill="F0F0F0"/>
          </w:tcPr>
          <w:p>
            <w:pPr>
              <w:spacing w:after="0"/>
              <w:rPr>
                <w:sz w:val="19"/>
                <w:szCs w:val="19"/>
                <w:color w:val="auto"/>
              </w:rPr>
            </w:pP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5,510</w:t>
            </w: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680" w:type="dxa"/>
            <w:vAlign w:val="bottom"/>
            <w:shd w:val="clear" w:color="auto" w:fill="DCDDDE"/>
          </w:tcPr>
          <w:p>
            <w:pPr>
              <w:spacing w:after="0"/>
              <w:rPr>
                <w:sz w:val="19"/>
                <w:szCs w:val="19"/>
                <w:color w:val="auto"/>
              </w:rPr>
            </w:pPr>
          </w:p>
        </w:tc>
        <w:tc>
          <w:tcPr>
            <w:tcW w:w="70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6,029</w:t>
            </w: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700" w:type="dxa"/>
            <w:vAlign w:val="bottom"/>
            <w:shd w:val="clear" w:color="auto" w:fill="F0F0F0"/>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shd w:val="clear" w:color="auto" w:fill="DCDDDE"/>
          </w:tcPr>
          <w:p>
            <w:pPr>
              <w:spacing w:after="0"/>
              <w:rPr>
                <w:sz w:val="24"/>
                <w:szCs w:val="24"/>
                <w:color w:val="auto"/>
              </w:rPr>
            </w:pPr>
          </w:p>
        </w:tc>
        <w:tc>
          <w:tcPr>
            <w:tcW w:w="700" w:type="dxa"/>
            <w:vAlign w:val="bottom"/>
            <w:shd w:val="clear" w:color="auto" w:fill="DCDDDE"/>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Investments in equity companies</w:t>
            </w:r>
          </w:p>
        </w:tc>
        <w:tc>
          <w:tcPr>
            <w:tcW w:w="700" w:type="dxa"/>
            <w:vAlign w:val="bottom"/>
            <w:shd w:val="clear" w:color="auto" w:fill="F0F0F0"/>
          </w:tcPr>
          <w:p>
            <w:pPr>
              <w:spacing w:after="0"/>
              <w:rPr>
                <w:sz w:val="20"/>
                <w:szCs w:val="20"/>
                <w:color w:val="auto"/>
              </w:rPr>
            </w:pP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32,765</w:t>
            </w:r>
          </w:p>
        </w:tc>
        <w:tc>
          <w:tcPr>
            <w:tcW w:w="7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680" w:type="dxa"/>
            <w:vAlign w:val="bottom"/>
            <w:shd w:val="clear" w:color="auto" w:fill="DCDDDE"/>
          </w:tcPr>
          <w:p>
            <w:pPr>
              <w:spacing w:after="0"/>
              <w:rPr>
                <w:sz w:val="20"/>
                <w:szCs w:val="20"/>
                <w:color w:val="auto"/>
              </w:rPr>
            </w:pPr>
          </w:p>
        </w:tc>
        <w:tc>
          <w:tcPr>
            <w:tcW w:w="70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32,653</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assets</w:t>
            </w:r>
          </w:p>
        </w:tc>
        <w:tc>
          <w:tcPr>
            <w:tcW w:w="700" w:type="dxa"/>
            <w:vAlign w:val="bottom"/>
            <w:shd w:val="clear" w:color="auto" w:fill="F0F0F0"/>
          </w:tcPr>
          <w:p>
            <w:pPr>
              <w:spacing w:after="0"/>
              <w:rPr>
                <w:sz w:val="19"/>
                <w:szCs w:val="19"/>
                <w:color w:val="auto"/>
              </w:rPr>
            </w:pP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413,825</w:t>
            </w: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35,155</w:t>
            </w:r>
          </w:p>
        </w:tc>
        <w:tc>
          <w:tcPr>
            <w:tcW w:w="680" w:type="dxa"/>
            <w:vAlign w:val="bottom"/>
            <w:shd w:val="clear" w:color="auto" w:fill="DCDDDE"/>
          </w:tcPr>
          <w:p>
            <w:pPr>
              <w:spacing w:after="0"/>
              <w:rPr>
                <w:sz w:val="19"/>
                <w:szCs w:val="19"/>
                <w:color w:val="auto"/>
              </w:rPr>
            </w:pPr>
          </w:p>
        </w:tc>
        <w:tc>
          <w:tcPr>
            <w:tcW w:w="70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448,980</w:t>
            </w: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60" w:right="120" w:firstLine="5"/>
        <w:spacing w:after="0" w:line="238" w:lineRule="auto"/>
        <w:tabs>
          <w:tab w:leader="none" w:pos="205" w:val="left"/>
        </w:tabs>
        <w:numPr>
          <w:ilvl w:val="0"/>
          <w:numId w:val="10"/>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Operating expenses, excl. depreciation and depletion includes the following GAAP line items, as reflected on the Income Statement: Production and manufacturing expenses; Selling, general and administrative expenses; Exploration expenses, including dry holes; and Non-service pension and postretirement benefit expense.</w:t>
      </w:r>
    </w:p>
    <w:p>
      <w:pPr>
        <w:spacing w:after="0" w:line="21" w:lineRule="exact"/>
        <w:rPr>
          <w:rFonts w:ascii="Times New Roman" w:cs="Times New Roman" w:eastAsia="Times New Roman" w:hAnsi="Times New Roman"/>
          <w:sz w:val="18"/>
          <w:szCs w:val="18"/>
          <w:i w:val="1"/>
          <w:iCs w:val="1"/>
          <w:color w:val="auto"/>
          <w:vertAlign w:val="superscript"/>
        </w:rPr>
      </w:pPr>
    </w:p>
    <w:p>
      <w:pPr>
        <w:ind w:left="200" w:hanging="135"/>
        <w:spacing w:after="0"/>
        <w:tabs>
          <w:tab w:leader="none" w:pos="200" w:val="left"/>
        </w:tabs>
        <w:numPr>
          <w:ilvl w:val="0"/>
          <w:numId w:val="10"/>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Primarily Corporate and Financing Interest revenue of $363 million.</w:t>
      </w:r>
    </w:p>
    <w:p>
      <w:pPr>
        <w:spacing w:after="0" w:line="43" w:lineRule="exact"/>
        <w:rPr>
          <w:rFonts w:ascii="Times New Roman" w:cs="Times New Roman" w:eastAsia="Times New Roman" w:hAnsi="Times New Roman"/>
          <w:sz w:val="17"/>
          <w:szCs w:val="17"/>
          <w:i w:val="1"/>
          <w:iCs w:val="1"/>
          <w:color w:val="auto"/>
          <w:vertAlign w:val="superscript"/>
        </w:rPr>
      </w:pPr>
    </w:p>
    <w:p>
      <w:pPr>
        <w:ind w:left="200" w:hanging="135"/>
        <w:spacing w:after="0" w:line="211" w:lineRule="auto"/>
        <w:tabs>
          <w:tab w:leader="none" w:pos="200" w:val="left"/>
        </w:tabs>
        <w:numPr>
          <w:ilvl w:val="0"/>
          <w:numId w:val="10"/>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Includes non-cash additions.</w:t>
      </w:r>
    </w:p>
    <w:p>
      <w:pPr>
        <w:sectPr>
          <w:pgSz w:w="11900" w:h="16838" w:orient="portrait"/>
          <w:cols w:equalWidth="0" w:num="1">
            <w:col w:w="9740"/>
          </w:cols>
          <w:pgMar w:left="1080" w:top="499"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740"/>
          </w:cols>
          <w:pgMar w:left="1080" w:top="499" w:right="1079" w:bottom="1440" w:gutter="0" w:footer="0" w:header="0"/>
          <w:type w:val="continuous"/>
        </w:sectPr>
      </w:pPr>
    </w:p>
    <w:bookmarkStart w:id="9" w:name="page10"/>
    <w:bookmarkEnd w:id="9"/>
    <w:p>
      <w:pPr>
        <w:ind w:left="796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Revenue from Contracts with Customers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Sales and other operating revenue include both revenue within the scope of ASC 606 and outside the scope of ASC 606. Trade receivables in "Notes and accounts receivable – net" reported on the Balance Sheet also includes both receivables within the scope of ASC 606 and those outside the scope of ASC 606. Revenue and receivables outside the scope of ASC 606 primarily relate to physically settled commodity contracts accounted for as derivatives. Contractual terms, credit quality, and type of customer are generally similar between those revenues and receivables within the scope of ASC 606 and those outside it.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8"/>
                <w:szCs w:val="18"/>
                <w:b w:val="1"/>
                <w:bCs w:val="1"/>
                <w:color w:val="FFFFFF"/>
              </w:rPr>
              <w:t>Sales and other operating revenue</w:t>
            </w:r>
          </w:p>
        </w:tc>
        <w:tc>
          <w:tcPr>
            <w:tcW w:w="1980" w:type="dxa"/>
            <w:vAlign w:val="bottom"/>
            <w:gridSpan w:val="3"/>
            <w:shd w:val="clear" w:color="auto" w:fill="0C479D"/>
          </w:tcPr>
          <w:p>
            <w:pPr>
              <w:jc w:val="right"/>
              <w:ind w:right="254"/>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260" w:type="dxa"/>
            <w:vAlign w:val="bottom"/>
            <w:vMerge w:val="continue"/>
            <w:shd w:val="clear" w:color="auto" w:fill="0C479D"/>
          </w:tcPr>
          <w:p>
            <w:pPr>
              <w:spacing w:after="0"/>
              <w:rPr>
                <w:sz w:val="13"/>
                <w:szCs w:val="13"/>
                <w:color w:val="auto"/>
              </w:rPr>
            </w:pPr>
          </w:p>
        </w:tc>
        <w:tc>
          <w:tcPr>
            <w:tcW w:w="1360" w:type="dxa"/>
            <w:vAlign w:val="bottom"/>
            <w:gridSpan w:val="2"/>
            <w:shd w:val="clear" w:color="auto" w:fill="0C479D"/>
          </w:tcPr>
          <w:p>
            <w:pPr>
              <w:ind w:left="680"/>
              <w:spacing w:after="0" w:line="160" w:lineRule="exact"/>
              <w:rPr>
                <w:sz w:val="20"/>
                <w:szCs w:val="20"/>
                <w:color w:val="auto"/>
              </w:rPr>
            </w:pPr>
            <w:r>
              <w:rPr>
                <w:rFonts w:ascii="Times New Roman" w:cs="Times New Roman" w:eastAsia="Times New Roman" w:hAnsi="Times New Roman"/>
                <w:sz w:val="14"/>
                <w:szCs w:val="14"/>
                <w:b w:val="1"/>
                <w:bCs w:val="1"/>
                <w:color w:val="FFFFFF"/>
              </w:rPr>
              <w:t>March 31,</w:t>
            </w:r>
          </w:p>
        </w:tc>
        <w:tc>
          <w:tcPr>
            <w:tcW w:w="620" w:type="dxa"/>
            <w:vAlign w:val="bottom"/>
            <w:shd w:val="clear" w:color="auto" w:fill="0C479D"/>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7260" w:type="dxa"/>
            <w:vAlign w:val="bottom"/>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000" w:type="dxa"/>
            <w:vAlign w:val="bottom"/>
            <w:shd w:val="clear" w:color="auto" w:fill="0C479D"/>
          </w:tcPr>
          <w:p>
            <w:pPr>
              <w:ind w:left="660"/>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360" w:type="dxa"/>
            <w:vAlign w:val="bottom"/>
            <w:shd w:val="clear" w:color="auto" w:fill="0C479D"/>
          </w:tcPr>
          <w:p>
            <w:pPr>
              <w:spacing w:after="0"/>
              <w:rPr>
                <w:sz w:val="23"/>
                <w:szCs w:val="23"/>
                <w:color w:val="auto"/>
              </w:rPr>
            </w:pPr>
          </w:p>
        </w:tc>
        <w:tc>
          <w:tcPr>
            <w:tcW w:w="62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shd w:val="clear" w:color="auto" w:fill="0C479D"/>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56,866</w:t>
            </w:r>
          </w:p>
        </w:tc>
        <w:tc>
          <w:tcPr>
            <w:tcW w:w="3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Revenue outside the scope of ASC 606</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26,295</w:t>
            </w:r>
          </w:p>
        </w:tc>
        <w:tc>
          <w:tcPr>
            <w:tcW w:w="360" w:type="dxa"/>
            <w:vAlign w:val="bottom"/>
            <w:tcBorders>
              <w:bottom w:val="single" w:sz="8" w:color="0C479D"/>
            </w:tcBorders>
          </w:tcPr>
          <w:p>
            <w:pPr>
              <w:spacing w:after="0"/>
              <w:rPr>
                <w:sz w:val="21"/>
                <w:szCs w:val="21"/>
                <w:color w:val="auto"/>
              </w:rPr>
            </w:pP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24,127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83,161</w:t>
            </w:r>
          </w:p>
        </w:tc>
        <w:tc>
          <w:tcPr>
            <w:tcW w:w="360" w:type="dxa"/>
            <w:vAlign w:val="bottom"/>
            <w:tcBorders>
              <w:bottom w:val="single" w:sz="8" w:color="0C479D"/>
            </w:tcBorders>
          </w:tcPr>
          <w:p>
            <w:pPr>
              <w:spacing w:after="0"/>
              <w:rPr>
                <w:sz w:val="20"/>
                <w:szCs w:val="20"/>
                <w:color w:val="auto"/>
              </w:rPr>
            </w:pP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81,058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260" w:type="dxa"/>
            <w:vAlign w:val="bottom"/>
          </w:tcPr>
          <w:p>
            <w:pPr>
              <w:spacing w:after="0"/>
              <w:rPr>
                <w:sz w:val="24"/>
                <w:szCs w:val="24"/>
                <w:color w:val="auto"/>
              </w:rPr>
            </w:pPr>
          </w:p>
        </w:tc>
        <w:tc>
          <w:tcPr>
            <w:tcW w:w="19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6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8"/>
                <w:szCs w:val="18"/>
                <w:b w:val="1"/>
                <w:bCs w:val="1"/>
                <w:color w:val="FFFFFF"/>
              </w:rPr>
              <w:t>Geographic Sales and Other Operating Revenue</w:t>
            </w:r>
          </w:p>
        </w:tc>
        <w:tc>
          <w:tcPr>
            <w:tcW w:w="1980" w:type="dxa"/>
            <w:vAlign w:val="bottom"/>
            <w:gridSpan w:val="3"/>
            <w:shd w:val="clear" w:color="auto" w:fill="0C479D"/>
          </w:tcPr>
          <w:p>
            <w:pPr>
              <w:jc w:val="right"/>
              <w:ind w:right="254"/>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7260" w:type="dxa"/>
            <w:vAlign w:val="bottom"/>
            <w:vMerge w:val="continue"/>
            <w:shd w:val="clear" w:color="auto" w:fill="0C479D"/>
          </w:tcPr>
          <w:p>
            <w:pPr>
              <w:spacing w:after="0"/>
              <w:rPr>
                <w:sz w:val="11"/>
                <w:szCs w:val="11"/>
                <w:color w:val="auto"/>
              </w:rPr>
            </w:pPr>
          </w:p>
        </w:tc>
        <w:tc>
          <w:tcPr>
            <w:tcW w:w="1360" w:type="dxa"/>
            <w:vAlign w:val="bottom"/>
            <w:gridSpan w:val="2"/>
            <w:shd w:val="clear" w:color="auto" w:fill="0C479D"/>
          </w:tcPr>
          <w:p>
            <w:pPr>
              <w:ind w:left="680"/>
              <w:spacing w:after="0" w:line="137" w:lineRule="exact"/>
              <w:rPr>
                <w:sz w:val="20"/>
                <w:szCs w:val="20"/>
                <w:color w:val="auto"/>
              </w:rPr>
            </w:pPr>
            <w:r>
              <w:rPr>
                <w:rFonts w:ascii="Times New Roman" w:cs="Times New Roman" w:eastAsia="Times New Roman" w:hAnsi="Times New Roman"/>
                <w:sz w:val="14"/>
                <w:szCs w:val="14"/>
                <w:b w:val="1"/>
                <w:bCs w:val="1"/>
                <w:color w:val="FFFFFF"/>
              </w:rPr>
              <w:t>March 31,</w:t>
            </w:r>
          </w:p>
        </w:tc>
        <w:tc>
          <w:tcPr>
            <w:tcW w:w="620" w:type="dxa"/>
            <w:vAlign w:val="bottom"/>
            <w:shd w:val="clear" w:color="auto" w:fill="0C479D"/>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726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000" w:type="dxa"/>
            <w:vAlign w:val="bottom"/>
            <w:vMerge w:val="restart"/>
            <w:shd w:val="clear" w:color="auto" w:fill="0C479D"/>
          </w:tcPr>
          <w:p>
            <w:pPr>
              <w:ind w:left="660"/>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360" w:type="dxa"/>
            <w:vAlign w:val="bottom"/>
            <w:shd w:val="clear" w:color="auto" w:fill="0C479D"/>
          </w:tcPr>
          <w:p>
            <w:pPr>
              <w:spacing w:after="0"/>
              <w:rPr>
                <w:sz w:val="2"/>
                <w:szCs w:val="2"/>
                <w:color w:val="auto"/>
              </w:rPr>
            </w:pPr>
          </w:p>
        </w:tc>
        <w:tc>
          <w:tcPr>
            <w:tcW w:w="62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tcBorders>
              <w:bottom w:val="single" w:sz="8" w:color="0C479D"/>
            </w:tcBorders>
            <w:vMerge w:val="continue"/>
            <w:shd w:val="clear" w:color="auto" w:fill="0C479D"/>
          </w:tcPr>
          <w:p>
            <w:pPr>
              <w:spacing w:after="0"/>
              <w:rPr>
                <w:sz w:val="18"/>
                <w:szCs w:val="18"/>
                <w:color w:val="auto"/>
              </w:rPr>
            </w:pPr>
          </w:p>
        </w:tc>
        <w:tc>
          <w:tcPr>
            <w:tcW w:w="1000" w:type="dxa"/>
            <w:vAlign w:val="bottom"/>
            <w:tcBorders>
              <w:bottom w:val="single" w:sz="8" w:color="0C479D"/>
            </w:tcBorders>
            <w:vMerge w:val="continue"/>
            <w:shd w:val="clear" w:color="auto" w:fill="0C479D"/>
          </w:tcPr>
          <w:p>
            <w:pPr>
              <w:spacing w:after="0"/>
              <w:rPr>
                <w:sz w:val="18"/>
                <w:szCs w:val="18"/>
                <w:color w:val="auto"/>
              </w:rPr>
            </w:pPr>
          </w:p>
        </w:tc>
        <w:tc>
          <w:tcPr>
            <w:tcW w:w="360" w:type="dxa"/>
            <w:vAlign w:val="bottom"/>
            <w:tcBorders>
              <w:bottom w:val="single" w:sz="8" w:color="0C479D"/>
            </w:tcBorders>
            <w:shd w:val="clear" w:color="auto" w:fill="0C479D"/>
          </w:tcPr>
          <w:p>
            <w:pPr>
              <w:spacing w:after="0"/>
              <w:rPr>
                <w:sz w:val="18"/>
                <w:szCs w:val="18"/>
                <w:color w:val="auto"/>
              </w:rPr>
            </w:pPr>
          </w:p>
        </w:tc>
        <w:tc>
          <w:tcPr>
            <w:tcW w:w="620" w:type="dxa"/>
            <w:vAlign w:val="bottom"/>
            <w:tcBorders>
              <w:bottom w:val="single" w:sz="8" w:color="0C479D"/>
            </w:tcBorders>
            <w:vMerge w:val="continue"/>
            <w:shd w:val="clear" w:color="auto" w:fill="0C479D"/>
          </w:tcPr>
          <w:p>
            <w:pPr>
              <w:spacing w:after="0"/>
              <w:rPr>
                <w:sz w:val="18"/>
                <w:szCs w:val="18"/>
                <w:color w:val="auto"/>
              </w:rPr>
            </w:pPr>
          </w:p>
        </w:tc>
        <w:tc>
          <w:tcPr>
            <w:tcW w:w="20" w:type="dxa"/>
            <w:vAlign w:val="bottom"/>
            <w:tcBorders>
              <w:bottom w:val="single" w:sz="8" w:color="0C479D"/>
            </w:tcBorders>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36,627</w:t>
            </w: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Non-U.S.</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46,534</w:t>
            </w:r>
          </w:p>
        </w:tc>
        <w:tc>
          <w:tcPr>
            <w:tcW w:w="360" w:type="dxa"/>
            <w:vAlign w:val="bottom"/>
            <w:tcBorders>
              <w:bottom w:val="single" w:sz="8" w:color="0C479D"/>
            </w:tcBorders>
          </w:tcPr>
          <w:p>
            <w:pPr>
              <w:spacing w:after="0"/>
              <w:rPr>
                <w:sz w:val="19"/>
                <w:szCs w:val="19"/>
                <w:color w:val="auto"/>
              </w:rPr>
            </w:pP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46,451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60" w:type="dxa"/>
            <w:vAlign w:val="bottom"/>
            <w:tcBorders>
              <w:bottom w:val="single" w:sz="8" w:color="0C479D"/>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0C479D"/>
            </w:tcBorders>
            <w:shd w:val="clear" w:color="auto" w:fill="F0F0F0"/>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83,161</w:t>
            </w:r>
          </w:p>
        </w:tc>
        <w:tc>
          <w:tcPr>
            <w:tcW w:w="360" w:type="dxa"/>
            <w:vAlign w:val="bottom"/>
            <w:tcBorders>
              <w:bottom w:val="single" w:sz="8" w:color="0C479D"/>
            </w:tcBorders>
          </w:tcPr>
          <w:p>
            <w:pPr>
              <w:spacing w:after="0"/>
              <w:rPr>
                <w:sz w:val="17"/>
                <w:szCs w:val="17"/>
                <w:color w:val="auto"/>
              </w:rPr>
            </w:pPr>
          </w:p>
        </w:tc>
        <w:tc>
          <w:tcPr>
            <w:tcW w:w="620" w:type="dxa"/>
            <w:vAlign w:val="bottom"/>
            <w:tcBorders>
              <w:bottom w:val="single" w:sz="8" w:color="0C479D"/>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81,058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 xml:space="preserve">Significant Non-U.S. revenue sources include: </w:t>
            </w:r>
            <w:r>
              <w:rPr>
                <w:rFonts w:ascii="Times New Roman" w:cs="Times New Roman" w:eastAsia="Times New Roman" w:hAnsi="Times New Roman"/>
                <w:sz w:val="23"/>
                <w:szCs w:val="23"/>
                <w:i w:val="1"/>
                <w:iCs w:val="1"/>
                <w:color w:val="0C479D"/>
                <w:vertAlign w:val="superscript"/>
              </w:rPr>
              <w:t>(1)</w:t>
            </w:r>
          </w:p>
        </w:tc>
        <w:tc>
          <w:tcPr>
            <w:tcW w:w="1000" w:type="dxa"/>
            <w:vAlign w:val="bottom"/>
            <w:shd w:val="clear" w:color="auto" w:fill="F0F0F0"/>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Canada</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360" w:type="dxa"/>
            <w:vAlign w:val="bottom"/>
            <w:tcBorders>
              <w:bottom w:val="single" w:sz="8" w:color="0C479D"/>
            </w:tcBorders>
          </w:tcPr>
          <w:p>
            <w:pPr>
              <w:spacing w:after="0"/>
              <w:rPr>
                <w:sz w:val="18"/>
                <w:szCs w:val="18"/>
                <w:color w:val="auto"/>
              </w:rPr>
            </w:pP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60" w:right="380" w:firstLine="8"/>
        <w:spacing w:after="0" w:line="229" w:lineRule="auto"/>
        <w:tabs>
          <w:tab w:leader="none" w:pos="223" w:val="left"/>
        </w:tabs>
        <w:numPr>
          <w:ilvl w:val="0"/>
          <w:numId w:val="11"/>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Revenue is determined by primary country of operations. Excludes certain sales and other operating revenues in non-U.S. operations where attribution to a specific country is not practicable.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4. Pension and Other Postretirement Benefits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shd w:val="clear" w:color="auto" w:fill="0C479D"/>
          </w:tcPr>
          <w:p>
            <w:pPr>
              <w:spacing w:after="0"/>
              <w:rPr>
                <w:sz w:val="17"/>
                <w:szCs w:val="17"/>
                <w:color w:val="auto"/>
              </w:rPr>
            </w:pPr>
          </w:p>
        </w:tc>
        <w:tc>
          <w:tcPr>
            <w:tcW w:w="1980" w:type="dxa"/>
            <w:vAlign w:val="bottom"/>
            <w:gridSpan w:val="3"/>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260" w:type="dxa"/>
            <w:vAlign w:val="bottom"/>
            <w:shd w:val="clear" w:color="auto" w:fill="0C479D"/>
          </w:tcPr>
          <w:p>
            <w:pPr>
              <w:ind w:left="120"/>
              <w:spacing w:after="0" w:line="160" w:lineRule="exact"/>
              <w:rPr>
                <w:sz w:val="20"/>
                <w:szCs w:val="20"/>
                <w:color w:val="auto"/>
              </w:rPr>
            </w:pPr>
            <w:r>
              <w:rPr>
                <w:rFonts w:ascii="Times New Roman" w:cs="Times New Roman" w:eastAsia="Times New Roman" w:hAnsi="Times New Roman"/>
                <w:sz w:val="14"/>
                <w:szCs w:val="14"/>
                <w:i w:val="1"/>
                <w:iCs w:val="1"/>
                <w:color w:val="FFFFFF"/>
              </w:rPr>
              <w:t>(millions of dollars)</w:t>
            </w:r>
          </w:p>
        </w:tc>
        <w:tc>
          <w:tcPr>
            <w:tcW w:w="1440" w:type="dxa"/>
            <w:vAlign w:val="bottom"/>
            <w:gridSpan w:val="2"/>
            <w:shd w:val="clear" w:color="auto" w:fill="0C479D"/>
          </w:tcPr>
          <w:p>
            <w:pPr>
              <w:jc w:val="center"/>
              <w:ind w:left="452"/>
              <w:spacing w:after="0" w:line="160" w:lineRule="exact"/>
              <w:rPr>
                <w:sz w:val="20"/>
                <w:szCs w:val="20"/>
                <w:color w:val="auto"/>
              </w:rPr>
            </w:pPr>
            <w:r>
              <w:rPr>
                <w:rFonts w:ascii="Times New Roman" w:cs="Times New Roman" w:eastAsia="Times New Roman" w:hAnsi="Times New Roman"/>
                <w:sz w:val="14"/>
                <w:szCs w:val="14"/>
                <w:b w:val="1"/>
                <w:bCs w:val="1"/>
                <w:color w:val="FFFFFF"/>
              </w:rPr>
              <w:t>March 31,</w:t>
            </w:r>
          </w:p>
        </w:tc>
        <w:tc>
          <w:tcPr>
            <w:tcW w:w="54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260" w:type="dxa"/>
            <w:vAlign w:val="bottom"/>
            <w:tcBorders>
              <w:bottom w:val="single" w:sz="8" w:color="0C479D"/>
            </w:tcBorders>
            <w:shd w:val="clear" w:color="auto" w:fill="0C479D"/>
          </w:tcPr>
          <w:p>
            <w:pPr>
              <w:spacing w:after="0"/>
              <w:rPr>
                <w:sz w:val="18"/>
                <w:szCs w:val="18"/>
                <w:color w:val="auto"/>
              </w:rPr>
            </w:pPr>
          </w:p>
        </w:tc>
        <w:tc>
          <w:tcPr>
            <w:tcW w:w="100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40" w:type="dxa"/>
            <w:vAlign w:val="bottom"/>
            <w:tcBorders>
              <w:bottom w:val="single" w:sz="8" w:color="0C479D"/>
            </w:tcBorders>
            <w:shd w:val="clear" w:color="auto" w:fill="0C479D"/>
          </w:tcPr>
          <w:p>
            <w:pPr>
              <w:spacing w:after="0"/>
              <w:rPr>
                <w:sz w:val="18"/>
                <w:szCs w:val="18"/>
                <w:color w:val="auto"/>
              </w:rPr>
            </w:pPr>
          </w:p>
        </w:tc>
        <w:tc>
          <w:tcPr>
            <w:tcW w:w="540" w:type="dxa"/>
            <w:vAlign w:val="bottom"/>
            <w:tcBorders>
              <w:bottom w:val="single" w:sz="8" w:color="0C479D"/>
            </w:tcBorders>
            <w:vMerge w:val="continue"/>
            <w:shd w:val="clear" w:color="auto" w:fill="0C479D"/>
          </w:tcPr>
          <w:p>
            <w:pPr>
              <w:spacing w:after="0"/>
              <w:rPr>
                <w:sz w:val="18"/>
                <w:szCs w:val="18"/>
                <w:color w:val="auto"/>
              </w:rPr>
            </w:pPr>
          </w:p>
        </w:tc>
        <w:tc>
          <w:tcPr>
            <w:tcW w:w="20" w:type="dxa"/>
            <w:vAlign w:val="bottom"/>
            <w:tcBorders>
              <w:bottom w:val="single" w:sz="8" w:color="0C479D"/>
            </w:tcBorders>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Components of net benefit cost</w:t>
            </w:r>
          </w:p>
        </w:tc>
        <w:tc>
          <w:tcPr>
            <w:tcW w:w="1000" w:type="dxa"/>
            <w:vAlign w:val="bottom"/>
            <w:shd w:val="clear" w:color="auto" w:fill="F0F0F0"/>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0C479D"/>
              </w:rPr>
              <w:t>Pension Benefits - U.S.</w:t>
            </w:r>
          </w:p>
        </w:tc>
        <w:tc>
          <w:tcPr>
            <w:tcW w:w="1000" w:type="dxa"/>
            <w:vAlign w:val="bottom"/>
            <w:shd w:val="clear" w:color="auto" w:fill="F0F0F0"/>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Service cost</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actuarial loss/(gain)</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Net pension enhancement and curtailment/settlement cost</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0C479D"/>
            </w:tcBorders>
          </w:tcPr>
          <w:p>
            <w:pPr>
              <w:spacing w:after="0"/>
              <w:rPr>
                <w:sz w:val="19"/>
                <w:szCs w:val="19"/>
                <w:color w:val="auto"/>
              </w:rPr>
            </w:pPr>
          </w:p>
        </w:tc>
        <w:tc>
          <w:tcPr>
            <w:tcW w:w="5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60" w:type="dxa"/>
            <w:vAlign w:val="bottom"/>
            <w:tcBorders>
              <w:bottom w:val="single" w:sz="8" w:color="0C479D"/>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Net benefit cost</w:t>
            </w:r>
          </w:p>
        </w:tc>
        <w:tc>
          <w:tcPr>
            <w:tcW w:w="1000" w:type="dxa"/>
            <w:vAlign w:val="bottom"/>
            <w:tcBorders>
              <w:bottom w:val="single" w:sz="8" w:color="0C479D"/>
            </w:tcBorders>
            <w:shd w:val="clear" w:color="auto" w:fill="F0F0F0"/>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124</w:t>
            </w:r>
          </w:p>
        </w:tc>
        <w:tc>
          <w:tcPr>
            <w:tcW w:w="440" w:type="dxa"/>
            <w:vAlign w:val="bottom"/>
            <w:tcBorders>
              <w:bottom w:val="single" w:sz="8" w:color="0C479D"/>
            </w:tcBorders>
          </w:tcPr>
          <w:p>
            <w:pPr>
              <w:spacing w:after="0"/>
              <w:rPr>
                <w:sz w:val="17"/>
                <w:szCs w:val="17"/>
                <w:color w:val="auto"/>
              </w:rPr>
            </w:pPr>
          </w:p>
        </w:tc>
        <w:tc>
          <w:tcPr>
            <w:tcW w:w="540" w:type="dxa"/>
            <w:vAlign w:val="bottom"/>
            <w:tcBorders>
              <w:bottom w:val="single" w:sz="8" w:color="0C479D"/>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0C479D"/>
              </w:rPr>
              <w:t>Pension Benefits - Non-U.S.</w:t>
            </w:r>
          </w:p>
        </w:tc>
        <w:tc>
          <w:tcPr>
            <w:tcW w:w="1000" w:type="dxa"/>
            <w:vAlign w:val="bottom"/>
            <w:shd w:val="clear" w:color="auto" w:fill="F0F0F0"/>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Service cost</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actuarial loss/(gain)</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Net pension enhancement and curtailment/settlement cost</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tcBorders>
              <w:bottom w:val="single" w:sz="8" w:color="0C479D"/>
            </w:tcBorders>
          </w:tcPr>
          <w:p>
            <w:pPr>
              <w:spacing w:after="0"/>
              <w:rPr>
                <w:sz w:val="19"/>
                <w:szCs w:val="19"/>
                <w:color w:val="auto"/>
              </w:rPr>
            </w:pPr>
          </w:p>
        </w:tc>
        <w:tc>
          <w:tcPr>
            <w:tcW w:w="5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60" w:type="dxa"/>
            <w:vAlign w:val="bottom"/>
            <w:tcBorders>
              <w:bottom w:val="single" w:sz="8" w:color="0C479D"/>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Net benefit cost</w:t>
            </w:r>
          </w:p>
        </w:tc>
        <w:tc>
          <w:tcPr>
            <w:tcW w:w="1000" w:type="dxa"/>
            <w:vAlign w:val="bottom"/>
            <w:tcBorders>
              <w:bottom w:val="single" w:sz="8" w:color="0C479D"/>
            </w:tcBorders>
            <w:shd w:val="clear" w:color="auto" w:fill="F0F0F0"/>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113</w:t>
            </w:r>
          </w:p>
        </w:tc>
        <w:tc>
          <w:tcPr>
            <w:tcW w:w="440" w:type="dxa"/>
            <w:vAlign w:val="bottom"/>
            <w:tcBorders>
              <w:bottom w:val="single" w:sz="8" w:color="0C479D"/>
            </w:tcBorders>
          </w:tcPr>
          <w:p>
            <w:pPr>
              <w:spacing w:after="0"/>
              <w:rPr>
                <w:sz w:val="17"/>
                <w:szCs w:val="17"/>
                <w:color w:val="auto"/>
              </w:rPr>
            </w:pPr>
          </w:p>
        </w:tc>
        <w:tc>
          <w:tcPr>
            <w:tcW w:w="540" w:type="dxa"/>
            <w:vAlign w:val="bottom"/>
            <w:tcBorders>
              <w:bottom w:val="single" w:sz="8" w:color="0C479D"/>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0C479D"/>
              </w:rPr>
              <w:t>Other Postretirement Benefits</w:t>
            </w:r>
          </w:p>
        </w:tc>
        <w:tc>
          <w:tcPr>
            <w:tcW w:w="1000" w:type="dxa"/>
            <w:vAlign w:val="bottom"/>
            <w:shd w:val="clear" w:color="auto" w:fill="F0F0F0"/>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Service cost</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actuarial loss/(gain)</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Borders>
              <w:bottom w:val="single" w:sz="8" w:color="0C479D"/>
            </w:tcBorders>
          </w:tcPr>
          <w:p>
            <w:pPr>
              <w:spacing w:after="0"/>
              <w:rPr>
                <w:sz w:val="19"/>
                <w:szCs w:val="19"/>
                <w:color w:val="auto"/>
              </w:rPr>
            </w:pPr>
          </w:p>
        </w:tc>
        <w:tc>
          <w:tcPr>
            <w:tcW w:w="5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60" w:type="dxa"/>
            <w:vAlign w:val="bottom"/>
            <w:tcBorders>
              <w:bottom w:val="single" w:sz="8" w:color="0C479D"/>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Net benefit cost</w:t>
            </w:r>
          </w:p>
        </w:tc>
        <w:tc>
          <w:tcPr>
            <w:tcW w:w="1000" w:type="dxa"/>
            <w:vAlign w:val="bottom"/>
            <w:tcBorders>
              <w:bottom w:val="single" w:sz="8" w:color="0C479D"/>
            </w:tcBorders>
            <w:shd w:val="clear" w:color="auto" w:fill="F0F0F0"/>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45</w:t>
            </w:r>
          </w:p>
        </w:tc>
        <w:tc>
          <w:tcPr>
            <w:tcW w:w="440" w:type="dxa"/>
            <w:vAlign w:val="bottom"/>
            <w:tcBorders>
              <w:bottom w:val="single" w:sz="8" w:color="0C479D"/>
            </w:tcBorders>
          </w:tcPr>
          <w:p>
            <w:pPr>
              <w:spacing w:after="0"/>
              <w:rPr>
                <w:sz w:val="17"/>
                <w:szCs w:val="17"/>
                <w:color w:val="auto"/>
              </w:rPr>
            </w:pPr>
          </w:p>
        </w:tc>
        <w:tc>
          <w:tcPr>
            <w:tcW w:w="540" w:type="dxa"/>
            <w:vAlign w:val="bottom"/>
            <w:tcBorders>
              <w:bottom w:val="single" w:sz="8" w:color="0C479D"/>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260"/>
          </w:cols>
          <w:pgMar w:left="1320" w:top="499" w:right="131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260"/>
          </w:cols>
          <w:pgMar w:left="1320" w:top="499" w:right="131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6D6D6D"/>
              </w:rPr>
              <w:t>Table of Contents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5"/>
        </w:trPr>
        <w:tc>
          <w:tcPr>
            <w:tcW w:w="5440" w:type="dxa"/>
            <w:vAlign w:val="bottom"/>
          </w:tcPr>
          <w:p>
            <w:pPr>
              <w:spacing w:after="0"/>
              <w:rPr>
                <w:sz w:val="20"/>
                <w:szCs w:val="20"/>
                <w:color w:val="auto"/>
              </w:rPr>
            </w:pPr>
            <w:r>
              <w:rPr>
                <w:rFonts w:ascii="Times New Roman" w:cs="Times New Roman" w:eastAsia="Times New Roman" w:hAnsi="Times New Roman"/>
                <w:sz w:val="22"/>
                <w:szCs w:val="22"/>
                <w:b w:val="1"/>
                <w:bCs w:val="1"/>
                <w:color w:val="0C479D"/>
              </w:rPr>
              <w:t>Note 5. Other Comprehensive Income Information</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44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8"/>
                <w:szCs w:val="18"/>
                <w:b w:val="1"/>
                <w:bCs w:val="1"/>
                <w:color w:val="FFFFFF"/>
              </w:rPr>
              <w:t>ExxonMobil Share of Accumulated Other</w:t>
            </w:r>
          </w:p>
        </w:tc>
        <w:tc>
          <w:tcPr>
            <w:tcW w:w="126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Cumulative</w:t>
            </w:r>
          </w:p>
        </w:tc>
        <w:tc>
          <w:tcPr>
            <w:tcW w:w="128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Postretirement</w:t>
            </w:r>
          </w:p>
        </w:tc>
        <w:tc>
          <w:tcPr>
            <w:tcW w:w="1260" w:type="dxa"/>
            <w:vAlign w:val="bottom"/>
            <w:shd w:val="clear" w:color="auto" w:fill="0C479D"/>
          </w:tcPr>
          <w:p>
            <w:pPr>
              <w:spacing w:after="0"/>
              <w:rPr>
                <w:sz w:val="16"/>
                <w:szCs w:val="16"/>
                <w:color w:val="auto"/>
              </w:rPr>
            </w:pPr>
          </w:p>
        </w:tc>
        <w:tc>
          <w:tcPr>
            <w:tcW w:w="2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440" w:type="dxa"/>
            <w:vAlign w:val="bottom"/>
            <w:vMerge w:val="continue"/>
            <w:shd w:val="clear" w:color="auto" w:fill="0C479D"/>
          </w:tcPr>
          <w:p>
            <w:pPr>
              <w:spacing w:after="0"/>
              <w:rPr>
                <w:sz w:val="12"/>
                <w:szCs w:val="12"/>
                <w:color w:val="auto"/>
              </w:rPr>
            </w:pPr>
          </w:p>
        </w:tc>
        <w:tc>
          <w:tcPr>
            <w:tcW w:w="1260" w:type="dxa"/>
            <w:vAlign w:val="bottom"/>
            <w:shd w:val="clear" w:color="auto" w:fill="0C479D"/>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FFFFFF"/>
              </w:rPr>
              <w:t>Foreign</w:t>
            </w:r>
          </w:p>
        </w:tc>
        <w:tc>
          <w:tcPr>
            <w:tcW w:w="1280" w:type="dxa"/>
            <w:vAlign w:val="bottom"/>
            <w:vMerge w:val="continue"/>
            <w:shd w:val="clear" w:color="auto" w:fill="0C479D"/>
          </w:tcPr>
          <w:p>
            <w:pPr>
              <w:spacing w:after="0"/>
              <w:rPr>
                <w:sz w:val="12"/>
                <w:szCs w:val="12"/>
                <w:color w:val="auto"/>
              </w:rPr>
            </w:pPr>
          </w:p>
        </w:tc>
        <w:tc>
          <w:tcPr>
            <w:tcW w:w="1260" w:type="dxa"/>
            <w:vAlign w:val="bottom"/>
            <w:shd w:val="clear" w:color="auto" w:fill="0C479D"/>
          </w:tcPr>
          <w:p>
            <w:pPr>
              <w:spacing w:after="0"/>
              <w:rPr>
                <w:sz w:val="12"/>
                <w:szCs w:val="12"/>
                <w:color w:val="auto"/>
              </w:rPr>
            </w:pPr>
          </w:p>
        </w:tc>
        <w:tc>
          <w:tcPr>
            <w:tcW w:w="20" w:type="dxa"/>
            <w:vAlign w:val="bottom"/>
            <w:shd w:val="clear" w:color="auto" w:fill="0C479D"/>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440" w:type="dxa"/>
            <w:vAlign w:val="bottom"/>
            <w:shd w:val="clear" w:color="auto" w:fill="0C479D"/>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FFFFFF"/>
              </w:rPr>
              <w:t>Comprehensive Income</w:t>
            </w:r>
          </w:p>
        </w:tc>
        <w:tc>
          <w:tcPr>
            <w:tcW w:w="126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Exchange</w:t>
            </w:r>
          </w:p>
        </w:tc>
        <w:tc>
          <w:tcPr>
            <w:tcW w:w="128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Benefits Reserves</w:t>
            </w:r>
          </w:p>
        </w:tc>
        <w:tc>
          <w:tcPr>
            <w:tcW w:w="1260" w:type="dxa"/>
            <w:vAlign w:val="bottom"/>
            <w:shd w:val="clear" w:color="auto" w:fill="0C479D"/>
          </w:tcPr>
          <w:p>
            <w:pPr>
              <w:jc w:val="right"/>
              <w:ind w:right="392"/>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20" w:type="dxa"/>
            <w:vAlign w:val="bottom"/>
            <w:shd w:val="clear" w:color="auto" w:fill="0C479D"/>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440" w:type="dxa"/>
            <w:vAlign w:val="bottom"/>
            <w:shd w:val="clear" w:color="auto" w:fill="0C479D"/>
          </w:tcPr>
          <w:p>
            <w:pPr>
              <w:ind w:left="80"/>
              <w:spacing w:after="0" w:line="149" w:lineRule="exact"/>
              <w:rPr>
                <w:sz w:val="20"/>
                <w:szCs w:val="20"/>
                <w:color w:val="auto"/>
              </w:rPr>
            </w:pPr>
            <w:r>
              <w:rPr>
                <w:rFonts w:ascii="Times New Roman" w:cs="Times New Roman" w:eastAsia="Times New Roman" w:hAnsi="Times New Roman"/>
                <w:sz w:val="14"/>
                <w:szCs w:val="14"/>
                <w:i w:val="1"/>
                <w:iCs w:val="1"/>
                <w:color w:val="FFFFFF"/>
              </w:rPr>
              <w:t>(millions of dollars)</w:t>
            </w:r>
          </w:p>
        </w:tc>
        <w:tc>
          <w:tcPr>
            <w:tcW w:w="1260" w:type="dxa"/>
            <w:vAlign w:val="bottom"/>
            <w:shd w:val="clear" w:color="auto" w:fill="0C479D"/>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Translation</w:t>
            </w:r>
          </w:p>
        </w:tc>
        <w:tc>
          <w:tcPr>
            <w:tcW w:w="1280" w:type="dxa"/>
            <w:vAlign w:val="bottom"/>
            <w:shd w:val="clear" w:color="auto" w:fill="0C479D"/>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Adjustment</w:t>
            </w:r>
          </w:p>
        </w:tc>
        <w:tc>
          <w:tcPr>
            <w:tcW w:w="1260" w:type="dxa"/>
            <w:vAlign w:val="bottom"/>
            <w:shd w:val="clear" w:color="auto" w:fill="0C479D"/>
          </w:tcPr>
          <w:p>
            <w:pPr>
              <w:spacing w:after="0"/>
              <w:rPr>
                <w:sz w:val="12"/>
                <w:szCs w:val="12"/>
                <w:color w:val="auto"/>
              </w:rPr>
            </w:pPr>
          </w:p>
        </w:tc>
        <w:tc>
          <w:tcPr>
            <w:tcW w:w="20" w:type="dxa"/>
            <w:vAlign w:val="bottom"/>
            <w:shd w:val="clear" w:color="auto" w:fill="0C479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shd w:val="clear" w:color="auto" w:fill="0C479D"/>
          </w:tcPr>
          <w:p>
            <w:pPr>
              <w:spacing w:after="0"/>
              <w:rPr>
                <w:sz w:val="12"/>
                <w:szCs w:val="12"/>
                <w:color w:val="auto"/>
              </w:rPr>
            </w:pPr>
          </w:p>
        </w:tc>
        <w:tc>
          <w:tcPr>
            <w:tcW w:w="1260" w:type="dxa"/>
            <w:vAlign w:val="bottom"/>
            <w:shd w:val="clear" w:color="auto" w:fill="0C479D"/>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FFFFFF"/>
              </w:rPr>
              <w:t>Adjustment</w:t>
            </w:r>
          </w:p>
        </w:tc>
        <w:tc>
          <w:tcPr>
            <w:tcW w:w="1280" w:type="dxa"/>
            <w:vAlign w:val="bottom"/>
            <w:shd w:val="clear" w:color="auto" w:fill="0C479D"/>
          </w:tcPr>
          <w:p>
            <w:pPr>
              <w:spacing w:after="0"/>
              <w:rPr>
                <w:sz w:val="12"/>
                <w:szCs w:val="12"/>
                <w:color w:val="auto"/>
              </w:rPr>
            </w:pPr>
          </w:p>
        </w:tc>
        <w:tc>
          <w:tcPr>
            <w:tcW w:w="1260" w:type="dxa"/>
            <w:vAlign w:val="bottom"/>
            <w:shd w:val="clear" w:color="auto" w:fill="0C479D"/>
          </w:tcPr>
          <w:p>
            <w:pPr>
              <w:spacing w:after="0"/>
              <w:rPr>
                <w:sz w:val="12"/>
                <w:szCs w:val="12"/>
                <w:color w:val="auto"/>
              </w:rPr>
            </w:pPr>
          </w:p>
        </w:tc>
        <w:tc>
          <w:tcPr>
            <w:tcW w:w="20" w:type="dxa"/>
            <w:vAlign w:val="bottom"/>
            <w:shd w:val="clear" w:color="auto" w:fill="0C479D"/>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5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(16,166)</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1,547</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(14,619)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544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Current period change excluding amounts reclassified from accumulated</w:t>
            </w: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shd w:val="clear" w:color="auto" w:fill="F0F0F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5440" w:type="dxa"/>
            <w:vAlign w:val="bottom"/>
          </w:tcPr>
          <w:p>
            <w:pPr>
              <w:ind w:left="60"/>
              <w:spacing w:after="0" w:line="252" w:lineRule="exact"/>
              <w:rPr>
                <w:sz w:val="20"/>
                <w:szCs w:val="20"/>
                <w:color w:val="auto"/>
              </w:rPr>
            </w:pPr>
            <w:r>
              <w:rPr>
                <w:rFonts w:ascii="Times New Roman" w:cs="Times New Roman" w:eastAsia="Times New Roman" w:hAnsi="Times New Roman"/>
                <w:sz w:val="18"/>
                <w:szCs w:val="18"/>
                <w:color w:val="auto"/>
              </w:rPr>
              <w:t xml:space="preserve">other comprehensive income </w:t>
            </w:r>
            <w:r>
              <w:rPr>
                <w:rFonts w:ascii="Times New Roman" w:cs="Times New Roman" w:eastAsia="Times New Roman" w:hAnsi="Times New Roman"/>
                <w:sz w:val="23"/>
                <w:szCs w:val="23"/>
                <w:i w:val="1"/>
                <w:iCs w:val="1"/>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2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Total change in accumulated other comprehensive income</w:t>
            </w:r>
          </w:p>
        </w:tc>
        <w:tc>
          <w:tcPr>
            <w:tcW w:w="12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tcBorders>
              <w:bottom w:val="single" w:sz="8" w:color="0C479D"/>
            </w:tcBorders>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2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(15,871)</w:t>
            </w:r>
          </w:p>
        </w:tc>
        <w:tc>
          <w:tcPr>
            <w:tcW w:w="12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1,533</w:t>
            </w:r>
          </w:p>
        </w:tc>
        <w:tc>
          <w:tcPr>
            <w:tcW w:w="12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(14,338)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5"/>
        </w:trPr>
        <w:tc>
          <w:tcPr>
            <w:tcW w:w="5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(13,398)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2,535</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(10,863)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44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Current period change excluding amounts reclassified from accumulated</w:t>
            </w: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shd w:val="clear" w:color="auto" w:fill="F0F0F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5440" w:type="dxa"/>
            <w:vAlign w:val="bottom"/>
          </w:tcPr>
          <w:p>
            <w:pPr>
              <w:ind w:left="60"/>
              <w:spacing w:after="0" w:line="252" w:lineRule="exact"/>
              <w:rPr>
                <w:sz w:val="20"/>
                <w:szCs w:val="20"/>
                <w:color w:val="auto"/>
              </w:rPr>
            </w:pPr>
            <w:r>
              <w:rPr>
                <w:rFonts w:ascii="Times New Roman" w:cs="Times New Roman" w:eastAsia="Times New Roman" w:hAnsi="Times New Roman"/>
                <w:sz w:val="18"/>
                <w:szCs w:val="18"/>
                <w:color w:val="auto"/>
              </w:rPr>
              <w:t xml:space="preserve">other comprehensive income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23"/>
                <w:szCs w:val="23"/>
                <w:i w:val="1"/>
                <w:iCs w:val="1"/>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2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Total change in accumulated other comprehensive income</w:t>
            </w:r>
          </w:p>
        </w:tc>
        <w:tc>
          <w:tcPr>
            <w:tcW w:w="12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2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(13,577)</w:t>
            </w:r>
          </w:p>
        </w:tc>
        <w:tc>
          <w:tcPr>
            <w:tcW w:w="12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2,479</w:t>
            </w:r>
          </w:p>
        </w:tc>
        <w:tc>
          <w:tcPr>
            <w:tcW w:w="12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(11,098)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60" w:right="360" w:firstLine="8"/>
        <w:spacing w:after="0" w:line="229" w:lineRule="auto"/>
        <w:tabs>
          <w:tab w:leader="none" w:pos="223" w:val="left"/>
        </w:tabs>
        <w:numPr>
          <w:ilvl w:val="0"/>
          <w:numId w:val="1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Cumulative Foreign Exchange Translation Adjustment includes net investment hedge gain/(loss) net of taxes of $55 million and $(99) million in 2026 and 2025, respectively.</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shd w:val="clear" w:color="auto" w:fill="0C479D"/>
          </w:tcPr>
          <w:p>
            <w:pPr>
              <w:ind w:left="80"/>
              <w:spacing w:after="0"/>
              <w:rPr>
                <w:sz w:val="20"/>
                <w:szCs w:val="20"/>
                <w:color w:val="auto"/>
              </w:rPr>
            </w:pPr>
            <w:r>
              <w:rPr>
                <w:rFonts w:ascii="Times New Roman" w:cs="Times New Roman" w:eastAsia="Times New Roman" w:hAnsi="Times New Roman"/>
                <w:sz w:val="18"/>
                <w:szCs w:val="18"/>
                <w:b w:val="1"/>
                <w:bCs w:val="1"/>
                <w:color w:val="FFFFFF"/>
              </w:rPr>
              <w:t>Amounts Reclassified Out of Accumulated Other</w:t>
            </w:r>
          </w:p>
        </w:tc>
        <w:tc>
          <w:tcPr>
            <w:tcW w:w="1980" w:type="dxa"/>
            <w:vAlign w:val="bottom"/>
            <w:gridSpan w:val="3"/>
            <w:shd w:val="clear" w:color="auto" w:fill="0C479D"/>
          </w:tcPr>
          <w:p>
            <w:pPr>
              <w:jc w:val="right"/>
              <w:ind w:right="255"/>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7260" w:type="dxa"/>
            <w:vAlign w:val="bottom"/>
            <w:tcBorders>
              <w:bottom w:val="single" w:sz="8" w:color="0C479D"/>
            </w:tcBorders>
            <w:shd w:val="clear" w:color="auto" w:fill="0C479D"/>
          </w:tcPr>
          <w:p>
            <w:pPr>
              <w:ind w:left="80"/>
              <w:spacing w:after="0" w:line="157" w:lineRule="exact"/>
              <w:rPr>
                <w:sz w:val="20"/>
                <w:szCs w:val="20"/>
                <w:color w:val="auto"/>
              </w:rPr>
            </w:pPr>
            <w:r>
              <w:rPr>
                <w:rFonts w:ascii="Times New Roman" w:cs="Times New Roman" w:eastAsia="Times New Roman" w:hAnsi="Times New Roman"/>
                <w:sz w:val="18"/>
                <w:szCs w:val="18"/>
                <w:b w:val="1"/>
                <w:bCs w:val="1"/>
                <w:color w:val="FFFFFF"/>
              </w:rPr>
              <w:t>Comprehensive Income - Before-tax Income/(Expense)</w:t>
            </w:r>
          </w:p>
        </w:tc>
        <w:tc>
          <w:tcPr>
            <w:tcW w:w="1000" w:type="dxa"/>
            <w:vAlign w:val="bottom"/>
            <w:tcBorders>
              <w:bottom w:val="single" w:sz="8" w:color="0C479D"/>
            </w:tcBorders>
            <w:shd w:val="clear" w:color="auto" w:fill="0C479D"/>
          </w:tcPr>
          <w:p>
            <w:pPr>
              <w:ind w:left="680"/>
              <w:spacing w:after="0" w:line="135" w:lineRule="exact"/>
              <w:rPr>
                <w:sz w:val="20"/>
                <w:szCs w:val="20"/>
                <w:color w:val="auto"/>
              </w:rPr>
            </w:pPr>
            <w:r>
              <w:rPr>
                <w:rFonts w:ascii="Times New Roman" w:cs="Times New Roman" w:eastAsia="Times New Roman" w:hAnsi="Times New Roman"/>
                <w:sz w:val="14"/>
                <w:szCs w:val="14"/>
                <w:b w:val="1"/>
                <w:bCs w:val="1"/>
                <w:color w:val="FFFFFF"/>
                <w:w w:val="74"/>
              </w:rPr>
              <w:t>March</w:t>
            </w:r>
          </w:p>
        </w:tc>
        <w:tc>
          <w:tcPr>
            <w:tcW w:w="480" w:type="dxa"/>
            <w:vAlign w:val="bottom"/>
            <w:tcBorders>
              <w:bottom w:val="single" w:sz="8" w:color="0C479D"/>
            </w:tcBorders>
            <w:shd w:val="clear" w:color="auto" w:fill="0C479D"/>
          </w:tcPr>
          <w:p>
            <w:pPr>
              <w:jc w:val="right"/>
              <w:ind w:right="108"/>
              <w:spacing w:after="0" w:line="135" w:lineRule="exact"/>
              <w:rPr>
                <w:sz w:val="20"/>
                <w:szCs w:val="20"/>
                <w:color w:val="auto"/>
              </w:rPr>
            </w:pPr>
            <w:r>
              <w:rPr>
                <w:rFonts w:ascii="Times New Roman" w:cs="Times New Roman" w:eastAsia="Times New Roman" w:hAnsi="Times New Roman"/>
                <w:sz w:val="14"/>
                <w:szCs w:val="14"/>
                <w:b w:val="1"/>
                <w:bCs w:val="1"/>
                <w:color w:val="FFFFFF"/>
              </w:rPr>
              <w:t>31,</w:t>
            </w:r>
          </w:p>
        </w:tc>
        <w:tc>
          <w:tcPr>
            <w:tcW w:w="500" w:type="dxa"/>
            <w:vAlign w:val="bottom"/>
            <w:tcBorders>
              <w:bottom w:val="single" w:sz="8" w:color="0C479D"/>
            </w:tcBorders>
            <w:shd w:val="clear" w:color="auto" w:fill="0C479D"/>
          </w:tcPr>
          <w:p>
            <w:pPr>
              <w:spacing w:after="0"/>
              <w:rPr>
                <w:sz w:val="13"/>
                <w:szCs w:val="13"/>
                <w:color w:val="auto"/>
              </w:rPr>
            </w:pPr>
          </w:p>
        </w:tc>
        <w:tc>
          <w:tcPr>
            <w:tcW w:w="20" w:type="dxa"/>
            <w:vAlign w:val="bottom"/>
            <w:tcBorders>
              <w:bottom w:val="single" w:sz="8" w:color="0C479D"/>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260" w:type="dxa"/>
            <w:vAlign w:val="bottom"/>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000" w:type="dxa"/>
            <w:vAlign w:val="bottom"/>
            <w:shd w:val="clear" w:color="auto" w:fill="0C479D"/>
          </w:tcPr>
          <w:p>
            <w:pPr>
              <w:ind w:left="660"/>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80" w:type="dxa"/>
            <w:vAlign w:val="bottom"/>
            <w:shd w:val="clear" w:color="auto" w:fill="0C479D"/>
          </w:tcPr>
          <w:p>
            <w:pPr>
              <w:spacing w:after="0"/>
              <w:rPr>
                <w:sz w:val="16"/>
                <w:szCs w:val="16"/>
                <w:color w:val="auto"/>
              </w:rPr>
            </w:pPr>
          </w:p>
        </w:tc>
        <w:tc>
          <w:tcPr>
            <w:tcW w:w="50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2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Foreign exchange translation gain/(loss) included in net income</w:t>
            </w:r>
          </w:p>
        </w:tc>
        <w:tc>
          <w:tcPr>
            <w:tcW w:w="1000" w:type="dxa"/>
            <w:vAlign w:val="bottom"/>
            <w:shd w:val="clear" w:color="auto" w:fill="F0F0F0"/>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(Statement of Income line: Other income)</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26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Amortization and settlement of postretirement benefits reserves adjustment included in net periodic</w:t>
            </w:r>
          </w:p>
        </w:tc>
        <w:tc>
          <w:tcPr>
            <w:tcW w:w="1000" w:type="dxa"/>
            <w:vAlign w:val="bottom"/>
            <w:shd w:val="clear" w:color="auto" w:fill="F0F0F0"/>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benefit costs (Statement of Income line: Non-service pension and postretirement benefit expense)</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tcBorders>
              <w:bottom w:val="single" w:sz="8" w:color="0C479D"/>
            </w:tcBorders>
          </w:tcPr>
          <w:p>
            <w:pPr>
              <w:spacing w:after="0"/>
              <w:rPr>
                <w:sz w:val="18"/>
                <w:szCs w:val="18"/>
                <w:color w:val="auto"/>
              </w:rPr>
            </w:pPr>
          </w:p>
        </w:tc>
        <w:tc>
          <w:tcPr>
            <w:tcW w:w="5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2"/>
        </w:trPr>
        <w:tc>
          <w:tcPr>
            <w:tcW w:w="7260" w:type="dxa"/>
            <w:vAlign w:val="bottom"/>
          </w:tcPr>
          <w:p>
            <w:pPr>
              <w:spacing w:after="0"/>
              <w:rPr>
                <w:sz w:val="24"/>
                <w:szCs w:val="24"/>
                <w:color w:val="auto"/>
              </w:rPr>
            </w:pPr>
          </w:p>
        </w:tc>
        <w:tc>
          <w:tcPr>
            <w:tcW w:w="19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60" w:type="dxa"/>
            <w:vAlign w:val="bottom"/>
            <w:shd w:val="clear" w:color="auto" w:fill="0C479D"/>
          </w:tcPr>
          <w:p>
            <w:pPr>
              <w:ind w:left="80"/>
              <w:spacing w:after="0"/>
              <w:rPr>
                <w:sz w:val="20"/>
                <w:szCs w:val="20"/>
                <w:color w:val="auto"/>
              </w:rPr>
            </w:pPr>
            <w:r>
              <w:rPr>
                <w:rFonts w:ascii="Times New Roman" w:cs="Times New Roman" w:eastAsia="Times New Roman" w:hAnsi="Times New Roman"/>
                <w:sz w:val="18"/>
                <w:szCs w:val="18"/>
                <w:b w:val="1"/>
                <w:bCs w:val="1"/>
                <w:color w:val="FFFFFF"/>
              </w:rPr>
              <w:t>Income Tax (Expense)/Credit For</w:t>
            </w:r>
          </w:p>
        </w:tc>
        <w:tc>
          <w:tcPr>
            <w:tcW w:w="1980" w:type="dxa"/>
            <w:vAlign w:val="bottom"/>
            <w:gridSpan w:val="3"/>
            <w:shd w:val="clear" w:color="auto" w:fill="0C479D"/>
          </w:tcPr>
          <w:p>
            <w:pPr>
              <w:jc w:val="right"/>
              <w:ind w:right="255"/>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7260" w:type="dxa"/>
            <w:vAlign w:val="bottom"/>
            <w:vMerge w:val="restart"/>
            <w:shd w:val="clear" w:color="auto" w:fill="0C479D"/>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FFFFFF"/>
              </w:rPr>
              <w:t>Components of Other Comprehensive Income</w:t>
            </w:r>
          </w:p>
        </w:tc>
        <w:tc>
          <w:tcPr>
            <w:tcW w:w="1480" w:type="dxa"/>
            <w:vAlign w:val="bottom"/>
            <w:gridSpan w:val="2"/>
            <w:shd w:val="clear" w:color="auto" w:fill="0C479D"/>
          </w:tcPr>
          <w:p>
            <w:pPr>
              <w:ind w:left="680"/>
              <w:spacing w:after="0" w:line="122" w:lineRule="exact"/>
              <w:rPr>
                <w:sz w:val="20"/>
                <w:szCs w:val="20"/>
                <w:color w:val="auto"/>
              </w:rPr>
            </w:pPr>
            <w:r>
              <w:rPr>
                <w:rFonts w:ascii="Times New Roman" w:cs="Times New Roman" w:eastAsia="Times New Roman" w:hAnsi="Times New Roman"/>
                <w:sz w:val="14"/>
                <w:szCs w:val="14"/>
                <w:b w:val="1"/>
                <w:bCs w:val="1"/>
                <w:color w:val="FFFFFF"/>
              </w:rPr>
              <w:t>March 31,</w:t>
            </w:r>
          </w:p>
        </w:tc>
        <w:tc>
          <w:tcPr>
            <w:tcW w:w="500" w:type="dxa"/>
            <w:vAlign w:val="bottom"/>
            <w:shd w:val="clear" w:color="auto" w:fill="0C479D"/>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7260" w:type="dxa"/>
            <w:vAlign w:val="bottom"/>
            <w:vMerge w:val="continue"/>
            <w:shd w:val="clear" w:color="auto" w:fill="0C479D"/>
          </w:tcPr>
          <w:p>
            <w:pPr>
              <w:spacing w:after="0"/>
              <w:rPr>
                <w:sz w:val="5"/>
                <w:szCs w:val="5"/>
                <w:color w:val="auto"/>
              </w:rPr>
            </w:pPr>
          </w:p>
        </w:tc>
        <w:tc>
          <w:tcPr>
            <w:tcW w:w="1000" w:type="dxa"/>
            <w:vAlign w:val="bottom"/>
            <w:vMerge w:val="restart"/>
            <w:shd w:val="clear" w:color="auto" w:fill="0C479D"/>
          </w:tcPr>
          <w:p>
            <w:pPr>
              <w:ind w:left="660"/>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80" w:type="dxa"/>
            <w:vAlign w:val="bottom"/>
            <w:shd w:val="clear" w:color="auto" w:fill="0C479D"/>
          </w:tcPr>
          <w:p>
            <w:pPr>
              <w:spacing w:after="0"/>
              <w:rPr>
                <w:sz w:val="5"/>
                <w:szCs w:val="5"/>
                <w:color w:val="auto"/>
              </w:rPr>
            </w:pPr>
          </w:p>
        </w:tc>
        <w:tc>
          <w:tcPr>
            <w:tcW w:w="50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shd w:val="clear" w:color="auto" w:fill="0C479D"/>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000" w:type="dxa"/>
            <w:vAlign w:val="bottom"/>
            <w:vMerge w:val="continue"/>
            <w:shd w:val="clear" w:color="auto" w:fill="0C479D"/>
          </w:tcPr>
          <w:p>
            <w:pPr>
              <w:spacing w:after="0"/>
              <w:rPr>
                <w:sz w:val="17"/>
                <w:szCs w:val="17"/>
                <w:color w:val="auto"/>
              </w:rPr>
            </w:pPr>
          </w:p>
        </w:tc>
        <w:tc>
          <w:tcPr>
            <w:tcW w:w="480" w:type="dxa"/>
            <w:vAlign w:val="bottom"/>
            <w:shd w:val="clear" w:color="auto" w:fill="0C479D"/>
          </w:tcPr>
          <w:p>
            <w:pPr>
              <w:spacing w:after="0"/>
              <w:rPr>
                <w:sz w:val="17"/>
                <w:szCs w:val="17"/>
                <w:color w:val="auto"/>
              </w:rPr>
            </w:pPr>
          </w:p>
        </w:tc>
        <w:tc>
          <w:tcPr>
            <w:tcW w:w="500" w:type="dxa"/>
            <w:vAlign w:val="bottom"/>
            <w:vMerge w:val="continue"/>
            <w:shd w:val="clear" w:color="auto" w:fill="0C479D"/>
          </w:tcPr>
          <w:p>
            <w:pPr>
              <w:spacing w:after="0"/>
              <w:rPr>
                <w:sz w:val="17"/>
                <w:szCs w:val="17"/>
                <w:color w:val="auto"/>
              </w:rPr>
            </w:pPr>
          </w:p>
        </w:tc>
        <w:tc>
          <w:tcPr>
            <w:tcW w:w="20" w:type="dxa"/>
            <w:vAlign w:val="bottom"/>
            <w:shd w:val="clear" w:color="auto" w:fill="0C479D"/>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exchange translation adjustment</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Postretirement benefits reserves adjustment (excluding amortization)</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2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Amortization and settlement of postretirement benefits reserves adjustment included in net periodic</w:t>
            </w:r>
          </w:p>
        </w:tc>
        <w:tc>
          <w:tcPr>
            <w:tcW w:w="1000" w:type="dxa"/>
            <w:vAlign w:val="bottom"/>
            <w:shd w:val="clear" w:color="auto" w:fill="F0F0F0"/>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benefit costs</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tcBorders>
              <w:bottom w:val="single" w:sz="8" w:color="0C479D"/>
            </w:tcBorders>
          </w:tcPr>
          <w:p>
            <w:pPr>
              <w:spacing w:after="0"/>
              <w:rPr>
                <w:sz w:val="20"/>
                <w:szCs w:val="20"/>
                <w:color w:val="auto"/>
              </w:rPr>
            </w:pPr>
          </w:p>
        </w:tc>
        <w:tc>
          <w:tcPr>
            <w:tcW w:w="5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260" w:type="dxa"/>
            <w:vAlign w:val="bottom"/>
            <w:tcBorders>
              <w:bottom w:val="single" w:sz="8" w:color="0C479D"/>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0C479D"/>
            </w:tcBorders>
            <w:shd w:val="clear" w:color="auto" w:fill="F0F0F0"/>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66</w:t>
            </w:r>
          </w:p>
        </w:tc>
        <w:tc>
          <w:tcPr>
            <w:tcW w:w="480" w:type="dxa"/>
            <w:vAlign w:val="bottom"/>
            <w:tcBorders>
              <w:bottom w:val="single" w:sz="8" w:color="0C479D"/>
            </w:tcBorders>
          </w:tcPr>
          <w:p>
            <w:pPr>
              <w:spacing w:after="0"/>
              <w:rPr>
                <w:sz w:val="17"/>
                <w:szCs w:val="17"/>
                <w:color w:val="auto"/>
              </w:rPr>
            </w:pPr>
          </w:p>
        </w:tc>
        <w:tc>
          <w:tcPr>
            <w:tcW w:w="500" w:type="dxa"/>
            <w:vAlign w:val="bottom"/>
            <w:tcBorders>
              <w:bottom w:val="single" w:sz="8" w:color="0C479D"/>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260"/>
          </w:cols>
          <w:pgMar w:left="1320" w:top="49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260"/>
          </w:cols>
          <w:pgMar w:left="1320" w:top="499" w:right="131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5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10" w:type="dxa"/>
            <w:vAlign w:val="bottom"/>
          </w:tcPr>
          <w:p>
            <w:pPr>
              <w:spacing w:after="0"/>
              <w:rPr>
                <w:sz w:val="20"/>
                <w:szCs w:val="20"/>
                <w:color w:val="auto"/>
              </w:rPr>
            </w:pPr>
          </w:p>
        </w:tc>
        <w:tc>
          <w:tcPr>
            <w:tcW w:w="177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6D6D6D"/>
              </w:rPr>
              <w:t>Table of Contents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5"/>
        </w:trPr>
        <w:tc>
          <w:tcPr>
            <w:tcW w:w="426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0C479D"/>
                <w:w w:val="97"/>
              </w:rPr>
              <w:t>Note 6. Financial Instruments and Derivatives</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109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8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estimated fair value of financial instruments and derivatives at</w:t>
            </w:r>
          </w:p>
        </w:tc>
        <w:tc>
          <w:tcPr>
            <w:tcW w:w="4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March 31, 2026 and December 31, 2025 , and the related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hierarchy level for the fair value measurement was as follows:</w:t>
            </w: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10" w:type="dxa"/>
            <w:vAlign w:val="bottom"/>
          </w:tcPr>
          <w:p>
            <w:pPr>
              <w:spacing w:after="0"/>
              <w:rPr>
                <w:sz w:val="20"/>
                <w:szCs w:val="20"/>
                <w:color w:val="auto"/>
              </w:rPr>
            </w:pPr>
          </w:p>
        </w:tc>
        <w:tc>
          <w:tcPr>
            <w:tcW w:w="109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gridSpan w:val="2"/>
          </w:tcPr>
          <w:p>
            <w:pPr>
              <w:jc w:val="right"/>
              <w:ind w:right="46"/>
              <w:spacing w:after="0"/>
              <w:rPr>
                <w:sz w:val="20"/>
                <w:szCs w:val="20"/>
                <w:color w:val="auto"/>
              </w:rPr>
            </w:pPr>
            <w:r>
              <w:rPr>
                <w:rFonts w:ascii="Times New Roman" w:cs="Times New Roman" w:eastAsia="Times New Roman" w:hAnsi="Times New Roman"/>
                <w:sz w:val="14"/>
                <w:szCs w:val="14"/>
                <w:b w:val="1"/>
                <w:bCs w:val="1"/>
                <w:color w:val="0C479D"/>
              </w:rPr>
              <w:t>March 31, 2026</w:t>
            </w:r>
          </w:p>
        </w:tc>
        <w:tc>
          <w:tcPr>
            <w:tcW w:w="810" w:type="dxa"/>
            <w:vAlign w:val="bottom"/>
          </w:tcPr>
          <w:p>
            <w:pPr>
              <w:spacing w:after="0"/>
              <w:rPr>
                <w:sz w:val="24"/>
                <w:szCs w:val="24"/>
                <w:color w:val="auto"/>
              </w:rPr>
            </w:pPr>
          </w:p>
        </w:tc>
        <w:tc>
          <w:tcPr>
            <w:tcW w:w="109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660" w:type="dxa"/>
            <w:vAlign w:val="bottom"/>
            <w:tcBorders>
              <w:bottom w:val="single" w:sz="8" w:color="0C479D"/>
            </w:tcBorders>
          </w:tcPr>
          <w:p>
            <w:pPr>
              <w:spacing w:after="0"/>
              <w:rPr>
                <w:sz w:val="2"/>
                <w:szCs w:val="2"/>
                <w:color w:val="auto"/>
              </w:rPr>
            </w:pPr>
          </w:p>
        </w:tc>
        <w:tc>
          <w:tcPr>
            <w:tcW w:w="650" w:type="dxa"/>
            <w:vAlign w:val="bottom"/>
            <w:tcBorders>
              <w:bottom w:val="single" w:sz="8" w:color="0C479D"/>
            </w:tcBorders>
          </w:tcPr>
          <w:p>
            <w:pPr>
              <w:spacing w:after="0"/>
              <w:rPr>
                <w:sz w:val="2"/>
                <w:szCs w:val="2"/>
                <w:color w:val="auto"/>
              </w:rPr>
            </w:pPr>
          </w:p>
        </w:tc>
        <w:tc>
          <w:tcPr>
            <w:tcW w:w="630" w:type="dxa"/>
            <w:vAlign w:val="bottom"/>
            <w:tcBorders>
              <w:bottom w:val="single" w:sz="8" w:color="0C479D"/>
            </w:tcBorders>
            <w:gridSpan w:val="2"/>
          </w:tcPr>
          <w:p>
            <w:pPr>
              <w:spacing w:after="0"/>
              <w:rPr>
                <w:sz w:val="2"/>
                <w:szCs w:val="2"/>
                <w:color w:val="auto"/>
              </w:rPr>
            </w:pPr>
          </w:p>
        </w:tc>
        <w:tc>
          <w:tcPr>
            <w:tcW w:w="880" w:type="dxa"/>
            <w:vAlign w:val="bottom"/>
            <w:tcBorders>
              <w:bottom w:val="single" w:sz="8" w:color="0C479D"/>
            </w:tcBorders>
          </w:tcPr>
          <w:p>
            <w:pPr>
              <w:spacing w:after="0"/>
              <w:rPr>
                <w:sz w:val="2"/>
                <w:szCs w:val="2"/>
                <w:color w:val="auto"/>
              </w:rPr>
            </w:pPr>
          </w:p>
        </w:tc>
        <w:tc>
          <w:tcPr>
            <w:tcW w:w="960" w:type="dxa"/>
            <w:vAlign w:val="bottom"/>
            <w:tcBorders>
              <w:bottom w:val="single" w:sz="8" w:color="0C479D"/>
            </w:tcBorders>
          </w:tcPr>
          <w:p>
            <w:pPr>
              <w:spacing w:after="0"/>
              <w:rPr>
                <w:sz w:val="2"/>
                <w:szCs w:val="2"/>
                <w:color w:val="auto"/>
              </w:rPr>
            </w:pPr>
          </w:p>
        </w:tc>
        <w:tc>
          <w:tcPr>
            <w:tcW w:w="810" w:type="dxa"/>
            <w:vAlign w:val="bottom"/>
            <w:tcBorders>
              <w:bottom w:val="single" w:sz="8" w:color="0C479D"/>
            </w:tcBorders>
          </w:tcPr>
          <w:p>
            <w:pPr>
              <w:spacing w:after="0"/>
              <w:rPr>
                <w:sz w:val="2"/>
                <w:szCs w:val="2"/>
                <w:color w:val="auto"/>
              </w:rPr>
            </w:pPr>
          </w:p>
        </w:tc>
        <w:tc>
          <w:tcPr>
            <w:tcW w:w="1090" w:type="dxa"/>
            <w:vAlign w:val="bottom"/>
            <w:tcBorders>
              <w:bottom w:val="single" w:sz="8" w:color="0C479D"/>
            </w:tcBorders>
          </w:tcPr>
          <w:p>
            <w:pPr>
              <w:spacing w:after="0"/>
              <w:rPr>
                <w:sz w:val="2"/>
                <w:szCs w:val="2"/>
                <w:color w:val="auto"/>
              </w:rPr>
            </w:pPr>
          </w:p>
        </w:tc>
        <w:tc>
          <w:tcPr>
            <w:tcW w:w="680" w:type="dxa"/>
            <w:vAlign w:val="bottom"/>
            <w:tcBorders>
              <w:bottom w:val="single" w:sz="8" w:color="0C479D"/>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50" w:type="dxa"/>
            <w:vAlign w:val="bottom"/>
          </w:tcPr>
          <w:p>
            <w:pPr>
              <w:spacing w:after="0"/>
              <w:rPr>
                <w:sz w:val="2"/>
                <w:szCs w:val="2"/>
                <w:color w:val="auto"/>
              </w:rPr>
            </w:pPr>
          </w:p>
        </w:tc>
        <w:tc>
          <w:tcPr>
            <w:tcW w:w="7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10" w:type="dxa"/>
            <w:vAlign w:val="bottom"/>
          </w:tcPr>
          <w:p>
            <w:pPr>
              <w:spacing w:after="0"/>
              <w:rPr>
                <w:sz w:val="2"/>
                <w:szCs w:val="2"/>
                <w:color w:val="auto"/>
              </w:rPr>
            </w:pPr>
          </w:p>
        </w:tc>
        <w:tc>
          <w:tcPr>
            <w:tcW w:w="109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880" w:type="dxa"/>
            <w:vAlign w:val="bottom"/>
            <w:shd w:val="clear" w:color="auto" w:fill="0C479D"/>
          </w:tcPr>
          <w:p>
            <w:pPr>
              <w:spacing w:after="0"/>
              <w:rPr>
                <w:sz w:val="19"/>
                <w:szCs w:val="19"/>
                <w:color w:val="auto"/>
              </w:rPr>
            </w:pPr>
          </w:p>
        </w:tc>
        <w:tc>
          <w:tcPr>
            <w:tcW w:w="660" w:type="dxa"/>
            <w:vAlign w:val="bottom"/>
            <w:shd w:val="clear" w:color="auto" w:fill="0C479D"/>
          </w:tcPr>
          <w:p>
            <w:pPr>
              <w:spacing w:after="0"/>
              <w:rPr>
                <w:sz w:val="19"/>
                <w:szCs w:val="19"/>
                <w:color w:val="auto"/>
              </w:rPr>
            </w:pPr>
          </w:p>
        </w:tc>
        <w:tc>
          <w:tcPr>
            <w:tcW w:w="1280" w:type="dxa"/>
            <w:vAlign w:val="bottom"/>
            <w:gridSpan w:val="3"/>
            <w:shd w:val="clear" w:color="auto" w:fill="0C479D"/>
          </w:tcPr>
          <w:p>
            <w:pPr>
              <w:ind w:left="420"/>
              <w:spacing w:after="0"/>
              <w:rPr>
                <w:sz w:val="20"/>
                <w:szCs w:val="20"/>
                <w:color w:val="auto"/>
              </w:rPr>
            </w:pPr>
            <w:r>
              <w:rPr>
                <w:rFonts w:ascii="Times New Roman" w:cs="Times New Roman" w:eastAsia="Times New Roman" w:hAnsi="Times New Roman"/>
                <w:sz w:val="14"/>
                <w:szCs w:val="14"/>
                <w:b w:val="1"/>
                <w:bCs w:val="1"/>
                <w:color w:val="FFFFFF"/>
              </w:rPr>
              <w:t>Fair Value</w:t>
            </w:r>
          </w:p>
        </w:tc>
        <w:tc>
          <w:tcPr>
            <w:tcW w:w="880" w:type="dxa"/>
            <w:vAlign w:val="bottom"/>
            <w:shd w:val="clear" w:color="auto" w:fill="0C479D"/>
          </w:tcPr>
          <w:p>
            <w:pPr>
              <w:spacing w:after="0"/>
              <w:rPr>
                <w:sz w:val="19"/>
                <w:szCs w:val="19"/>
                <w:color w:val="auto"/>
              </w:rPr>
            </w:pPr>
          </w:p>
        </w:tc>
        <w:tc>
          <w:tcPr>
            <w:tcW w:w="960" w:type="dxa"/>
            <w:vAlign w:val="bottom"/>
            <w:shd w:val="clear" w:color="auto" w:fill="0C479D"/>
          </w:tcPr>
          <w:p>
            <w:pPr>
              <w:spacing w:after="0"/>
              <w:rPr>
                <w:sz w:val="19"/>
                <w:szCs w:val="19"/>
                <w:color w:val="auto"/>
              </w:rPr>
            </w:pPr>
          </w:p>
        </w:tc>
        <w:tc>
          <w:tcPr>
            <w:tcW w:w="810" w:type="dxa"/>
            <w:vAlign w:val="bottom"/>
            <w:shd w:val="clear" w:color="auto" w:fill="0C479D"/>
          </w:tcPr>
          <w:p>
            <w:pPr>
              <w:spacing w:after="0"/>
              <w:rPr>
                <w:sz w:val="19"/>
                <w:szCs w:val="19"/>
                <w:color w:val="auto"/>
              </w:rPr>
            </w:pPr>
          </w:p>
        </w:tc>
        <w:tc>
          <w:tcPr>
            <w:tcW w:w="1090" w:type="dxa"/>
            <w:vAlign w:val="bottom"/>
            <w:shd w:val="clear" w:color="auto" w:fill="0C479D"/>
          </w:tcPr>
          <w:p>
            <w:pPr>
              <w:spacing w:after="0"/>
              <w:rPr>
                <w:sz w:val="19"/>
                <w:szCs w:val="19"/>
                <w:color w:val="auto"/>
              </w:rPr>
            </w:pPr>
          </w:p>
        </w:tc>
        <w:tc>
          <w:tcPr>
            <w:tcW w:w="680" w:type="dxa"/>
            <w:vAlign w:val="bottom"/>
            <w:shd w:val="clear" w:color="auto" w:fill="0C479D"/>
          </w:tcPr>
          <w:p>
            <w:pPr>
              <w:spacing w:after="0"/>
              <w:rPr>
                <w:sz w:val="19"/>
                <w:szCs w:val="19"/>
                <w:color w:val="auto"/>
              </w:rPr>
            </w:pPr>
          </w:p>
        </w:tc>
        <w:tc>
          <w:tcPr>
            <w:tcW w:w="20" w:type="dxa"/>
            <w:vAlign w:val="bottom"/>
            <w:shd w:val="clear" w:color="auto" w:fill="0C479D"/>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880" w:type="dxa"/>
            <w:vAlign w:val="bottom"/>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660" w:type="dxa"/>
            <w:vAlign w:val="bottom"/>
            <w:shd w:val="clear" w:color="auto" w:fill="0C479D"/>
          </w:tcPr>
          <w:p>
            <w:pPr>
              <w:spacing w:after="0"/>
              <w:rPr>
                <w:sz w:val="15"/>
                <w:szCs w:val="15"/>
                <w:color w:val="auto"/>
              </w:rPr>
            </w:pPr>
          </w:p>
        </w:tc>
        <w:tc>
          <w:tcPr>
            <w:tcW w:w="650" w:type="dxa"/>
            <w:vAlign w:val="bottom"/>
            <w:shd w:val="clear" w:color="auto" w:fill="0C479D"/>
          </w:tcPr>
          <w:p>
            <w:pPr>
              <w:spacing w:after="0"/>
              <w:rPr>
                <w:sz w:val="15"/>
                <w:szCs w:val="15"/>
                <w:color w:val="auto"/>
              </w:rPr>
            </w:pPr>
          </w:p>
        </w:tc>
        <w:tc>
          <w:tcPr>
            <w:tcW w:w="70" w:type="dxa"/>
            <w:vAlign w:val="bottom"/>
            <w:shd w:val="clear" w:color="auto" w:fill="0C479D"/>
          </w:tcPr>
          <w:p>
            <w:pPr>
              <w:spacing w:after="0"/>
              <w:rPr>
                <w:sz w:val="15"/>
                <w:szCs w:val="15"/>
                <w:color w:val="auto"/>
              </w:rPr>
            </w:pPr>
          </w:p>
        </w:tc>
        <w:tc>
          <w:tcPr>
            <w:tcW w:w="560" w:type="dxa"/>
            <w:vAlign w:val="bottom"/>
            <w:shd w:val="clear" w:color="auto" w:fill="0C479D"/>
          </w:tcPr>
          <w:p>
            <w:pPr>
              <w:spacing w:after="0"/>
              <w:rPr>
                <w:sz w:val="15"/>
                <w:szCs w:val="15"/>
                <w:color w:val="auto"/>
              </w:rPr>
            </w:pPr>
          </w:p>
        </w:tc>
        <w:tc>
          <w:tcPr>
            <w:tcW w:w="88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Total Gross</w:t>
            </w:r>
          </w:p>
        </w:tc>
        <w:tc>
          <w:tcPr>
            <w:tcW w:w="96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Effect of</w:t>
            </w:r>
          </w:p>
        </w:tc>
        <w:tc>
          <w:tcPr>
            <w:tcW w:w="81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Effect of</w:t>
            </w:r>
          </w:p>
        </w:tc>
        <w:tc>
          <w:tcPr>
            <w:tcW w:w="109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Difference in</w:t>
            </w:r>
          </w:p>
        </w:tc>
        <w:tc>
          <w:tcPr>
            <w:tcW w:w="68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Net</w:t>
            </w:r>
          </w:p>
        </w:tc>
        <w:tc>
          <w:tcPr>
            <w:tcW w:w="20" w:type="dxa"/>
            <w:vAlign w:val="bottom"/>
            <w:shd w:val="clear" w:color="auto" w:fill="0C479D"/>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880" w:type="dxa"/>
            <w:vAlign w:val="bottom"/>
            <w:shd w:val="clear" w:color="auto" w:fill="0C479D"/>
          </w:tcPr>
          <w:p>
            <w:pPr>
              <w:spacing w:after="0"/>
              <w:rPr>
                <w:sz w:val="9"/>
                <w:szCs w:val="9"/>
                <w:color w:val="auto"/>
              </w:rPr>
            </w:pPr>
          </w:p>
        </w:tc>
        <w:tc>
          <w:tcPr>
            <w:tcW w:w="660" w:type="dxa"/>
            <w:vAlign w:val="bottom"/>
            <w:vMerge w:val="restart"/>
            <w:shd w:val="clear" w:color="auto" w:fill="0C479D"/>
          </w:tcPr>
          <w:p>
            <w:pPr>
              <w:ind w:left="100"/>
              <w:spacing w:after="0"/>
              <w:rPr>
                <w:sz w:val="20"/>
                <w:szCs w:val="20"/>
                <w:color w:val="auto"/>
              </w:rPr>
            </w:pPr>
            <w:r>
              <w:rPr>
                <w:rFonts w:ascii="Times New Roman" w:cs="Times New Roman" w:eastAsia="Times New Roman" w:hAnsi="Times New Roman"/>
                <w:sz w:val="14"/>
                <w:szCs w:val="14"/>
                <w:b w:val="1"/>
                <w:bCs w:val="1"/>
                <w:color w:val="FFFFFF"/>
              </w:rPr>
              <w:t>Level 1</w:t>
            </w:r>
          </w:p>
        </w:tc>
        <w:tc>
          <w:tcPr>
            <w:tcW w:w="650" w:type="dxa"/>
            <w:vAlign w:val="bottom"/>
            <w:vMerge w:val="restart"/>
            <w:shd w:val="clear" w:color="auto" w:fill="0C479D"/>
          </w:tcPr>
          <w:p>
            <w:pPr>
              <w:jc w:val="right"/>
              <w:ind w:right="32"/>
              <w:spacing w:after="0"/>
              <w:rPr>
                <w:sz w:val="20"/>
                <w:szCs w:val="20"/>
                <w:color w:val="auto"/>
              </w:rPr>
            </w:pPr>
            <w:r>
              <w:rPr>
                <w:rFonts w:ascii="Times New Roman" w:cs="Times New Roman" w:eastAsia="Times New Roman" w:hAnsi="Times New Roman"/>
                <w:sz w:val="14"/>
                <w:szCs w:val="14"/>
                <w:b w:val="1"/>
                <w:bCs w:val="1"/>
                <w:color w:val="FFFFFF"/>
              </w:rPr>
              <w:t>Level 2</w:t>
            </w:r>
          </w:p>
        </w:tc>
        <w:tc>
          <w:tcPr>
            <w:tcW w:w="70" w:type="dxa"/>
            <w:vAlign w:val="bottom"/>
            <w:shd w:val="clear" w:color="auto" w:fill="0C479D"/>
          </w:tcPr>
          <w:p>
            <w:pPr>
              <w:spacing w:after="0"/>
              <w:rPr>
                <w:sz w:val="9"/>
                <w:szCs w:val="9"/>
                <w:color w:val="auto"/>
              </w:rPr>
            </w:pPr>
          </w:p>
        </w:tc>
        <w:tc>
          <w:tcPr>
            <w:tcW w:w="56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4"/>
                <w:szCs w:val="14"/>
                <w:b w:val="1"/>
                <w:bCs w:val="1"/>
                <w:color w:val="FFFFFF"/>
              </w:rPr>
              <w:t>Level 3</w:t>
            </w:r>
          </w:p>
        </w:tc>
        <w:tc>
          <w:tcPr>
            <w:tcW w:w="880" w:type="dxa"/>
            <w:vAlign w:val="bottom"/>
            <w:shd w:val="clear" w:color="auto" w:fill="0C479D"/>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FFFFFF"/>
              </w:rPr>
              <w:t>Assets</w:t>
            </w:r>
          </w:p>
        </w:tc>
        <w:tc>
          <w:tcPr>
            <w:tcW w:w="960" w:type="dxa"/>
            <w:vAlign w:val="bottom"/>
            <w:shd w:val="clear" w:color="auto" w:fill="0C479D"/>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FFFFFF"/>
              </w:rPr>
              <w:t>Counterparty</w:t>
            </w:r>
          </w:p>
        </w:tc>
        <w:tc>
          <w:tcPr>
            <w:tcW w:w="810" w:type="dxa"/>
            <w:vAlign w:val="bottom"/>
            <w:shd w:val="clear" w:color="auto" w:fill="0C479D"/>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FFFFFF"/>
              </w:rPr>
              <w:t>Collateral</w:t>
            </w:r>
          </w:p>
        </w:tc>
        <w:tc>
          <w:tcPr>
            <w:tcW w:w="1090" w:type="dxa"/>
            <w:vAlign w:val="bottom"/>
            <w:shd w:val="clear" w:color="auto" w:fill="0C479D"/>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FFFFFF"/>
              </w:rPr>
              <w:t>Carrying Value</w:t>
            </w:r>
          </w:p>
        </w:tc>
        <w:tc>
          <w:tcPr>
            <w:tcW w:w="680" w:type="dxa"/>
            <w:vAlign w:val="bottom"/>
            <w:shd w:val="clear" w:color="auto" w:fill="0C479D"/>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FFFFFF"/>
              </w:rPr>
              <w:t>Carrying</w:t>
            </w:r>
          </w:p>
        </w:tc>
        <w:tc>
          <w:tcPr>
            <w:tcW w:w="20" w:type="dxa"/>
            <w:vAlign w:val="bottom"/>
            <w:shd w:val="clear" w:color="auto" w:fill="0C479D"/>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880" w:type="dxa"/>
            <w:vAlign w:val="bottom"/>
            <w:tcBorders>
              <w:bottom w:val="single" w:sz="8" w:color="0C479D"/>
            </w:tcBorders>
            <w:shd w:val="clear" w:color="auto" w:fill="0C479D"/>
          </w:tcPr>
          <w:p>
            <w:pPr>
              <w:spacing w:after="0"/>
              <w:rPr>
                <w:sz w:val="16"/>
                <w:szCs w:val="16"/>
                <w:color w:val="auto"/>
              </w:rPr>
            </w:pPr>
          </w:p>
        </w:tc>
        <w:tc>
          <w:tcPr>
            <w:tcW w:w="660" w:type="dxa"/>
            <w:vAlign w:val="bottom"/>
            <w:tcBorders>
              <w:bottom w:val="single" w:sz="8" w:color="0C479D"/>
            </w:tcBorders>
            <w:vMerge w:val="continue"/>
            <w:shd w:val="clear" w:color="auto" w:fill="0C479D"/>
          </w:tcPr>
          <w:p>
            <w:pPr>
              <w:spacing w:after="0"/>
              <w:rPr>
                <w:sz w:val="16"/>
                <w:szCs w:val="16"/>
                <w:color w:val="auto"/>
              </w:rPr>
            </w:pPr>
          </w:p>
        </w:tc>
        <w:tc>
          <w:tcPr>
            <w:tcW w:w="650" w:type="dxa"/>
            <w:vAlign w:val="bottom"/>
            <w:tcBorders>
              <w:bottom w:val="single" w:sz="8" w:color="0C479D"/>
            </w:tcBorders>
            <w:vMerge w:val="continue"/>
            <w:shd w:val="clear" w:color="auto" w:fill="0C479D"/>
          </w:tcPr>
          <w:p>
            <w:pPr>
              <w:spacing w:after="0"/>
              <w:rPr>
                <w:sz w:val="16"/>
                <w:szCs w:val="16"/>
                <w:color w:val="auto"/>
              </w:rPr>
            </w:pPr>
          </w:p>
        </w:tc>
        <w:tc>
          <w:tcPr>
            <w:tcW w:w="70" w:type="dxa"/>
            <w:vAlign w:val="bottom"/>
            <w:tcBorders>
              <w:bottom w:val="single" w:sz="8" w:color="0C479D"/>
            </w:tcBorders>
            <w:shd w:val="clear" w:color="auto" w:fill="0C479D"/>
          </w:tcPr>
          <w:p>
            <w:pPr>
              <w:spacing w:after="0"/>
              <w:rPr>
                <w:sz w:val="16"/>
                <w:szCs w:val="16"/>
                <w:color w:val="auto"/>
              </w:rPr>
            </w:pPr>
          </w:p>
        </w:tc>
        <w:tc>
          <w:tcPr>
            <w:tcW w:w="560" w:type="dxa"/>
            <w:vAlign w:val="bottom"/>
            <w:tcBorders>
              <w:bottom w:val="single" w:sz="8" w:color="0C479D"/>
            </w:tcBorders>
            <w:vMerge w:val="continue"/>
            <w:shd w:val="clear" w:color="auto" w:fill="0C479D"/>
          </w:tcPr>
          <w:p>
            <w:pPr>
              <w:spacing w:after="0"/>
              <w:rPr>
                <w:sz w:val="16"/>
                <w:szCs w:val="16"/>
                <w:color w:val="auto"/>
              </w:rPr>
            </w:pPr>
          </w:p>
        </w:tc>
        <w:tc>
          <w:tcPr>
            <w:tcW w:w="88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&amp; Liabilities</w:t>
            </w:r>
          </w:p>
        </w:tc>
        <w:tc>
          <w:tcPr>
            <w:tcW w:w="96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Netting</w:t>
            </w:r>
          </w:p>
        </w:tc>
        <w:tc>
          <w:tcPr>
            <w:tcW w:w="81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Netting</w:t>
            </w:r>
          </w:p>
        </w:tc>
        <w:tc>
          <w:tcPr>
            <w:tcW w:w="109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and Fair Value</w:t>
            </w:r>
          </w:p>
        </w:tc>
        <w:tc>
          <w:tcPr>
            <w:tcW w:w="68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Value</w:t>
            </w:r>
          </w:p>
        </w:tc>
        <w:tc>
          <w:tcPr>
            <w:tcW w:w="20" w:type="dxa"/>
            <w:vAlign w:val="bottom"/>
            <w:tcBorders>
              <w:bottom w:val="single" w:sz="8" w:color="0C479D"/>
            </w:tcBorders>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Assets</w:t>
            </w:r>
          </w:p>
        </w:tc>
        <w:tc>
          <w:tcPr>
            <w:tcW w:w="660" w:type="dxa"/>
            <w:vAlign w:val="bottom"/>
          </w:tcPr>
          <w:p>
            <w:pPr>
              <w:spacing w:after="0"/>
              <w:rPr>
                <w:sz w:val="20"/>
                <w:szCs w:val="20"/>
                <w:color w:val="auto"/>
              </w:rPr>
            </w:pPr>
          </w:p>
        </w:tc>
        <w:tc>
          <w:tcPr>
            <w:tcW w:w="65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10" w:type="dxa"/>
            <w:vAlign w:val="bottom"/>
          </w:tcPr>
          <w:p>
            <w:pPr>
              <w:spacing w:after="0"/>
              <w:rPr>
                <w:sz w:val="20"/>
                <w:szCs w:val="20"/>
                <w:color w:val="auto"/>
              </w:rPr>
            </w:pPr>
          </w:p>
        </w:tc>
        <w:tc>
          <w:tcPr>
            <w:tcW w:w="109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2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Derivative assets </w:t>
            </w:r>
            <w:r>
              <w:rPr>
                <w:rFonts w:ascii="Times New Roman" w:cs="Times New Roman" w:eastAsia="Times New Roman" w:hAnsi="Times New Roman"/>
                <w:sz w:val="21"/>
                <w:szCs w:val="21"/>
                <w:i w:val="1"/>
                <w:iCs w:val="1"/>
                <w:color w:val="auto"/>
                <w:vertAlign w:val="superscript"/>
              </w:rPr>
              <w:t>(1)</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42,237</w:t>
            </w:r>
          </w:p>
        </w:tc>
        <w:tc>
          <w:tcPr>
            <w:tcW w:w="65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8,357</w:t>
            </w:r>
          </w:p>
        </w:tc>
        <w:tc>
          <w:tcPr>
            <w:tcW w:w="70" w:type="dxa"/>
            <w:vAlign w:val="bottom"/>
          </w:tcPr>
          <w:p>
            <w:pPr>
              <w:spacing w:after="0"/>
              <w:rPr>
                <w:sz w:val="23"/>
                <w:szCs w:val="23"/>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(47,389)</w:t>
            </w:r>
          </w:p>
        </w:tc>
        <w:tc>
          <w:tcPr>
            <w:tcW w:w="8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90" w:type="dxa"/>
            <w:vAlign w:val="bottom"/>
          </w:tcPr>
          <w:p>
            <w:pPr>
              <w:ind w:lef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2,924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260"/>
          </w:cols>
          <w:pgMar w:left="1320" w:top="499" w:right="1319" w:bottom="1440" w:gutter="0" w:footer="0" w:header="0"/>
        </w:sect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60" w:right="80"/>
        <w:spacing w:after="0" w:line="232" w:lineRule="auto"/>
        <w:rPr>
          <w:sz w:val="20"/>
          <w:szCs w:val="20"/>
          <w:color w:val="auto"/>
        </w:rPr>
      </w:pPr>
      <w:r>
        <w:rPr>
          <w:rFonts w:ascii="Times New Roman" w:cs="Times New Roman" w:eastAsia="Times New Roman" w:hAnsi="Times New Roman"/>
          <w:sz w:val="16"/>
          <w:szCs w:val="16"/>
          <w:color w:val="auto"/>
        </w:rPr>
        <w:t xml:space="preserve">Advances to/receivables from equity companies </w:t>
      </w:r>
      <w:r>
        <w:rPr>
          <w:rFonts w:ascii="Times New Roman" w:cs="Times New Roman" w:eastAsia="Times New Roman" w:hAnsi="Times New Roman"/>
          <w:sz w:val="21"/>
          <w:szCs w:val="21"/>
          <w:i w:val="1"/>
          <w:iCs w:val="1"/>
          <w:color w:val="auto"/>
          <w:vertAlign w:val="superscript"/>
        </w:rPr>
        <w:t>(2)(3)</w:t>
      </w:r>
    </w:p>
    <w:p>
      <w:pPr>
        <w:ind w:left="60"/>
        <w:spacing w:after="0"/>
        <w:rPr>
          <w:sz w:val="20"/>
          <w:szCs w:val="20"/>
          <w:color w:val="auto"/>
        </w:rPr>
      </w:pPr>
      <w:r>
        <w:rPr>
          <w:rFonts w:ascii="Times New Roman" w:cs="Times New Roman" w:eastAsia="Times New Roman" w:hAnsi="Times New Roman"/>
          <w:sz w:val="16"/>
          <w:szCs w:val="16"/>
          <w:color w:val="auto"/>
        </w:rPr>
        <w:t xml:space="preserve">Other long-term financial assets </w:t>
      </w:r>
      <w:r>
        <w:rPr>
          <w:rFonts w:ascii="Times New Roman" w:cs="Times New Roman" w:eastAsia="Times New Roman" w:hAnsi="Times New Roman"/>
          <w:sz w:val="21"/>
          <w:szCs w:val="21"/>
          <w:i w:val="1"/>
          <w:iCs w:val="1"/>
          <w:color w:val="auto"/>
          <w:vertAlign w:val="superscript"/>
        </w:rPr>
        <w:t>(4)</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C479D"/>
        </w:rPr>
        <w:t>Liabilities</w:t>
      </w:r>
    </w:p>
    <w:p>
      <w:pPr>
        <w:spacing w:after="0" w:line="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xml:space="preserve">Derivative liabilities </w:t>
      </w:r>
      <w:r>
        <w:rPr>
          <w:rFonts w:ascii="Times New Roman" w:cs="Times New Roman" w:eastAsia="Times New Roman" w:hAnsi="Times New Roman"/>
          <w:sz w:val="21"/>
          <w:szCs w:val="21"/>
          <w:i w:val="1"/>
          <w:iCs w:val="1"/>
          <w:color w:val="auto"/>
          <w:vertAlign w:val="superscript"/>
        </w:rPr>
        <w:t>(5)</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xml:space="preserve">Long-term debt </w:t>
      </w:r>
      <w:r>
        <w:rPr>
          <w:rFonts w:ascii="Times New Roman" w:cs="Times New Roman" w:eastAsia="Times New Roman" w:hAnsi="Times New Roman"/>
          <w:sz w:val="21"/>
          <w:szCs w:val="21"/>
          <w:i w:val="1"/>
          <w:iCs w:val="1"/>
          <w:color w:val="auto"/>
          <w:vertAlign w:val="superscript"/>
        </w:rPr>
        <w:t>(6)</w:t>
      </w:r>
    </w:p>
    <w:p>
      <w:pPr>
        <w:ind w:left="60" w:right="380"/>
        <w:spacing w:after="0" w:line="229" w:lineRule="auto"/>
        <w:rPr>
          <w:sz w:val="20"/>
          <w:szCs w:val="20"/>
          <w:color w:val="auto"/>
        </w:rPr>
      </w:pPr>
      <w:r>
        <w:rPr>
          <w:rFonts w:ascii="Times New Roman" w:cs="Times New Roman" w:eastAsia="Times New Roman" w:hAnsi="Times New Roman"/>
          <w:sz w:val="16"/>
          <w:szCs w:val="16"/>
          <w:color w:val="auto"/>
        </w:rPr>
        <w:t xml:space="preserve">Long-term obligations to equity companies </w:t>
      </w:r>
      <w:r>
        <w:rPr>
          <w:rFonts w:ascii="Times New Roman" w:cs="Times New Roman" w:eastAsia="Times New Roman" w:hAnsi="Times New Roman"/>
          <w:sz w:val="21"/>
          <w:szCs w:val="21"/>
          <w:i w:val="1"/>
          <w:iCs w:val="1"/>
          <w:color w:val="auto"/>
          <w:vertAlign w:val="superscript"/>
        </w:rPr>
        <w:t>(3)</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xml:space="preserve">Other long-term financial liabilities </w:t>
      </w:r>
      <w:r>
        <w:rPr>
          <w:rFonts w:ascii="Times New Roman" w:cs="Times New Roman" w:eastAsia="Times New Roman" w:hAnsi="Times New Roman"/>
          <w:sz w:val="20"/>
          <w:szCs w:val="20"/>
          <w:i w:val="1"/>
          <w:iCs w:val="1"/>
          <w:color w:val="auto"/>
          <w:vertAlign w:val="superscript"/>
        </w:rPr>
        <w:t>(7)</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1,369</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4,134</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5,503</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r>
      <w:tr>
        <w:trPr>
          <w:trHeight w:val="324"/>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1,552</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1,788</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3,340</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r>
      <w:tr>
        <w:trPr>
          <w:trHeight w:val="635"/>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44,879</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8,430</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53,309</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(47,389)</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(2,912)</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r>
      <w:tr>
        <w:trPr>
          <w:trHeight w:val="25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23,269</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4,108</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27,377</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30,759</w:t>
            </w:r>
          </w:p>
        </w:tc>
      </w:tr>
      <w:tr>
        <w:trPr>
          <w:trHeight w:val="324"/>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562</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562</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324"/>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352</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352</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bl>
    <w:p>
      <w:pPr>
        <w:spacing w:after="0" w:line="228" w:lineRule="exact"/>
        <w:rPr>
          <w:sz w:val="20"/>
          <w:szCs w:val="20"/>
          <w:color w:val="auto"/>
        </w:rPr>
      </w:pPr>
    </w:p>
    <w:p>
      <w:pPr>
        <w:sectPr>
          <w:pgSz w:w="11900" w:h="16838" w:orient="portrait"/>
          <w:cols w:equalWidth="0" w:num="2">
            <w:col w:w="2520" w:space="440"/>
            <w:col w:w="6300"/>
          </w:cols>
          <w:pgMar w:left="1320" w:top="499" w:right="1319" w:bottom="1440" w:gutter="0" w:footer="0" w:header="0"/>
          <w:type w:val="continuous"/>
        </w:sect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C479D"/>
              </w:rPr>
              <w:t>December 31, 2025</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660" w:type="dxa"/>
            <w:vAlign w:val="bottom"/>
            <w:tcBorders>
              <w:bottom w:val="single" w:sz="8" w:color="0C479D"/>
            </w:tcBorders>
          </w:tcPr>
          <w:p>
            <w:pPr>
              <w:spacing w:after="0"/>
              <w:rPr>
                <w:sz w:val="2"/>
                <w:szCs w:val="2"/>
                <w:color w:val="auto"/>
              </w:rPr>
            </w:pPr>
          </w:p>
        </w:tc>
        <w:tc>
          <w:tcPr>
            <w:tcW w:w="640" w:type="dxa"/>
            <w:vAlign w:val="bottom"/>
            <w:tcBorders>
              <w:bottom w:val="single" w:sz="8" w:color="0C479D"/>
            </w:tcBorders>
          </w:tcPr>
          <w:p>
            <w:pPr>
              <w:spacing w:after="0"/>
              <w:rPr>
                <w:sz w:val="2"/>
                <w:szCs w:val="2"/>
                <w:color w:val="auto"/>
              </w:rPr>
            </w:pPr>
          </w:p>
        </w:tc>
        <w:tc>
          <w:tcPr>
            <w:tcW w:w="640" w:type="dxa"/>
            <w:vAlign w:val="bottom"/>
            <w:tcBorders>
              <w:bottom w:val="single" w:sz="8" w:color="0C479D"/>
            </w:tcBorders>
          </w:tcPr>
          <w:p>
            <w:pPr>
              <w:spacing w:after="0"/>
              <w:rPr>
                <w:sz w:val="2"/>
                <w:szCs w:val="2"/>
                <w:color w:val="auto"/>
              </w:rPr>
            </w:pPr>
          </w:p>
        </w:tc>
        <w:tc>
          <w:tcPr>
            <w:tcW w:w="880" w:type="dxa"/>
            <w:vAlign w:val="bottom"/>
            <w:tcBorders>
              <w:bottom w:val="single" w:sz="8" w:color="0C479D"/>
            </w:tcBorders>
          </w:tcPr>
          <w:p>
            <w:pPr>
              <w:spacing w:after="0"/>
              <w:rPr>
                <w:sz w:val="2"/>
                <w:szCs w:val="2"/>
                <w:color w:val="auto"/>
              </w:rPr>
            </w:pPr>
          </w:p>
        </w:tc>
        <w:tc>
          <w:tcPr>
            <w:tcW w:w="960" w:type="dxa"/>
            <w:vAlign w:val="bottom"/>
            <w:tcBorders>
              <w:bottom w:val="single" w:sz="8" w:color="0C479D"/>
            </w:tcBorders>
          </w:tcPr>
          <w:p>
            <w:pPr>
              <w:spacing w:after="0"/>
              <w:rPr>
                <w:sz w:val="2"/>
                <w:szCs w:val="2"/>
                <w:color w:val="auto"/>
              </w:rPr>
            </w:pPr>
          </w:p>
        </w:tc>
        <w:tc>
          <w:tcPr>
            <w:tcW w:w="800" w:type="dxa"/>
            <w:vAlign w:val="bottom"/>
            <w:tcBorders>
              <w:bottom w:val="single" w:sz="8" w:color="0C479D"/>
            </w:tcBorders>
          </w:tcPr>
          <w:p>
            <w:pPr>
              <w:spacing w:after="0"/>
              <w:rPr>
                <w:sz w:val="2"/>
                <w:szCs w:val="2"/>
                <w:color w:val="auto"/>
              </w:rPr>
            </w:pPr>
          </w:p>
        </w:tc>
        <w:tc>
          <w:tcPr>
            <w:tcW w:w="1100" w:type="dxa"/>
            <w:vAlign w:val="bottom"/>
            <w:tcBorders>
              <w:bottom w:val="single" w:sz="8" w:color="0C479D"/>
            </w:tcBorders>
          </w:tcPr>
          <w:p>
            <w:pPr>
              <w:spacing w:after="0"/>
              <w:rPr>
                <w:sz w:val="2"/>
                <w:szCs w:val="2"/>
                <w:color w:val="auto"/>
              </w:rPr>
            </w:pPr>
          </w:p>
        </w:tc>
        <w:tc>
          <w:tcPr>
            <w:tcW w:w="680" w:type="dxa"/>
            <w:vAlign w:val="bottom"/>
            <w:tcBorders>
              <w:bottom w:val="single" w:sz="8" w:color="0C479D"/>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880" w:type="dxa"/>
            <w:vAlign w:val="bottom"/>
            <w:shd w:val="clear" w:color="auto" w:fill="0C479D"/>
          </w:tcPr>
          <w:p>
            <w:pPr>
              <w:spacing w:after="0"/>
              <w:rPr>
                <w:sz w:val="20"/>
                <w:szCs w:val="20"/>
                <w:color w:val="auto"/>
              </w:rPr>
            </w:pPr>
          </w:p>
        </w:tc>
        <w:tc>
          <w:tcPr>
            <w:tcW w:w="660" w:type="dxa"/>
            <w:vAlign w:val="bottom"/>
            <w:shd w:val="clear" w:color="auto" w:fill="0C479D"/>
          </w:tcPr>
          <w:p>
            <w:pPr>
              <w:spacing w:after="0"/>
              <w:rPr>
                <w:sz w:val="20"/>
                <w:szCs w:val="20"/>
                <w:color w:val="auto"/>
              </w:rPr>
            </w:pPr>
          </w:p>
        </w:tc>
        <w:tc>
          <w:tcPr>
            <w:tcW w:w="1280" w:type="dxa"/>
            <w:vAlign w:val="bottom"/>
            <w:gridSpan w:val="2"/>
            <w:shd w:val="clear" w:color="auto" w:fill="0C479D"/>
          </w:tcPr>
          <w:p>
            <w:pPr>
              <w:jc w:val="right"/>
              <w:ind w:right="132"/>
              <w:spacing w:after="0"/>
              <w:rPr>
                <w:sz w:val="20"/>
                <w:szCs w:val="20"/>
                <w:color w:val="auto"/>
              </w:rPr>
            </w:pPr>
            <w:r>
              <w:rPr>
                <w:rFonts w:ascii="Times New Roman" w:cs="Times New Roman" w:eastAsia="Times New Roman" w:hAnsi="Times New Roman"/>
                <w:sz w:val="14"/>
                <w:szCs w:val="14"/>
                <w:b w:val="1"/>
                <w:bCs w:val="1"/>
                <w:color w:val="FFFFFF"/>
              </w:rPr>
              <w:t>Fair Value</w:t>
            </w:r>
          </w:p>
        </w:tc>
        <w:tc>
          <w:tcPr>
            <w:tcW w:w="880" w:type="dxa"/>
            <w:vAlign w:val="bottom"/>
            <w:shd w:val="clear" w:color="auto" w:fill="0C479D"/>
          </w:tcPr>
          <w:p>
            <w:pPr>
              <w:spacing w:after="0"/>
              <w:rPr>
                <w:sz w:val="20"/>
                <w:szCs w:val="20"/>
                <w:color w:val="auto"/>
              </w:rPr>
            </w:pPr>
          </w:p>
        </w:tc>
        <w:tc>
          <w:tcPr>
            <w:tcW w:w="960" w:type="dxa"/>
            <w:vAlign w:val="bottom"/>
            <w:shd w:val="clear" w:color="auto" w:fill="0C479D"/>
          </w:tcPr>
          <w:p>
            <w:pPr>
              <w:spacing w:after="0"/>
              <w:rPr>
                <w:sz w:val="20"/>
                <w:szCs w:val="20"/>
                <w:color w:val="auto"/>
              </w:rPr>
            </w:pPr>
          </w:p>
        </w:tc>
        <w:tc>
          <w:tcPr>
            <w:tcW w:w="800" w:type="dxa"/>
            <w:vAlign w:val="bottom"/>
            <w:shd w:val="clear" w:color="auto" w:fill="0C479D"/>
          </w:tcPr>
          <w:p>
            <w:pPr>
              <w:spacing w:after="0"/>
              <w:rPr>
                <w:sz w:val="20"/>
                <w:szCs w:val="20"/>
                <w:color w:val="auto"/>
              </w:rPr>
            </w:pPr>
          </w:p>
        </w:tc>
        <w:tc>
          <w:tcPr>
            <w:tcW w:w="1100" w:type="dxa"/>
            <w:vAlign w:val="bottom"/>
            <w:shd w:val="clear" w:color="auto" w:fill="0C479D"/>
          </w:tcPr>
          <w:p>
            <w:pPr>
              <w:spacing w:after="0"/>
              <w:rPr>
                <w:sz w:val="20"/>
                <w:szCs w:val="20"/>
                <w:color w:val="auto"/>
              </w:rPr>
            </w:pPr>
          </w:p>
        </w:tc>
        <w:tc>
          <w:tcPr>
            <w:tcW w:w="680" w:type="dxa"/>
            <w:vAlign w:val="bottom"/>
            <w:shd w:val="clear" w:color="auto" w:fill="0C479D"/>
          </w:tcPr>
          <w:p>
            <w:pPr>
              <w:spacing w:after="0"/>
              <w:rPr>
                <w:sz w:val="20"/>
                <w:szCs w:val="20"/>
                <w:color w:val="auto"/>
              </w:rPr>
            </w:pPr>
          </w:p>
        </w:tc>
        <w:tc>
          <w:tcPr>
            <w:tcW w:w="20" w:type="dxa"/>
            <w:vAlign w:val="bottom"/>
            <w:shd w:val="clear" w:color="auto" w:fill="0C479D"/>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880" w:type="dxa"/>
            <w:vAlign w:val="bottom"/>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660" w:type="dxa"/>
            <w:vAlign w:val="bottom"/>
            <w:shd w:val="clear" w:color="auto" w:fill="0C479D"/>
          </w:tcPr>
          <w:p>
            <w:pPr>
              <w:spacing w:after="0"/>
              <w:rPr>
                <w:sz w:val="15"/>
                <w:szCs w:val="15"/>
                <w:color w:val="auto"/>
              </w:rPr>
            </w:pPr>
          </w:p>
        </w:tc>
        <w:tc>
          <w:tcPr>
            <w:tcW w:w="640" w:type="dxa"/>
            <w:vAlign w:val="bottom"/>
            <w:shd w:val="clear" w:color="auto" w:fill="0C479D"/>
          </w:tcPr>
          <w:p>
            <w:pPr>
              <w:spacing w:after="0"/>
              <w:rPr>
                <w:sz w:val="15"/>
                <w:szCs w:val="15"/>
                <w:color w:val="auto"/>
              </w:rPr>
            </w:pPr>
          </w:p>
        </w:tc>
        <w:tc>
          <w:tcPr>
            <w:tcW w:w="640" w:type="dxa"/>
            <w:vAlign w:val="bottom"/>
            <w:shd w:val="clear" w:color="auto" w:fill="0C479D"/>
          </w:tcPr>
          <w:p>
            <w:pPr>
              <w:spacing w:after="0"/>
              <w:rPr>
                <w:sz w:val="15"/>
                <w:szCs w:val="15"/>
                <w:color w:val="auto"/>
              </w:rPr>
            </w:pPr>
          </w:p>
        </w:tc>
        <w:tc>
          <w:tcPr>
            <w:tcW w:w="88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Total Gross</w:t>
            </w:r>
          </w:p>
        </w:tc>
        <w:tc>
          <w:tcPr>
            <w:tcW w:w="96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Effect of</w:t>
            </w:r>
          </w:p>
        </w:tc>
        <w:tc>
          <w:tcPr>
            <w:tcW w:w="8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Effect of</w:t>
            </w:r>
          </w:p>
        </w:tc>
        <w:tc>
          <w:tcPr>
            <w:tcW w:w="11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Difference in</w:t>
            </w:r>
          </w:p>
        </w:tc>
        <w:tc>
          <w:tcPr>
            <w:tcW w:w="68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Net</w:t>
            </w:r>
          </w:p>
        </w:tc>
        <w:tc>
          <w:tcPr>
            <w:tcW w:w="20" w:type="dxa"/>
            <w:vAlign w:val="bottom"/>
            <w:shd w:val="clear" w:color="auto" w:fill="0C479D"/>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880" w:type="dxa"/>
            <w:vAlign w:val="bottom"/>
            <w:shd w:val="clear" w:color="auto" w:fill="0C479D"/>
          </w:tcPr>
          <w:p>
            <w:pPr>
              <w:spacing w:after="0"/>
              <w:rPr>
                <w:sz w:val="10"/>
                <w:szCs w:val="10"/>
                <w:color w:val="auto"/>
              </w:rPr>
            </w:pPr>
          </w:p>
        </w:tc>
        <w:tc>
          <w:tcPr>
            <w:tcW w:w="660" w:type="dxa"/>
            <w:vAlign w:val="bottom"/>
            <w:vMerge w:val="restart"/>
            <w:shd w:val="clear" w:color="auto" w:fill="0C479D"/>
          </w:tcPr>
          <w:p>
            <w:pPr>
              <w:jc w:val="right"/>
              <w:ind w:right="32"/>
              <w:spacing w:after="0"/>
              <w:rPr>
                <w:sz w:val="20"/>
                <w:szCs w:val="20"/>
                <w:color w:val="auto"/>
              </w:rPr>
            </w:pPr>
            <w:r>
              <w:rPr>
                <w:rFonts w:ascii="Times New Roman" w:cs="Times New Roman" w:eastAsia="Times New Roman" w:hAnsi="Times New Roman"/>
                <w:sz w:val="14"/>
                <w:szCs w:val="14"/>
                <w:b w:val="1"/>
                <w:bCs w:val="1"/>
                <w:color w:val="FFFFFF"/>
              </w:rPr>
              <w:t>Level 1</w:t>
            </w:r>
          </w:p>
        </w:tc>
        <w:tc>
          <w:tcPr>
            <w:tcW w:w="640" w:type="dxa"/>
            <w:vAlign w:val="bottom"/>
            <w:vMerge w:val="restart"/>
            <w:shd w:val="clear" w:color="auto" w:fill="0C479D"/>
          </w:tcPr>
          <w:p>
            <w:pPr>
              <w:jc w:val="right"/>
              <w:ind w:right="14"/>
              <w:spacing w:after="0"/>
              <w:rPr>
                <w:sz w:val="20"/>
                <w:szCs w:val="20"/>
                <w:color w:val="auto"/>
              </w:rPr>
            </w:pPr>
            <w:r>
              <w:rPr>
                <w:rFonts w:ascii="Times New Roman" w:cs="Times New Roman" w:eastAsia="Times New Roman" w:hAnsi="Times New Roman"/>
                <w:sz w:val="14"/>
                <w:szCs w:val="14"/>
                <w:b w:val="1"/>
                <w:bCs w:val="1"/>
                <w:color w:val="FFFFFF"/>
              </w:rPr>
              <w:t>Level 2</w:t>
            </w:r>
          </w:p>
        </w:tc>
        <w:tc>
          <w:tcPr>
            <w:tcW w:w="640" w:type="dxa"/>
            <w:vAlign w:val="bottom"/>
            <w:vMerge w:val="restart"/>
            <w:shd w:val="clear" w:color="auto" w:fill="0C479D"/>
          </w:tcPr>
          <w:p>
            <w:pPr>
              <w:jc w:val="right"/>
              <w:ind w:right="12"/>
              <w:spacing w:after="0"/>
              <w:rPr>
                <w:sz w:val="20"/>
                <w:szCs w:val="20"/>
                <w:color w:val="auto"/>
              </w:rPr>
            </w:pPr>
            <w:r>
              <w:rPr>
                <w:rFonts w:ascii="Times New Roman" w:cs="Times New Roman" w:eastAsia="Times New Roman" w:hAnsi="Times New Roman"/>
                <w:sz w:val="14"/>
                <w:szCs w:val="14"/>
                <w:b w:val="1"/>
                <w:bCs w:val="1"/>
                <w:color w:val="FFFFFF"/>
              </w:rPr>
              <w:t>Level 3</w:t>
            </w:r>
          </w:p>
        </w:tc>
        <w:tc>
          <w:tcPr>
            <w:tcW w:w="880" w:type="dxa"/>
            <w:vAlign w:val="bottom"/>
            <w:shd w:val="clear" w:color="auto" w:fill="0C479D"/>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FFFFFF"/>
              </w:rPr>
              <w:t>Assets</w:t>
            </w:r>
          </w:p>
        </w:tc>
        <w:tc>
          <w:tcPr>
            <w:tcW w:w="960" w:type="dxa"/>
            <w:vAlign w:val="bottom"/>
            <w:shd w:val="clear" w:color="auto" w:fill="0C479D"/>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FFFFFF"/>
              </w:rPr>
              <w:t>Counterparty</w:t>
            </w:r>
          </w:p>
        </w:tc>
        <w:tc>
          <w:tcPr>
            <w:tcW w:w="800" w:type="dxa"/>
            <w:vAlign w:val="bottom"/>
            <w:shd w:val="clear" w:color="auto" w:fill="0C479D"/>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FFFFFF"/>
              </w:rPr>
              <w:t>Collateral</w:t>
            </w:r>
          </w:p>
        </w:tc>
        <w:tc>
          <w:tcPr>
            <w:tcW w:w="1100" w:type="dxa"/>
            <w:vAlign w:val="bottom"/>
            <w:shd w:val="clear" w:color="auto" w:fill="0C479D"/>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FFFFFF"/>
              </w:rPr>
              <w:t>Carrying Value</w:t>
            </w:r>
          </w:p>
        </w:tc>
        <w:tc>
          <w:tcPr>
            <w:tcW w:w="680" w:type="dxa"/>
            <w:vAlign w:val="bottom"/>
            <w:shd w:val="clear" w:color="auto" w:fill="0C479D"/>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FFFFFF"/>
              </w:rPr>
              <w:t>Carrying</w:t>
            </w:r>
          </w:p>
        </w:tc>
        <w:tc>
          <w:tcPr>
            <w:tcW w:w="20" w:type="dxa"/>
            <w:vAlign w:val="bottom"/>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0C479D"/>
          </w:tcPr>
          <w:p>
            <w:pPr>
              <w:spacing w:after="0"/>
              <w:rPr>
                <w:sz w:val="17"/>
                <w:szCs w:val="17"/>
                <w:color w:val="auto"/>
              </w:rPr>
            </w:pPr>
          </w:p>
        </w:tc>
        <w:tc>
          <w:tcPr>
            <w:tcW w:w="660" w:type="dxa"/>
            <w:vAlign w:val="bottom"/>
            <w:vMerge w:val="continue"/>
            <w:shd w:val="clear" w:color="auto" w:fill="0C479D"/>
          </w:tcPr>
          <w:p>
            <w:pPr>
              <w:spacing w:after="0"/>
              <w:rPr>
                <w:sz w:val="17"/>
                <w:szCs w:val="17"/>
                <w:color w:val="auto"/>
              </w:rPr>
            </w:pPr>
          </w:p>
        </w:tc>
        <w:tc>
          <w:tcPr>
            <w:tcW w:w="640" w:type="dxa"/>
            <w:vAlign w:val="bottom"/>
            <w:vMerge w:val="continue"/>
            <w:shd w:val="clear" w:color="auto" w:fill="0C479D"/>
          </w:tcPr>
          <w:p>
            <w:pPr>
              <w:spacing w:after="0"/>
              <w:rPr>
                <w:sz w:val="17"/>
                <w:szCs w:val="17"/>
                <w:color w:val="auto"/>
              </w:rPr>
            </w:pPr>
          </w:p>
        </w:tc>
        <w:tc>
          <w:tcPr>
            <w:tcW w:w="640" w:type="dxa"/>
            <w:vAlign w:val="bottom"/>
            <w:vMerge w:val="continue"/>
            <w:shd w:val="clear" w:color="auto" w:fill="0C479D"/>
          </w:tcPr>
          <w:p>
            <w:pPr>
              <w:spacing w:after="0"/>
              <w:rPr>
                <w:sz w:val="17"/>
                <w:szCs w:val="17"/>
                <w:color w:val="auto"/>
              </w:rPr>
            </w:pPr>
          </w:p>
        </w:tc>
        <w:tc>
          <w:tcPr>
            <w:tcW w:w="88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&amp; Liabilities</w:t>
            </w:r>
          </w:p>
        </w:tc>
        <w:tc>
          <w:tcPr>
            <w:tcW w:w="96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Netting</w:t>
            </w:r>
          </w:p>
        </w:tc>
        <w:tc>
          <w:tcPr>
            <w:tcW w:w="8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Netting</w:t>
            </w:r>
          </w:p>
        </w:tc>
        <w:tc>
          <w:tcPr>
            <w:tcW w:w="11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and Fair Value</w:t>
            </w:r>
          </w:p>
        </w:tc>
        <w:tc>
          <w:tcPr>
            <w:tcW w:w="68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Value</w:t>
            </w:r>
          </w:p>
        </w:tc>
        <w:tc>
          <w:tcPr>
            <w:tcW w:w="20" w:type="dxa"/>
            <w:vAlign w:val="bottom"/>
            <w:shd w:val="clear" w:color="auto" w:fill="0C479D"/>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Assets</w:t>
            </w: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Derivative assets </w:t>
            </w:r>
            <w:r>
              <w:rPr>
                <w:rFonts w:ascii="Times New Roman" w:cs="Times New Roman" w:eastAsia="Times New Roman" w:hAnsi="Times New Roman"/>
                <w:sz w:val="21"/>
                <w:szCs w:val="21"/>
                <w:i w:val="1"/>
                <w:iCs w:val="1"/>
                <w:color w:val="auto"/>
                <w:vertAlign w:val="superscript"/>
              </w:rPr>
              <w:t>(1)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Advances to/receivables from equity</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880" w:type="dxa"/>
            <w:vAlign w:val="bottom"/>
          </w:tcPr>
          <w:p>
            <w:pPr>
              <w:ind w:left="60"/>
              <w:spacing w:after="0" w:line="225" w:lineRule="exact"/>
              <w:rPr>
                <w:sz w:val="20"/>
                <w:szCs w:val="20"/>
                <w:color w:val="auto"/>
              </w:rPr>
            </w:pPr>
            <w:r>
              <w:rPr>
                <w:rFonts w:ascii="Times New Roman" w:cs="Times New Roman" w:eastAsia="Times New Roman" w:hAnsi="Times New Roman"/>
                <w:sz w:val="16"/>
                <w:szCs w:val="16"/>
                <w:color w:val="auto"/>
              </w:rPr>
              <w:t xml:space="preserve">companies </w:t>
            </w:r>
            <w:r>
              <w:rPr>
                <w:rFonts w:ascii="Times New Roman" w:cs="Times New Roman" w:eastAsia="Times New Roman" w:hAnsi="Times New Roman"/>
                <w:sz w:val="21"/>
                <w:szCs w:val="21"/>
                <w:i w:val="1"/>
                <w:iCs w:val="1"/>
                <w:color w:val="auto"/>
                <w:vertAlign w:val="superscript"/>
              </w:rPr>
              <w:t>(2)(3)</w:t>
            </w:r>
          </w:p>
        </w:tc>
        <w:tc>
          <w:tcPr>
            <w:tcW w:w="66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2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Other long-term financial assets </w:t>
            </w:r>
            <w:r>
              <w:rPr>
                <w:rFonts w:ascii="Times New Roman" w:cs="Times New Roman" w:eastAsia="Times New Roman" w:hAnsi="Times New Roman"/>
                <w:sz w:val="21"/>
                <w:szCs w:val="21"/>
                <w:i w:val="1"/>
                <w:iCs w:val="1"/>
                <w:color w:val="auto"/>
                <w:vertAlign w:val="superscript"/>
              </w:rPr>
              <w:t>(4)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Liabilities</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Derivative liabilities </w:t>
            </w:r>
            <w:r>
              <w:rPr>
                <w:rFonts w:ascii="Times New Roman" w:cs="Times New Roman" w:eastAsia="Times New Roman" w:hAnsi="Times New Roman"/>
                <w:sz w:val="21"/>
                <w:szCs w:val="21"/>
                <w:i w:val="1"/>
                <w:iCs w:val="1"/>
                <w:color w:val="auto"/>
                <w:vertAlign w:val="superscript"/>
              </w:rPr>
              <w:t>(5)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Long-term debt </w:t>
            </w:r>
            <w:r>
              <w:rPr>
                <w:rFonts w:ascii="Times New Roman" w:cs="Times New Roman" w:eastAsia="Times New Roman" w:hAnsi="Times New Roman"/>
                <w:sz w:val="21"/>
                <w:szCs w:val="21"/>
                <w:i w:val="1"/>
                <w:iCs w:val="1"/>
                <w:color w:val="auto"/>
                <w:vertAlign w:val="superscript"/>
              </w:rPr>
              <w:t>(6)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Long-term obligations to equity</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880" w:type="dxa"/>
            <w:vAlign w:val="bottom"/>
          </w:tcPr>
          <w:p>
            <w:pPr>
              <w:ind w:left="60"/>
              <w:spacing w:after="0" w:line="225" w:lineRule="exact"/>
              <w:rPr>
                <w:sz w:val="20"/>
                <w:szCs w:val="20"/>
                <w:color w:val="auto"/>
              </w:rPr>
            </w:pPr>
            <w:r>
              <w:rPr>
                <w:rFonts w:ascii="Times New Roman" w:cs="Times New Roman" w:eastAsia="Times New Roman" w:hAnsi="Times New Roman"/>
                <w:sz w:val="16"/>
                <w:szCs w:val="16"/>
                <w:color w:val="auto"/>
              </w:rPr>
              <w:t xml:space="preserve">companies </w:t>
            </w:r>
            <w:r>
              <w:rPr>
                <w:rFonts w:ascii="Times New Roman" w:cs="Times New Roman" w:eastAsia="Times New Roman" w:hAnsi="Times New Roman"/>
                <w:sz w:val="21"/>
                <w:szCs w:val="21"/>
                <w:i w:val="1"/>
                <w:iCs w:val="1"/>
                <w:color w:val="auto"/>
                <w:vertAlign w:val="superscript"/>
              </w:rPr>
              <w:t>(3)</w:t>
            </w:r>
          </w:p>
        </w:tc>
        <w:tc>
          <w:tcPr>
            <w:tcW w:w="66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80" w:type="dxa"/>
            <w:vAlign w:val="bottom"/>
            <w:tcBorders>
              <w:bottom w:val="single" w:sz="8" w:color="0C479D"/>
            </w:tcBorders>
          </w:tcPr>
          <w:p>
            <w:pPr>
              <w:ind w:left="60"/>
              <w:spacing w:after="0" w:line="221" w:lineRule="exact"/>
              <w:rPr>
                <w:sz w:val="20"/>
                <w:szCs w:val="20"/>
                <w:color w:val="auto"/>
              </w:rPr>
            </w:pPr>
            <w:r>
              <w:rPr>
                <w:rFonts w:ascii="Times New Roman" w:cs="Times New Roman" w:eastAsia="Times New Roman" w:hAnsi="Times New Roman"/>
                <w:sz w:val="16"/>
                <w:szCs w:val="16"/>
                <w:color w:val="auto"/>
              </w:rPr>
              <w:t xml:space="preserve">Other long-term financial liabilities </w:t>
            </w:r>
            <w:r>
              <w:rPr>
                <w:rFonts w:ascii="Times New Roman" w:cs="Times New Roman" w:eastAsia="Times New Roman" w:hAnsi="Times New Roman"/>
                <w:sz w:val="21"/>
                <w:szCs w:val="21"/>
                <w:i w:val="1"/>
                <w:iCs w:val="1"/>
                <w:color w:val="auto"/>
                <w:vertAlign w:val="superscript"/>
              </w:rPr>
              <w:t>(7)</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9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40" w:hanging="172"/>
        <w:spacing w:after="0"/>
        <w:tabs>
          <w:tab w:leader="none" w:pos="240" w:val="left"/>
        </w:tabs>
        <w:numPr>
          <w:ilvl w:val="0"/>
          <w:numId w:val="13"/>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Included in the Balance Sheet lines: Notes and accounts receivable - net and Other assets, including intangibles - net.</w:t>
      </w:r>
    </w:p>
    <w:p>
      <w:pPr>
        <w:spacing w:after="0" w:line="37" w:lineRule="exact"/>
        <w:rPr>
          <w:rFonts w:ascii="Times New Roman" w:cs="Times New Roman" w:eastAsia="Times New Roman" w:hAnsi="Times New Roman"/>
          <w:sz w:val="21"/>
          <w:szCs w:val="21"/>
          <w:i w:val="1"/>
          <w:iCs w:val="1"/>
          <w:color w:val="auto"/>
          <w:vertAlign w:val="superscript"/>
        </w:rPr>
      </w:pPr>
    </w:p>
    <w:p>
      <w:pPr>
        <w:ind w:left="240" w:hanging="172"/>
        <w:spacing w:after="0" w:line="191" w:lineRule="auto"/>
        <w:tabs>
          <w:tab w:leader="none" w:pos="240" w:val="left"/>
        </w:tabs>
        <w:numPr>
          <w:ilvl w:val="0"/>
          <w:numId w:val="13"/>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Included in the Balance Sheet line: Investments, advances and long-term receivables.</w:t>
      </w:r>
    </w:p>
    <w:p>
      <w:pPr>
        <w:spacing w:after="0" w:line="37" w:lineRule="exact"/>
        <w:rPr>
          <w:rFonts w:ascii="Times New Roman" w:cs="Times New Roman" w:eastAsia="Times New Roman" w:hAnsi="Times New Roman"/>
          <w:sz w:val="21"/>
          <w:szCs w:val="21"/>
          <w:i w:val="1"/>
          <w:iCs w:val="1"/>
          <w:color w:val="auto"/>
          <w:vertAlign w:val="superscript"/>
        </w:rPr>
      </w:pPr>
    </w:p>
    <w:p>
      <w:pPr>
        <w:ind w:left="60" w:right="100" w:firstLine="8"/>
        <w:spacing w:after="0" w:line="321" w:lineRule="auto"/>
        <w:tabs>
          <w:tab w:leader="none" w:pos="223" w:val="left"/>
        </w:tabs>
        <w:numPr>
          <w:ilvl w:val="0"/>
          <w:numId w:val="1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Advances to/receivables from equity companies and long-term obligations to equity companies are mainly designated as hierarchy level 3 inputs. The fair value is calculated by discounting the remaining obligations by a rate consistent with the credit quality and industry of the equity company.</w:t>
      </w:r>
    </w:p>
    <w:p>
      <w:pPr>
        <w:ind w:left="240" w:hanging="172"/>
        <w:spacing w:after="0" w:line="228" w:lineRule="auto"/>
        <w:tabs>
          <w:tab w:leader="none" w:pos="240" w:val="left"/>
        </w:tabs>
        <w:numPr>
          <w:ilvl w:val="0"/>
          <w:numId w:val="13"/>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Included in the Balance Sheet lines: Investments, advances and long-term receivables and Other assets, including intangibles - net.</w:t>
      </w:r>
    </w:p>
    <w:p>
      <w:pPr>
        <w:spacing w:after="0" w:line="37" w:lineRule="exact"/>
        <w:rPr>
          <w:rFonts w:ascii="Times New Roman" w:cs="Times New Roman" w:eastAsia="Times New Roman" w:hAnsi="Times New Roman"/>
          <w:sz w:val="21"/>
          <w:szCs w:val="21"/>
          <w:i w:val="1"/>
          <w:iCs w:val="1"/>
          <w:color w:val="auto"/>
          <w:vertAlign w:val="superscript"/>
        </w:rPr>
      </w:pPr>
    </w:p>
    <w:p>
      <w:pPr>
        <w:ind w:left="240" w:hanging="172"/>
        <w:spacing w:after="0" w:line="191" w:lineRule="auto"/>
        <w:tabs>
          <w:tab w:leader="none" w:pos="240" w:val="left"/>
        </w:tabs>
        <w:numPr>
          <w:ilvl w:val="0"/>
          <w:numId w:val="13"/>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Included in the Balance Sheet lines: Accounts payable and accrued liabilities and Other long-term obligations.</w:t>
      </w:r>
    </w:p>
    <w:p>
      <w:pPr>
        <w:spacing w:after="0" w:line="37" w:lineRule="exact"/>
        <w:rPr>
          <w:rFonts w:ascii="Times New Roman" w:cs="Times New Roman" w:eastAsia="Times New Roman" w:hAnsi="Times New Roman"/>
          <w:sz w:val="21"/>
          <w:szCs w:val="21"/>
          <w:i w:val="1"/>
          <w:iCs w:val="1"/>
          <w:color w:val="auto"/>
          <w:vertAlign w:val="superscript"/>
        </w:rPr>
      </w:pPr>
    </w:p>
    <w:p>
      <w:pPr>
        <w:ind w:left="240" w:hanging="172"/>
        <w:spacing w:after="0" w:line="191" w:lineRule="auto"/>
        <w:tabs>
          <w:tab w:leader="none" w:pos="240" w:val="left"/>
        </w:tabs>
        <w:numPr>
          <w:ilvl w:val="0"/>
          <w:numId w:val="13"/>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Excluding finance lease obligations.</w:t>
      </w:r>
    </w:p>
    <w:p>
      <w:pPr>
        <w:spacing w:after="0" w:line="37" w:lineRule="exact"/>
        <w:rPr>
          <w:rFonts w:ascii="Times New Roman" w:cs="Times New Roman" w:eastAsia="Times New Roman" w:hAnsi="Times New Roman"/>
          <w:sz w:val="21"/>
          <w:szCs w:val="21"/>
          <w:i w:val="1"/>
          <w:iCs w:val="1"/>
          <w:color w:val="auto"/>
          <w:vertAlign w:val="superscript"/>
        </w:rPr>
      </w:pPr>
    </w:p>
    <w:p>
      <w:pPr>
        <w:ind w:left="60" w:right="360" w:firstLine="8"/>
        <w:spacing w:after="0" w:line="217" w:lineRule="auto"/>
        <w:tabs>
          <w:tab w:leader="none" w:pos="223" w:val="left"/>
        </w:tabs>
        <w:numPr>
          <w:ilvl w:val="0"/>
          <w:numId w:val="1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Included in the Balance Sheet line: Other long-term obligations. Includes contingent consideration related to a prior year acquisition where fair value is based on expected drilling activities and discount rates.</w:t>
      </w:r>
    </w:p>
    <w:p>
      <w:pPr>
        <w:sectPr>
          <w:pgSz w:w="11900" w:h="16838" w:orient="portrait"/>
          <w:cols w:equalWidth="0" w:num="1">
            <w:col w:w="9260"/>
          </w:cols>
          <w:pgMar w:left="1320" w:top="499"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260"/>
          </w:cols>
          <w:pgMar w:left="1320" w:top="499" w:right="1319" w:bottom="1440" w:gutter="0" w:footer="0" w:header="0"/>
          <w:type w:val="continuous"/>
        </w:sectPr>
      </w:pPr>
    </w:p>
    <w:bookmarkStart w:id="12" w:name="page13"/>
    <w:bookmarkEnd w:id="12"/>
    <w:p>
      <w:pPr>
        <w:ind w:left="796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respectively, the Corporation had $1.9 billion and $0.5 billion of collateral under master netting arrangements not offset against the derivatives on the Condensed Consolidated Balance Sheet, primarily related to initial margin requirements.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Corporation may use non-derivative financial instruments, such as its foreign currency-denominated debt, as hedges of its net investments in certain foreign subsidiaries. Under this method, the change in the carrying value of the financial instruments</w:t>
      </w: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due to foreign exchange fluctuations is reported in accumulated other comprehensive income. As of March 31, 2026 , the Corporation has designated $3.4 billion of its Euro-denominated debt and related accrued interest as a net investment hedge of its European business. The net investment hedge is deemed to be perfectly effective.</w:t>
      </w:r>
    </w:p>
    <w:p>
      <w:pPr>
        <w:spacing w:after="0" w:line="5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Corporation had undrawn short-term committed lines of credit of $7.3 billion and undrawn long-term committed lines of credit of $0.3 billion as of the end of first quarter 2026.</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Derivative Instruments</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Corporation’s size, strong capital structure, geographic diversity, and the complementary nature of its business segments reduce the Corporation’s enterprise-wide risk from changes in commodity prices, currency rates, and interest rates. In addition, the Corporation uses commodity-based contracts, including derivatives, to manage commodity price risk and to generate returns from trading. Commodity contracts held for trading purposes are presented in the Condensed Consolidated Statement of Income on a net basis in the line “Sales and other operating revenue" and in the Consolidated Statement of Cash Flows in “Cash Flows from Operating Activities” and included before-tax realized and unrealized losses of $3.8 billion and gains of $19 million for the periods ended March 31, 2026 and 2025, respectively. The Corporation’s commodity derivatives are not accounted for under hedge accounting. At times, the Corporation also enters into currency and interest rate derivatives, none of which are material to the Corporation’s financial position as of March 31, 2026 and December 31, 2025 , or results of operations for the periods ended March 31, 2026 and 2025.</w:t>
      </w:r>
    </w:p>
    <w:p>
      <w:pPr>
        <w:spacing w:after="0" w:line="7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Corporation operates a program to hedge certain of its fixed-rate debt instruments against changes in fair value due to changes in the designated benchmark interest rate. This program utilizes fair value hedge accounting. The derivative (hedging) instruments are fixed-for-floating interest rate swaps, with settlement dates that correspond to the interest payments associated with the fixed-rate debt (hedged item). Changes in the fair values of the hedging instruments are perfectly offset by changes in the fair values of the hedged items; the effects of these changes in fair values are recorded in "Interest expense" in the Consolidated Statement of Income. This program was not material to the Consolidated Financial Statements as of the end of first quarter 2026.</w:t>
      </w:r>
    </w:p>
    <w:p>
      <w:pPr>
        <w:spacing w:after="0" w:line="6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Credit risk associated with the Corporation’s derivative position is mitigated by several factors, including the use of derivative clearing exchanges and the quality of and financial limits placed on derivative counterparties. The Corporation maintains a system of controls that includes the authorization, reporting, and monitoring of derivative activity.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notional long/(short) position of derivative instruments at March 31, 2026 and December 31, 2025, was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280" w:type="dxa"/>
            <w:vAlign w:val="bottom"/>
            <w:tcBorders>
              <w:bottom w:val="single" w:sz="8" w:color="0C479D"/>
            </w:tcBorders>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w:t>
            </w:r>
          </w:p>
        </w:tc>
        <w:tc>
          <w:tcPr>
            <w:tcW w:w="198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March 31, 2026</w:t>
            </w:r>
          </w:p>
        </w:tc>
        <w:tc>
          <w:tcPr>
            <w:tcW w:w="198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December 31, 2025</w:t>
            </w:r>
          </w:p>
        </w:tc>
        <w:tc>
          <w:tcPr>
            <w:tcW w:w="20" w:type="dxa"/>
            <w:vAlign w:val="bottom"/>
            <w:tcBorders>
              <w:bottom w:val="single" w:sz="8" w:color="0C479D"/>
            </w:tcBorders>
            <w:shd w:val="clear" w:color="auto" w:fill="0C479D"/>
          </w:tcPr>
          <w:p>
            <w:pPr>
              <w:spacing w:after="0"/>
              <w:rPr>
                <w:sz w:val="22"/>
                <w:szCs w:val="22"/>
                <w:color w:val="auto"/>
              </w:rPr>
            </w:pPr>
          </w:p>
        </w:tc>
      </w:tr>
      <w:tr>
        <w:trPr>
          <w:trHeight w:val="238"/>
        </w:trPr>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Crude oil (barrels)</w:t>
            </w:r>
          </w:p>
        </w:tc>
        <w:tc>
          <w:tcPr>
            <w:tcW w:w="1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r>
      <w:tr>
        <w:trPr>
          <w:trHeight w:val="229"/>
        </w:trPr>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Petroleum products (barrels)</w:t>
            </w:r>
          </w:p>
        </w:tc>
        <w:tc>
          <w:tcPr>
            <w:tcW w:w="1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r>
      <w:tr>
        <w:trPr>
          <w:trHeight w:val="201"/>
        </w:trPr>
        <w:tc>
          <w:tcPr>
            <w:tcW w:w="5280" w:type="dxa"/>
            <w:vAlign w:val="bottom"/>
            <w:tcBorders>
              <w:bottom w:val="single" w:sz="8" w:color="0C479D"/>
            </w:tcBorders>
          </w:tcPr>
          <w:p>
            <w:pPr>
              <w:ind w:left="60"/>
              <w:spacing w:after="0" w:line="194" w:lineRule="exact"/>
              <w:rPr>
                <w:sz w:val="20"/>
                <w:szCs w:val="20"/>
                <w:color w:val="auto"/>
              </w:rPr>
            </w:pPr>
            <w:r>
              <w:rPr>
                <w:rFonts w:ascii="Times New Roman" w:cs="Times New Roman" w:eastAsia="Times New Roman" w:hAnsi="Times New Roman"/>
                <w:sz w:val="18"/>
                <w:szCs w:val="18"/>
                <w:color w:val="auto"/>
              </w:rPr>
              <w:t>Natural gas (MMBTUs)</w:t>
            </w:r>
          </w:p>
        </w:tc>
        <w:tc>
          <w:tcPr>
            <w:tcW w:w="1980" w:type="dxa"/>
            <w:vAlign w:val="bottom"/>
            <w:tcBorders>
              <w:bottom w:val="single" w:sz="8" w:color="0C479D"/>
            </w:tcBorders>
            <w:shd w:val="clear" w:color="auto" w:fill="F0F0F0"/>
          </w:tcPr>
          <w:p>
            <w:pPr>
              <w:jc w:val="right"/>
              <w:spacing w:after="0" w:line="194" w:lineRule="exact"/>
              <w:rPr>
                <w:sz w:val="20"/>
                <w:szCs w:val="20"/>
                <w:color w:val="auto"/>
              </w:rPr>
            </w:pPr>
            <w:r>
              <w:rPr>
                <w:rFonts w:ascii="Times New Roman" w:cs="Times New Roman" w:eastAsia="Times New Roman" w:hAnsi="Times New Roman"/>
                <w:sz w:val="18"/>
                <w:szCs w:val="18"/>
                <w:color w:val="auto"/>
              </w:rPr>
              <w:t>(658)</w:t>
            </w:r>
          </w:p>
        </w:tc>
        <w:tc>
          <w:tcPr>
            <w:tcW w:w="1980" w:type="dxa"/>
            <w:vAlign w:val="bottom"/>
            <w:tcBorders>
              <w:bottom w:val="single" w:sz="8" w:color="0C479D"/>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(449)</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7. Litigation and Other Contingencies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Litigation</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 variety of claims have been made against ExxonMobil and certain of its consolidated subsidiaries in a number of pending lawsuits. Management has regular litigation reviews, including updates from corporate and outside counsel, to assess the need for accounting recognition or disclosure of these contingencies. The Corporation accrues an undiscounted liability for those contingencies where the incurrence of a loss is probable and the amount can be reasonably estimated. If a range of amounts can be reasonably estimated and no amount within the range is a better estimate than any other amount, then the minimum of the range is accrued. The Corporation does not record liabilities when the likelihood that the liability has been incurred is probable but the amount cannot be reasonably estimated or when the liability is believed to be only reasonably possible or remote. For contingencies where an unfavorable outcome is reasonably possible and which are significant, the Corporation discloses the nature of the contingency and, where feasible, an estimate of the possible loss. For purposes of our contingency disclosures, “significant” includes material matters, as well as other matters, which management believes should be disclosed.</w:t>
      </w:r>
    </w:p>
    <w:p>
      <w:pPr>
        <w:sectPr>
          <w:pgSz w:w="11900" w:h="16838" w:orient="portrait"/>
          <w:cols w:equalWidth="0" w:num="1">
            <w:col w:w="9260"/>
          </w:cols>
          <w:pgMar w:left="1320" w:top="49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260"/>
          </w:cols>
          <w:pgMar w:left="1320" w:top="499" w:right="1319" w:bottom="1440" w:gutter="0" w:footer="0" w:header="0"/>
          <w:type w:val="continuous"/>
        </w:sectPr>
      </w:pPr>
    </w:p>
    <w:bookmarkStart w:id="13" w:name="page14"/>
    <w:bookmarkEnd w:id="13"/>
    <w:p>
      <w:pPr>
        <w:ind w:left="796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State and local governments and other entities in various jurisdictions across the United States and its territories have filed a number of legal proceedings against several oil and gas companies, including ExxonMobil, requesting unprecedented legal and equitable relief for various alleged injuries purportedly connected to climate change. These lawsuits assert a variety of novel, untested claims under statutory and common law. Additional such lawsuits may be filed. We believe the legal and factual theories set forth in these proceedings are meritless and represent an inappropriate attempt to use the court system to usurp the proper role of policymakers in addressing the societal challenges of climate change.</w:t>
      </w:r>
    </w:p>
    <w:p>
      <w:pPr>
        <w:spacing w:after="0" w:line="6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Local governments in Louisiana have filed unprecedented legal proceedings against a number of oil and gas companies, including ExxonMobil, requesting compensation for the restoration of coastal marsh erosion in the state. We believe the factual and legal theories set forth in these proceedings are meritless.</w:t>
      </w:r>
    </w:p>
    <w:p>
      <w:pPr>
        <w:spacing w:after="0" w:line="4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While the outcome of any litigation can be unpredictable, we believe the likelihood is remote that the ultimate outcomes of these lawsuits will have a material adverse effect on the Corporation’s operations, financial condition, or financial statements taken as a whole. We will continue to defend vigorously against these claims.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Other Contingencies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Corporation and certain of its consolidated subsidiaries were contingently liable at March 31, 2026, for guarantees relating to notes, loans and performance under contracts. Where guarantees for environmental remediation and other similar matters do not include a stated cap, the amounts reflect management’s estimate of the maximum potential exposure. Where it is not possible to make a reasonable estimation of the maximum potential amount of future payments, future performance is expected to be either immaterial or have only a remote chance of occurrence.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1280" w:type="dxa"/>
            <w:vAlign w:val="bottom"/>
            <w:tcBorders>
              <w:bottom w:val="single" w:sz="8" w:color="0C479D"/>
            </w:tcBorders>
          </w:tcPr>
          <w:p>
            <w:pPr>
              <w:spacing w:after="0"/>
              <w:rPr>
                <w:sz w:val="16"/>
                <w:szCs w:val="16"/>
                <w:color w:val="auto"/>
              </w:rPr>
            </w:pPr>
          </w:p>
        </w:tc>
        <w:tc>
          <w:tcPr>
            <w:tcW w:w="128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4"/>
                <w:szCs w:val="14"/>
                <w:b w:val="1"/>
                <w:bCs w:val="1"/>
                <w:color w:val="0C479D"/>
              </w:rPr>
              <w:t>March 31, 2026</w:t>
            </w:r>
          </w:p>
        </w:tc>
        <w:tc>
          <w:tcPr>
            <w:tcW w:w="1280" w:type="dxa"/>
            <w:vAlign w:val="bottom"/>
            <w:tcBorders>
              <w:bottom w:val="single" w:sz="8" w:color="0C479D"/>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400" w:type="dxa"/>
            <w:vAlign w:val="bottom"/>
            <w:vMerge w:val="restart"/>
            <w:shd w:val="clear" w:color="auto" w:fill="0C479D"/>
          </w:tcPr>
          <w:p>
            <w:pPr>
              <w:ind w:left="1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280" w:type="dxa"/>
            <w:vAlign w:val="bottom"/>
            <w:shd w:val="clear" w:color="auto" w:fill="0C479D"/>
          </w:tcPr>
          <w:p>
            <w:pPr>
              <w:jc w:val="right"/>
              <w:ind w:right="39"/>
              <w:spacing w:after="0"/>
              <w:rPr>
                <w:sz w:val="20"/>
                <w:szCs w:val="20"/>
                <w:color w:val="auto"/>
              </w:rPr>
            </w:pPr>
            <w:r>
              <w:rPr>
                <w:rFonts w:ascii="Times New Roman" w:cs="Times New Roman" w:eastAsia="Times New Roman" w:hAnsi="Times New Roman"/>
                <w:sz w:val="14"/>
                <w:szCs w:val="14"/>
                <w:b w:val="1"/>
                <w:bCs w:val="1"/>
                <w:color w:val="FFFFFF"/>
              </w:rPr>
              <w:t>Equity Company</w:t>
            </w:r>
          </w:p>
        </w:tc>
        <w:tc>
          <w:tcPr>
            <w:tcW w:w="128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Other Third-Party</w:t>
            </w:r>
          </w:p>
        </w:tc>
        <w:tc>
          <w:tcPr>
            <w:tcW w:w="1280" w:type="dxa"/>
            <w:vAlign w:val="bottom"/>
            <w:vMerge w:val="restart"/>
            <w:shd w:val="clear" w:color="auto" w:fill="0C479D"/>
          </w:tcPr>
          <w:p>
            <w:pPr>
              <w:jc w:val="right"/>
              <w:ind w:right="396"/>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20" w:type="dxa"/>
            <w:vAlign w:val="bottom"/>
            <w:shd w:val="clear" w:color="auto" w:fill="0C479D"/>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00" w:type="dxa"/>
            <w:vAlign w:val="bottom"/>
            <w:vMerge w:val="continue"/>
            <w:shd w:val="clear" w:color="auto" w:fill="0C479D"/>
          </w:tcPr>
          <w:p>
            <w:pPr>
              <w:spacing w:after="0"/>
              <w:rPr>
                <w:sz w:val="18"/>
                <w:szCs w:val="18"/>
                <w:color w:val="auto"/>
              </w:rPr>
            </w:pPr>
          </w:p>
        </w:tc>
        <w:tc>
          <w:tcPr>
            <w:tcW w:w="1280" w:type="dxa"/>
            <w:vAlign w:val="bottom"/>
            <w:shd w:val="clear" w:color="auto" w:fill="0C479D"/>
          </w:tcPr>
          <w:p>
            <w:pPr>
              <w:jc w:val="right"/>
              <w:ind w:right="139"/>
              <w:spacing w:after="0" w:line="202" w:lineRule="exact"/>
              <w:rPr>
                <w:sz w:val="20"/>
                <w:szCs w:val="20"/>
                <w:color w:val="auto"/>
              </w:rPr>
            </w:pPr>
            <w:r>
              <w:rPr>
                <w:rFonts w:ascii="Times New Roman" w:cs="Times New Roman" w:eastAsia="Times New Roman" w:hAnsi="Times New Roman"/>
                <w:sz w:val="14"/>
                <w:szCs w:val="14"/>
                <w:b w:val="1"/>
                <w:bCs w:val="1"/>
                <w:color w:val="FFFFFF"/>
              </w:rPr>
              <w:t xml:space="preserve">Obligations </w:t>
            </w:r>
            <w:r>
              <w:rPr>
                <w:rFonts w:ascii="Times New Roman" w:cs="Times New Roman" w:eastAsia="Times New Roman" w:hAnsi="Times New Roman"/>
                <w:sz w:val="18"/>
                <w:szCs w:val="18"/>
                <w:i w:val="1"/>
                <w:iCs w:val="1"/>
                <w:color w:val="FFFFFF"/>
                <w:vertAlign w:val="superscript"/>
              </w:rPr>
              <w:t>(1)</w:t>
            </w:r>
          </w:p>
        </w:tc>
        <w:tc>
          <w:tcPr>
            <w:tcW w:w="128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Obligations</w:t>
            </w:r>
          </w:p>
        </w:tc>
        <w:tc>
          <w:tcPr>
            <w:tcW w:w="1280" w:type="dxa"/>
            <w:vAlign w:val="bottom"/>
            <w:vMerge w:val="continue"/>
            <w:shd w:val="clear" w:color="auto" w:fill="0C479D"/>
          </w:tcPr>
          <w:p>
            <w:pPr>
              <w:spacing w:after="0"/>
              <w:rPr>
                <w:sz w:val="18"/>
                <w:szCs w:val="18"/>
                <w:color w:val="auto"/>
              </w:rPr>
            </w:pPr>
          </w:p>
        </w:tc>
        <w:tc>
          <w:tcPr>
            <w:tcW w:w="20" w:type="dxa"/>
            <w:vAlign w:val="bottom"/>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Guarantees</w:t>
            </w:r>
          </w:p>
        </w:tc>
        <w:tc>
          <w:tcPr>
            <w:tcW w:w="1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shd w:val="clear" w:color="auto" w:fill="F0F0F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40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Non-debt-related</w:t>
            </w:r>
          </w:p>
        </w:tc>
        <w:tc>
          <w:tcPr>
            <w:tcW w:w="12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8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8"/>
                <w:szCs w:val="18"/>
                <w:color w:val="auto"/>
              </w:rPr>
              <w:t>5,832</w:t>
            </w:r>
          </w:p>
        </w:tc>
        <w:tc>
          <w:tcPr>
            <w:tcW w:w="12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0" w:type="dxa"/>
            <w:vAlign w:val="bottom"/>
            <w:tcBorders>
              <w:bottom w:val="single" w:sz="8" w:color="0C479D"/>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Borders>
              <w:bottom w:val="single" w:sz="8" w:color="0C479D"/>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665</w:t>
            </w:r>
          </w:p>
        </w:tc>
        <w:tc>
          <w:tcPr>
            <w:tcW w:w="1280" w:type="dxa"/>
            <w:vAlign w:val="bottom"/>
            <w:tcBorders>
              <w:bottom w:val="single" w:sz="8" w:color="0C479D"/>
            </w:tcBorders>
          </w:tcPr>
          <w:p>
            <w:pPr>
              <w:jc w:val="right"/>
              <w:ind w:right="1"/>
              <w:spacing w:after="0" w:line="196" w:lineRule="exact"/>
              <w:rPr>
                <w:sz w:val="20"/>
                <w:szCs w:val="20"/>
                <w:color w:val="auto"/>
              </w:rPr>
            </w:pPr>
            <w:r>
              <w:rPr>
                <w:rFonts w:ascii="Times New Roman" w:cs="Times New Roman" w:eastAsia="Times New Roman" w:hAnsi="Times New Roman"/>
                <w:sz w:val="18"/>
                <w:szCs w:val="18"/>
                <w:b w:val="1"/>
                <w:bCs w:val="1"/>
                <w:color w:val="auto"/>
              </w:rPr>
              <w:t>5,832</w:t>
            </w:r>
          </w:p>
        </w:tc>
        <w:tc>
          <w:tcPr>
            <w:tcW w:w="1280" w:type="dxa"/>
            <w:vAlign w:val="bottom"/>
            <w:tcBorders>
              <w:bottom w:val="single" w:sz="8" w:color="0C479D"/>
            </w:tcBorders>
            <w:shd w:val="clear" w:color="auto" w:fill="F0F0F0"/>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6,497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40" w:hanging="172"/>
        <w:spacing w:after="0"/>
        <w:tabs>
          <w:tab w:leader="none" w:pos="240" w:val="left"/>
        </w:tabs>
        <w:numPr>
          <w:ilvl w:val="0"/>
          <w:numId w:val="14"/>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ExxonMobil share.</w:t>
      </w:r>
    </w:p>
    <w:p>
      <w:pPr>
        <w:spacing w:after="0" w:line="15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Additionally, the Corporation and its affiliates have numerous long-term sales and purchase commitments in their various business activities, all of which are expected to be fulfilled with no adverse consequences material to the Corporation’s operations or financial condition.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8. Divestment Activities</w:t>
      </w:r>
    </w:p>
    <w:p>
      <w:pPr>
        <w:spacing w:after="0" w:line="11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Through March 31, 2026 , the Corporation realized proceeds of approximately $0.2 billion from its divestment activities with negligible impact on after-tax earnings. This included the sale of </w:t>
      </w:r>
      <w:r>
        <w:rPr>
          <w:rFonts w:ascii="Times New Roman" w:cs="Times New Roman" w:eastAsia="Times New Roman" w:hAnsi="Times New Roman"/>
          <w:sz w:val="18"/>
          <w:szCs w:val="18"/>
          <w:color w:val="242424"/>
        </w:rPr>
        <w:t>certain</w:t>
      </w:r>
      <w:r>
        <w:rPr>
          <w:rFonts w:ascii="Times New Roman" w:cs="Times New Roman" w:eastAsia="Times New Roman" w:hAnsi="Times New Roman"/>
          <w:sz w:val="18"/>
          <w:szCs w:val="18"/>
          <w:color w:val="auto"/>
        </w:rPr>
        <w:t xml:space="preserve"> conventional assets </w:t>
      </w:r>
      <w:r>
        <w:rPr>
          <w:rFonts w:ascii="Times New Roman" w:cs="Times New Roman" w:eastAsia="Times New Roman" w:hAnsi="Times New Roman"/>
          <w:sz w:val="18"/>
          <w:szCs w:val="18"/>
          <w:color w:val="242424"/>
        </w:rPr>
        <w:t>in the United States</w:t>
      </w:r>
      <w:r>
        <w:rPr>
          <w:rFonts w:ascii="Times New Roman" w:cs="Times New Roman" w:eastAsia="Times New Roman" w:hAnsi="Times New Roman"/>
          <w:sz w:val="18"/>
          <w:szCs w:val="18"/>
          <w:color w:val="auto"/>
        </w:rPr>
        <w:t xml:space="preserve"> , as well as other smaller divestments.</w:t>
      </w:r>
    </w:p>
    <w:p>
      <w:pPr>
        <w:spacing w:after="0" w:line="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2025, the Corporation realized proceeds of approximately $3.2 billion and recognized net after-tax earnings of approximately $1.1 billion from its divestment activities. This included the sale of the Singapore retail fuels business, Mobil Argentina S.A., Product Solutions affiliates in France, certain conventional and unconventional assets in the United States, and other smaller divestments.</w:t>
      </w:r>
    </w:p>
    <w:p>
      <w:pPr>
        <w:sectPr>
          <w:pgSz w:w="11900" w:h="16838" w:orient="portrait"/>
          <w:cols w:equalWidth="0" w:num="1">
            <w:col w:w="9260"/>
          </w:cols>
          <w:pgMar w:left="1320" w:top="49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260"/>
          </w:cols>
          <w:pgMar w:left="1320" w:top="499" w:right="1319" w:bottom="1440" w:gutter="0" w:footer="0" w:header="0"/>
          <w:type w:val="continuous"/>
        </w:sectPr>
      </w:pPr>
    </w:p>
    <w:bookmarkStart w:id="14" w:name="page15"/>
    <w:bookmarkEnd w:id="14"/>
    <w:p>
      <w:pPr>
        <w:ind w:left="7960"/>
        <w:spacing w:after="0"/>
        <w:rPr>
          <w:sz w:val="20"/>
          <w:szCs w:val="20"/>
          <w:color w:val="auto"/>
        </w:rPr>
      </w:pPr>
      <w:r>
        <w:rPr>
          <w:rFonts w:ascii="Times New Roman" w:cs="Times New Roman" w:eastAsia="Times New Roman" w:hAnsi="Times New Roman"/>
          <w:sz w:val="17"/>
          <w:szCs w:val="17"/>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2"/>
          <w:szCs w:val="22"/>
          <w:b w:val="1"/>
          <w:bCs w:val="1"/>
          <w:color w:val="0C479D"/>
        </w:rPr>
        <w:t>ITEM 2. 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Due to rounding, numbers presented may not add up precisely to the totals indicated.</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FORWARD-LOOKING STATEMENTS</w:t>
      </w:r>
    </w:p>
    <w:p>
      <w:pPr>
        <w:spacing w:after="0" w:line="9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Statements related to future events; projections; descriptions of strategic, operating, and financial plans and objectives; statements of future ambitions and plans; future earnings power; potential addressable markets; and other statements of future events or conditions are forward-looking statements. Similarly, discussion of future plans related to carbon capture,</w:t>
      </w:r>
    </w:p>
    <w:p>
      <w:pPr>
        <w:spacing w:after="0" w:line="2"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 xml:space="preserve">transportation and storage, lower-emission fuels, hydrogen and ammonia, direct air capture, Proxxima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systems, carbon materials, lithium, low-carbon data centers, and other future plans to reduce emissions and emission intensity of ExxonMobil, its affiliates, and third parties are dependent on future market factors, such as continued technological progress, stable policy support and timely rule-making and permitting, and represent forward-looking statements.</w:t>
      </w:r>
    </w:p>
    <w:p>
      <w:pPr>
        <w:spacing w:after="0" w:line="7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 xml:space="preserve">Actual future results, including financial and operating performance; potential earnings, cash flow, dividends or shareholder returns, including the timing and amounts of share repurchases; total capital expenditures and mix, including allocations of capital to low carbon and other new investments; realization and maintenance of structural cost reductions and efficiency gains, including the ability to offset inflationary pressure; plans to reduce future emissions and emissions intensity, including ambitions to reach Scope 1 and Scope 2 net zero from operated assets by 2050, to reach Scope 1 and 2 net zero in integrated Upstream Permian Basin unconventional operated assets by 2035, to eliminate routine flaring in-line with World Bank Zero Routine Flaring, to reach near-zero methane emissions from operated assets and other methane initiatives; and to meet ExxonMobil’s emission reduction plans and goals, divestment and start-up plans, and associated project plans as well as technology advances, including the timing and outcome of projects to capture, transport and store CO </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xml:space="preserve">, produce hydrogen and ammonia, produce lower-emission fuels, produce Proxxima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systems, produce carbon materials, produce lithium, and use plastic waste as feedstock for advanced recycling; future debt levels and credit ratings; business and project plans, timing, costs, capacities and profitability; resource recoveries and production rates; and planned Denbury and Pioneer integrated benefits, could differ materially due to a number of factors.</w:t>
      </w:r>
    </w:p>
    <w:p>
      <w:pPr>
        <w:spacing w:after="0" w:line="7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These include global or regional changes or imbalances in the supply and demand for oil, natural gas, petrochemicals, and feedstocks and other market factors; economic conditions and seasonal fluctuations that impact prices, differentials, margins, and volume/mix for our products; developments or changes in local, national, or international laws, regulations, taxes, trade sanctions, trade tariffs, or policies affecting our business, such as government policies supporting lower carbon and new market investment opportunities, the punitive European taxes on the oil and gas sector and unequal support for different technological methods of emissions reduction or evolving, ambiguous and unharmonized voluntary or mandatory standards or extraterritorial laws and regulations imposed by various jurisdictions related to sustainability and greenhouse gas reporting; timely granting of governmental permits, licenses, and certifications; uncertain impacts of deregulation on the legal and regulatory environment; price impacts and the broader government responses to inflationary pressures; changes in interest and exchange rates; variable impacts of trading activities and derivative positions, including timing effects, on our margins and results each quarter; actions of co-venturers or partners, competitors and commercial counterparties, including suppliers and customers; government actions in pursuit of national energy and security policies and priorities affecting our business; the outcome of commercial negotiations, including final agreed terms and conditions; the outcome of competitive bidding and project awards; the ability to access debt markets on favorable terms or at all; the occurrence, pace, rate of recovery and effects of public health crises; adoption of regulatory incentives consistent with law; reservoir performance and optimization, including variability and timing factors applicable to unconventional resources, the success of new unconventional technologies, and the ability of new technologies to improve recovery relative to competitors; the level, outcome, and timing of exploration and development projects and decisions to invest in future reserves and resources; timely completion of construction projects and commencement of start-up operations, including reliance on third-party suppliers and service providers; final management approval of future projects and any changes in the scope, terms, costs or assumptions of such projects as approved; the actions of governments, non-governmental organizations, or other actors against our core business activities and acquisitions, divestitures or financing opportunities; war, civil unrest, armed hostilities, attacks against the company or industry, and other geopolitical or security disturbances, including disruption of land or sea transportation routes or distribution or shipping channels; decoupling of economies; disruption, realignment, or breaking of current or historical trade or military alliances or global trade and supply chain networks; escalating geopolitical volatility, including regime changes; expropriations, seizure, or capacity, insurance, shipping, import or export limitations imposed directly or indirectly by governments or laws; opportunities for potential acquisitions, investments or divestments and satisfaction of applicable conditions to closing, including timely regulatory approvals; the capture of efficiencies within and between business lines and the ability to maintain near-term cost reductions as ongoing efficiencies without impairing our competitive positioning; unforeseen technical or operating disruptions or difficulties and unplanned maintenance; the development and competitiveness of alternative energy and emission reduction technologies; consumer preferences including willingness and ability to pay for reduced emission products; the results of research programs and the</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220"/>
          </w:cols>
          <w:pgMar w:left="1320" w:top="499" w:right="1359" w:bottom="1440" w:gutter="0" w:footer="0" w:header="0"/>
          <w:type w:val="continuous"/>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bring new technologies to commercial scale on a cost-competitive basis; and other factors discussed under "Item 1A.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 of ExxonMobil’s 2025 Form 10-K.</w:t>
      </w:r>
    </w:p>
    <w:p>
      <w:pPr>
        <w:spacing w:after="0" w:line="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Forward-looking and other statements regarding environmental and other sustainability efforts and aspirations are not an indication that these statements are material to investors or require disclosure in our filing with the SEC or any other regulatory authority. In addition, historical, current, and forward-looking environmental and other sustainability-related statements may be based on standards for measuring progress that are still developing, internal controls and processes that continue to evolve, and assumptions that are subject to change in the future, including future rule-making.</w:t>
      </w:r>
    </w:p>
    <w:p>
      <w:pPr>
        <w:spacing w:after="0" w:line="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Actions needed to advance ExxonMobil’s 2030 greenhouse gas emission-reductions plans are incorporated into its medium term business plans, which are updated annually. The reference case for planning beyond 2030 is based on ExxonMobil’s Global Outlook (Outlook) research and publication. The Outlook is reflective of the existing global policy environment and an assumption of increasing policy stringency and technology improvement to 2050. Current trends for policy stringency and development of lower-emission solutions are not yet on a pathway to achieve net-zero by 2050. As such, the Outlook does not project the degree of required future policy and technology advancement and deployment for the world, or ExxonMobil, to meet net zero by 2050. As future policies and technology advancements emerge, they will be incorporated into the Outlook, and ExxonMobil’s business plans will be updated accordingly. References to projects or opportunities may not reflect investment decisions made by ExxonMobil or its affiliates. Individual projects or opportunities may advance based on a number of factors, including availability of stable and supportive policy, permitting, technological advancement for cost-effective abatement, insights from the Corporate planning process, and alignment with our partners and other stakeholders. Capital investment guidance in lower-emission investments is based on our Corporate plan; however, actual investment levels will be subject to the availability of the opportunity set and public policy support, and focused on returns.</w:t>
      </w:r>
    </w:p>
    <w:p>
      <w:pPr>
        <w:spacing w:after="0" w:line="6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term “project” as used in this report can refer to a variety of different activities and does not necessarily have the same meaning as in any government payment transparency reports.</w:t>
      </w:r>
    </w:p>
    <w:p>
      <w:pPr>
        <w:sectPr>
          <w:pgSz w:w="11900" w:h="16838" w:orient="portrait"/>
          <w:cols w:equalWidth="0" w:num="1">
            <w:col w:w="9220"/>
          </w:cols>
          <w:pgMar w:left="1320" w:top="49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220"/>
          </w:cols>
          <w:pgMar w:left="1320" w:top="499" w:right="1359" w:bottom="1440" w:gutter="0" w:footer="0" w:header="0"/>
          <w:type w:val="continuous"/>
        </w:sectPr>
      </w:pPr>
    </w:p>
    <w:bookmarkStart w:id="16" w:name="page17"/>
    <w:bookmarkEnd w:id="16"/>
    <w:p>
      <w:pPr>
        <w:ind w:left="796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Overview</w:t>
      </w:r>
    </w:p>
    <w:p>
      <w:pPr>
        <w:spacing w:after="0" w:line="1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Supply disruptions driven by geopolitical events in the Middle East impacted market conditions during the first quarter of 2026. March experienced the largest ever monthly gain in oil prices driven by reduced global oil supply. Despite a sharp increase in March, first quarter 2026 average crude oil prices increased slightly relative to fourth quarter 2025, remaining in the middle of the 10-year historical range (2010-2019). Significant LNG supply decline in March resulted in higher prices in Europe and Asia, driving natural gas prices above the 10-year average. Feedstock shortages resulted in lower refinery runs in the Middle East and Asia with global industry refining margins remaining above the 10-year historical range. Chemical margins remained at bottom of cycle, well below the 10-year range, because of higher feedstock costs, particularly in Asia.</w:t>
      </w:r>
    </w:p>
    <w:p>
      <w:pPr>
        <w:spacing w:after="0" w:line="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2025, the U.S. and other countries implemented and adjusted a variety of trade-related measures, including tariffs on certain imports. Based on the Corporation’s assessment of these actions and their effects to date, we do not expect them to have a material impact on the Corporation's consolidated financial position, results of operations, or cash flows.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Selected Earnings Driver Definitions</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earnings drivers provide additional visibility into our business results. The Corporation evaluates these drivers periodically to determine if any enhancements may provide helpful insights to the market. Listed below are descriptions of the earnings drivers:</w:t>
      </w:r>
    </w:p>
    <w:p>
      <w:pPr>
        <w:spacing w:after="0" w:line="5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Advantaged Volume Growth. </w:t>
      </w:r>
      <w:r>
        <w:rPr>
          <w:rFonts w:ascii="Times New Roman" w:cs="Times New Roman" w:eastAsia="Times New Roman" w:hAnsi="Times New Roman"/>
          <w:sz w:val="18"/>
          <w:szCs w:val="18"/>
          <w:color w:val="auto"/>
        </w:rPr>
        <w:t>Represents e arnings impacts from change in volume/mix from advantaged assets, advantaged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projects, and high-value products.</w:t>
      </w:r>
    </w:p>
    <w:p>
      <w:pPr>
        <w:spacing w:after="0" w:line="37" w:lineRule="exact"/>
        <w:rPr>
          <w:sz w:val="20"/>
          <w:szCs w:val="20"/>
          <w:color w:val="auto"/>
        </w:rPr>
      </w:pPr>
    </w:p>
    <w:p>
      <w:pPr>
        <w:ind w:left="660" w:hanging="329"/>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Advantaged Assets (Advantaged growth projects). </w:t>
      </w:r>
      <w:r>
        <w:rPr>
          <w:rFonts w:ascii="Times New Roman" w:cs="Times New Roman" w:eastAsia="Times New Roman" w:hAnsi="Times New Roman"/>
          <w:sz w:val="18"/>
          <w:szCs w:val="18"/>
          <w:color w:val="auto"/>
        </w:rPr>
        <w:t>Includes Permian, Guyana, and LNG.</w:t>
      </w:r>
    </w:p>
    <w:p>
      <w:pPr>
        <w:spacing w:after="0" w:line="90" w:lineRule="exact"/>
        <w:rPr>
          <w:rFonts w:ascii="Times New Roman" w:cs="Times New Roman" w:eastAsia="Times New Roman" w:hAnsi="Times New Roman"/>
          <w:sz w:val="18"/>
          <w:szCs w:val="18"/>
          <w:color w:val="auto"/>
        </w:rPr>
      </w:pPr>
    </w:p>
    <w:p>
      <w:pPr>
        <w:ind w:left="660" w:right="180" w:hanging="329"/>
        <w:spacing w:after="0" w:line="267" w:lineRule="auto"/>
        <w:tabs>
          <w:tab w:leader="none" w:pos="660" w:val="left"/>
        </w:tabs>
        <w:numPr>
          <w:ilvl w:val="0"/>
          <w:numId w:val="15"/>
        </w:numPr>
        <w:rPr>
          <w:rFonts w:ascii="Times New Roman" w:cs="Times New Roman" w:eastAsia="Times New Roman" w:hAnsi="Times New Roman"/>
          <w:sz w:val="18"/>
          <w:szCs w:val="18"/>
          <w:i w:val="1"/>
          <w:iCs w:val="1"/>
          <w:color w:val="auto"/>
          <w:highlight w:val="white"/>
        </w:rPr>
      </w:pPr>
      <w:r>
        <w:rPr>
          <w:rFonts w:ascii="Times New Roman" w:cs="Times New Roman" w:eastAsia="Times New Roman" w:hAnsi="Times New Roman"/>
          <w:sz w:val="18"/>
          <w:szCs w:val="18"/>
          <w:i w:val="1"/>
          <w:iCs w:val="1"/>
          <w:color w:val="auto"/>
        </w:rPr>
        <w:t xml:space="preserve">Advantaged Projects. </w:t>
      </w:r>
      <w:r>
        <w:rPr>
          <w:rFonts w:ascii="Times New Roman" w:cs="Times New Roman" w:eastAsia="Times New Roman" w:hAnsi="Times New Roman"/>
          <w:sz w:val="18"/>
          <w:szCs w:val="18"/>
          <w:color w:val="auto"/>
        </w:rPr>
        <w:t>Includes capital projects and programs of work that contribute to Energy, Chemical,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Specialty Products segments that drive integration of segments/businesses, increase yield of higher value products, or deliver higher than average returns.</w:t>
      </w:r>
    </w:p>
    <w:p>
      <w:pPr>
        <w:spacing w:after="0" w:line="51" w:lineRule="exact"/>
        <w:rPr>
          <w:rFonts w:ascii="Times New Roman" w:cs="Times New Roman" w:eastAsia="Times New Roman" w:hAnsi="Times New Roman"/>
          <w:sz w:val="18"/>
          <w:szCs w:val="18"/>
          <w:i w:val="1"/>
          <w:iCs w:val="1"/>
          <w:color w:val="auto"/>
          <w:highlight w:val="white"/>
        </w:rPr>
      </w:pPr>
    </w:p>
    <w:p>
      <w:pPr>
        <w:ind w:left="660" w:hanging="329"/>
        <w:spacing w:after="0"/>
        <w:tabs>
          <w:tab w:leader="none" w:pos="660" w:val="left"/>
        </w:tabs>
        <w:numPr>
          <w:ilvl w:val="0"/>
          <w:numId w:val="15"/>
        </w:numPr>
        <w:rPr>
          <w:rFonts w:ascii="Arial" w:cs="Arial" w:eastAsia="Arial" w:hAnsi="Arial"/>
          <w:sz w:val="18"/>
          <w:szCs w:val="18"/>
          <w:i w:val="1"/>
          <w:iCs w:val="1"/>
          <w:color w:val="auto"/>
          <w:highlight w:val="white"/>
        </w:rPr>
      </w:pPr>
      <w:r>
        <w:rPr>
          <w:rFonts w:ascii="Times New Roman" w:cs="Times New Roman" w:eastAsia="Times New Roman" w:hAnsi="Times New Roman"/>
          <w:sz w:val="18"/>
          <w:szCs w:val="18"/>
          <w:i w:val="1"/>
          <w:iCs w:val="1"/>
          <w:color w:val="auto"/>
        </w:rPr>
        <w:t xml:space="preserve">High-Value Products. </w:t>
      </w:r>
      <w:r>
        <w:rPr>
          <w:rFonts w:ascii="Times New Roman" w:cs="Times New Roman" w:eastAsia="Times New Roman" w:hAnsi="Times New Roman"/>
          <w:sz w:val="18"/>
          <w:szCs w:val="18"/>
          <w:color w:val="auto"/>
        </w:rPr>
        <w:t>Includes performance products and lower-emission fuels. Performance products (performance</w:t>
      </w:r>
    </w:p>
    <w:p>
      <w:pPr>
        <w:spacing w:after="0" w:line="30" w:lineRule="exact"/>
        <w:rPr>
          <w:sz w:val="20"/>
          <w:szCs w:val="20"/>
          <w:color w:val="auto"/>
        </w:rPr>
      </w:pPr>
    </w:p>
    <w:p>
      <w:pPr>
        <w:ind w:left="660"/>
        <w:spacing w:after="0" w:line="239" w:lineRule="auto"/>
        <w:rPr>
          <w:sz w:val="20"/>
          <w:szCs w:val="20"/>
          <w:color w:val="auto"/>
        </w:rPr>
      </w:pPr>
      <w:r>
        <w:rPr>
          <w:rFonts w:ascii="Times New Roman" w:cs="Times New Roman" w:eastAsia="Times New Roman" w:hAnsi="Times New Roman"/>
          <w:sz w:val="18"/>
          <w:szCs w:val="18"/>
          <w:color w:val="auto"/>
        </w:rPr>
        <w:t xml:space="preserve">chemicals, performance lubricants) refers to products that provide differentiated performance for multiple applications through enhanced properties versus commodity alternatives and bring significant additional value to customers and end-users. </w:t>
      </w:r>
      <w:r>
        <w:rPr>
          <w:rFonts w:ascii="Times New Roman" w:cs="Times New Roman" w:eastAsia="Times New Roman" w:hAnsi="Times New Roman"/>
          <w:sz w:val="18"/>
          <w:szCs w:val="18"/>
          <w:color w:val="auto"/>
          <w:highlight w:val="white"/>
        </w:rPr>
        <w:t xml:space="preserve">Lower-emission fuels refers to fuels with lower life cycle emissions than conventional transportation fuels </w:t>
      </w:r>
      <w:r>
        <w:rPr>
          <w:sz w:val="1"/>
          <w:szCs w:val="1"/>
          <w:color w:val="auto"/>
        </w:rPr>
        <w:drawing>
          <wp:inline distT="0" distB="0" distL="0" distR="0">
            <wp:extent cx="2603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Times New Roman" w:cs="Times New Roman" w:eastAsia="Times New Roman" w:hAnsi="Times New Roman"/>
          <w:sz w:val="18"/>
          <w:szCs w:val="18"/>
          <w:color w:val="auto"/>
          <w:highlight w:val="white"/>
        </w:rPr>
        <w:t xml:space="preserve"> for gasoline, diesel and jet transport.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Base Volume. </w:t>
      </w:r>
      <w:r>
        <w:rPr>
          <w:rFonts w:ascii="Times New Roman" w:cs="Times New Roman" w:eastAsia="Times New Roman" w:hAnsi="Times New Roman"/>
          <w:sz w:val="18"/>
          <w:szCs w:val="18"/>
          <w:color w:val="auto"/>
        </w:rPr>
        <w:t>Represents all volume/mix drivers not included in Advantaged Volume Growth defined above.</w:t>
      </w:r>
    </w:p>
    <w:p>
      <w:pPr>
        <w:spacing w:after="0" w:line="90"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Structural Cost Savings. </w:t>
      </w:r>
      <w:r>
        <w:rPr>
          <w:rFonts w:ascii="Times New Roman" w:cs="Times New Roman" w:eastAsia="Times New Roman" w:hAnsi="Times New Roman"/>
          <w:sz w:val="18"/>
          <w:szCs w:val="18"/>
          <w:color w:val="auto"/>
        </w:rPr>
        <w:t>Represents after-tax earnings effects of Structural Cost Savings as defined on page 19, including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expenses related to divestments.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Represents all expenses otherwise not included in other earnings drivers.</w:t>
      </w:r>
    </w:p>
    <w:p>
      <w:pPr>
        <w:spacing w:after="0" w:line="10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Estimated Timing Effects. </w:t>
      </w:r>
      <w:r>
        <w:rPr>
          <w:rFonts w:ascii="Times New Roman" w:cs="Times New Roman" w:eastAsia="Times New Roman" w:hAnsi="Times New Roman"/>
          <w:sz w:val="18"/>
          <w:szCs w:val="18"/>
          <w:color w:val="auto"/>
        </w:rPr>
        <w:t>Represents timing effects that are primarily related to unsettled derivatives which are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marked to current period-end prices (mark-to-market), where the associated physical shipments are not reflected in earnings until the physical transaction is complete. It also includes estimated recognition differences between the settlement of derivatives and their offsetting physical commodity realizations (due to LIFO inventory accounting). Impacts are expected to unwind in subsequent periods.</w:t>
      </w:r>
    </w:p>
    <w:p>
      <w:pPr>
        <w:spacing w:after="0" w:line="48"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Identified Items. </w:t>
      </w:r>
      <w:r>
        <w:rPr>
          <w:rFonts w:ascii="Times New Roman" w:cs="Times New Roman" w:eastAsia="Times New Roman" w:hAnsi="Times New Roman"/>
          <w:sz w:val="18"/>
          <w:szCs w:val="18"/>
          <w:color w:val="auto"/>
        </w:rPr>
        <w:t>Represents individually significant non-operational events with, typically, an absolute corporate total earnings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at least $250 million in a given quarter. The impact of an Identified Item for an individual segment may be less than $250 million when the item impacts several segments or several periods.</w:t>
      </w:r>
    </w:p>
    <w:p>
      <w:pPr>
        <w:sectPr>
          <w:pgSz w:w="11900" w:h="16838" w:orient="portrait"/>
          <w:cols w:equalWidth="0" w:num="1">
            <w:col w:w="9280"/>
          </w:cols>
          <w:pgMar w:left="1320" w:top="499"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280"/>
          </w:cols>
          <w:pgMar w:left="1320" w:top="499" w:right="1299" w:bottom="1440" w:gutter="0" w:footer="0" w:header="0"/>
          <w:type w:val="continuous"/>
        </w:sectPr>
      </w:pPr>
    </w:p>
    <w:bookmarkStart w:id="17" w:name="page18"/>
    <w:bookmarkEnd w:id="17"/>
    <w:p>
      <w:pPr>
        <w:ind w:left="796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 xml:space="preserve">Cash Capital Expenditures </w:t>
      </w:r>
      <w:r>
        <w:rPr>
          <w:rFonts w:ascii="Times New Roman" w:cs="Times New Roman" w:eastAsia="Times New Roman" w:hAnsi="Times New Roman"/>
          <w:sz w:val="18"/>
          <w:szCs w:val="18"/>
          <w:color w:val="0C479D"/>
        </w:rPr>
        <w:t>(Non-GAAP)</w:t>
      </w:r>
    </w:p>
    <w:p>
      <w:pPr>
        <w:spacing w:after="0" w:line="10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Cash capital expenditures (Cash Capex) is the sum of "Additions to property, plant and equipment", "Additional investments and advances", and "Other investing activities including collection of advances", reduced by "I nflows from noncontrolling interests for major projects", each from the Consolidated Statement of Cash Flows, and excludes advances and collections not related to capital expenditures or equity investments, for example, supply and marketing related advances and associated collections. This measure is useful for investors to understand the current period cash impact of investments in the business.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60" w:type="dxa"/>
            <w:vAlign w:val="bottom"/>
            <w:shd w:val="clear" w:color="auto" w:fill="0C479D"/>
          </w:tcPr>
          <w:p>
            <w:pPr>
              <w:spacing w:after="0"/>
              <w:rPr>
                <w:sz w:val="17"/>
                <w:szCs w:val="17"/>
                <w:color w:val="auto"/>
              </w:rPr>
            </w:pPr>
          </w:p>
        </w:tc>
        <w:tc>
          <w:tcPr>
            <w:tcW w:w="1980" w:type="dxa"/>
            <w:vAlign w:val="bottom"/>
            <w:gridSpan w:val="3"/>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17"/>
                <w:szCs w:val="17"/>
                <w:color w:val="auto"/>
              </w:rPr>
            </w:pPr>
          </w:p>
        </w:tc>
      </w:tr>
      <w:tr>
        <w:trPr>
          <w:trHeight w:val="162"/>
        </w:trPr>
        <w:tc>
          <w:tcPr>
            <w:tcW w:w="7260" w:type="dxa"/>
            <w:vAlign w:val="bottom"/>
            <w:shd w:val="clear" w:color="auto" w:fill="0C479D"/>
          </w:tcPr>
          <w:p>
            <w:pPr>
              <w:ind w:left="80"/>
              <w:spacing w:after="0" w:line="142" w:lineRule="exact"/>
              <w:rPr>
                <w:sz w:val="20"/>
                <w:szCs w:val="20"/>
                <w:color w:val="auto"/>
              </w:rPr>
            </w:pPr>
            <w:r>
              <w:rPr>
                <w:rFonts w:ascii="Times New Roman" w:cs="Times New Roman" w:eastAsia="Times New Roman" w:hAnsi="Times New Roman"/>
                <w:sz w:val="14"/>
                <w:szCs w:val="14"/>
                <w:i w:val="1"/>
                <w:iCs w:val="1"/>
                <w:color w:val="FFFFFF"/>
              </w:rPr>
              <w:t>(millions of dollars)</w:t>
            </w:r>
          </w:p>
        </w:tc>
        <w:tc>
          <w:tcPr>
            <w:tcW w:w="1400" w:type="dxa"/>
            <w:vAlign w:val="bottom"/>
            <w:gridSpan w:val="2"/>
            <w:shd w:val="clear" w:color="auto" w:fill="0C479D"/>
          </w:tcPr>
          <w:p>
            <w:pPr>
              <w:jc w:val="center"/>
              <w:ind w:left="494"/>
              <w:spacing w:after="0" w:line="142" w:lineRule="exact"/>
              <w:rPr>
                <w:sz w:val="20"/>
                <w:szCs w:val="20"/>
                <w:color w:val="auto"/>
              </w:rPr>
            </w:pPr>
            <w:r>
              <w:rPr>
                <w:rFonts w:ascii="Times New Roman" w:cs="Times New Roman" w:eastAsia="Times New Roman" w:hAnsi="Times New Roman"/>
                <w:sz w:val="14"/>
                <w:szCs w:val="14"/>
                <w:b w:val="1"/>
                <w:bCs w:val="1"/>
                <w:color w:val="FFFFFF"/>
              </w:rPr>
              <w:t>March 31,</w:t>
            </w:r>
          </w:p>
        </w:tc>
        <w:tc>
          <w:tcPr>
            <w:tcW w:w="580" w:type="dxa"/>
            <w:vAlign w:val="bottom"/>
            <w:shd w:val="clear" w:color="auto" w:fill="0C479D"/>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7260" w:type="dxa"/>
            <w:vAlign w:val="bottom"/>
            <w:tcBorders>
              <w:bottom w:val="single" w:sz="8" w:color="0C479D"/>
            </w:tcBorders>
            <w:shd w:val="clear" w:color="auto" w:fill="0C479D"/>
          </w:tcPr>
          <w:p>
            <w:pPr>
              <w:spacing w:after="0"/>
              <w:rPr>
                <w:sz w:val="18"/>
                <w:szCs w:val="18"/>
                <w:color w:val="auto"/>
              </w:rPr>
            </w:pPr>
          </w:p>
        </w:tc>
        <w:tc>
          <w:tcPr>
            <w:tcW w:w="100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00" w:type="dxa"/>
            <w:vAlign w:val="bottom"/>
            <w:tcBorders>
              <w:bottom w:val="single" w:sz="8" w:color="0C479D"/>
            </w:tcBorders>
            <w:shd w:val="clear" w:color="auto" w:fill="0C479D"/>
          </w:tcPr>
          <w:p>
            <w:pPr>
              <w:spacing w:after="0"/>
              <w:rPr>
                <w:sz w:val="18"/>
                <w:szCs w:val="18"/>
                <w:color w:val="auto"/>
              </w:rPr>
            </w:pPr>
          </w:p>
        </w:tc>
        <w:tc>
          <w:tcPr>
            <w:tcW w:w="58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Borders>
              <w:bottom w:val="single" w:sz="8" w:color="0C479D"/>
            </w:tcBorders>
            <w:shd w:val="clear" w:color="auto" w:fill="0C479D"/>
          </w:tcPr>
          <w:p>
            <w:pPr>
              <w:spacing w:after="0"/>
              <w:rPr>
                <w:sz w:val="18"/>
                <w:szCs w:val="18"/>
                <w:color w:val="auto"/>
              </w:rPr>
            </w:pPr>
          </w:p>
        </w:tc>
      </w:tr>
      <w:tr>
        <w:trPr>
          <w:trHeight w:val="225"/>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20" w:type="dxa"/>
            <w:vAlign w:val="bottom"/>
          </w:tcPr>
          <w:p>
            <w:pPr>
              <w:spacing w:after="0"/>
              <w:rPr>
                <w:sz w:val="19"/>
                <w:szCs w:val="19"/>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investments and advances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9"/>
                <w:szCs w:val="19"/>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investing activities including collection of advances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9"/>
                <w:szCs w:val="19"/>
                <w:color w:val="auto"/>
              </w:rPr>
            </w:pPr>
          </w:p>
        </w:tc>
      </w:tr>
      <w:tr>
        <w:trPr>
          <w:trHeight w:val="234"/>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Inflows from noncontrolling interests for major projects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r>
      <w:tr>
        <w:trPr>
          <w:trHeight w:val="243"/>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Less: Advances and collections not related to capital expenditures or equity investments</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0" w:type="dxa"/>
            <w:vAlign w:val="bottom"/>
            <w:tcBorders>
              <w:bottom w:val="single" w:sz="8" w:color="0C479D"/>
            </w:tcBorders>
          </w:tcPr>
          <w:p>
            <w:pPr>
              <w:spacing w:after="0"/>
              <w:rPr>
                <w:sz w:val="21"/>
                <w:szCs w:val="21"/>
                <w:color w:val="auto"/>
              </w:rPr>
            </w:pP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r>
      <w:tr>
        <w:trPr>
          <w:trHeight w:val="203"/>
        </w:trPr>
        <w:tc>
          <w:tcPr>
            <w:tcW w:w="7260" w:type="dxa"/>
            <w:vAlign w:val="bottom"/>
            <w:tcBorders>
              <w:bottom w:val="single" w:sz="8" w:color="0C479D"/>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Total Cash Capex </w:t>
            </w:r>
            <w:r>
              <w:rPr>
                <w:rFonts w:ascii="Times New Roman" w:cs="Times New Roman" w:eastAsia="Times New Roman" w:hAnsi="Times New Roman"/>
                <w:sz w:val="18"/>
                <w:szCs w:val="18"/>
                <w:color w:val="auto"/>
              </w:rPr>
              <w:t>(Non-GAAP)</w:t>
            </w:r>
          </w:p>
        </w:tc>
        <w:tc>
          <w:tcPr>
            <w:tcW w:w="1000" w:type="dxa"/>
            <w:vAlign w:val="bottom"/>
            <w:tcBorders>
              <w:bottom w:val="single" w:sz="8" w:color="0C479D"/>
            </w:tcBorders>
            <w:shd w:val="clear" w:color="auto" w:fill="F0F0F0"/>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6,187</w:t>
            </w:r>
          </w:p>
        </w:tc>
        <w:tc>
          <w:tcPr>
            <w:tcW w:w="400" w:type="dxa"/>
            <w:vAlign w:val="bottom"/>
            <w:tcBorders>
              <w:bottom w:val="single" w:sz="8" w:color="0C479D"/>
            </w:tcBorders>
          </w:tcPr>
          <w:p>
            <w:pPr>
              <w:spacing w:after="0"/>
              <w:rPr>
                <w:sz w:val="17"/>
                <w:szCs w:val="17"/>
                <w:color w:val="auto"/>
              </w:rPr>
            </w:pPr>
          </w:p>
        </w:tc>
        <w:tc>
          <w:tcPr>
            <w:tcW w:w="580" w:type="dxa"/>
            <w:vAlign w:val="bottom"/>
            <w:tcBorders>
              <w:bottom w:val="single" w:sz="8" w:color="0C479D"/>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5,936</w:t>
            </w:r>
          </w:p>
        </w:tc>
        <w:tc>
          <w:tcPr>
            <w:tcW w:w="20" w:type="dxa"/>
            <w:vAlign w:val="bottom"/>
          </w:tcPr>
          <w:p>
            <w:pPr>
              <w:spacing w:after="0"/>
              <w:rPr>
                <w:sz w:val="17"/>
                <w:szCs w:val="17"/>
                <w:color w:val="auto"/>
              </w:rPr>
            </w:pPr>
          </w:p>
        </w:tc>
      </w:tr>
      <w:tr>
        <w:trPr>
          <w:trHeight w:val="333"/>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Upstream</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20" w:type="dxa"/>
            <w:vAlign w:val="bottom"/>
          </w:tcPr>
          <w:p>
            <w:pPr>
              <w:spacing w:after="0"/>
              <w:rPr>
                <w:sz w:val="24"/>
                <w:szCs w:val="24"/>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Energy Products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Pr>
          <w:p>
            <w:pPr>
              <w:spacing w:after="0"/>
              <w:rPr>
                <w:sz w:val="19"/>
                <w:szCs w:val="19"/>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Chemical Products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tcPr>
          <w:p>
            <w:pPr>
              <w:spacing w:after="0"/>
              <w:rPr>
                <w:sz w:val="19"/>
                <w:szCs w:val="19"/>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Specialty Products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9"/>
                <w:szCs w:val="19"/>
                <w:color w:val="auto"/>
              </w:rPr>
            </w:pPr>
          </w:p>
        </w:tc>
      </w:tr>
      <w:tr>
        <w:trPr>
          <w:trHeight w:val="221"/>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0" w:type="dxa"/>
            <w:vAlign w:val="bottom"/>
            <w:tcBorders>
              <w:bottom w:val="single" w:sz="8" w:color="0C479D"/>
            </w:tcBorders>
          </w:tcPr>
          <w:p>
            <w:pPr>
              <w:spacing w:after="0"/>
              <w:rPr>
                <w:sz w:val="19"/>
                <w:szCs w:val="19"/>
                <w:color w:val="auto"/>
              </w:rPr>
            </w:pP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19"/>
                <w:szCs w:val="19"/>
                <w:color w:val="auto"/>
              </w:rPr>
            </w:pPr>
          </w:p>
        </w:tc>
      </w:tr>
      <w:tr>
        <w:trPr>
          <w:trHeight w:val="203"/>
        </w:trPr>
        <w:tc>
          <w:tcPr>
            <w:tcW w:w="7260" w:type="dxa"/>
            <w:vAlign w:val="bottom"/>
            <w:tcBorders>
              <w:bottom w:val="single" w:sz="8" w:color="0C479D"/>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Total Cash Capex </w:t>
            </w:r>
            <w:r>
              <w:rPr>
                <w:rFonts w:ascii="Times New Roman" w:cs="Times New Roman" w:eastAsia="Times New Roman" w:hAnsi="Times New Roman"/>
                <w:sz w:val="18"/>
                <w:szCs w:val="18"/>
                <w:color w:val="auto"/>
              </w:rPr>
              <w:t>(Non-GAAP)</w:t>
            </w:r>
          </w:p>
        </w:tc>
        <w:tc>
          <w:tcPr>
            <w:tcW w:w="1000" w:type="dxa"/>
            <w:vAlign w:val="bottom"/>
            <w:tcBorders>
              <w:bottom w:val="single" w:sz="8" w:color="0C479D"/>
            </w:tcBorders>
            <w:shd w:val="clear" w:color="auto" w:fill="F0F0F0"/>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6,187</w:t>
            </w:r>
          </w:p>
        </w:tc>
        <w:tc>
          <w:tcPr>
            <w:tcW w:w="400" w:type="dxa"/>
            <w:vAlign w:val="bottom"/>
            <w:tcBorders>
              <w:bottom w:val="single" w:sz="8" w:color="0C479D"/>
            </w:tcBorders>
          </w:tcPr>
          <w:p>
            <w:pPr>
              <w:spacing w:after="0"/>
              <w:rPr>
                <w:sz w:val="17"/>
                <w:szCs w:val="17"/>
                <w:color w:val="auto"/>
              </w:rPr>
            </w:pPr>
          </w:p>
        </w:tc>
        <w:tc>
          <w:tcPr>
            <w:tcW w:w="580" w:type="dxa"/>
            <w:vAlign w:val="bottom"/>
            <w:tcBorders>
              <w:bottom w:val="single" w:sz="8" w:color="0C479D"/>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5,936</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260"/>
          </w:cols>
          <w:pgMar w:left="1320" w:top="49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260"/>
          </w:cols>
          <w:pgMar w:left="1320" w:top="499" w:right="1319" w:bottom="1440" w:gutter="0" w:footer="0" w:header="0"/>
          <w:type w:val="continuous"/>
        </w:sectPr>
      </w:pPr>
    </w:p>
    <w:bookmarkStart w:id="18" w:name="page19"/>
    <w:bookmarkEnd w:id="18"/>
    <w:p>
      <w:pPr>
        <w:ind w:left="796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 xml:space="preserve">Structural Cost Savings </w:t>
      </w:r>
      <w:r>
        <w:rPr>
          <w:rFonts w:ascii="Times New Roman" w:cs="Times New Roman" w:eastAsia="Times New Roman" w:hAnsi="Times New Roman"/>
          <w:sz w:val="18"/>
          <w:szCs w:val="18"/>
          <w:color w:val="0C479D"/>
        </w:rPr>
        <w:t>(Non-GAAP)</w:t>
      </w:r>
    </w:p>
    <w:p>
      <w:pPr>
        <w:spacing w:after="0" w:line="108"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Structural Cost Savings describes decreases in cash opex excluding energy and production taxes as a result of operational efficiencies, workforce reductions, divestment-related reductions, and other cost-savings measures that are expected to be</w:t>
      </w:r>
    </w:p>
    <w:p>
      <w:pPr>
        <w:ind w:right="20"/>
        <w:spacing w:after="0" w:line="251" w:lineRule="auto"/>
        <w:rPr>
          <w:sz w:val="20"/>
          <w:szCs w:val="20"/>
          <w:color w:val="auto"/>
        </w:rPr>
      </w:pPr>
      <w:r>
        <w:rPr>
          <w:rFonts w:ascii="Times New Roman" w:cs="Times New Roman" w:eastAsia="Times New Roman" w:hAnsi="Times New Roman"/>
          <w:sz w:val="18"/>
          <w:szCs w:val="18"/>
          <w:color w:val="auto"/>
        </w:rPr>
        <w:t>sustainable compared to 2019 levels. Relative to 2019, estimated cumulative Structural Cost Savings totaled $15.6 billion , which included an additional $0.6 billion in the first three months of 2026. The total change between periods in expenses below will reflect both Structural Cost Savings and other changes in spend, including market factors, such as inflation and foreign exchange impacts, as well as changes in activity levels and costs associated with new operations, mergers and acquisitions, new business venture development, and early-stage projects. Structural Cost Savings from new operations, mergers and acquisitions, and new business venture developments are included in the cumulative Structural Cost Savings. Estimates of cumulative annual structural savings may be revised depending on whether cost reductions realized in prior periods are determined to be sustainable compared to 2019 levels. Structural Cost Savings are stewarded internally to support management's oversight of spending over time. This measure is useful for investors to understand the Corporation's efforts to optimize spending through disciplined expense management.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80" w:type="dxa"/>
            <w:vAlign w:val="bottom"/>
            <w:shd w:val="clear" w:color="auto" w:fill="0C479D"/>
          </w:tcPr>
          <w:p>
            <w:pPr>
              <w:spacing w:after="0"/>
              <w:rPr>
                <w:sz w:val="16"/>
                <w:szCs w:val="16"/>
                <w:color w:val="auto"/>
              </w:rPr>
            </w:pPr>
          </w:p>
        </w:tc>
        <w:tc>
          <w:tcPr>
            <w:tcW w:w="1880" w:type="dxa"/>
            <w:vAlign w:val="bottom"/>
            <w:tcBorders>
              <w:right w:val="single" w:sz="8" w:color="0C479D"/>
            </w:tcBorders>
            <w:gridSpan w:val="2"/>
            <w:shd w:val="clear" w:color="auto" w:fill="0C479D"/>
          </w:tcPr>
          <w:p>
            <w:pPr>
              <w:jc w:val="right"/>
              <w:ind w:right="421"/>
              <w:spacing w:after="0"/>
              <w:rPr>
                <w:sz w:val="20"/>
                <w:szCs w:val="20"/>
                <w:color w:val="auto"/>
              </w:rPr>
            </w:pPr>
            <w:r>
              <w:rPr>
                <w:rFonts w:ascii="Times New Roman" w:cs="Times New Roman" w:eastAsia="Times New Roman" w:hAnsi="Times New Roman"/>
                <w:sz w:val="14"/>
                <w:szCs w:val="14"/>
                <w:color w:val="FFFFFF"/>
              </w:rPr>
              <w:t>Twelve Months</w:t>
            </w:r>
          </w:p>
        </w:tc>
        <w:tc>
          <w:tcPr>
            <w:tcW w:w="1840" w:type="dxa"/>
            <w:vAlign w:val="bottom"/>
            <w:gridSpan w:val="3"/>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rPr>
              <w:t>Three Months Ended</w:t>
            </w:r>
          </w:p>
        </w:tc>
        <w:tc>
          <w:tcPr>
            <w:tcW w:w="940" w:type="dxa"/>
            <w:vAlign w:val="bottom"/>
            <w:tcBorders>
              <w:left w:val="single" w:sz="8" w:color="0C479D"/>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58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Dollars in billions (unless otherwise noted)</w:t>
            </w:r>
          </w:p>
        </w:tc>
        <w:tc>
          <w:tcPr>
            <w:tcW w:w="1880" w:type="dxa"/>
            <w:vAlign w:val="bottom"/>
            <w:tcBorders>
              <w:right w:val="single" w:sz="8" w:color="0C479D"/>
            </w:tcBorders>
            <w:gridSpan w:val="2"/>
            <w:shd w:val="clear" w:color="auto" w:fill="0C479D"/>
          </w:tcPr>
          <w:p>
            <w:pPr>
              <w:jc w:val="right"/>
              <w:ind w:right="261"/>
              <w:spacing w:after="0"/>
              <w:rPr>
                <w:sz w:val="20"/>
                <w:szCs w:val="20"/>
                <w:color w:val="auto"/>
              </w:rPr>
            </w:pPr>
            <w:r>
              <w:rPr>
                <w:rFonts w:ascii="Times New Roman" w:cs="Times New Roman" w:eastAsia="Times New Roman" w:hAnsi="Times New Roman"/>
                <w:sz w:val="14"/>
                <w:szCs w:val="14"/>
                <w:color w:val="FFFFFF"/>
              </w:rPr>
              <w:t>Ended December 31,</w:t>
            </w:r>
          </w:p>
        </w:tc>
        <w:tc>
          <w:tcPr>
            <w:tcW w:w="1480" w:type="dxa"/>
            <w:vAlign w:val="bottom"/>
            <w:gridSpan w:val="2"/>
            <w:shd w:val="clear" w:color="auto" w:fill="0C479D"/>
          </w:tcPr>
          <w:p>
            <w:pPr>
              <w:jc w:val="center"/>
              <w:ind w:left="281"/>
              <w:spacing w:after="0"/>
              <w:rPr>
                <w:sz w:val="20"/>
                <w:szCs w:val="20"/>
                <w:color w:val="auto"/>
              </w:rPr>
            </w:pPr>
            <w:r>
              <w:rPr>
                <w:rFonts w:ascii="Times New Roman" w:cs="Times New Roman" w:eastAsia="Times New Roman" w:hAnsi="Times New Roman"/>
                <w:sz w:val="14"/>
                <w:szCs w:val="14"/>
                <w:color w:val="FFFFFF"/>
              </w:rPr>
              <w:t>March 31,</w:t>
            </w:r>
          </w:p>
        </w:tc>
        <w:tc>
          <w:tcPr>
            <w:tcW w:w="360" w:type="dxa"/>
            <w:vAlign w:val="bottom"/>
            <w:shd w:val="clear" w:color="auto" w:fill="0C479D"/>
          </w:tcPr>
          <w:p>
            <w:pPr>
              <w:spacing w:after="0"/>
              <w:rPr>
                <w:sz w:val="14"/>
                <w:szCs w:val="14"/>
                <w:color w:val="auto"/>
              </w:rPr>
            </w:pPr>
          </w:p>
        </w:tc>
        <w:tc>
          <w:tcPr>
            <w:tcW w:w="940" w:type="dxa"/>
            <w:vAlign w:val="bottom"/>
            <w:tcBorders>
              <w:left w:val="single" w:sz="8" w:color="0C479D"/>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4580" w:type="dxa"/>
            <w:vAlign w:val="bottom"/>
            <w:vMerge w:val="continue"/>
            <w:shd w:val="clear" w:color="auto" w:fill="0C479D"/>
          </w:tcPr>
          <w:p>
            <w:pPr>
              <w:spacing w:after="0"/>
              <w:rPr>
                <w:sz w:val="6"/>
                <w:szCs w:val="6"/>
                <w:color w:val="auto"/>
              </w:rPr>
            </w:pPr>
          </w:p>
        </w:tc>
        <w:tc>
          <w:tcPr>
            <w:tcW w:w="94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color w:val="FFFFFF"/>
              </w:rPr>
              <w:t>2019</w:t>
            </w:r>
          </w:p>
        </w:tc>
        <w:tc>
          <w:tcPr>
            <w:tcW w:w="940" w:type="dxa"/>
            <w:vAlign w:val="bottom"/>
            <w:tcBorders>
              <w:right w:val="single" w:sz="8" w:color="0C479D"/>
            </w:tcBorders>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color w:val="FFFFFF"/>
              </w:rPr>
              <w:t>2025</w:t>
            </w:r>
          </w:p>
        </w:tc>
        <w:tc>
          <w:tcPr>
            <w:tcW w:w="92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color w:val="FFFFFF"/>
              </w:rPr>
              <w:t>2025</w:t>
            </w:r>
          </w:p>
        </w:tc>
        <w:tc>
          <w:tcPr>
            <w:tcW w:w="560" w:type="dxa"/>
            <w:vAlign w:val="bottom"/>
            <w:shd w:val="clear" w:color="auto" w:fill="0C479D"/>
          </w:tcPr>
          <w:p>
            <w:pPr>
              <w:spacing w:after="0"/>
              <w:rPr>
                <w:sz w:val="6"/>
                <w:szCs w:val="6"/>
                <w:color w:val="auto"/>
              </w:rPr>
            </w:pPr>
          </w:p>
        </w:tc>
        <w:tc>
          <w:tcPr>
            <w:tcW w:w="36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color w:val="FFFFFF"/>
              </w:rPr>
              <w:t>2026</w:t>
            </w:r>
          </w:p>
        </w:tc>
        <w:tc>
          <w:tcPr>
            <w:tcW w:w="940" w:type="dxa"/>
            <w:vAlign w:val="bottom"/>
            <w:tcBorders>
              <w:left w:val="single" w:sz="8" w:color="0C479D"/>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4580" w:type="dxa"/>
            <w:vAlign w:val="bottom"/>
            <w:tcBorders>
              <w:bottom w:val="single" w:sz="8" w:color="0C479D"/>
            </w:tcBorders>
            <w:shd w:val="clear" w:color="auto" w:fill="0C479D"/>
          </w:tcPr>
          <w:p>
            <w:pPr>
              <w:spacing w:after="0"/>
              <w:rPr>
                <w:sz w:val="15"/>
                <w:szCs w:val="15"/>
                <w:color w:val="auto"/>
              </w:rPr>
            </w:pPr>
          </w:p>
        </w:tc>
        <w:tc>
          <w:tcPr>
            <w:tcW w:w="940" w:type="dxa"/>
            <w:vAlign w:val="bottom"/>
            <w:tcBorders>
              <w:bottom w:val="single" w:sz="8" w:color="0C479D"/>
            </w:tcBorders>
            <w:vMerge w:val="continue"/>
            <w:shd w:val="clear" w:color="auto" w:fill="0C479D"/>
          </w:tcPr>
          <w:p>
            <w:pPr>
              <w:spacing w:after="0"/>
              <w:rPr>
                <w:sz w:val="15"/>
                <w:szCs w:val="15"/>
                <w:color w:val="auto"/>
              </w:rPr>
            </w:pPr>
          </w:p>
        </w:tc>
        <w:tc>
          <w:tcPr>
            <w:tcW w:w="940" w:type="dxa"/>
            <w:vAlign w:val="bottom"/>
            <w:tcBorders>
              <w:bottom w:val="single" w:sz="8" w:color="0C479D"/>
              <w:right w:val="single" w:sz="8" w:color="0C479D"/>
            </w:tcBorders>
            <w:vMerge w:val="continue"/>
            <w:shd w:val="clear" w:color="auto" w:fill="0C479D"/>
          </w:tcPr>
          <w:p>
            <w:pPr>
              <w:spacing w:after="0"/>
              <w:rPr>
                <w:sz w:val="15"/>
                <w:szCs w:val="15"/>
                <w:color w:val="auto"/>
              </w:rPr>
            </w:pPr>
          </w:p>
        </w:tc>
        <w:tc>
          <w:tcPr>
            <w:tcW w:w="920" w:type="dxa"/>
            <w:vAlign w:val="bottom"/>
            <w:tcBorders>
              <w:bottom w:val="single" w:sz="8" w:color="0C479D"/>
            </w:tcBorders>
            <w:vMerge w:val="continue"/>
            <w:shd w:val="clear" w:color="auto" w:fill="0C479D"/>
          </w:tcPr>
          <w:p>
            <w:pPr>
              <w:spacing w:after="0"/>
              <w:rPr>
                <w:sz w:val="15"/>
                <w:szCs w:val="15"/>
                <w:color w:val="auto"/>
              </w:rPr>
            </w:pPr>
          </w:p>
        </w:tc>
        <w:tc>
          <w:tcPr>
            <w:tcW w:w="560" w:type="dxa"/>
            <w:vAlign w:val="bottom"/>
            <w:tcBorders>
              <w:bottom w:val="single" w:sz="8" w:color="0C479D"/>
            </w:tcBorders>
            <w:shd w:val="clear" w:color="auto" w:fill="0C479D"/>
          </w:tcPr>
          <w:p>
            <w:pPr>
              <w:spacing w:after="0"/>
              <w:rPr>
                <w:sz w:val="15"/>
                <w:szCs w:val="15"/>
                <w:color w:val="auto"/>
              </w:rPr>
            </w:pPr>
          </w:p>
        </w:tc>
        <w:tc>
          <w:tcPr>
            <w:tcW w:w="360" w:type="dxa"/>
            <w:vAlign w:val="bottom"/>
            <w:tcBorders>
              <w:bottom w:val="single" w:sz="8" w:color="0C479D"/>
            </w:tcBorders>
            <w:vMerge w:val="continue"/>
            <w:shd w:val="clear" w:color="auto" w:fill="0C479D"/>
          </w:tcPr>
          <w:p>
            <w:pPr>
              <w:spacing w:after="0"/>
              <w:rPr>
                <w:sz w:val="15"/>
                <w:szCs w:val="15"/>
                <w:color w:val="auto"/>
              </w:rPr>
            </w:pPr>
          </w:p>
        </w:tc>
        <w:tc>
          <w:tcPr>
            <w:tcW w:w="940" w:type="dxa"/>
            <w:vAlign w:val="bottom"/>
            <w:tcBorders>
              <w:left w:val="single" w:sz="8" w:color="0C479D"/>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0C479D"/>
              </w:rPr>
              <w:t>Components of Operating Costs</w:t>
            </w: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shd w:val="clear" w:color="auto" w:fill="F0F0F0"/>
          </w:tcPr>
          <w:p>
            <w:pPr>
              <w:spacing w:after="0"/>
              <w:rPr>
                <w:sz w:val="20"/>
                <w:szCs w:val="20"/>
                <w:color w:val="auto"/>
              </w:rPr>
            </w:pPr>
          </w:p>
        </w:tc>
        <w:tc>
          <w:tcPr>
            <w:tcW w:w="360" w:type="dxa"/>
            <w:vAlign w:val="bottom"/>
            <w:shd w:val="clear" w:color="auto" w:fill="F0F0F0"/>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From ExxonMobil’s Consolidated Statement of Income</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shd w:val="clear" w:color="auto" w:fill="F0F0F0"/>
          </w:tcPr>
          <w:p>
            <w:pPr>
              <w:spacing w:after="0"/>
              <w:rPr>
                <w:sz w:val="19"/>
                <w:szCs w:val="19"/>
                <w:color w:val="auto"/>
              </w:rPr>
            </w:pPr>
          </w:p>
        </w:tc>
        <w:tc>
          <w:tcPr>
            <w:tcW w:w="360" w:type="dxa"/>
            <w:vAlign w:val="bottom"/>
            <w:shd w:val="clear" w:color="auto" w:fill="F0F0F0"/>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(U.S. GAAP)</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shd w:val="clear" w:color="auto" w:fill="F0F0F0"/>
          </w:tcPr>
          <w:p>
            <w:pPr>
              <w:spacing w:after="0"/>
              <w:rPr>
                <w:sz w:val="18"/>
                <w:szCs w:val="18"/>
                <w:color w:val="auto"/>
              </w:rPr>
            </w:pPr>
          </w:p>
        </w:tc>
        <w:tc>
          <w:tcPr>
            <w:tcW w:w="360" w:type="dxa"/>
            <w:vAlign w:val="bottom"/>
            <w:shd w:val="clear" w:color="auto" w:fill="F0F0F0"/>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Production and manufacturing expenses</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36.8</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560" w:type="dxa"/>
            <w:vAlign w:val="bottom"/>
            <w:shd w:val="clear" w:color="auto" w:fill="F0F0F0"/>
          </w:tcPr>
          <w:p>
            <w:pPr>
              <w:spacing w:after="0"/>
              <w:rPr>
                <w:sz w:val="23"/>
                <w:szCs w:val="23"/>
                <w:color w:val="auto"/>
              </w:rPr>
            </w:pPr>
          </w:p>
        </w:tc>
        <w:tc>
          <w:tcPr>
            <w:tcW w:w="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w w:val="99"/>
              </w:rPr>
              <w:t>10.7</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560" w:type="dxa"/>
            <w:vAlign w:val="bottom"/>
            <w:shd w:val="clear" w:color="auto" w:fill="F0F0F0"/>
          </w:tcPr>
          <w:p>
            <w:pPr>
              <w:spacing w:after="0"/>
              <w:rPr>
                <w:sz w:val="22"/>
                <w:szCs w:val="22"/>
                <w:color w:val="auto"/>
              </w:rPr>
            </w:pPr>
          </w:p>
        </w:tc>
        <w:tc>
          <w:tcPr>
            <w:tcW w:w="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Depreciation and depletion (includes impairments)</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19.0</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560" w:type="dxa"/>
            <w:vAlign w:val="bottom"/>
            <w:shd w:val="clear" w:color="auto" w:fill="F0F0F0"/>
          </w:tcPr>
          <w:p>
            <w:pPr>
              <w:spacing w:after="0"/>
              <w:rPr>
                <w:sz w:val="22"/>
                <w:szCs w:val="22"/>
                <w:color w:val="auto"/>
              </w:rPr>
            </w:pPr>
          </w:p>
        </w:tc>
        <w:tc>
          <w:tcPr>
            <w:tcW w:w="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Exploration expenses, including dry holes</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560" w:type="dxa"/>
            <w:vAlign w:val="bottom"/>
            <w:shd w:val="clear" w:color="auto" w:fill="F0F0F0"/>
          </w:tcPr>
          <w:p>
            <w:pPr>
              <w:spacing w:after="0"/>
              <w:rPr>
                <w:sz w:val="22"/>
                <w:szCs w:val="22"/>
                <w:color w:val="auto"/>
              </w:rPr>
            </w:pPr>
          </w:p>
        </w:tc>
        <w:tc>
          <w:tcPr>
            <w:tcW w:w="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58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color w:val="auto"/>
              </w:rPr>
              <w:t>Non-service pension and postretirement benefit expense</w:t>
            </w:r>
          </w:p>
        </w:tc>
        <w:tc>
          <w:tcPr>
            <w:tcW w:w="9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9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0.4</w:t>
            </w:r>
          </w:p>
        </w:tc>
        <w:tc>
          <w:tcPr>
            <w:tcW w:w="9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560" w:type="dxa"/>
            <w:vAlign w:val="bottom"/>
            <w:tcBorders>
              <w:bottom w:val="single" w:sz="8" w:color="0C479D"/>
            </w:tcBorders>
            <w:shd w:val="clear" w:color="auto" w:fill="F0F0F0"/>
          </w:tcPr>
          <w:p>
            <w:pPr>
              <w:spacing w:after="0"/>
              <w:rPr>
                <w:sz w:val="21"/>
                <w:szCs w:val="21"/>
                <w:color w:val="auto"/>
              </w:rPr>
            </w:pPr>
          </w:p>
        </w:tc>
        <w:tc>
          <w:tcPr>
            <w:tcW w:w="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69.7</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81.0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18.5</w:t>
            </w:r>
          </w:p>
        </w:tc>
        <w:tc>
          <w:tcPr>
            <w:tcW w:w="560" w:type="dxa"/>
            <w:vAlign w:val="bottom"/>
            <w:shd w:val="clear" w:color="auto" w:fill="F0F0F0"/>
          </w:tcPr>
          <w:p>
            <w:pPr>
              <w:spacing w:after="0"/>
              <w:rPr>
                <w:sz w:val="22"/>
                <w:szCs w:val="22"/>
                <w:color w:val="auto"/>
              </w:rPr>
            </w:pPr>
          </w:p>
        </w:tc>
        <w:tc>
          <w:tcPr>
            <w:tcW w:w="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20.3</w:t>
            </w: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458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color w:val="auto"/>
              </w:rPr>
              <w:t>ExxonMobil’s share of equity company expenses (Non-GAAP)</w:t>
            </w:r>
          </w:p>
        </w:tc>
        <w:tc>
          <w:tcPr>
            <w:tcW w:w="9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9.1</w:t>
            </w:r>
          </w:p>
        </w:tc>
        <w:tc>
          <w:tcPr>
            <w:tcW w:w="9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10.6</w:t>
            </w:r>
          </w:p>
        </w:tc>
        <w:tc>
          <w:tcPr>
            <w:tcW w:w="9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560" w:type="dxa"/>
            <w:vAlign w:val="bottom"/>
            <w:tcBorders>
              <w:bottom w:val="single" w:sz="8" w:color="0C479D"/>
            </w:tcBorders>
            <w:shd w:val="clear" w:color="auto" w:fill="F0F0F0"/>
          </w:tcPr>
          <w:p>
            <w:pPr>
              <w:spacing w:after="0"/>
              <w:rPr>
                <w:sz w:val="20"/>
                <w:szCs w:val="20"/>
                <w:color w:val="auto"/>
              </w:rPr>
            </w:pPr>
          </w:p>
        </w:tc>
        <w:tc>
          <w:tcPr>
            <w:tcW w:w="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Total Adjusted Operating Costs </w:t>
            </w:r>
            <w:r>
              <w:rPr>
                <w:rFonts w:ascii="Times New Roman" w:cs="Times New Roman" w:eastAsia="Times New Roman" w:hAnsi="Times New Roman"/>
                <w:sz w:val="16"/>
                <w:szCs w:val="16"/>
                <w:color w:val="auto"/>
              </w:rPr>
              <w:t>(Non-GAAP)</w:t>
            </w:r>
          </w:p>
        </w:tc>
        <w:tc>
          <w:tcPr>
            <w:tcW w:w="9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78.8</w:t>
            </w:r>
          </w:p>
        </w:tc>
        <w:tc>
          <w:tcPr>
            <w:tcW w:w="9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91.6</w:t>
            </w:r>
          </w:p>
        </w:tc>
        <w:tc>
          <w:tcPr>
            <w:tcW w:w="9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21.1</w:t>
            </w:r>
          </w:p>
        </w:tc>
        <w:tc>
          <w:tcPr>
            <w:tcW w:w="560" w:type="dxa"/>
            <w:vAlign w:val="bottom"/>
            <w:tcBorders>
              <w:bottom w:val="single" w:sz="8" w:color="0C479D"/>
            </w:tcBorders>
            <w:shd w:val="clear" w:color="auto" w:fill="F0F0F0"/>
          </w:tcPr>
          <w:p>
            <w:pPr>
              <w:spacing w:after="0"/>
              <w:rPr>
                <w:sz w:val="20"/>
                <w:szCs w:val="20"/>
                <w:color w:val="auto"/>
              </w:rPr>
            </w:pPr>
          </w:p>
        </w:tc>
        <w:tc>
          <w:tcPr>
            <w:tcW w:w="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22.6</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1"/>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Total Adjusted Operating Costs </w:t>
            </w:r>
            <w:r>
              <w:rPr>
                <w:rFonts w:ascii="Times New Roman" w:cs="Times New Roman" w:eastAsia="Times New Roman" w:hAnsi="Times New Roman"/>
                <w:sz w:val="16"/>
                <w:szCs w:val="16"/>
                <w:color w:val="auto"/>
              </w:rPr>
              <w:t>(Non-GAAP)</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78.8</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91.6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21.1</w:t>
            </w:r>
          </w:p>
        </w:tc>
        <w:tc>
          <w:tcPr>
            <w:tcW w:w="560" w:type="dxa"/>
            <w:vAlign w:val="bottom"/>
            <w:shd w:val="clear" w:color="auto" w:fill="F0F0F0"/>
          </w:tcPr>
          <w:p>
            <w:pPr>
              <w:spacing w:after="0"/>
              <w:rPr>
                <w:sz w:val="24"/>
                <w:szCs w:val="24"/>
                <w:color w:val="auto"/>
              </w:rPr>
            </w:pPr>
          </w:p>
        </w:tc>
        <w:tc>
          <w:tcPr>
            <w:tcW w:w="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22.6</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Less:</w:t>
            </w: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shd w:val="clear" w:color="auto" w:fill="F0F0F0"/>
          </w:tcPr>
          <w:p>
            <w:pPr>
              <w:spacing w:after="0"/>
              <w:rPr>
                <w:sz w:val="19"/>
                <w:szCs w:val="19"/>
                <w:color w:val="auto"/>
              </w:rPr>
            </w:pPr>
          </w:p>
        </w:tc>
        <w:tc>
          <w:tcPr>
            <w:tcW w:w="360" w:type="dxa"/>
            <w:vAlign w:val="bottom"/>
            <w:shd w:val="clear" w:color="auto" w:fill="F0F0F0"/>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Depreciation and depletion (includes impairments)</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19.0</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560" w:type="dxa"/>
            <w:vAlign w:val="bottom"/>
            <w:shd w:val="clear" w:color="auto" w:fill="F0F0F0"/>
          </w:tcPr>
          <w:p>
            <w:pPr>
              <w:spacing w:after="0"/>
              <w:rPr>
                <w:sz w:val="23"/>
                <w:szCs w:val="23"/>
                <w:color w:val="auto"/>
              </w:rPr>
            </w:pPr>
          </w:p>
        </w:tc>
        <w:tc>
          <w:tcPr>
            <w:tcW w:w="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Non-service pension and postretirement benefit expense</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560" w:type="dxa"/>
            <w:vAlign w:val="bottom"/>
            <w:shd w:val="clear" w:color="auto" w:fill="F0F0F0"/>
          </w:tcPr>
          <w:p>
            <w:pPr>
              <w:spacing w:after="0"/>
              <w:rPr>
                <w:sz w:val="22"/>
                <w:szCs w:val="22"/>
                <w:color w:val="auto"/>
              </w:rPr>
            </w:pPr>
          </w:p>
        </w:tc>
        <w:tc>
          <w:tcPr>
            <w:tcW w:w="3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adjustments (includes equity company depreciation</w:t>
            </w: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6.2</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560" w:type="dxa"/>
            <w:vAlign w:val="bottom"/>
            <w:shd w:val="clear" w:color="auto" w:fill="F0F0F0"/>
          </w:tcPr>
          <w:p>
            <w:pPr>
              <w:spacing w:after="0"/>
              <w:rPr>
                <w:sz w:val="18"/>
                <w:szCs w:val="18"/>
                <w:color w:val="auto"/>
              </w:rPr>
            </w:pPr>
          </w:p>
        </w:tc>
        <w:tc>
          <w:tcPr>
            <w:tcW w:w="36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5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and depletion)</w:t>
            </w: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560" w:type="dxa"/>
            <w:vAlign w:val="bottom"/>
            <w:shd w:val="clear" w:color="auto" w:fill="F0F0F0"/>
          </w:tcPr>
          <w:p>
            <w:pPr>
              <w:spacing w:after="0"/>
              <w:rPr>
                <w:sz w:val="11"/>
                <w:szCs w:val="11"/>
                <w:color w:val="auto"/>
              </w:rPr>
            </w:pPr>
          </w:p>
        </w:tc>
        <w:tc>
          <w:tcPr>
            <w:tcW w:w="360" w:type="dxa"/>
            <w:vAlign w:val="bottom"/>
            <w:vMerge w:val="continue"/>
            <w:shd w:val="clear" w:color="auto" w:fill="F0F0F0"/>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580" w:type="dxa"/>
            <w:vAlign w:val="bottom"/>
            <w:tcBorders>
              <w:bottom w:val="single" w:sz="8" w:color="0C479D"/>
            </w:tcBorders>
            <w:vMerge w:val="continue"/>
          </w:tcPr>
          <w:p>
            <w:pPr>
              <w:spacing w:after="0"/>
              <w:rPr>
                <w:sz w:val="7"/>
                <w:szCs w:val="7"/>
                <w:color w:val="auto"/>
              </w:rPr>
            </w:pPr>
          </w:p>
        </w:tc>
        <w:tc>
          <w:tcPr>
            <w:tcW w:w="940" w:type="dxa"/>
            <w:vAlign w:val="bottom"/>
            <w:tcBorders>
              <w:bottom w:val="single" w:sz="8" w:color="0C479D"/>
            </w:tcBorders>
          </w:tcPr>
          <w:p>
            <w:pPr>
              <w:spacing w:after="0"/>
              <w:rPr>
                <w:sz w:val="7"/>
                <w:szCs w:val="7"/>
                <w:color w:val="auto"/>
              </w:rPr>
            </w:pPr>
          </w:p>
        </w:tc>
        <w:tc>
          <w:tcPr>
            <w:tcW w:w="940" w:type="dxa"/>
            <w:vAlign w:val="bottom"/>
            <w:tcBorders>
              <w:bottom w:val="single" w:sz="8" w:color="0C479D"/>
            </w:tcBorders>
          </w:tcPr>
          <w:p>
            <w:pPr>
              <w:spacing w:after="0"/>
              <w:rPr>
                <w:sz w:val="7"/>
                <w:szCs w:val="7"/>
                <w:color w:val="auto"/>
              </w:rPr>
            </w:pPr>
          </w:p>
        </w:tc>
        <w:tc>
          <w:tcPr>
            <w:tcW w:w="920" w:type="dxa"/>
            <w:vAlign w:val="bottom"/>
            <w:tcBorders>
              <w:bottom w:val="single" w:sz="8" w:color="0C479D"/>
            </w:tcBorders>
          </w:tcPr>
          <w:p>
            <w:pPr>
              <w:spacing w:after="0"/>
              <w:rPr>
                <w:sz w:val="7"/>
                <w:szCs w:val="7"/>
                <w:color w:val="auto"/>
              </w:rPr>
            </w:pPr>
          </w:p>
        </w:tc>
        <w:tc>
          <w:tcPr>
            <w:tcW w:w="560" w:type="dxa"/>
            <w:vAlign w:val="bottom"/>
            <w:tcBorders>
              <w:bottom w:val="single" w:sz="8" w:color="0C479D"/>
            </w:tcBorders>
            <w:shd w:val="clear" w:color="auto" w:fill="F0F0F0"/>
          </w:tcPr>
          <w:p>
            <w:pPr>
              <w:spacing w:after="0"/>
              <w:rPr>
                <w:sz w:val="7"/>
                <w:szCs w:val="7"/>
                <w:color w:val="auto"/>
              </w:rPr>
            </w:pPr>
          </w:p>
        </w:tc>
        <w:tc>
          <w:tcPr>
            <w:tcW w:w="360" w:type="dxa"/>
            <w:vAlign w:val="bottom"/>
            <w:tcBorders>
              <w:bottom w:val="single" w:sz="8" w:color="0C479D"/>
            </w:tcBorders>
            <w:shd w:val="clear" w:color="auto" w:fill="F0F0F0"/>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458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Total Cash Operating Expenses (Cash Opex) </w:t>
            </w:r>
            <w:r>
              <w:rPr>
                <w:rFonts w:ascii="Times New Roman" w:cs="Times New Roman" w:eastAsia="Times New Roman" w:hAnsi="Times New Roman"/>
                <w:sz w:val="16"/>
                <w:szCs w:val="16"/>
                <w:color w:val="auto"/>
              </w:rPr>
              <w:t>(Non-GAAP)</w:t>
            </w:r>
          </w:p>
        </w:tc>
        <w:tc>
          <w:tcPr>
            <w:tcW w:w="9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55.0</w:t>
            </w:r>
          </w:p>
        </w:tc>
        <w:tc>
          <w:tcPr>
            <w:tcW w:w="9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59.0</w:t>
            </w:r>
          </w:p>
        </w:tc>
        <w:tc>
          <w:tcPr>
            <w:tcW w:w="9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w:t>
            </w:r>
          </w:p>
        </w:tc>
        <w:tc>
          <w:tcPr>
            <w:tcW w:w="560" w:type="dxa"/>
            <w:vAlign w:val="bottom"/>
            <w:tcBorders>
              <w:bottom w:val="single" w:sz="8" w:color="0C479D"/>
            </w:tcBorders>
            <w:shd w:val="clear" w:color="auto" w:fill="F0F0F0"/>
          </w:tcPr>
          <w:p>
            <w:pPr>
              <w:spacing w:after="0"/>
              <w:rPr>
                <w:sz w:val="20"/>
                <w:szCs w:val="20"/>
                <w:color w:val="auto"/>
              </w:rPr>
            </w:pPr>
          </w:p>
        </w:tc>
        <w:tc>
          <w:tcPr>
            <w:tcW w:w="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14.5</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458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color w:val="auto"/>
              </w:rPr>
              <w:t>Energy and production taxes (Non-GAAP)</w:t>
            </w:r>
          </w:p>
        </w:tc>
        <w:tc>
          <w:tcPr>
            <w:tcW w:w="9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11.0</w:t>
            </w:r>
          </w:p>
        </w:tc>
        <w:tc>
          <w:tcPr>
            <w:tcW w:w="9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14.9</w:t>
            </w:r>
          </w:p>
        </w:tc>
        <w:tc>
          <w:tcPr>
            <w:tcW w:w="9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560" w:type="dxa"/>
            <w:vAlign w:val="bottom"/>
            <w:tcBorders>
              <w:bottom w:val="single" w:sz="8" w:color="0C479D"/>
            </w:tcBorders>
            <w:shd w:val="clear" w:color="auto" w:fill="F0F0F0"/>
          </w:tcPr>
          <w:p>
            <w:pPr>
              <w:spacing w:after="0"/>
              <w:rPr>
                <w:sz w:val="24"/>
                <w:szCs w:val="24"/>
                <w:color w:val="auto"/>
              </w:rPr>
            </w:pPr>
          </w:p>
        </w:tc>
        <w:tc>
          <w:tcPr>
            <w:tcW w:w="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 Cash Operating Expenses (Cash Opex) excluding Energy</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shd w:val="clear" w:color="auto" w:fill="F0F0F0"/>
          </w:tcPr>
          <w:p>
            <w:pPr>
              <w:spacing w:after="0"/>
              <w:rPr>
                <w:sz w:val="17"/>
                <w:szCs w:val="17"/>
                <w:color w:val="auto"/>
              </w:rPr>
            </w:pPr>
          </w:p>
        </w:tc>
        <w:tc>
          <w:tcPr>
            <w:tcW w:w="360" w:type="dxa"/>
            <w:vAlign w:val="bottom"/>
            <w:shd w:val="clear" w:color="auto" w:fill="F0F0F0"/>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and Production Taxes </w:t>
            </w:r>
            <w:r>
              <w:rPr>
                <w:rFonts w:ascii="Times New Roman" w:cs="Times New Roman" w:eastAsia="Times New Roman" w:hAnsi="Times New Roman"/>
                <w:sz w:val="16"/>
                <w:szCs w:val="16"/>
                <w:color w:val="auto"/>
              </w:rPr>
              <w:t>(Non-GAAP)</w:t>
            </w:r>
          </w:p>
        </w:tc>
        <w:tc>
          <w:tcPr>
            <w:tcW w:w="9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44.0</w:t>
            </w:r>
          </w:p>
        </w:tc>
        <w:tc>
          <w:tcPr>
            <w:tcW w:w="9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44.1</w:t>
            </w:r>
          </w:p>
        </w:tc>
        <w:tc>
          <w:tcPr>
            <w:tcW w:w="9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w:t>
            </w:r>
          </w:p>
        </w:tc>
        <w:tc>
          <w:tcPr>
            <w:tcW w:w="560" w:type="dxa"/>
            <w:vAlign w:val="bottom"/>
            <w:tcBorders>
              <w:bottom w:val="single" w:sz="8" w:color="0C479D"/>
            </w:tcBorders>
            <w:shd w:val="clear" w:color="auto" w:fill="F0F0F0"/>
          </w:tcPr>
          <w:p>
            <w:pPr>
              <w:spacing w:after="0"/>
              <w:rPr>
                <w:sz w:val="18"/>
                <w:szCs w:val="18"/>
                <w:color w:val="auto"/>
              </w:rPr>
            </w:pPr>
          </w:p>
        </w:tc>
        <w:tc>
          <w:tcPr>
            <w:tcW w:w="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10.8</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4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Borders>
              <w:right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rPr>
              <w:t>Change</w:t>
            </w:r>
          </w:p>
        </w:tc>
        <w:tc>
          <w:tcPr>
            <w:tcW w:w="920" w:type="dxa"/>
            <w:vAlign w:val="bottom"/>
          </w:tcPr>
          <w:p>
            <w:pPr>
              <w:spacing w:after="0"/>
              <w:rPr>
                <w:sz w:val="16"/>
                <w:szCs w:val="16"/>
                <w:color w:val="auto"/>
              </w:rPr>
            </w:pPr>
          </w:p>
        </w:tc>
        <w:tc>
          <w:tcPr>
            <w:tcW w:w="920" w:type="dxa"/>
            <w:vAlign w:val="bottom"/>
            <w:gridSpan w:val="2"/>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rPr>
              <w:t>Change</w:t>
            </w:r>
          </w:p>
        </w:tc>
        <w:tc>
          <w:tcPr>
            <w:tcW w:w="940" w:type="dxa"/>
            <w:vAlign w:val="bottom"/>
            <w:tcBorders>
              <w:left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rPr>
              <w:t>Estimated</w:t>
            </w:r>
          </w:p>
        </w:tc>
        <w:tc>
          <w:tcPr>
            <w:tcW w:w="2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Borders>
              <w:right w:val="single" w:sz="8" w:color="0C479D"/>
            </w:tcBorders>
            <w:shd w:val="clear" w:color="auto" w:fill="0C479D"/>
          </w:tcPr>
          <w:p>
            <w:pPr>
              <w:jc w:val="center"/>
              <w:spacing w:after="0" w:line="145" w:lineRule="exact"/>
              <w:rPr>
                <w:sz w:val="20"/>
                <w:szCs w:val="20"/>
                <w:color w:val="auto"/>
              </w:rPr>
            </w:pPr>
            <w:r>
              <w:rPr>
                <w:rFonts w:ascii="Times New Roman" w:cs="Times New Roman" w:eastAsia="Times New Roman" w:hAnsi="Times New Roman"/>
                <w:sz w:val="14"/>
                <w:szCs w:val="14"/>
                <w:color w:val="FFFFFF"/>
                <w:w w:val="96"/>
              </w:rPr>
              <w:t>vs</w:t>
            </w:r>
          </w:p>
        </w:tc>
        <w:tc>
          <w:tcPr>
            <w:tcW w:w="920" w:type="dxa"/>
            <w:vAlign w:val="bottom"/>
          </w:tcPr>
          <w:p>
            <w:pPr>
              <w:spacing w:after="0"/>
              <w:rPr>
                <w:sz w:val="12"/>
                <w:szCs w:val="12"/>
                <w:color w:val="auto"/>
              </w:rPr>
            </w:pPr>
          </w:p>
        </w:tc>
        <w:tc>
          <w:tcPr>
            <w:tcW w:w="560" w:type="dxa"/>
            <w:vAlign w:val="bottom"/>
            <w:shd w:val="clear" w:color="auto" w:fill="0C479D"/>
          </w:tcPr>
          <w:p>
            <w:pPr>
              <w:jc w:val="center"/>
              <w:ind w:left="288"/>
              <w:spacing w:after="0" w:line="145" w:lineRule="exact"/>
              <w:rPr>
                <w:sz w:val="20"/>
                <w:szCs w:val="20"/>
                <w:color w:val="auto"/>
              </w:rPr>
            </w:pPr>
            <w:r>
              <w:rPr>
                <w:rFonts w:ascii="Times New Roman" w:cs="Times New Roman" w:eastAsia="Times New Roman" w:hAnsi="Times New Roman"/>
                <w:sz w:val="14"/>
                <w:szCs w:val="14"/>
                <w:color w:val="FFFFFF"/>
                <w:w w:val="96"/>
              </w:rPr>
              <w:t>vs</w:t>
            </w:r>
          </w:p>
        </w:tc>
        <w:tc>
          <w:tcPr>
            <w:tcW w:w="360" w:type="dxa"/>
            <w:vAlign w:val="bottom"/>
            <w:shd w:val="clear" w:color="auto" w:fill="0C479D"/>
          </w:tcPr>
          <w:p>
            <w:pPr>
              <w:spacing w:after="0"/>
              <w:rPr>
                <w:sz w:val="12"/>
                <w:szCs w:val="12"/>
                <w:color w:val="auto"/>
              </w:rPr>
            </w:pPr>
          </w:p>
        </w:tc>
        <w:tc>
          <w:tcPr>
            <w:tcW w:w="940" w:type="dxa"/>
            <w:vAlign w:val="bottom"/>
            <w:tcBorders>
              <w:left w:val="single" w:sz="8" w:color="0C479D"/>
            </w:tcBorders>
            <w:shd w:val="clear" w:color="auto" w:fill="0C479D"/>
          </w:tcPr>
          <w:p>
            <w:pPr>
              <w:jc w:val="center"/>
              <w:spacing w:after="0" w:line="145" w:lineRule="exact"/>
              <w:rPr>
                <w:sz w:val="20"/>
                <w:szCs w:val="20"/>
                <w:color w:val="auto"/>
              </w:rPr>
            </w:pPr>
            <w:r>
              <w:rPr>
                <w:rFonts w:ascii="Times New Roman" w:cs="Times New Roman" w:eastAsia="Times New Roman" w:hAnsi="Times New Roman"/>
                <w:sz w:val="14"/>
                <w:szCs w:val="14"/>
                <w:color w:val="FFFFFF"/>
              </w:rPr>
              <w:t>Cumulative vs</w:t>
            </w:r>
          </w:p>
        </w:tc>
        <w:tc>
          <w:tcPr>
            <w:tcW w:w="20" w:type="dxa"/>
            <w:vAlign w:val="bottom"/>
            <w:shd w:val="clear" w:color="auto" w:fill="0C479D"/>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Borders>
              <w:bottom w:val="single" w:sz="8" w:color="0C479D"/>
              <w:right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w w:val="99"/>
              </w:rPr>
              <w:t>2019</w:t>
            </w:r>
          </w:p>
        </w:tc>
        <w:tc>
          <w:tcPr>
            <w:tcW w:w="920" w:type="dxa"/>
            <w:vAlign w:val="bottom"/>
          </w:tcPr>
          <w:p>
            <w:pPr>
              <w:spacing w:after="0"/>
              <w:rPr>
                <w:sz w:val="18"/>
                <w:szCs w:val="18"/>
                <w:color w:val="auto"/>
              </w:rPr>
            </w:pPr>
          </w:p>
        </w:tc>
        <w:tc>
          <w:tcPr>
            <w:tcW w:w="920" w:type="dxa"/>
            <w:vAlign w:val="bottom"/>
            <w:tcBorders>
              <w:bottom w:val="single" w:sz="8" w:color="0C479D"/>
            </w:tcBorders>
            <w:gridSpan w:val="2"/>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w w:val="99"/>
              </w:rPr>
              <w:t>2025</w:t>
            </w:r>
          </w:p>
        </w:tc>
        <w:tc>
          <w:tcPr>
            <w:tcW w:w="940" w:type="dxa"/>
            <w:vAlign w:val="bottom"/>
            <w:tcBorders>
              <w:left w:val="single" w:sz="8" w:color="0C479D"/>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w w:val="99"/>
              </w:rPr>
              <w:t>2019</w:t>
            </w:r>
          </w:p>
        </w:tc>
        <w:tc>
          <w:tcPr>
            <w:tcW w:w="20" w:type="dxa"/>
            <w:vAlign w:val="bottom"/>
            <w:tcBorders>
              <w:bottom w:val="single" w:sz="8" w:color="0C479D"/>
            </w:tcBorders>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 Cash Operating Expenses (Cash Opex) excluding Energy</w:t>
            </w:r>
          </w:p>
        </w:tc>
        <w:tc>
          <w:tcPr>
            <w:tcW w:w="94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and Production Taxes </w:t>
            </w:r>
            <w:r>
              <w:rPr>
                <w:rFonts w:ascii="Times New Roman" w:cs="Times New Roman" w:eastAsia="Times New Roman" w:hAnsi="Times New Roman"/>
                <w:sz w:val="16"/>
                <w:szCs w:val="16"/>
                <w:color w:val="auto"/>
              </w:rPr>
              <w:t>(Non-GAAP)</w:t>
            </w:r>
          </w:p>
        </w:tc>
        <w:tc>
          <w:tcPr>
            <w:tcW w:w="940" w:type="dxa"/>
            <w:vAlign w:val="bottom"/>
          </w:tcPr>
          <w:p>
            <w:pPr>
              <w:spacing w:after="0"/>
              <w:rPr>
                <w:sz w:val="17"/>
                <w:szCs w:val="17"/>
                <w:color w:val="auto"/>
              </w:rPr>
            </w:pPr>
          </w:p>
        </w:tc>
        <w:tc>
          <w:tcPr>
            <w:tcW w:w="940" w:type="dxa"/>
            <w:vAlign w:val="bottom"/>
            <w:tcBorders>
              <w:bottom w:val="single" w:sz="8" w:color="0C479D"/>
            </w:tcBorders>
            <w:vMerge w:val="continue"/>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Borders>
              <w:bottom w:val="single" w:sz="8" w:color="0C479D"/>
            </w:tcBorders>
          </w:tcPr>
          <w:p>
            <w:pPr>
              <w:spacing w:after="0"/>
              <w:rPr>
                <w:sz w:val="17"/>
                <w:szCs w:val="17"/>
                <w:color w:val="auto"/>
              </w:rPr>
            </w:pPr>
          </w:p>
        </w:tc>
        <w:tc>
          <w:tcPr>
            <w:tcW w:w="360" w:type="dxa"/>
            <w:vAlign w:val="bottom"/>
            <w:tcBorders>
              <w:bottom w:val="single" w:sz="8" w:color="0C479D"/>
            </w:tcBorders>
            <w:vMerge w:val="continue"/>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4"/>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Market</w:t>
            </w:r>
          </w:p>
        </w:tc>
        <w:tc>
          <w:tcPr>
            <w:tcW w:w="9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Activity / Other</w:t>
            </w:r>
          </w:p>
        </w:tc>
        <w:tc>
          <w:tcPr>
            <w:tcW w:w="9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580" w:type="dxa"/>
            <w:vAlign w:val="bottom"/>
            <w:shd w:val="clear" w:color="auto" w:fill="F0F0F0"/>
          </w:tcPr>
          <w:p>
            <w:pPr>
              <w:ind w:left="60"/>
              <w:spacing w:after="0"/>
              <w:rPr>
                <w:sz w:val="20"/>
                <w:szCs w:val="20"/>
                <w:color w:val="auto"/>
              </w:rPr>
            </w:pPr>
            <w:r>
              <w:rPr>
                <w:rFonts w:ascii="Times New Roman" w:cs="Times New Roman" w:eastAsia="Times New Roman" w:hAnsi="Times New Roman"/>
                <w:sz w:val="16"/>
                <w:szCs w:val="16"/>
                <w:b w:val="1"/>
                <w:bCs w:val="1"/>
                <w:color w:val="auto"/>
              </w:rPr>
              <w:t>Structural Cost Savings</w:t>
            </w:r>
          </w:p>
        </w:tc>
        <w:tc>
          <w:tcPr>
            <w:tcW w:w="940" w:type="dxa"/>
            <w:vAlign w:val="bottom"/>
            <w:shd w:val="clear" w:color="auto" w:fill="F0F0F0"/>
          </w:tcPr>
          <w:p>
            <w:pPr>
              <w:spacing w:after="0"/>
              <w:rPr>
                <w:sz w:val="24"/>
                <w:szCs w:val="24"/>
                <w:color w:val="auto"/>
              </w:rPr>
            </w:pPr>
          </w:p>
        </w:tc>
        <w:tc>
          <w:tcPr>
            <w:tcW w:w="94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920" w:type="dxa"/>
            <w:vAlign w:val="bottom"/>
            <w:shd w:val="clear" w:color="auto" w:fill="F0F0F0"/>
          </w:tcPr>
          <w:p>
            <w:pPr>
              <w:spacing w:after="0"/>
              <w:rPr>
                <w:sz w:val="24"/>
                <w:szCs w:val="24"/>
                <w:color w:val="auto"/>
              </w:rPr>
            </w:pPr>
          </w:p>
        </w:tc>
        <w:tc>
          <w:tcPr>
            <w:tcW w:w="560" w:type="dxa"/>
            <w:vAlign w:val="bottom"/>
            <w:tcBorders>
              <w:bottom w:val="single" w:sz="8" w:color="0C479D"/>
            </w:tcBorders>
            <w:shd w:val="clear" w:color="auto" w:fill="F0F0F0"/>
          </w:tcPr>
          <w:p>
            <w:pPr>
              <w:spacing w:after="0"/>
              <w:rPr>
                <w:sz w:val="24"/>
                <w:szCs w:val="24"/>
                <w:color w:val="auto"/>
              </w:rPr>
            </w:pPr>
          </w:p>
        </w:tc>
        <w:tc>
          <w:tcPr>
            <w:tcW w:w="3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940" w:type="dxa"/>
            <w:vAlign w:val="bottom"/>
            <w:tcBorders>
              <w:left w:val="single" w:sz="8" w:color="F0F0F0"/>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260"/>
          </w:cols>
          <w:pgMar w:left="1320" w:top="49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260"/>
          </w:cols>
          <w:pgMar w:left="1320" w:top="499" w:right="1319" w:bottom="1440" w:gutter="0" w:footer="0" w:header="0"/>
          <w:type w:val="continuous"/>
        </w:sectPr>
      </w:pPr>
    </w:p>
    <w:bookmarkStart w:id="19" w:name="page20"/>
    <w:bookmarkEnd w:id="19"/>
    <w:p>
      <w:pPr>
        <w:jc w:val="right"/>
        <w:ind w:right="4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REVIEW OF FIRST QUARTER 2026 RESULTS</w:t>
      </w:r>
    </w:p>
    <w:p>
      <w:pPr>
        <w:spacing w:after="0" w:line="11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ExxonMobil’s first quarter 2026 earnings were $4.2 billion, compared to $7.7 billion a year earlier. The decrease in earnings was mainly driven by unfavorable mark-to-market effects, higher expenses related to depreciation and Middle East volume impacts; partly offset by higher prices and margins, increased volumes from advantaged Upstream investments in Guyana and the Permian and structural cost savings. Cash capital expenditures were $6.2 billion, up $0.3 billion from first quarter 2025.</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UPSTREAM</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260" w:type="dxa"/>
            <w:vAlign w:val="bottom"/>
            <w:shd w:val="clear" w:color="auto" w:fill="0C479D"/>
          </w:tcPr>
          <w:p>
            <w:pPr>
              <w:ind w:left="80"/>
              <w:spacing w:after="0"/>
              <w:rPr>
                <w:sz w:val="20"/>
                <w:szCs w:val="20"/>
                <w:color w:val="auto"/>
              </w:rPr>
            </w:pPr>
            <w:r>
              <w:rPr>
                <w:rFonts w:ascii="Times New Roman" w:cs="Times New Roman" w:eastAsia="Times New Roman" w:hAnsi="Times New Roman"/>
                <w:sz w:val="18"/>
                <w:szCs w:val="18"/>
                <w:b w:val="1"/>
                <w:bCs w:val="1"/>
                <w:color w:val="FFFFFF"/>
              </w:rPr>
              <w:t>Upstream Financial Results</w:t>
            </w:r>
          </w:p>
        </w:tc>
        <w:tc>
          <w:tcPr>
            <w:tcW w:w="1980" w:type="dxa"/>
            <w:vAlign w:val="bottom"/>
            <w:gridSpan w:val="3"/>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26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400" w:type="dxa"/>
            <w:vAlign w:val="bottom"/>
            <w:gridSpan w:val="2"/>
            <w:shd w:val="clear" w:color="auto" w:fill="0C479D"/>
          </w:tcPr>
          <w:p>
            <w:pPr>
              <w:jc w:val="center"/>
              <w:ind w:left="503"/>
              <w:spacing w:after="0" w:line="81" w:lineRule="exact"/>
              <w:rPr>
                <w:sz w:val="20"/>
                <w:szCs w:val="20"/>
                <w:color w:val="auto"/>
              </w:rPr>
            </w:pPr>
            <w:r>
              <w:rPr>
                <w:rFonts w:ascii="Times New Roman" w:cs="Times New Roman" w:eastAsia="Times New Roman" w:hAnsi="Times New Roman"/>
                <w:sz w:val="9"/>
                <w:szCs w:val="9"/>
                <w:b w:val="1"/>
                <w:bCs w:val="1"/>
                <w:color w:val="FFFFFF"/>
              </w:rPr>
              <w:t>March 31,</w:t>
            </w:r>
          </w:p>
        </w:tc>
        <w:tc>
          <w:tcPr>
            <w:tcW w:w="580" w:type="dxa"/>
            <w:vAlign w:val="bottom"/>
            <w:shd w:val="clear" w:color="auto" w:fill="0C479D"/>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0C479D"/>
            </w:tcBorders>
            <w:vMerge w:val="continue"/>
            <w:shd w:val="clear" w:color="auto" w:fill="0C479D"/>
          </w:tcPr>
          <w:p>
            <w:pPr>
              <w:spacing w:after="0"/>
              <w:rPr>
                <w:sz w:val="19"/>
                <w:szCs w:val="19"/>
                <w:color w:val="auto"/>
              </w:rPr>
            </w:pPr>
          </w:p>
        </w:tc>
        <w:tc>
          <w:tcPr>
            <w:tcW w:w="100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00" w:type="dxa"/>
            <w:vAlign w:val="bottom"/>
            <w:tcBorders>
              <w:bottom w:val="single" w:sz="8" w:color="0C479D"/>
            </w:tcBorders>
            <w:shd w:val="clear" w:color="auto" w:fill="0C479D"/>
          </w:tcPr>
          <w:p>
            <w:pPr>
              <w:spacing w:after="0"/>
              <w:rPr>
                <w:sz w:val="19"/>
                <w:szCs w:val="19"/>
                <w:color w:val="auto"/>
              </w:rPr>
            </w:pPr>
          </w:p>
        </w:tc>
        <w:tc>
          <w:tcPr>
            <w:tcW w:w="58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Borders>
              <w:bottom w:val="single" w:sz="8" w:color="0C479D"/>
            </w:tcBorders>
            <w:shd w:val="clear" w:color="auto" w:fill="0C479D"/>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Earnings (loss) (U.S. GAAP)</w:t>
            </w:r>
          </w:p>
        </w:tc>
        <w:tc>
          <w:tcPr>
            <w:tcW w:w="1000" w:type="dxa"/>
            <w:vAlign w:val="bottom"/>
            <w:shd w:val="clear" w:color="auto" w:fill="F0F0F0"/>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shd w:val="clear" w:color="auto" w:fill="F0F0F0"/>
          </w:tcPr>
          <w:p>
            <w:pPr>
              <w:jc w:val="right"/>
              <w:ind w:right="3"/>
              <w:spacing w:after="0"/>
              <w:rPr>
                <w:sz w:val="20"/>
                <w:szCs w:val="20"/>
                <w:color w:val="auto"/>
              </w:rPr>
            </w:pPr>
            <w:r>
              <w:rPr>
                <w:rFonts w:ascii="Times New Roman" w:cs="Times New Roman" w:eastAsia="Times New Roman" w:hAnsi="Times New Roman"/>
                <w:sz w:val="18"/>
                <w:szCs w:val="18"/>
                <w:color w:val="auto"/>
              </w:rPr>
              <w:t>1,574</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Non-U.S.</w:t>
            </w:r>
          </w:p>
        </w:tc>
        <w:tc>
          <w:tcPr>
            <w:tcW w:w="1000" w:type="dxa"/>
            <w:vAlign w:val="bottom"/>
            <w:tcBorders>
              <w:bottom w:val="single" w:sz="8" w:color="0C479D"/>
            </w:tcBorders>
            <w:shd w:val="clear" w:color="auto" w:fill="F0F0F0"/>
          </w:tcPr>
          <w:p>
            <w:pPr>
              <w:jc w:val="right"/>
              <w:ind w:right="3"/>
              <w:spacing w:after="0"/>
              <w:rPr>
                <w:sz w:val="20"/>
                <w:szCs w:val="20"/>
                <w:color w:val="auto"/>
              </w:rPr>
            </w:pPr>
            <w:r>
              <w:rPr>
                <w:rFonts w:ascii="Times New Roman" w:cs="Times New Roman" w:eastAsia="Times New Roman" w:hAnsi="Times New Roman"/>
                <w:sz w:val="18"/>
                <w:szCs w:val="18"/>
                <w:color w:val="auto"/>
              </w:rPr>
              <w:t>4,163</w:t>
            </w:r>
          </w:p>
        </w:tc>
        <w:tc>
          <w:tcPr>
            <w:tcW w:w="400" w:type="dxa"/>
            <w:vAlign w:val="bottom"/>
            <w:tcBorders>
              <w:bottom w:val="single" w:sz="8" w:color="0C479D"/>
            </w:tcBorders>
          </w:tcPr>
          <w:p>
            <w:pPr>
              <w:spacing w:after="0"/>
              <w:rPr>
                <w:sz w:val="18"/>
                <w:szCs w:val="18"/>
                <w:color w:val="auto"/>
              </w:rPr>
            </w:pP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0C479D"/>
            </w:tcBorders>
            <w:shd w:val="clear" w:color="auto" w:fill="F0F0F0"/>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5,737</w:t>
            </w:r>
          </w:p>
        </w:tc>
        <w:tc>
          <w:tcPr>
            <w:tcW w:w="400" w:type="dxa"/>
            <w:vAlign w:val="bottom"/>
            <w:tcBorders>
              <w:bottom w:val="single" w:sz="8" w:color="0C479D"/>
            </w:tcBorders>
          </w:tcPr>
          <w:p>
            <w:pPr>
              <w:spacing w:after="0"/>
              <w:rPr>
                <w:sz w:val="18"/>
                <w:szCs w:val="18"/>
                <w:color w:val="auto"/>
              </w:rPr>
            </w:pP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0C479D"/>
        </w:rPr>
        <w:t xml:space="preserve">Upstream First Quarter Earnings Driver Analysis </w:t>
      </w:r>
      <w:r>
        <w:rPr>
          <w:rFonts w:ascii="Times New Roman" w:cs="Times New Roman" w:eastAsia="Times New Roman" w:hAnsi="Times New Roman"/>
          <w:sz w:val="16"/>
          <w:szCs w:val="16"/>
          <w:i w:val="1"/>
          <w:iCs w:val="1"/>
          <w:color w:val="000000"/>
        </w:rPr>
        <w:t>(millions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 Decreased earnings by $280 million, on lower gas realizations, partially offset by higher crude realizations.</w:t>
      </w:r>
    </w:p>
    <w:p>
      <w:pPr>
        <w:spacing w:after="0" w:line="50"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Advantaged Volume Growth – Increased earnings by $610 million, mainly driven by record Guyana production, partially offset by Middle East disruption impacts.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Volume – Decreased earnings by $380 million, from divestments and Kazakhstan downtime.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Structural Cost Savings – Increased earnings by $170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 Decreased earnings by $650 million due to higher depreciation.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 Increased earnings by $200 million, primarily driven by one-time tax items.</w:t>
      </w:r>
    </w:p>
    <w:p>
      <w:pPr>
        <w:spacing w:after="0" w:line="3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Estimated Timing Effects – Decreased earnings by $690 million, mainly from unfavorable derivatives mark-to-market impacts to be reversed over time.</w:t>
      </w:r>
    </w:p>
    <w:p>
      <w:pPr>
        <w:sectPr>
          <w:pgSz w:w="11900" w:h="16838" w:orient="portrait"/>
          <w:cols w:equalWidth="0" w:num="1">
            <w:col w:w="9260"/>
          </w:cols>
          <w:pgMar w:left="1320" w:top="49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260"/>
          </w:cols>
          <w:pgMar w:left="1320" w:top="499" w:right="1319" w:bottom="1440" w:gutter="0" w:footer="0" w:header="0"/>
          <w:type w:val="continuous"/>
        </w:sectPr>
      </w:pPr>
    </w:p>
    <w:bookmarkStart w:id="20" w:name="page21"/>
    <w:bookmarkEnd w:id="20"/>
    <w:p>
      <w:pPr>
        <w:ind w:left="796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6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8"/>
                <w:szCs w:val="18"/>
                <w:b w:val="1"/>
                <w:bCs w:val="1"/>
                <w:color w:val="FFFFFF"/>
              </w:rPr>
              <w:t>Upstream Operational Results</w:t>
            </w:r>
          </w:p>
        </w:tc>
        <w:tc>
          <w:tcPr>
            <w:tcW w:w="1980" w:type="dxa"/>
            <w:vAlign w:val="bottom"/>
            <w:gridSpan w:val="4"/>
            <w:shd w:val="clear" w:color="auto" w:fill="0C479D"/>
          </w:tcPr>
          <w:p>
            <w:pPr>
              <w:jc w:val="right"/>
              <w:ind w:right="251"/>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260" w:type="dxa"/>
            <w:vAlign w:val="bottom"/>
            <w:vMerge w:val="continue"/>
            <w:shd w:val="clear" w:color="auto" w:fill="0C479D"/>
          </w:tcPr>
          <w:p>
            <w:pPr>
              <w:spacing w:after="0"/>
              <w:rPr>
                <w:sz w:val="14"/>
                <w:szCs w:val="14"/>
                <w:color w:val="auto"/>
              </w:rPr>
            </w:pPr>
          </w:p>
        </w:tc>
        <w:tc>
          <w:tcPr>
            <w:tcW w:w="1400" w:type="dxa"/>
            <w:vAlign w:val="bottom"/>
            <w:gridSpan w:val="3"/>
            <w:shd w:val="clear" w:color="auto" w:fill="0C479D"/>
          </w:tcPr>
          <w:p>
            <w:pPr>
              <w:ind w:left="680"/>
              <w:spacing w:after="0"/>
              <w:rPr>
                <w:sz w:val="20"/>
                <w:szCs w:val="20"/>
                <w:color w:val="auto"/>
              </w:rPr>
            </w:pPr>
            <w:r>
              <w:rPr>
                <w:rFonts w:ascii="Times New Roman" w:cs="Times New Roman" w:eastAsia="Times New Roman" w:hAnsi="Times New Roman"/>
                <w:sz w:val="14"/>
                <w:szCs w:val="14"/>
                <w:b w:val="1"/>
                <w:bCs w:val="1"/>
                <w:color w:val="FFFFFF"/>
              </w:rPr>
              <w:t>March 31,</w:t>
            </w:r>
          </w:p>
        </w:tc>
        <w:tc>
          <w:tcPr>
            <w:tcW w:w="580" w:type="dxa"/>
            <w:vAlign w:val="bottom"/>
            <w:shd w:val="clear" w:color="auto" w:fill="0C479D"/>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0C479D"/>
            </w:tcBorders>
            <w:shd w:val="clear" w:color="auto" w:fill="0C479D"/>
          </w:tcPr>
          <w:p>
            <w:pPr>
              <w:spacing w:after="0"/>
              <w:rPr>
                <w:sz w:val="19"/>
                <w:szCs w:val="19"/>
                <w:color w:val="auto"/>
              </w:rPr>
            </w:pPr>
          </w:p>
        </w:tc>
        <w:tc>
          <w:tcPr>
            <w:tcW w:w="1000" w:type="dxa"/>
            <w:vAlign w:val="bottom"/>
            <w:tcBorders>
              <w:bottom w:val="single" w:sz="8" w:color="0C479D"/>
            </w:tcBorders>
            <w:gridSpan w:val="2"/>
            <w:shd w:val="clear" w:color="auto" w:fill="0C479D"/>
          </w:tcPr>
          <w:p>
            <w:pPr>
              <w:ind w:left="660"/>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00" w:type="dxa"/>
            <w:vAlign w:val="bottom"/>
            <w:tcBorders>
              <w:bottom w:val="single" w:sz="8" w:color="0C479D"/>
            </w:tcBorders>
            <w:shd w:val="clear" w:color="auto" w:fill="0C479D"/>
          </w:tcPr>
          <w:p>
            <w:pPr>
              <w:spacing w:after="0"/>
              <w:rPr>
                <w:sz w:val="19"/>
                <w:szCs w:val="19"/>
                <w:color w:val="auto"/>
              </w:rPr>
            </w:pPr>
          </w:p>
        </w:tc>
        <w:tc>
          <w:tcPr>
            <w:tcW w:w="58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Borders>
              <w:bottom w:val="single" w:sz="8" w:color="0C479D"/>
            </w:tcBorders>
            <w:shd w:val="clear" w:color="auto" w:fill="0C479D"/>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Net production of crude oil, natural gas liquids, bitumen and synthetic oil</w:t>
            </w:r>
          </w:p>
        </w:tc>
        <w:tc>
          <w:tcPr>
            <w:tcW w:w="920" w:type="dxa"/>
            <w:vAlign w:val="bottom"/>
            <w:shd w:val="clear" w:color="auto" w:fill="F0F0F0"/>
          </w:tcPr>
          <w:p>
            <w:pPr>
              <w:spacing w:after="0"/>
              <w:rPr>
                <w:sz w:val="24"/>
                <w:szCs w:val="24"/>
                <w:color w:val="auto"/>
              </w:rPr>
            </w:pPr>
          </w:p>
        </w:tc>
        <w:tc>
          <w:tcPr>
            <w:tcW w:w="80" w:type="dxa"/>
            <w:vAlign w:val="bottom"/>
            <w:shd w:val="clear" w:color="auto" w:fill="F0F0F0"/>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2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(thousands of barrels daily)</w:t>
            </w:r>
          </w:p>
        </w:tc>
        <w:tc>
          <w:tcPr>
            <w:tcW w:w="920" w:type="dxa"/>
            <w:vAlign w:val="bottom"/>
            <w:shd w:val="clear" w:color="auto" w:fill="F0F0F0"/>
          </w:tcPr>
          <w:p>
            <w:pPr>
              <w:spacing w:after="0"/>
              <w:rPr>
                <w:sz w:val="16"/>
                <w:szCs w:val="16"/>
                <w:color w:val="auto"/>
              </w:rPr>
            </w:pPr>
          </w:p>
        </w:tc>
        <w:tc>
          <w:tcPr>
            <w:tcW w:w="80" w:type="dxa"/>
            <w:vAlign w:val="bottom"/>
            <w:shd w:val="clear" w:color="auto" w:fill="F0F0F0"/>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shd w:val="clear" w:color="auto" w:fill="F0F0F0"/>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Canada/Other Americas</w:t>
            </w:r>
          </w:p>
        </w:tc>
        <w:tc>
          <w:tcPr>
            <w:tcW w:w="9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shd w:val="clear" w:color="auto" w:fill="F0F0F0"/>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Europe</w:t>
            </w:r>
          </w:p>
        </w:tc>
        <w:tc>
          <w:tcPr>
            <w:tcW w:w="9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F0F0F0"/>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Africa</w:t>
            </w:r>
          </w:p>
        </w:tc>
        <w:tc>
          <w:tcPr>
            <w:tcW w:w="9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F0F0F0"/>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Asia</w:t>
            </w:r>
          </w:p>
        </w:tc>
        <w:tc>
          <w:tcPr>
            <w:tcW w:w="9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shd w:val="clear" w:color="auto" w:fill="F0F0F0"/>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Australia/Oceania</w:t>
            </w:r>
          </w:p>
        </w:tc>
        <w:tc>
          <w:tcPr>
            <w:tcW w:w="9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0C479D"/>
            </w:tcBorders>
            <w:shd w:val="clear" w:color="auto" w:fill="F0F0F0"/>
          </w:tcPr>
          <w:p>
            <w:pPr>
              <w:spacing w:after="0"/>
              <w:rPr>
                <w:sz w:val="19"/>
                <w:szCs w:val="19"/>
                <w:color w:val="auto"/>
              </w:rPr>
            </w:pPr>
          </w:p>
        </w:tc>
        <w:tc>
          <w:tcPr>
            <w:tcW w:w="400" w:type="dxa"/>
            <w:vAlign w:val="bottom"/>
            <w:tcBorders>
              <w:bottom w:val="single" w:sz="8" w:color="0C479D"/>
            </w:tcBorders>
          </w:tcPr>
          <w:p>
            <w:pPr>
              <w:spacing w:after="0"/>
              <w:rPr>
                <w:sz w:val="19"/>
                <w:szCs w:val="19"/>
                <w:color w:val="auto"/>
              </w:rPr>
            </w:pP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Worldwide</w:t>
            </w:r>
          </w:p>
        </w:tc>
        <w:tc>
          <w:tcPr>
            <w:tcW w:w="9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3,297</w:t>
            </w:r>
          </w:p>
        </w:tc>
        <w:tc>
          <w:tcPr>
            <w:tcW w:w="80" w:type="dxa"/>
            <w:vAlign w:val="bottom"/>
            <w:tcBorders>
              <w:bottom w:val="single" w:sz="8" w:color="0C479D"/>
            </w:tcBorders>
            <w:shd w:val="clear" w:color="auto" w:fill="F0F0F0"/>
          </w:tcPr>
          <w:p>
            <w:pPr>
              <w:spacing w:after="0"/>
              <w:rPr>
                <w:sz w:val="20"/>
                <w:szCs w:val="20"/>
                <w:color w:val="auto"/>
              </w:rPr>
            </w:pPr>
          </w:p>
        </w:tc>
        <w:tc>
          <w:tcPr>
            <w:tcW w:w="400" w:type="dxa"/>
            <w:vAlign w:val="bottom"/>
            <w:tcBorders>
              <w:bottom w:val="single" w:sz="8" w:color="0C479D"/>
            </w:tcBorders>
          </w:tcPr>
          <w:p>
            <w:pPr>
              <w:spacing w:after="0"/>
              <w:rPr>
                <w:sz w:val="20"/>
                <w:szCs w:val="20"/>
                <w:color w:val="auto"/>
              </w:rPr>
            </w:pP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Net natural gas production available for sale</w:t>
            </w:r>
          </w:p>
        </w:tc>
        <w:tc>
          <w:tcPr>
            <w:tcW w:w="920" w:type="dxa"/>
            <w:vAlign w:val="bottom"/>
            <w:shd w:val="clear" w:color="auto" w:fill="F0F0F0"/>
          </w:tcPr>
          <w:p>
            <w:pPr>
              <w:spacing w:after="0"/>
              <w:rPr>
                <w:sz w:val="24"/>
                <w:szCs w:val="24"/>
                <w:color w:val="auto"/>
              </w:rPr>
            </w:pPr>
          </w:p>
        </w:tc>
        <w:tc>
          <w:tcPr>
            <w:tcW w:w="80" w:type="dxa"/>
            <w:vAlign w:val="bottom"/>
            <w:shd w:val="clear" w:color="auto" w:fill="F0F0F0"/>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2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(millions of cubic feet daily)</w:t>
            </w:r>
          </w:p>
        </w:tc>
        <w:tc>
          <w:tcPr>
            <w:tcW w:w="920" w:type="dxa"/>
            <w:vAlign w:val="bottom"/>
            <w:shd w:val="clear" w:color="auto" w:fill="F0F0F0"/>
          </w:tcPr>
          <w:p>
            <w:pPr>
              <w:spacing w:after="0"/>
              <w:rPr>
                <w:sz w:val="16"/>
                <w:szCs w:val="16"/>
                <w:color w:val="auto"/>
              </w:rPr>
            </w:pPr>
          </w:p>
        </w:tc>
        <w:tc>
          <w:tcPr>
            <w:tcW w:w="80" w:type="dxa"/>
            <w:vAlign w:val="bottom"/>
            <w:shd w:val="clear" w:color="auto" w:fill="F0F0F0"/>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80" w:type="dxa"/>
            <w:vAlign w:val="bottom"/>
            <w:shd w:val="clear" w:color="auto" w:fill="F0F0F0"/>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Canada/Other Americas</w:t>
            </w:r>
          </w:p>
        </w:tc>
        <w:tc>
          <w:tcPr>
            <w:tcW w:w="9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F0F0F0"/>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Europe</w:t>
            </w:r>
          </w:p>
        </w:tc>
        <w:tc>
          <w:tcPr>
            <w:tcW w:w="9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F0F0F0"/>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Africa</w:t>
            </w:r>
          </w:p>
        </w:tc>
        <w:tc>
          <w:tcPr>
            <w:tcW w:w="9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F0F0F0"/>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Asia</w:t>
            </w:r>
          </w:p>
        </w:tc>
        <w:tc>
          <w:tcPr>
            <w:tcW w:w="9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F0F0F0"/>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Australia/Oceania</w:t>
            </w:r>
          </w:p>
        </w:tc>
        <w:tc>
          <w:tcPr>
            <w:tcW w:w="9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tcBorders>
              <w:bottom w:val="single" w:sz="8" w:color="0C479D"/>
            </w:tcBorders>
            <w:shd w:val="clear" w:color="auto" w:fill="F0F0F0"/>
          </w:tcPr>
          <w:p>
            <w:pPr>
              <w:spacing w:after="0"/>
              <w:rPr>
                <w:sz w:val="19"/>
                <w:szCs w:val="19"/>
                <w:color w:val="auto"/>
              </w:rPr>
            </w:pPr>
          </w:p>
        </w:tc>
        <w:tc>
          <w:tcPr>
            <w:tcW w:w="400" w:type="dxa"/>
            <w:vAlign w:val="bottom"/>
            <w:tcBorders>
              <w:bottom w:val="single" w:sz="8" w:color="0C479D"/>
            </w:tcBorders>
          </w:tcPr>
          <w:p>
            <w:pPr>
              <w:spacing w:after="0"/>
              <w:rPr>
                <w:sz w:val="19"/>
                <w:szCs w:val="19"/>
                <w:color w:val="auto"/>
              </w:rPr>
            </w:pP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Worldwide</w:t>
            </w:r>
          </w:p>
        </w:tc>
        <w:tc>
          <w:tcPr>
            <w:tcW w:w="9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F0F0F0"/>
              </w:rPr>
              <w:t>7,779</w:t>
            </w:r>
          </w:p>
        </w:tc>
        <w:tc>
          <w:tcPr>
            <w:tcW w:w="80" w:type="dxa"/>
            <w:vAlign w:val="bottom"/>
            <w:tcBorders>
              <w:bottom w:val="single" w:sz="8" w:color="0C479D"/>
            </w:tcBorders>
            <w:shd w:val="clear" w:color="auto" w:fill="F0F0F0"/>
          </w:tcPr>
          <w:p>
            <w:pPr>
              <w:spacing w:after="0"/>
              <w:rPr>
                <w:sz w:val="20"/>
                <w:szCs w:val="20"/>
                <w:color w:val="auto"/>
              </w:rPr>
            </w:pPr>
          </w:p>
        </w:tc>
        <w:tc>
          <w:tcPr>
            <w:tcW w:w="400" w:type="dxa"/>
            <w:vAlign w:val="bottom"/>
            <w:tcBorders>
              <w:bottom w:val="single" w:sz="8" w:color="0C479D"/>
            </w:tcBorders>
          </w:tcPr>
          <w:p>
            <w:pPr>
              <w:spacing w:after="0"/>
              <w:rPr>
                <w:sz w:val="20"/>
                <w:szCs w:val="20"/>
                <w:color w:val="auto"/>
              </w:rPr>
            </w:pP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 xml:space="preserve">Oil-equivalent production </w:t>
            </w:r>
            <w:r>
              <w:rPr>
                <w:rFonts w:ascii="Times New Roman" w:cs="Times New Roman" w:eastAsia="Times New Roman" w:hAnsi="Times New Roman"/>
                <w:sz w:val="23"/>
                <w:szCs w:val="23"/>
                <w:i w:val="1"/>
                <w:iCs w:val="1"/>
                <w:color w:val="0C479D"/>
                <w:vertAlign w:val="superscript"/>
              </w:rPr>
              <w:t>(1)</w:t>
            </w:r>
          </w:p>
        </w:tc>
        <w:tc>
          <w:tcPr>
            <w:tcW w:w="92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80" w:type="dxa"/>
            <w:vAlign w:val="bottom"/>
            <w:shd w:val="clear" w:color="auto" w:fill="F0F0F0"/>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7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(thousands of oil-equivalent barrels daily)</w:t>
            </w:r>
          </w:p>
        </w:tc>
        <w:tc>
          <w:tcPr>
            <w:tcW w:w="920" w:type="dxa"/>
            <w:vAlign w:val="bottom"/>
            <w:vMerge w:val="continue"/>
            <w:shd w:val="clear" w:color="auto" w:fill="F0F0F0"/>
          </w:tcPr>
          <w:p>
            <w:pPr>
              <w:spacing w:after="0"/>
              <w:rPr>
                <w:sz w:val="8"/>
                <w:szCs w:val="8"/>
                <w:color w:val="auto"/>
              </w:rPr>
            </w:pPr>
          </w:p>
        </w:tc>
        <w:tc>
          <w:tcPr>
            <w:tcW w:w="80" w:type="dxa"/>
            <w:vAlign w:val="bottom"/>
            <w:shd w:val="clear" w:color="auto" w:fill="F0F0F0"/>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7260" w:type="dxa"/>
            <w:vAlign w:val="bottom"/>
            <w:tcBorders>
              <w:bottom w:val="single" w:sz="8" w:color="0C479D"/>
            </w:tcBorders>
            <w:vMerge w:val="continue"/>
          </w:tcPr>
          <w:p>
            <w:pPr>
              <w:spacing w:after="0"/>
              <w:rPr>
                <w:sz w:val="8"/>
                <w:szCs w:val="8"/>
                <w:color w:val="auto"/>
              </w:rPr>
            </w:pPr>
          </w:p>
        </w:tc>
        <w:tc>
          <w:tcPr>
            <w:tcW w:w="920" w:type="dxa"/>
            <w:vAlign w:val="bottom"/>
            <w:tcBorders>
              <w:bottom w:val="single" w:sz="8" w:color="0C479D"/>
            </w:tcBorders>
            <w:shd w:val="clear" w:color="auto" w:fill="F0F0F0"/>
          </w:tcPr>
          <w:p>
            <w:pPr>
              <w:spacing w:after="0"/>
              <w:rPr>
                <w:sz w:val="8"/>
                <w:szCs w:val="8"/>
                <w:color w:val="auto"/>
              </w:rPr>
            </w:pPr>
          </w:p>
        </w:tc>
        <w:tc>
          <w:tcPr>
            <w:tcW w:w="80" w:type="dxa"/>
            <w:vAlign w:val="bottom"/>
            <w:tcBorders>
              <w:bottom w:val="single" w:sz="8" w:color="0C479D"/>
            </w:tcBorders>
            <w:shd w:val="clear" w:color="auto" w:fill="F0F0F0"/>
          </w:tcPr>
          <w:p>
            <w:pPr>
              <w:spacing w:after="0"/>
              <w:rPr>
                <w:sz w:val="8"/>
                <w:szCs w:val="8"/>
                <w:color w:val="auto"/>
              </w:rPr>
            </w:pPr>
          </w:p>
        </w:tc>
        <w:tc>
          <w:tcPr>
            <w:tcW w:w="400" w:type="dxa"/>
            <w:vAlign w:val="bottom"/>
            <w:tcBorders>
              <w:bottom w:val="single" w:sz="8" w:color="0C479D"/>
            </w:tcBorders>
          </w:tcPr>
          <w:p>
            <w:pPr>
              <w:spacing w:after="0"/>
              <w:rPr>
                <w:sz w:val="8"/>
                <w:szCs w:val="8"/>
                <w:color w:val="auto"/>
              </w:rPr>
            </w:pPr>
          </w:p>
        </w:tc>
        <w:tc>
          <w:tcPr>
            <w:tcW w:w="580" w:type="dxa"/>
            <w:vAlign w:val="bottom"/>
            <w:tcBorders>
              <w:bottom w:val="single" w:sz="8" w:color="0C479D"/>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20" w:hanging="152"/>
        <w:spacing w:after="0"/>
        <w:tabs>
          <w:tab w:leader="none" w:pos="220" w:val="left"/>
        </w:tabs>
        <w:numPr>
          <w:ilvl w:val="0"/>
          <w:numId w:val="1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6"/>
          <w:szCs w:val="16"/>
          <w:i w:val="1"/>
          <w:iCs w:val="1"/>
          <w:color w:val="auto"/>
        </w:rPr>
        <w:t>Natural gas is converted to an oil-equivalent basis at six million cubic feet per one thousand barrels.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80" w:type="dxa"/>
            <w:vAlign w:val="bottom"/>
            <w:shd w:val="clear" w:color="auto" w:fill="0C479D"/>
          </w:tcPr>
          <w:p>
            <w:pPr>
              <w:ind w:left="80"/>
              <w:spacing w:after="0"/>
              <w:rPr>
                <w:sz w:val="20"/>
                <w:szCs w:val="20"/>
                <w:color w:val="auto"/>
              </w:rPr>
            </w:pPr>
            <w:r>
              <w:rPr>
                <w:rFonts w:ascii="Times New Roman" w:cs="Times New Roman" w:eastAsia="Times New Roman" w:hAnsi="Times New Roman"/>
                <w:sz w:val="18"/>
                <w:szCs w:val="18"/>
                <w:b w:val="1"/>
                <w:bCs w:val="1"/>
                <w:color w:val="FFFFFF"/>
              </w:rPr>
              <w:t>Upstream Additional Information</w:t>
            </w:r>
          </w:p>
        </w:tc>
        <w:tc>
          <w:tcPr>
            <w:tcW w:w="1860" w:type="dxa"/>
            <w:vAlign w:val="bottom"/>
            <w:shd w:val="clear" w:color="auto" w:fill="0C479D"/>
          </w:tcPr>
          <w:p>
            <w:pPr>
              <w:jc w:val="right"/>
              <w:ind w:right="194"/>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shd w:val="clear" w:color="auto" w:fill="0C479D"/>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38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(thousands of barrels daily)</w:t>
            </w:r>
          </w:p>
        </w:tc>
        <w:tc>
          <w:tcPr>
            <w:tcW w:w="1860" w:type="dxa"/>
            <w:vAlign w:val="bottom"/>
            <w:shd w:val="clear" w:color="auto" w:fill="0C479D"/>
          </w:tcPr>
          <w:p>
            <w:pPr>
              <w:jc w:val="right"/>
              <w:ind w:right="534"/>
              <w:spacing w:after="0"/>
              <w:rPr>
                <w:sz w:val="20"/>
                <w:szCs w:val="20"/>
                <w:color w:val="auto"/>
              </w:rPr>
            </w:pPr>
            <w:r>
              <w:rPr>
                <w:rFonts w:ascii="Times New Roman" w:cs="Times New Roman" w:eastAsia="Times New Roman" w:hAnsi="Times New Roman"/>
                <w:sz w:val="14"/>
                <w:szCs w:val="14"/>
                <w:b w:val="1"/>
                <w:bCs w:val="1"/>
                <w:color w:val="FFFFFF"/>
              </w:rPr>
              <w:t>March 31,</w:t>
            </w:r>
          </w:p>
        </w:tc>
        <w:tc>
          <w:tcPr>
            <w:tcW w:w="2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7380" w:type="dxa"/>
            <w:vAlign w:val="bottom"/>
            <w:vMerge w:val="continue"/>
            <w:shd w:val="clear" w:color="auto" w:fill="0C479D"/>
          </w:tcPr>
          <w:p>
            <w:pPr>
              <w:spacing w:after="0"/>
              <w:rPr>
                <w:sz w:val="5"/>
                <w:szCs w:val="5"/>
                <w:color w:val="auto"/>
              </w:rPr>
            </w:pPr>
          </w:p>
        </w:tc>
        <w:tc>
          <w:tcPr>
            <w:tcW w:w="1860" w:type="dxa"/>
            <w:vAlign w:val="bottom"/>
            <w:shd w:val="clear" w:color="auto" w:fill="0C479D"/>
          </w:tcPr>
          <w:p>
            <w:pPr>
              <w:spacing w:after="0"/>
              <w:rPr>
                <w:sz w:val="5"/>
                <w:szCs w:val="5"/>
                <w:color w:val="auto"/>
              </w:rPr>
            </w:pPr>
          </w:p>
        </w:tc>
        <w:tc>
          <w:tcPr>
            <w:tcW w:w="20" w:type="dxa"/>
            <w:vAlign w:val="bottom"/>
            <w:shd w:val="clear" w:color="auto" w:fill="0C479D"/>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7380" w:type="dxa"/>
            <w:vAlign w:val="bottom"/>
          </w:tcPr>
          <w:p>
            <w:pPr>
              <w:ind w:left="60"/>
              <w:spacing w:after="0" w:line="247" w:lineRule="exact"/>
              <w:rPr>
                <w:sz w:val="20"/>
                <w:szCs w:val="20"/>
                <w:color w:val="auto"/>
              </w:rPr>
            </w:pPr>
            <w:r>
              <w:rPr>
                <w:rFonts w:ascii="Times New Roman" w:cs="Times New Roman" w:eastAsia="Times New Roman" w:hAnsi="Times New Roman"/>
                <w:sz w:val="18"/>
                <w:szCs w:val="18"/>
                <w:b w:val="1"/>
                <w:bCs w:val="1"/>
                <w:color w:val="0C479D"/>
              </w:rPr>
              <w:t xml:space="preserve">Volumes reconciliation (Oil-equivalent production) </w:t>
            </w:r>
            <w:r>
              <w:rPr>
                <w:rFonts w:ascii="Times New Roman" w:cs="Times New Roman" w:eastAsia="Times New Roman" w:hAnsi="Times New Roman"/>
                <w:sz w:val="23"/>
                <w:szCs w:val="23"/>
                <w:i w:val="1"/>
                <w:iCs w:val="1"/>
                <w:color w:val="0C479D"/>
                <w:vertAlign w:val="superscript"/>
              </w:rPr>
              <w:t>(1)</w:t>
            </w: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Entitlements - Net Interest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Entitlements - Price / Spend / Other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Government Mandates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Divestments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8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Growth / Other</w:t>
            </w:r>
          </w:p>
        </w:tc>
        <w:tc>
          <w:tcPr>
            <w:tcW w:w="1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380" w:type="dxa"/>
            <w:vAlign w:val="bottom"/>
            <w:tcBorders>
              <w:bottom w:val="single" w:sz="8" w:color="0C479D"/>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2026</w:t>
            </w:r>
          </w:p>
        </w:tc>
        <w:tc>
          <w:tcPr>
            <w:tcW w:w="1860" w:type="dxa"/>
            <w:vAlign w:val="bottom"/>
            <w:tcBorders>
              <w:bottom w:val="single" w:sz="8" w:color="0C479D"/>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4,594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40" w:hanging="172"/>
        <w:spacing w:after="0"/>
        <w:tabs>
          <w:tab w:leader="none" w:pos="240" w:val="left"/>
        </w:tabs>
        <w:numPr>
          <w:ilvl w:val="0"/>
          <w:numId w:val="17"/>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Natural gas is converted to an oil-equivalent basis at six million cubic feet per one thousand barrels.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1Q 2026</w:t>
            </w:r>
          </w:p>
        </w:tc>
        <w:tc>
          <w:tcPr>
            <w:tcW w:w="7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1Q 2026 production of  4.6 million oil-equivalent barrels per day   increased 43 thousand oil-</w:t>
            </w:r>
          </w:p>
        </w:tc>
      </w:tr>
      <w:tr>
        <w:trPr>
          <w:trHeight w:val="216"/>
        </w:trPr>
        <w:tc>
          <w:tcPr>
            <w:tcW w:w="17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versus</w:t>
            </w:r>
          </w:p>
        </w:tc>
        <w:tc>
          <w:tcPr>
            <w:tcW w:w="7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equivalent barrels per day from 1Q 2025, driven by Permian and Guyana growth, partially offset</w:t>
            </w:r>
          </w:p>
        </w:tc>
      </w:tr>
      <w:tr>
        <w:trPr>
          <w:trHeight w:val="198"/>
        </w:trPr>
        <w:tc>
          <w:tcPr>
            <w:tcW w:w="1780" w:type="dxa"/>
            <w:vAlign w:val="bottom"/>
            <w:tcBorders>
              <w:bottom w:val="single" w:sz="8" w:color="0C479D"/>
            </w:tcBorders>
          </w:tcPr>
          <w:p>
            <w:pPr>
              <w:jc w:val="center"/>
              <w:ind w:left="290"/>
              <w:spacing w:after="0" w:line="198" w:lineRule="exact"/>
              <w:rPr>
                <w:sz w:val="20"/>
                <w:szCs w:val="20"/>
                <w:color w:val="auto"/>
              </w:rPr>
            </w:pPr>
            <w:r>
              <w:rPr>
                <w:rFonts w:ascii="Times New Roman" w:cs="Times New Roman" w:eastAsia="Times New Roman" w:hAnsi="Times New Roman"/>
                <w:sz w:val="18"/>
                <w:szCs w:val="18"/>
                <w:b w:val="1"/>
                <w:bCs w:val="1"/>
                <w:color w:val="auto"/>
              </w:rPr>
              <w:t>1Q 2025</w:t>
            </w:r>
          </w:p>
        </w:tc>
        <w:tc>
          <w:tcPr>
            <w:tcW w:w="7460" w:type="dxa"/>
            <w:vAlign w:val="bottom"/>
            <w:tcBorders>
              <w:bottom w:val="single" w:sz="8" w:color="0C479D"/>
            </w:tcBorders>
          </w:tcPr>
          <w:p>
            <w:pPr>
              <w:ind w:left="380"/>
              <w:spacing w:after="0" w:line="198" w:lineRule="exact"/>
              <w:rPr>
                <w:sz w:val="20"/>
                <w:szCs w:val="20"/>
                <w:color w:val="auto"/>
              </w:rPr>
            </w:pPr>
            <w:r>
              <w:rPr>
                <w:rFonts w:ascii="Times New Roman" w:cs="Times New Roman" w:eastAsia="Times New Roman" w:hAnsi="Times New Roman"/>
                <w:sz w:val="18"/>
                <w:szCs w:val="18"/>
                <w:color w:val="auto"/>
              </w:rPr>
              <w:t>by Middle East disruptions and Kazakhstan downtime.</w:t>
            </w:r>
          </w:p>
        </w:tc>
      </w:tr>
    </w:tbl>
    <w:p>
      <w:pPr>
        <w:spacing w:after="0" w:line="144"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Listed below are descriptions of ExxonMobil’s volumes reconciliation drivers which are provided to facilitate understanding of the terms.</w:t>
      </w:r>
    </w:p>
    <w:p>
      <w:pPr>
        <w:spacing w:after="0" w:line="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Entitlements - Net Interest </w:t>
      </w:r>
      <w:r>
        <w:rPr>
          <w:rFonts w:ascii="Times New Roman" w:cs="Times New Roman" w:eastAsia="Times New Roman" w:hAnsi="Times New Roman"/>
          <w:sz w:val="18"/>
          <w:szCs w:val="18"/>
          <w:color w:val="auto"/>
        </w:rPr>
        <w:t>are changes to ExxonMobil’s share of production volumes caused by non-operational changes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volume-determining drivers. These drivers consist of net interest changes specified in Production Sharing Contracts (PSCs), which typically occur when cumulative investment returns or production volumes achieve defined thresholds, changes in equity upon achieving pay-out in partner investment carry situations, equity redeterminations as specified in venture agreements, or as a result of the termination or expiry of a concession. Once a net interest change has occurred, it typically will not be reversed by subsequent events, such as lower crude oil prices.</w:t>
      </w:r>
    </w:p>
    <w:p>
      <w:pPr>
        <w:spacing w:after="0" w:line="6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Entitlements - Price / Spend / Other </w:t>
      </w:r>
      <w:r>
        <w:rPr>
          <w:rFonts w:ascii="Times New Roman" w:cs="Times New Roman" w:eastAsia="Times New Roman" w:hAnsi="Times New Roman"/>
          <w:sz w:val="18"/>
          <w:szCs w:val="18"/>
          <w:color w:val="auto"/>
        </w:rPr>
        <w:t>are changes to ExxonMobil’s share of production volumes resulting from temporary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non-operational volume-determining drivers. These drivers include changes in oil and gas prices or spending levels from one period to another. According to the terms of contractual arrangements or government royalty regimes, price or spending variability can increase or decrease royalty burdens and/or volumes attributable to ExxonMobil. For example, at</w:t>
      </w:r>
    </w:p>
    <w:p>
      <w:pPr>
        <w:sectPr>
          <w:pgSz w:w="11900" w:h="16838" w:orient="portrait"/>
          <w:cols w:equalWidth="0" w:num="1">
            <w:col w:w="9260"/>
          </w:cols>
          <w:pgMar w:left="1320" w:top="499" w:right="1319" w:bottom="1440" w:gutter="0" w:footer="0" w:header="0"/>
        </w:sect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260"/>
          </w:cols>
          <w:pgMar w:left="1320" w:top="499" w:right="1319" w:bottom="1440" w:gutter="0" w:footer="0" w:header="0"/>
          <w:type w:val="continuous"/>
        </w:sectPr>
      </w:pPr>
    </w:p>
    <w:bookmarkStart w:id="21" w:name="page22"/>
    <w:bookmarkEnd w:id="21"/>
    <w:p>
      <w:pPr>
        <w:jc w:val="right"/>
        <w:ind w:right="4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higher prices, fewer barrels are required for ExxonMobil to recover its costs. These effects generally vary from period to period with field spending patterns or market prices for oil and natural gas. Such drivers can also include other temporary changes in net interest as dictated by specific provisions in production agreements.</w:t>
      </w:r>
    </w:p>
    <w:p>
      <w:pPr>
        <w:spacing w:after="0" w:line="5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Government Mandates </w:t>
      </w:r>
      <w:r>
        <w:rPr>
          <w:rFonts w:ascii="Times New Roman" w:cs="Times New Roman" w:eastAsia="Times New Roman" w:hAnsi="Times New Roman"/>
          <w:sz w:val="18"/>
          <w:szCs w:val="18"/>
          <w:color w:val="auto"/>
        </w:rPr>
        <w:t>are changes to ExxonMobil's sustainable production levels as a result of production limits or sanctions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imposed by governments.</w:t>
      </w:r>
    </w:p>
    <w:p>
      <w:pPr>
        <w:spacing w:after="0" w:line="23"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Divestments </w:t>
      </w:r>
      <w:r>
        <w:rPr>
          <w:rFonts w:ascii="Times New Roman" w:cs="Times New Roman" w:eastAsia="Times New Roman" w:hAnsi="Times New Roman"/>
          <w:sz w:val="18"/>
          <w:szCs w:val="18"/>
          <w:color w:val="auto"/>
        </w:rPr>
        <w:t>are reductions in ExxonMobil’s production arising from commercial arrangements to fully or partially reduce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 a field or asset in exchange for financial or other economic consideration.</w:t>
      </w:r>
    </w:p>
    <w:p>
      <w:pPr>
        <w:spacing w:after="0" w:line="3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Growth and Other </w:t>
      </w:r>
      <w:r>
        <w:rPr>
          <w:rFonts w:ascii="Times New Roman" w:cs="Times New Roman" w:eastAsia="Times New Roman" w:hAnsi="Times New Roman"/>
          <w:sz w:val="18"/>
          <w:szCs w:val="18"/>
          <w:color w:val="auto"/>
        </w:rPr>
        <w:t>comprise all other operational and non-operational drivers not covered by the above definitions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volumes attributable to ExxonMobil. Such drivers include, but are not limited to, production enhancements from project and work program activities, acquisitions including additions from asset exchanges, downtime, market demand, natural field decline, and any fiscal or commercial terms that do not affect entitlements.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ENERGY PRODUCTS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260" w:type="dxa"/>
            <w:vAlign w:val="bottom"/>
            <w:shd w:val="clear" w:color="auto" w:fill="0C479D"/>
          </w:tcPr>
          <w:p>
            <w:pPr>
              <w:ind w:left="80"/>
              <w:spacing w:after="0"/>
              <w:rPr>
                <w:sz w:val="20"/>
                <w:szCs w:val="20"/>
                <w:color w:val="auto"/>
              </w:rPr>
            </w:pPr>
            <w:r>
              <w:rPr>
                <w:rFonts w:ascii="Times New Roman" w:cs="Times New Roman" w:eastAsia="Times New Roman" w:hAnsi="Times New Roman"/>
                <w:sz w:val="18"/>
                <w:szCs w:val="18"/>
                <w:b w:val="1"/>
                <w:bCs w:val="1"/>
                <w:color w:val="FFFFFF"/>
              </w:rPr>
              <w:t>Energy Products Financial Results</w:t>
            </w:r>
          </w:p>
        </w:tc>
        <w:tc>
          <w:tcPr>
            <w:tcW w:w="1980" w:type="dxa"/>
            <w:vAlign w:val="bottom"/>
            <w:gridSpan w:val="3"/>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24"/>
                <w:szCs w:val="24"/>
                <w:color w:val="auto"/>
              </w:rPr>
            </w:pPr>
          </w:p>
        </w:tc>
      </w:tr>
      <w:tr>
        <w:trPr>
          <w:trHeight w:val="81"/>
        </w:trPr>
        <w:tc>
          <w:tcPr>
            <w:tcW w:w="7260" w:type="dxa"/>
            <w:vAlign w:val="bottom"/>
            <w:shd w:val="clear" w:color="auto" w:fill="0C479D"/>
          </w:tcPr>
          <w:p>
            <w:pPr>
              <w:spacing w:after="0"/>
              <w:rPr>
                <w:sz w:val="7"/>
                <w:szCs w:val="7"/>
                <w:color w:val="auto"/>
              </w:rPr>
            </w:pPr>
          </w:p>
        </w:tc>
        <w:tc>
          <w:tcPr>
            <w:tcW w:w="1480" w:type="dxa"/>
            <w:vAlign w:val="bottom"/>
            <w:gridSpan w:val="2"/>
            <w:shd w:val="clear" w:color="auto" w:fill="0C479D"/>
          </w:tcPr>
          <w:p>
            <w:pPr>
              <w:jc w:val="center"/>
              <w:ind w:left="423"/>
              <w:spacing w:after="0" w:line="81" w:lineRule="exact"/>
              <w:rPr>
                <w:sz w:val="20"/>
                <w:szCs w:val="20"/>
                <w:color w:val="auto"/>
              </w:rPr>
            </w:pPr>
            <w:r>
              <w:rPr>
                <w:rFonts w:ascii="Times New Roman" w:cs="Times New Roman" w:eastAsia="Times New Roman" w:hAnsi="Times New Roman"/>
                <w:sz w:val="9"/>
                <w:szCs w:val="9"/>
                <w:b w:val="1"/>
                <w:bCs w:val="1"/>
                <w:color w:val="FFFFFF"/>
              </w:rPr>
              <w:t>March 31,</w:t>
            </w:r>
          </w:p>
        </w:tc>
        <w:tc>
          <w:tcPr>
            <w:tcW w:w="500" w:type="dxa"/>
            <w:vAlign w:val="bottom"/>
            <w:shd w:val="clear" w:color="auto" w:fill="0C479D"/>
          </w:tcPr>
          <w:p>
            <w:pPr>
              <w:spacing w:after="0"/>
              <w:rPr>
                <w:sz w:val="7"/>
                <w:szCs w:val="7"/>
                <w:color w:val="auto"/>
              </w:rPr>
            </w:pPr>
          </w:p>
        </w:tc>
        <w:tc>
          <w:tcPr>
            <w:tcW w:w="20" w:type="dxa"/>
            <w:vAlign w:val="bottom"/>
          </w:tcPr>
          <w:p>
            <w:pPr>
              <w:spacing w:after="0"/>
              <w:rPr>
                <w:sz w:val="7"/>
                <w:szCs w:val="7"/>
                <w:color w:val="auto"/>
              </w:rPr>
            </w:pPr>
          </w:p>
        </w:tc>
      </w:tr>
      <w:tr>
        <w:trPr>
          <w:trHeight w:val="223"/>
        </w:trPr>
        <w:tc>
          <w:tcPr>
            <w:tcW w:w="7260" w:type="dxa"/>
            <w:vAlign w:val="bottom"/>
            <w:tcBorders>
              <w:bottom w:val="single" w:sz="8" w:color="0C479D"/>
            </w:tcBorders>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00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80" w:type="dxa"/>
            <w:vAlign w:val="bottom"/>
            <w:tcBorders>
              <w:bottom w:val="single" w:sz="8" w:color="0C479D"/>
            </w:tcBorders>
            <w:shd w:val="clear" w:color="auto" w:fill="0C479D"/>
          </w:tcPr>
          <w:p>
            <w:pPr>
              <w:spacing w:after="0"/>
              <w:rPr>
                <w:sz w:val="19"/>
                <w:szCs w:val="19"/>
                <w:color w:val="auto"/>
              </w:rPr>
            </w:pPr>
          </w:p>
        </w:tc>
        <w:tc>
          <w:tcPr>
            <w:tcW w:w="500" w:type="dxa"/>
            <w:vAlign w:val="bottom"/>
            <w:tcBorders>
              <w:bottom w:val="single" w:sz="8" w:color="0C479D"/>
            </w:tcBorders>
            <w:shd w:val="clear" w:color="auto" w:fill="0C479D"/>
          </w:tcPr>
          <w:p>
            <w:pPr>
              <w:ind w:left="160"/>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Borders>
              <w:bottom w:val="single" w:sz="8" w:color="0C479D"/>
            </w:tcBorders>
            <w:shd w:val="clear" w:color="auto" w:fill="0C479D"/>
          </w:tcPr>
          <w:p>
            <w:pPr>
              <w:spacing w:after="0"/>
              <w:rPr>
                <w:sz w:val="19"/>
                <w:szCs w:val="19"/>
                <w:color w:val="auto"/>
              </w:rPr>
            </w:pPr>
          </w:p>
        </w:tc>
      </w:tr>
      <w:tr>
        <w:trPr>
          <w:trHeight w:val="238"/>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Earnings (loss) (U.S. GAAP)</w:t>
            </w:r>
          </w:p>
        </w:tc>
        <w:tc>
          <w:tcPr>
            <w:tcW w:w="1000" w:type="dxa"/>
            <w:vAlign w:val="bottom"/>
            <w:shd w:val="clear" w:color="auto" w:fill="F0F0F0"/>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shd w:val="clear" w:color="auto" w:fill="F0F0F0"/>
          </w:tcPr>
          <w:p>
            <w:pPr>
              <w:jc w:val="right"/>
              <w:ind w:right="3"/>
              <w:spacing w:after="0"/>
              <w:rPr>
                <w:sz w:val="20"/>
                <w:szCs w:val="20"/>
                <w:color w:val="auto"/>
              </w:rPr>
            </w:pPr>
            <w:r>
              <w:rPr>
                <w:rFonts w:ascii="Times New Roman" w:cs="Times New Roman" w:eastAsia="Times New Roman" w:hAnsi="Times New Roman"/>
                <w:sz w:val="18"/>
                <w:szCs w:val="18"/>
                <w:color w:val="auto"/>
              </w:rPr>
              <w:t>661</w:t>
            </w:r>
          </w:p>
        </w:tc>
        <w:tc>
          <w:tcPr>
            <w:tcW w:w="480" w:type="dxa"/>
            <w:vAlign w:val="bottom"/>
          </w:tcPr>
          <w:p>
            <w:pPr>
              <w:spacing w:after="0"/>
              <w:rPr>
                <w:sz w:val="19"/>
                <w:szCs w:val="19"/>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tcPr>
          <w:p>
            <w:pPr>
              <w:spacing w:after="0"/>
              <w:rPr>
                <w:sz w:val="19"/>
                <w:szCs w:val="19"/>
                <w:color w:val="auto"/>
              </w:rPr>
            </w:pPr>
          </w:p>
        </w:tc>
      </w:tr>
      <w:tr>
        <w:trPr>
          <w:trHeight w:val="207"/>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Non-U.S.</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480" w:type="dxa"/>
            <w:vAlign w:val="bottom"/>
            <w:tcBorders>
              <w:bottom w:val="single" w:sz="8" w:color="0C479D"/>
            </w:tcBorders>
          </w:tcPr>
          <w:p>
            <w:pPr>
              <w:spacing w:after="0"/>
              <w:rPr>
                <w:sz w:val="18"/>
                <w:szCs w:val="18"/>
                <w:color w:val="auto"/>
              </w:rPr>
            </w:pPr>
          </w:p>
        </w:tc>
        <w:tc>
          <w:tcPr>
            <w:tcW w:w="500" w:type="dxa"/>
            <w:vAlign w:val="bottom"/>
            <w:tcBorders>
              <w:bottom w:val="single" w:sz="8" w:color="0C479D"/>
            </w:tcBorders>
          </w:tcPr>
          <w:p>
            <w:pPr>
              <w:ind w:left="160"/>
              <w:spacing w:after="0"/>
              <w:rPr>
                <w:sz w:val="20"/>
                <w:szCs w:val="20"/>
                <w:color w:val="auto"/>
              </w:rPr>
            </w:pPr>
            <w:r>
              <w:rPr>
                <w:rFonts w:ascii="Times New Roman" w:cs="Times New Roman" w:eastAsia="Times New Roman" w:hAnsi="Times New Roman"/>
                <w:sz w:val="18"/>
                <w:szCs w:val="18"/>
                <w:color w:val="auto"/>
              </w:rPr>
              <w:t>530</w:t>
            </w:r>
          </w:p>
        </w:tc>
        <w:tc>
          <w:tcPr>
            <w:tcW w:w="20" w:type="dxa"/>
            <w:vAlign w:val="bottom"/>
          </w:tcPr>
          <w:p>
            <w:pPr>
              <w:spacing w:after="0"/>
              <w:rPr>
                <w:sz w:val="18"/>
                <w:szCs w:val="18"/>
                <w:color w:val="auto"/>
              </w:rPr>
            </w:pPr>
          </w:p>
        </w:tc>
      </w:tr>
      <w:tr>
        <w:trPr>
          <w:trHeight w:val="209"/>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(1,262)</w:t>
            </w:r>
          </w:p>
        </w:tc>
        <w:tc>
          <w:tcPr>
            <w:tcW w:w="480" w:type="dxa"/>
            <w:vAlign w:val="bottom"/>
            <w:tcBorders>
              <w:bottom w:val="single" w:sz="8" w:color="0C479D"/>
            </w:tcBorders>
          </w:tcPr>
          <w:p>
            <w:pPr>
              <w:spacing w:after="0"/>
              <w:rPr>
                <w:sz w:val="18"/>
                <w:szCs w:val="18"/>
                <w:color w:val="auto"/>
              </w:rPr>
            </w:pPr>
          </w:p>
        </w:tc>
        <w:tc>
          <w:tcPr>
            <w:tcW w:w="500" w:type="dxa"/>
            <w:vAlign w:val="bottom"/>
            <w:tcBorders>
              <w:bottom w:val="single" w:sz="8" w:color="0C479D"/>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827</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C479D"/>
        </w:rPr>
        <w:t xml:space="preserve">Energy Products First Quarter Earnings Driver Analysis </w:t>
      </w:r>
      <w:r>
        <w:rPr>
          <w:rFonts w:ascii="Times New Roman" w:cs="Times New Roman" w:eastAsia="Times New Roman" w:hAnsi="Times New Roman"/>
          <w:sz w:val="16"/>
          <w:szCs w:val="16"/>
          <w:i w:val="1"/>
          <w:iCs w:val="1"/>
          <w:color w:val="000000"/>
        </w:rPr>
        <w:t>(millions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 Increased earnings by $2,420 million, including strong results from trading and optimization.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Advantaged Volume Growth – Increased earnings by $150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Volume – Decreased earnings by $260 million, mainly driven by Middle East supply disruptions.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Structural Cost Savings – Increased earnings by $160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 Decreased earnings by $250 million, driven by scheduled maintenance and growth projects.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 Decreased earnings by $270 million, driven by unfavorable foreign exchange rate effects.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Timing Effects – Decreased earnings by $3,330 million, on unfavorable derivative mark-to-market impacts.</w:t>
      </w:r>
    </w:p>
    <w:p>
      <w:pPr>
        <w:spacing w:after="0" w:line="63" w:lineRule="exact"/>
        <w:rPr>
          <w:sz w:val="20"/>
          <w:szCs w:val="20"/>
          <w:color w:val="auto"/>
        </w:rPr>
      </w:pPr>
    </w:p>
    <w:p>
      <w:pPr>
        <w:spacing w:after="0"/>
        <w:tabs>
          <w:tab w:leader="none" w:pos="1420" w:val="left"/>
          <w:tab w:leader="none" w:pos="4000" w:val="left"/>
        </w:tabs>
        <w:rPr>
          <w:sz w:val="20"/>
          <w:szCs w:val="20"/>
          <w:color w:val="auto"/>
        </w:rPr>
      </w:pPr>
      <w:r>
        <w:rPr>
          <w:rFonts w:ascii="Times New Roman" w:cs="Times New Roman" w:eastAsia="Times New Roman" w:hAnsi="Times New Roman"/>
          <w:sz w:val="18"/>
          <w:szCs w:val="18"/>
          <w:color w:val="auto"/>
        </w:rPr>
        <w:t>Identified Items –</w:t>
        <w:tab/>
        <w:t>1Q26 $(706) million  loss due to</w:t>
      </w:r>
      <w:r>
        <w:rPr>
          <w:sz w:val="20"/>
          <w:szCs w:val="20"/>
          <w:color w:val="auto"/>
        </w:rPr>
        <w:tab/>
      </w:r>
      <w:r>
        <w:rPr>
          <w:rFonts w:ascii="Times New Roman" w:cs="Times New Roman" w:eastAsia="Times New Roman" w:hAnsi="Times New Roman"/>
          <w:sz w:val="17"/>
          <w:szCs w:val="17"/>
          <w:color w:val="auto"/>
        </w:rPr>
        <w:t>supply disruptions in the Middle East preventing physical shipments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hedges.</w:t>
      </w:r>
    </w:p>
    <w:p>
      <w:pPr>
        <w:sectPr>
          <w:pgSz w:w="11900" w:h="16838" w:orient="portrait"/>
          <w:cols w:equalWidth="0" w:num="1">
            <w:col w:w="9260"/>
          </w:cols>
          <w:pgMar w:left="1320" w:top="49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260"/>
          </w:cols>
          <w:pgMar w:left="1320" w:top="499" w:right="1319" w:bottom="1440" w:gutter="0" w:footer="0" w:header="0"/>
          <w:type w:val="continuous"/>
        </w:sectPr>
      </w:pPr>
    </w:p>
    <w:bookmarkStart w:id="22" w:name="page23"/>
    <w:bookmarkEnd w:id="22"/>
    <w:p>
      <w:pPr>
        <w:ind w:left="796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6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8"/>
                <w:szCs w:val="18"/>
                <w:b w:val="1"/>
                <w:bCs w:val="1"/>
                <w:color w:val="FFFFFF"/>
              </w:rPr>
              <w:t>Energy Products Operational Results</w:t>
            </w:r>
          </w:p>
        </w:tc>
        <w:tc>
          <w:tcPr>
            <w:tcW w:w="1980" w:type="dxa"/>
            <w:vAlign w:val="bottom"/>
            <w:gridSpan w:val="3"/>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260" w:type="dxa"/>
            <w:vAlign w:val="bottom"/>
            <w:vMerge w:val="continue"/>
            <w:shd w:val="clear" w:color="auto" w:fill="0C479D"/>
          </w:tcPr>
          <w:p>
            <w:pPr>
              <w:spacing w:after="0"/>
              <w:rPr>
                <w:sz w:val="14"/>
                <w:szCs w:val="14"/>
                <w:color w:val="auto"/>
              </w:rPr>
            </w:pPr>
          </w:p>
        </w:tc>
        <w:tc>
          <w:tcPr>
            <w:tcW w:w="1400" w:type="dxa"/>
            <w:vAlign w:val="bottom"/>
            <w:gridSpan w:val="2"/>
            <w:shd w:val="clear" w:color="auto" w:fill="0C479D"/>
          </w:tcPr>
          <w:p>
            <w:pPr>
              <w:jc w:val="center"/>
              <w:ind w:left="493"/>
              <w:spacing w:after="0"/>
              <w:rPr>
                <w:sz w:val="20"/>
                <w:szCs w:val="20"/>
                <w:color w:val="auto"/>
              </w:rPr>
            </w:pPr>
            <w:r>
              <w:rPr>
                <w:rFonts w:ascii="Times New Roman" w:cs="Times New Roman" w:eastAsia="Times New Roman" w:hAnsi="Times New Roman"/>
                <w:sz w:val="14"/>
                <w:szCs w:val="14"/>
                <w:b w:val="1"/>
                <w:bCs w:val="1"/>
                <w:color w:val="FFFFFF"/>
              </w:rPr>
              <w:t>March 31,</w:t>
            </w:r>
          </w:p>
        </w:tc>
        <w:tc>
          <w:tcPr>
            <w:tcW w:w="580" w:type="dxa"/>
            <w:vAlign w:val="bottom"/>
            <w:shd w:val="clear" w:color="auto" w:fill="0C479D"/>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bottom w:val="single" w:sz="8" w:color="0C479D"/>
            </w:tcBorders>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(thousands of barrels daily)</w:t>
            </w:r>
          </w:p>
        </w:tc>
        <w:tc>
          <w:tcPr>
            <w:tcW w:w="100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00" w:type="dxa"/>
            <w:vAlign w:val="bottom"/>
            <w:tcBorders>
              <w:bottom w:val="single" w:sz="8" w:color="0C479D"/>
            </w:tcBorders>
            <w:shd w:val="clear" w:color="auto" w:fill="0C479D"/>
          </w:tcPr>
          <w:p>
            <w:pPr>
              <w:spacing w:after="0"/>
              <w:rPr>
                <w:sz w:val="18"/>
                <w:szCs w:val="18"/>
                <w:color w:val="auto"/>
              </w:rPr>
            </w:pPr>
          </w:p>
        </w:tc>
        <w:tc>
          <w:tcPr>
            <w:tcW w:w="58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Borders>
              <w:bottom w:val="single" w:sz="8" w:color="0C479D"/>
            </w:tcBorders>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Refinery throughput</w:t>
            </w:r>
          </w:p>
        </w:tc>
        <w:tc>
          <w:tcPr>
            <w:tcW w:w="1000" w:type="dxa"/>
            <w:vAlign w:val="bottom"/>
            <w:shd w:val="clear" w:color="auto" w:fill="F0F0F0"/>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Canada</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Europe</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Asia Pacific</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0" w:type="dxa"/>
            <w:vAlign w:val="bottom"/>
            <w:tcBorders>
              <w:bottom w:val="single" w:sz="8" w:color="0C479D"/>
            </w:tcBorders>
          </w:tcPr>
          <w:p>
            <w:pPr>
              <w:spacing w:after="0"/>
              <w:rPr>
                <w:sz w:val="19"/>
                <w:szCs w:val="19"/>
                <w:color w:val="auto"/>
              </w:rPr>
            </w:pP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60" w:type="dxa"/>
            <w:vAlign w:val="bottom"/>
            <w:tcBorders>
              <w:bottom w:val="single" w:sz="8" w:color="0C479D"/>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Worldwide</w:t>
            </w:r>
          </w:p>
        </w:tc>
        <w:tc>
          <w:tcPr>
            <w:tcW w:w="1000" w:type="dxa"/>
            <w:vAlign w:val="bottom"/>
            <w:tcBorders>
              <w:bottom w:val="single" w:sz="8" w:color="0C479D"/>
            </w:tcBorders>
            <w:shd w:val="clear" w:color="auto" w:fill="F0F0F0"/>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3,494</w:t>
            </w:r>
          </w:p>
        </w:tc>
        <w:tc>
          <w:tcPr>
            <w:tcW w:w="400" w:type="dxa"/>
            <w:vAlign w:val="bottom"/>
            <w:tcBorders>
              <w:bottom w:val="single" w:sz="8" w:color="0C479D"/>
            </w:tcBorders>
          </w:tcPr>
          <w:p>
            <w:pPr>
              <w:spacing w:after="0"/>
              <w:rPr>
                <w:sz w:val="17"/>
                <w:szCs w:val="17"/>
                <w:color w:val="auto"/>
              </w:rPr>
            </w:pPr>
          </w:p>
        </w:tc>
        <w:tc>
          <w:tcPr>
            <w:tcW w:w="580" w:type="dxa"/>
            <w:vAlign w:val="bottom"/>
            <w:tcBorders>
              <w:bottom w:val="single" w:sz="8" w:color="0C479D"/>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3,810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4"/>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 xml:space="preserve">Energy Products sales </w:t>
            </w:r>
            <w:r>
              <w:rPr>
                <w:rFonts w:ascii="Times New Roman" w:cs="Times New Roman" w:eastAsia="Times New Roman" w:hAnsi="Times New Roman"/>
                <w:sz w:val="23"/>
                <w:szCs w:val="23"/>
                <w:i w:val="1"/>
                <w:iCs w:val="1"/>
                <w:color w:val="0C479D"/>
                <w:vertAlign w:val="superscript"/>
              </w:rPr>
              <w:t>(1)</w:t>
            </w:r>
          </w:p>
        </w:tc>
        <w:tc>
          <w:tcPr>
            <w:tcW w:w="1000" w:type="dxa"/>
            <w:vAlign w:val="bottom"/>
            <w:shd w:val="clear" w:color="auto" w:fill="F0F0F0"/>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Non-U.S.</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400" w:type="dxa"/>
            <w:vAlign w:val="bottom"/>
            <w:tcBorders>
              <w:bottom w:val="single" w:sz="8" w:color="0C479D"/>
            </w:tcBorders>
          </w:tcPr>
          <w:p>
            <w:pPr>
              <w:spacing w:after="0"/>
              <w:rPr>
                <w:sz w:val="19"/>
                <w:szCs w:val="19"/>
                <w:color w:val="auto"/>
              </w:rPr>
            </w:pP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60" w:type="dxa"/>
            <w:vAlign w:val="bottom"/>
            <w:tcBorders>
              <w:bottom w:val="single" w:sz="8" w:color="0C479D"/>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Worldwide</w:t>
            </w:r>
          </w:p>
        </w:tc>
        <w:tc>
          <w:tcPr>
            <w:tcW w:w="1000" w:type="dxa"/>
            <w:vAlign w:val="bottom"/>
            <w:tcBorders>
              <w:bottom w:val="single" w:sz="8" w:color="0C479D"/>
            </w:tcBorders>
            <w:shd w:val="clear" w:color="auto" w:fill="F0F0F0"/>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5,630</w:t>
            </w:r>
          </w:p>
        </w:tc>
        <w:tc>
          <w:tcPr>
            <w:tcW w:w="400" w:type="dxa"/>
            <w:vAlign w:val="bottom"/>
            <w:tcBorders>
              <w:bottom w:val="single" w:sz="8" w:color="0C479D"/>
            </w:tcBorders>
          </w:tcPr>
          <w:p>
            <w:pPr>
              <w:spacing w:after="0"/>
              <w:rPr>
                <w:sz w:val="17"/>
                <w:szCs w:val="17"/>
                <w:color w:val="auto"/>
              </w:rPr>
            </w:pPr>
          </w:p>
        </w:tc>
        <w:tc>
          <w:tcPr>
            <w:tcW w:w="580" w:type="dxa"/>
            <w:vAlign w:val="bottom"/>
            <w:tcBorders>
              <w:bottom w:val="single" w:sz="8" w:color="0C479D"/>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5,283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4"/>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Gasoline, naphthas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Heating oils, kerosene, diesel</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Aviation fuels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Heavy fuels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Other energy products</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400" w:type="dxa"/>
            <w:vAlign w:val="bottom"/>
            <w:tcBorders>
              <w:bottom w:val="single" w:sz="8" w:color="0C479D"/>
            </w:tcBorders>
          </w:tcPr>
          <w:p>
            <w:pPr>
              <w:spacing w:after="0"/>
              <w:rPr>
                <w:sz w:val="19"/>
                <w:szCs w:val="19"/>
                <w:color w:val="auto"/>
              </w:rPr>
            </w:pP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60" w:type="dxa"/>
            <w:vAlign w:val="bottom"/>
            <w:tcBorders>
              <w:bottom w:val="single" w:sz="8" w:color="0C479D"/>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Worldwide</w:t>
            </w:r>
          </w:p>
        </w:tc>
        <w:tc>
          <w:tcPr>
            <w:tcW w:w="1000" w:type="dxa"/>
            <w:vAlign w:val="bottom"/>
            <w:tcBorders>
              <w:bottom w:val="single" w:sz="8" w:color="0C479D"/>
            </w:tcBorders>
            <w:shd w:val="clear" w:color="auto" w:fill="F0F0F0"/>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5,630</w:t>
            </w:r>
          </w:p>
        </w:tc>
        <w:tc>
          <w:tcPr>
            <w:tcW w:w="400" w:type="dxa"/>
            <w:vAlign w:val="bottom"/>
            <w:tcBorders>
              <w:bottom w:val="single" w:sz="8" w:color="0C479D"/>
            </w:tcBorders>
          </w:tcPr>
          <w:p>
            <w:pPr>
              <w:spacing w:after="0"/>
              <w:rPr>
                <w:sz w:val="17"/>
                <w:szCs w:val="17"/>
                <w:color w:val="auto"/>
              </w:rPr>
            </w:pPr>
          </w:p>
        </w:tc>
        <w:tc>
          <w:tcPr>
            <w:tcW w:w="580" w:type="dxa"/>
            <w:vAlign w:val="bottom"/>
            <w:tcBorders>
              <w:bottom w:val="single" w:sz="8" w:color="0C479D"/>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5,283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40" w:hanging="172"/>
        <w:spacing w:after="0"/>
        <w:tabs>
          <w:tab w:leader="none" w:pos="240" w:val="left"/>
        </w:tabs>
        <w:numPr>
          <w:ilvl w:val="0"/>
          <w:numId w:val="18"/>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Data reported net of purchases/sales contracts with the same counterparty.</w:t>
      </w:r>
    </w:p>
    <w:p>
      <w:pPr>
        <w:sectPr>
          <w:pgSz w:w="11900" w:h="16838" w:orient="portrait"/>
          <w:cols w:equalWidth="0" w:num="1">
            <w:col w:w="9260"/>
          </w:cols>
          <w:pgMar w:left="1320" w:top="49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260"/>
          </w:cols>
          <w:pgMar w:left="1320" w:top="499" w:right="1319" w:bottom="1440" w:gutter="0" w:footer="0" w:header="0"/>
          <w:type w:val="continuous"/>
        </w:sectPr>
      </w:pPr>
    </w:p>
    <w:bookmarkStart w:id="23" w:name="page24"/>
    <w:bookmarkEnd w:id="23"/>
    <w:p>
      <w:pPr>
        <w:jc w:val="right"/>
        <w:ind w:right="4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CHEMICAL PRODUCTS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6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8"/>
                <w:szCs w:val="18"/>
                <w:b w:val="1"/>
                <w:bCs w:val="1"/>
                <w:color w:val="FFFFFF"/>
              </w:rPr>
              <w:t>Chemical Products Financial Results</w:t>
            </w:r>
          </w:p>
        </w:tc>
        <w:tc>
          <w:tcPr>
            <w:tcW w:w="1980" w:type="dxa"/>
            <w:vAlign w:val="bottom"/>
            <w:gridSpan w:val="3"/>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260" w:type="dxa"/>
            <w:vAlign w:val="bottom"/>
            <w:vMerge w:val="continue"/>
            <w:shd w:val="clear" w:color="auto" w:fill="0C479D"/>
          </w:tcPr>
          <w:p>
            <w:pPr>
              <w:spacing w:after="0"/>
              <w:rPr>
                <w:sz w:val="14"/>
                <w:szCs w:val="14"/>
                <w:color w:val="auto"/>
              </w:rPr>
            </w:pPr>
          </w:p>
        </w:tc>
        <w:tc>
          <w:tcPr>
            <w:tcW w:w="1480" w:type="dxa"/>
            <w:vAlign w:val="bottom"/>
            <w:gridSpan w:val="2"/>
            <w:shd w:val="clear" w:color="auto" w:fill="0C479D"/>
          </w:tcPr>
          <w:p>
            <w:pPr>
              <w:jc w:val="center"/>
              <w:ind w:left="419"/>
              <w:spacing w:after="0"/>
              <w:rPr>
                <w:sz w:val="20"/>
                <w:szCs w:val="20"/>
                <w:color w:val="auto"/>
              </w:rPr>
            </w:pPr>
            <w:r>
              <w:rPr>
                <w:rFonts w:ascii="Times New Roman" w:cs="Times New Roman" w:eastAsia="Times New Roman" w:hAnsi="Times New Roman"/>
                <w:sz w:val="14"/>
                <w:szCs w:val="14"/>
                <w:b w:val="1"/>
                <w:bCs w:val="1"/>
                <w:color w:val="FFFFFF"/>
              </w:rPr>
              <w:t>March 31,</w:t>
            </w:r>
          </w:p>
        </w:tc>
        <w:tc>
          <w:tcPr>
            <w:tcW w:w="500" w:type="dxa"/>
            <w:vAlign w:val="bottom"/>
            <w:shd w:val="clear" w:color="auto" w:fill="0C479D"/>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bottom w:val="single" w:sz="8" w:color="0C479D"/>
            </w:tcBorders>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00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80" w:type="dxa"/>
            <w:vAlign w:val="bottom"/>
            <w:tcBorders>
              <w:bottom w:val="single" w:sz="8" w:color="0C479D"/>
            </w:tcBorders>
            <w:shd w:val="clear" w:color="auto" w:fill="0C479D"/>
          </w:tcPr>
          <w:p>
            <w:pPr>
              <w:spacing w:after="0"/>
              <w:rPr>
                <w:sz w:val="18"/>
                <w:szCs w:val="18"/>
                <w:color w:val="auto"/>
              </w:rPr>
            </w:pPr>
          </w:p>
        </w:tc>
        <w:tc>
          <w:tcPr>
            <w:tcW w:w="50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Borders>
              <w:bottom w:val="single" w:sz="8" w:color="0C479D"/>
            </w:tcBorders>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Earnings (loss) (U.S. GAAP)</w:t>
            </w:r>
          </w:p>
        </w:tc>
        <w:tc>
          <w:tcPr>
            <w:tcW w:w="1000" w:type="dxa"/>
            <w:vAlign w:val="bottom"/>
            <w:shd w:val="clear" w:color="auto" w:fill="F0F0F0"/>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Non-U.S.</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80" w:type="dxa"/>
            <w:vAlign w:val="bottom"/>
            <w:tcBorders>
              <w:bottom w:val="single" w:sz="8" w:color="0C479D"/>
            </w:tcBorders>
          </w:tcPr>
          <w:p>
            <w:pPr>
              <w:spacing w:after="0"/>
              <w:rPr>
                <w:sz w:val="19"/>
                <w:szCs w:val="19"/>
                <w:color w:val="auto"/>
              </w:rPr>
            </w:pPr>
          </w:p>
        </w:tc>
        <w:tc>
          <w:tcPr>
            <w:tcW w:w="5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60" w:type="dxa"/>
            <w:vAlign w:val="bottom"/>
            <w:tcBorders>
              <w:bottom w:val="single" w:sz="8" w:color="0C479D"/>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0C479D"/>
            </w:tcBorders>
            <w:shd w:val="clear" w:color="auto" w:fill="F0F0F0"/>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110</w:t>
            </w:r>
          </w:p>
        </w:tc>
        <w:tc>
          <w:tcPr>
            <w:tcW w:w="480" w:type="dxa"/>
            <w:vAlign w:val="bottom"/>
            <w:tcBorders>
              <w:bottom w:val="single" w:sz="8" w:color="0C479D"/>
            </w:tcBorders>
          </w:tcPr>
          <w:p>
            <w:pPr>
              <w:spacing w:after="0"/>
              <w:rPr>
                <w:sz w:val="17"/>
                <w:szCs w:val="17"/>
                <w:color w:val="auto"/>
              </w:rPr>
            </w:pPr>
          </w:p>
        </w:tc>
        <w:tc>
          <w:tcPr>
            <w:tcW w:w="500" w:type="dxa"/>
            <w:vAlign w:val="bottom"/>
            <w:tcBorders>
              <w:bottom w:val="single" w:sz="8" w:color="0C479D"/>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C479D"/>
        </w:rPr>
        <w:t xml:space="preserve">Chemical Products First Quarter Earnings Driver Analysis </w:t>
      </w:r>
      <w:r>
        <w:rPr>
          <w:rFonts w:ascii="Times New Roman" w:cs="Times New Roman" w:eastAsia="Times New Roman" w:hAnsi="Times New Roman"/>
          <w:sz w:val="16"/>
          <w:szCs w:val="16"/>
          <w:i w:val="1"/>
          <w:iCs w:val="1"/>
          <w:color w:val="000000"/>
        </w:rPr>
        <w:t>(millions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 Compressed margins decreased earnings by $340 million on lower realizations and increased feed costs.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Advantaged Volume Growth – Increased earnings by $50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Volume – Increased earnings by $90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Structural Cost Savings – Increased earnings by $70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 Decreased earnings by $40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 Increased earnings by $10 million.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8"/>
                <w:szCs w:val="18"/>
                <w:b w:val="1"/>
                <w:bCs w:val="1"/>
                <w:color w:val="FFFFFF"/>
              </w:rPr>
              <w:t>Chemical Products Operational Results</w:t>
            </w:r>
          </w:p>
        </w:tc>
        <w:tc>
          <w:tcPr>
            <w:tcW w:w="1980" w:type="dxa"/>
            <w:vAlign w:val="bottom"/>
            <w:gridSpan w:val="3"/>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260" w:type="dxa"/>
            <w:vAlign w:val="bottom"/>
            <w:vMerge w:val="continue"/>
            <w:shd w:val="clear" w:color="auto" w:fill="0C479D"/>
          </w:tcPr>
          <w:p>
            <w:pPr>
              <w:spacing w:after="0"/>
              <w:rPr>
                <w:sz w:val="13"/>
                <w:szCs w:val="13"/>
                <w:color w:val="auto"/>
              </w:rPr>
            </w:pPr>
          </w:p>
        </w:tc>
        <w:tc>
          <w:tcPr>
            <w:tcW w:w="1400" w:type="dxa"/>
            <w:vAlign w:val="bottom"/>
            <w:gridSpan w:val="2"/>
            <w:shd w:val="clear" w:color="auto" w:fill="0C479D"/>
          </w:tcPr>
          <w:p>
            <w:pPr>
              <w:jc w:val="center"/>
              <w:ind w:left="499"/>
              <w:spacing w:after="0" w:line="160" w:lineRule="exact"/>
              <w:rPr>
                <w:sz w:val="20"/>
                <w:szCs w:val="20"/>
                <w:color w:val="auto"/>
              </w:rPr>
            </w:pPr>
            <w:r>
              <w:rPr>
                <w:rFonts w:ascii="Times New Roman" w:cs="Times New Roman" w:eastAsia="Times New Roman" w:hAnsi="Times New Roman"/>
                <w:sz w:val="14"/>
                <w:szCs w:val="14"/>
                <w:b w:val="1"/>
                <w:bCs w:val="1"/>
                <w:color w:val="FFFFFF"/>
              </w:rPr>
              <w:t>March 31,</w:t>
            </w:r>
          </w:p>
        </w:tc>
        <w:tc>
          <w:tcPr>
            <w:tcW w:w="580" w:type="dxa"/>
            <w:vAlign w:val="bottom"/>
            <w:shd w:val="clear" w:color="auto" w:fill="0C479D"/>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260" w:type="dxa"/>
            <w:vAlign w:val="bottom"/>
            <w:tcBorders>
              <w:bottom w:val="single" w:sz="8" w:color="0C479D"/>
            </w:tcBorders>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(thousands of metric tons)</w:t>
            </w:r>
          </w:p>
        </w:tc>
        <w:tc>
          <w:tcPr>
            <w:tcW w:w="100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00" w:type="dxa"/>
            <w:vAlign w:val="bottom"/>
            <w:tcBorders>
              <w:bottom w:val="single" w:sz="8" w:color="0C479D"/>
            </w:tcBorders>
            <w:shd w:val="clear" w:color="auto" w:fill="0C479D"/>
          </w:tcPr>
          <w:p>
            <w:pPr>
              <w:spacing w:after="0"/>
              <w:rPr>
                <w:sz w:val="18"/>
                <w:szCs w:val="18"/>
                <w:color w:val="auto"/>
              </w:rPr>
            </w:pPr>
          </w:p>
        </w:tc>
        <w:tc>
          <w:tcPr>
            <w:tcW w:w="58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Borders>
              <w:bottom w:val="single" w:sz="8" w:color="0C479D"/>
            </w:tcBorders>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 xml:space="preserve">Chemical Products sales </w:t>
            </w:r>
            <w:r>
              <w:rPr>
                <w:rFonts w:ascii="Times New Roman" w:cs="Times New Roman" w:eastAsia="Times New Roman" w:hAnsi="Times New Roman"/>
                <w:sz w:val="23"/>
                <w:szCs w:val="23"/>
                <w:i w:val="1"/>
                <w:iCs w:val="1"/>
                <w:color w:val="0C479D"/>
                <w:vertAlign w:val="superscript"/>
              </w:rPr>
              <w:t>(1)</w:t>
            </w:r>
          </w:p>
        </w:tc>
        <w:tc>
          <w:tcPr>
            <w:tcW w:w="100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400" w:type="dxa"/>
            <w:vAlign w:val="bottom"/>
          </w:tcPr>
          <w:p>
            <w:pPr>
              <w:spacing w:after="0"/>
              <w:rPr>
                <w:sz w:val="23"/>
                <w:szCs w:val="2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vMerge w:val="continue"/>
            <w:shd w:val="clear" w:color="auto" w:fill="F0F0F0"/>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Non-U.S.</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400" w:type="dxa"/>
            <w:vAlign w:val="bottom"/>
            <w:tcBorders>
              <w:bottom w:val="single" w:sz="8" w:color="0C479D"/>
            </w:tcBorders>
          </w:tcPr>
          <w:p>
            <w:pPr>
              <w:spacing w:after="0"/>
              <w:rPr>
                <w:sz w:val="19"/>
                <w:szCs w:val="19"/>
                <w:color w:val="auto"/>
              </w:rPr>
            </w:pP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60" w:type="dxa"/>
            <w:vAlign w:val="bottom"/>
            <w:tcBorders>
              <w:bottom w:val="single" w:sz="8" w:color="0C479D"/>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Worldwide</w:t>
            </w:r>
          </w:p>
        </w:tc>
        <w:tc>
          <w:tcPr>
            <w:tcW w:w="1000" w:type="dxa"/>
            <w:vAlign w:val="bottom"/>
            <w:tcBorders>
              <w:bottom w:val="single" w:sz="8" w:color="0C479D"/>
            </w:tcBorders>
            <w:shd w:val="clear" w:color="auto" w:fill="F0F0F0"/>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5,358</w:t>
            </w:r>
          </w:p>
        </w:tc>
        <w:tc>
          <w:tcPr>
            <w:tcW w:w="400" w:type="dxa"/>
            <w:vAlign w:val="bottom"/>
            <w:tcBorders>
              <w:bottom w:val="single" w:sz="8" w:color="0C479D"/>
            </w:tcBorders>
          </w:tcPr>
          <w:p>
            <w:pPr>
              <w:spacing w:after="0"/>
              <w:rPr>
                <w:sz w:val="17"/>
                <w:szCs w:val="17"/>
                <w:color w:val="auto"/>
              </w:rPr>
            </w:pPr>
          </w:p>
        </w:tc>
        <w:tc>
          <w:tcPr>
            <w:tcW w:w="580" w:type="dxa"/>
            <w:vAlign w:val="bottom"/>
            <w:tcBorders>
              <w:bottom w:val="single" w:sz="8" w:color="0C479D"/>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4,776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40" w:hanging="172"/>
        <w:spacing w:after="0"/>
        <w:tabs>
          <w:tab w:leader="none" w:pos="240" w:val="left"/>
        </w:tabs>
        <w:numPr>
          <w:ilvl w:val="0"/>
          <w:numId w:val="19"/>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Data reported net of purchases/sales contracts with the same counterparty.</w:t>
      </w:r>
    </w:p>
    <w:p>
      <w:pPr>
        <w:sectPr>
          <w:pgSz w:w="11900" w:h="16838" w:orient="portrait"/>
          <w:cols w:equalWidth="0" w:num="1">
            <w:col w:w="9260"/>
          </w:cols>
          <w:pgMar w:left="1320" w:top="49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260"/>
          </w:cols>
          <w:pgMar w:left="1320" w:top="499" w:right="1319" w:bottom="1440" w:gutter="0" w:footer="0" w:header="0"/>
          <w:type w:val="continuous"/>
        </w:sectPr>
      </w:pPr>
    </w:p>
    <w:bookmarkStart w:id="24" w:name="page25"/>
    <w:bookmarkEnd w:id="24"/>
    <w:p>
      <w:pPr>
        <w:ind w:left="796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SPECIALTY PRODUCTS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6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8"/>
                <w:szCs w:val="18"/>
                <w:b w:val="1"/>
                <w:bCs w:val="1"/>
                <w:color w:val="FFFFFF"/>
              </w:rPr>
              <w:t>Specialty Products Financial Results</w:t>
            </w:r>
          </w:p>
        </w:tc>
        <w:tc>
          <w:tcPr>
            <w:tcW w:w="1980" w:type="dxa"/>
            <w:vAlign w:val="bottom"/>
            <w:gridSpan w:val="3"/>
            <w:shd w:val="clear" w:color="auto" w:fill="0C479D"/>
          </w:tcPr>
          <w:p>
            <w:pPr>
              <w:ind w:left="340"/>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260" w:type="dxa"/>
            <w:vAlign w:val="bottom"/>
            <w:vMerge w:val="continue"/>
            <w:shd w:val="clear" w:color="auto" w:fill="0C479D"/>
          </w:tcPr>
          <w:p>
            <w:pPr>
              <w:spacing w:after="0"/>
              <w:rPr>
                <w:sz w:val="14"/>
                <w:szCs w:val="14"/>
                <w:color w:val="auto"/>
              </w:rPr>
            </w:pPr>
          </w:p>
        </w:tc>
        <w:tc>
          <w:tcPr>
            <w:tcW w:w="1480" w:type="dxa"/>
            <w:vAlign w:val="bottom"/>
            <w:gridSpan w:val="2"/>
            <w:shd w:val="clear" w:color="auto" w:fill="0C479D"/>
          </w:tcPr>
          <w:p>
            <w:pPr>
              <w:ind w:left="680"/>
              <w:spacing w:after="0"/>
              <w:rPr>
                <w:sz w:val="20"/>
                <w:szCs w:val="20"/>
                <w:color w:val="auto"/>
              </w:rPr>
            </w:pPr>
            <w:r>
              <w:rPr>
                <w:rFonts w:ascii="Times New Roman" w:cs="Times New Roman" w:eastAsia="Times New Roman" w:hAnsi="Times New Roman"/>
                <w:sz w:val="14"/>
                <w:szCs w:val="14"/>
                <w:b w:val="1"/>
                <w:bCs w:val="1"/>
                <w:color w:val="FFFFFF"/>
              </w:rPr>
              <w:t>March 31,</w:t>
            </w:r>
          </w:p>
        </w:tc>
        <w:tc>
          <w:tcPr>
            <w:tcW w:w="500" w:type="dxa"/>
            <w:vAlign w:val="bottom"/>
            <w:shd w:val="clear" w:color="auto" w:fill="0C479D"/>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bottom w:val="single" w:sz="8" w:color="0C479D"/>
            </w:tcBorders>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000" w:type="dxa"/>
            <w:vAlign w:val="bottom"/>
            <w:tcBorders>
              <w:bottom w:val="single" w:sz="8" w:color="0C479D"/>
            </w:tcBorders>
            <w:shd w:val="clear" w:color="auto" w:fill="0C479D"/>
          </w:tcPr>
          <w:p>
            <w:pPr>
              <w:ind w:left="660"/>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80" w:type="dxa"/>
            <w:vAlign w:val="bottom"/>
            <w:tcBorders>
              <w:bottom w:val="single" w:sz="8" w:color="0C479D"/>
            </w:tcBorders>
            <w:shd w:val="clear" w:color="auto" w:fill="0C479D"/>
          </w:tcPr>
          <w:p>
            <w:pPr>
              <w:spacing w:after="0"/>
              <w:rPr>
                <w:sz w:val="18"/>
                <w:szCs w:val="18"/>
                <w:color w:val="auto"/>
              </w:rPr>
            </w:pPr>
          </w:p>
        </w:tc>
        <w:tc>
          <w:tcPr>
            <w:tcW w:w="500" w:type="dxa"/>
            <w:vAlign w:val="bottom"/>
            <w:tcBorders>
              <w:bottom w:val="single" w:sz="8" w:color="0C479D"/>
            </w:tcBorders>
            <w:shd w:val="clear" w:color="auto" w:fill="0C479D"/>
          </w:tcPr>
          <w:p>
            <w:pPr>
              <w:ind w:left="160"/>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Borders>
              <w:bottom w:val="single" w:sz="8" w:color="0C479D"/>
            </w:tcBorders>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Earnings (loss) (U.S. GAAP)</w:t>
            </w:r>
          </w:p>
        </w:tc>
        <w:tc>
          <w:tcPr>
            <w:tcW w:w="1000" w:type="dxa"/>
            <w:vAlign w:val="bottom"/>
            <w:shd w:val="clear" w:color="auto" w:fill="F0F0F0"/>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shd w:val="clear" w:color="auto" w:fill="F0F0F0"/>
          </w:tcPr>
          <w:p>
            <w:pPr>
              <w:ind w:left="660"/>
              <w:spacing w:after="0"/>
              <w:rPr>
                <w:sz w:val="20"/>
                <w:szCs w:val="20"/>
                <w:color w:val="auto"/>
              </w:rPr>
            </w:pPr>
            <w:r>
              <w:rPr>
                <w:rFonts w:ascii="Times New Roman" w:cs="Times New Roman" w:eastAsia="Times New Roman" w:hAnsi="Times New Roman"/>
                <w:sz w:val="18"/>
                <w:szCs w:val="18"/>
                <w:color w:val="auto"/>
              </w:rPr>
              <w:t>274</w:t>
            </w:r>
          </w:p>
        </w:tc>
        <w:tc>
          <w:tcPr>
            <w:tcW w:w="480" w:type="dxa"/>
            <w:vAlign w:val="bottom"/>
          </w:tcPr>
          <w:p>
            <w:pPr>
              <w:spacing w:after="0"/>
              <w:rPr>
                <w:sz w:val="19"/>
                <w:szCs w:val="19"/>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Non-U.S.</w:t>
            </w:r>
          </w:p>
        </w:tc>
        <w:tc>
          <w:tcPr>
            <w:tcW w:w="1000" w:type="dxa"/>
            <w:vAlign w:val="bottom"/>
            <w:tcBorders>
              <w:bottom w:val="single" w:sz="8" w:color="0C479D"/>
            </w:tcBorders>
            <w:shd w:val="clear" w:color="auto" w:fill="F0F0F0"/>
          </w:tcPr>
          <w:p>
            <w:pPr>
              <w:ind w:left="660"/>
              <w:spacing w:after="0"/>
              <w:rPr>
                <w:sz w:val="20"/>
                <w:szCs w:val="20"/>
                <w:color w:val="auto"/>
              </w:rPr>
            </w:pPr>
            <w:r>
              <w:rPr>
                <w:rFonts w:ascii="Times New Roman" w:cs="Times New Roman" w:eastAsia="Times New Roman" w:hAnsi="Times New Roman"/>
                <w:sz w:val="18"/>
                <w:szCs w:val="18"/>
                <w:color w:val="auto"/>
              </w:rPr>
              <w:t>377</w:t>
            </w:r>
          </w:p>
        </w:tc>
        <w:tc>
          <w:tcPr>
            <w:tcW w:w="480" w:type="dxa"/>
            <w:vAlign w:val="bottom"/>
            <w:tcBorders>
              <w:bottom w:val="single" w:sz="8" w:color="0C479D"/>
            </w:tcBorders>
          </w:tcPr>
          <w:p>
            <w:pPr>
              <w:spacing w:after="0"/>
              <w:rPr>
                <w:sz w:val="19"/>
                <w:szCs w:val="19"/>
                <w:color w:val="auto"/>
              </w:rPr>
            </w:pPr>
          </w:p>
        </w:tc>
        <w:tc>
          <w:tcPr>
            <w:tcW w:w="500" w:type="dxa"/>
            <w:vAlign w:val="bottom"/>
            <w:tcBorders>
              <w:bottom w:val="single" w:sz="8" w:color="0C479D"/>
            </w:tcBorders>
          </w:tcPr>
          <w:p>
            <w:pPr>
              <w:ind w:left="160"/>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60" w:type="dxa"/>
            <w:vAlign w:val="bottom"/>
            <w:tcBorders>
              <w:bottom w:val="single" w:sz="8" w:color="0C479D"/>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0C479D"/>
            </w:tcBorders>
            <w:shd w:val="clear" w:color="auto" w:fill="F0F0F0"/>
          </w:tcPr>
          <w:p>
            <w:pPr>
              <w:ind w:left="660"/>
              <w:spacing w:after="0" w:line="196" w:lineRule="exact"/>
              <w:rPr>
                <w:sz w:val="20"/>
                <w:szCs w:val="20"/>
                <w:color w:val="auto"/>
              </w:rPr>
            </w:pPr>
            <w:r>
              <w:rPr>
                <w:rFonts w:ascii="Times New Roman" w:cs="Times New Roman" w:eastAsia="Times New Roman" w:hAnsi="Times New Roman"/>
                <w:sz w:val="18"/>
                <w:szCs w:val="18"/>
                <w:b w:val="1"/>
                <w:bCs w:val="1"/>
                <w:color w:val="auto"/>
              </w:rPr>
              <w:t>651</w:t>
            </w:r>
          </w:p>
        </w:tc>
        <w:tc>
          <w:tcPr>
            <w:tcW w:w="480" w:type="dxa"/>
            <w:vAlign w:val="bottom"/>
            <w:tcBorders>
              <w:bottom w:val="single" w:sz="8" w:color="0C479D"/>
            </w:tcBorders>
          </w:tcPr>
          <w:p>
            <w:pPr>
              <w:spacing w:after="0"/>
              <w:rPr>
                <w:sz w:val="17"/>
                <w:szCs w:val="17"/>
                <w:color w:val="auto"/>
              </w:rPr>
            </w:pPr>
          </w:p>
        </w:tc>
        <w:tc>
          <w:tcPr>
            <w:tcW w:w="500" w:type="dxa"/>
            <w:vAlign w:val="bottom"/>
            <w:tcBorders>
              <w:bottom w:val="single" w:sz="8" w:color="0C479D"/>
            </w:tcBorders>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655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C479D"/>
        </w:rPr>
        <w:t xml:space="preserve">Specialty Products First Quarter Earnings Driver Analysis </w:t>
      </w:r>
      <w:r>
        <w:rPr>
          <w:rFonts w:ascii="Times New Roman" w:cs="Times New Roman" w:eastAsia="Times New Roman" w:hAnsi="Times New Roman"/>
          <w:sz w:val="16"/>
          <w:szCs w:val="16"/>
          <w:i w:val="1"/>
          <w:iCs w:val="1"/>
          <w:color w:val="000000"/>
        </w:rPr>
        <w:t>(millions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 Compressed margins decreased earnings by $110 million on increased feed costs.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Advantaged Volume – Increased earnings by $40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Volume – Decreased earnings by $10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Structural Cost Savings – Increased earnings by $40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 Increased earnings by $10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 Increased earnings by $30 million.</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6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8"/>
                <w:szCs w:val="18"/>
                <w:b w:val="1"/>
                <w:bCs w:val="1"/>
                <w:color w:val="FFFFFF"/>
              </w:rPr>
              <w:t>Specialty Products Operational Results</w:t>
            </w:r>
          </w:p>
        </w:tc>
        <w:tc>
          <w:tcPr>
            <w:tcW w:w="1980" w:type="dxa"/>
            <w:vAlign w:val="bottom"/>
            <w:gridSpan w:val="3"/>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260" w:type="dxa"/>
            <w:vAlign w:val="bottom"/>
            <w:vMerge w:val="continue"/>
            <w:shd w:val="clear" w:color="auto" w:fill="0C479D"/>
          </w:tcPr>
          <w:p>
            <w:pPr>
              <w:spacing w:after="0"/>
              <w:rPr>
                <w:sz w:val="14"/>
                <w:szCs w:val="14"/>
                <w:color w:val="auto"/>
              </w:rPr>
            </w:pPr>
          </w:p>
        </w:tc>
        <w:tc>
          <w:tcPr>
            <w:tcW w:w="1400" w:type="dxa"/>
            <w:vAlign w:val="bottom"/>
            <w:gridSpan w:val="2"/>
            <w:shd w:val="clear" w:color="auto" w:fill="0C479D"/>
          </w:tcPr>
          <w:p>
            <w:pPr>
              <w:jc w:val="center"/>
              <w:ind w:left="499"/>
              <w:spacing w:after="0"/>
              <w:rPr>
                <w:sz w:val="20"/>
                <w:szCs w:val="20"/>
                <w:color w:val="auto"/>
              </w:rPr>
            </w:pPr>
            <w:r>
              <w:rPr>
                <w:rFonts w:ascii="Times New Roman" w:cs="Times New Roman" w:eastAsia="Times New Roman" w:hAnsi="Times New Roman"/>
                <w:sz w:val="14"/>
                <w:szCs w:val="14"/>
                <w:b w:val="1"/>
                <w:bCs w:val="1"/>
                <w:color w:val="FFFFFF"/>
              </w:rPr>
              <w:t>March 31,</w:t>
            </w:r>
          </w:p>
        </w:tc>
        <w:tc>
          <w:tcPr>
            <w:tcW w:w="580" w:type="dxa"/>
            <w:vAlign w:val="bottom"/>
            <w:shd w:val="clear" w:color="auto" w:fill="0C479D"/>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bottom w:val="single" w:sz="8" w:color="0C479D"/>
            </w:tcBorders>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(thousands of metric tons)</w:t>
            </w:r>
          </w:p>
        </w:tc>
        <w:tc>
          <w:tcPr>
            <w:tcW w:w="100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00" w:type="dxa"/>
            <w:vAlign w:val="bottom"/>
            <w:tcBorders>
              <w:bottom w:val="single" w:sz="8" w:color="0C479D"/>
            </w:tcBorders>
            <w:shd w:val="clear" w:color="auto" w:fill="0C479D"/>
          </w:tcPr>
          <w:p>
            <w:pPr>
              <w:spacing w:after="0"/>
              <w:rPr>
                <w:sz w:val="18"/>
                <w:szCs w:val="18"/>
                <w:color w:val="auto"/>
              </w:rPr>
            </w:pPr>
          </w:p>
        </w:tc>
        <w:tc>
          <w:tcPr>
            <w:tcW w:w="58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Borders>
              <w:bottom w:val="single" w:sz="8" w:color="0C479D"/>
            </w:tcBorders>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7260" w:type="dxa"/>
            <w:vAlign w:val="bottom"/>
          </w:tcPr>
          <w:p>
            <w:pPr>
              <w:ind w:left="60"/>
              <w:spacing w:after="0" w:line="252" w:lineRule="exact"/>
              <w:rPr>
                <w:sz w:val="20"/>
                <w:szCs w:val="20"/>
                <w:color w:val="auto"/>
              </w:rPr>
            </w:pPr>
            <w:r>
              <w:rPr>
                <w:rFonts w:ascii="Times New Roman" w:cs="Times New Roman" w:eastAsia="Times New Roman" w:hAnsi="Times New Roman"/>
                <w:sz w:val="18"/>
                <w:szCs w:val="18"/>
                <w:b w:val="1"/>
                <w:bCs w:val="1"/>
                <w:color w:val="0C479D"/>
              </w:rPr>
              <w:t xml:space="preserve">Specialty Products sales </w:t>
            </w:r>
            <w:r>
              <w:rPr>
                <w:rFonts w:ascii="Times New Roman" w:cs="Times New Roman" w:eastAsia="Times New Roman" w:hAnsi="Times New Roman"/>
                <w:sz w:val="23"/>
                <w:szCs w:val="23"/>
                <w:i w:val="1"/>
                <w:iCs w:val="1"/>
                <w:color w:val="0C479D"/>
                <w:vertAlign w:val="superscript"/>
              </w:rPr>
              <w:t>(1)</w:t>
            </w:r>
          </w:p>
        </w:tc>
        <w:tc>
          <w:tcPr>
            <w:tcW w:w="1000" w:type="dxa"/>
            <w:vAlign w:val="bottom"/>
            <w:shd w:val="clear" w:color="auto" w:fill="F0F0F0"/>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Non-U.S.</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400" w:type="dxa"/>
            <w:vAlign w:val="bottom"/>
            <w:tcBorders>
              <w:bottom w:val="single" w:sz="8" w:color="0C479D"/>
            </w:tcBorders>
          </w:tcPr>
          <w:p>
            <w:pPr>
              <w:spacing w:after="0"/>
              <w:rPr>
                <w:sz w:val="19"/>
                <w:szCs w:val="19"/>
                <w:color w:val="auto"/>
              </w:rPr>
            </w:pP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60" w:type="dxa"/>
            <w:vAlign w:val="bottom"/>
            <w:tcBorders>
              <w:bottom w:val="single" w:sz="8" w:color="0C479D"/>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Worldwide</w:t>
            </w:r>
          </w:p>
        </w:tc>
        <w:tc>
          <w:tcPr>
            <w:tcW w:w="1000" w:type="dxa"/>
            <w:vAlign w:val="bottom"/>
            <w:tcBorders>
              <w:bottom w:val="single" w:sz="8" w:color="0C479D"/>
            </w:tcBorders>
            <w:shd w:val="clear" w:color="auto" w:fill="F0F0F0"/>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1,976</w:t>
            </w:r>
          </w:p>
        </w:tc>
        <w:tc>
          <w:tcPr>
            <w:tcW w:w="400" w:type="dxa"/>
            <w:vAlign w:val="bottom"/>
            <w:tcBorders>
              <w:bottom w:val="single" w:sz="8" w:color="0C479D"/>
            </w:tcBorders>
          </w:tcPr>
          <w:p>
            <w:pPr>
              <w:spacing w:after="0"/>
              <w:rPr>
                <w:sz w:val="17"/>
                <w:szCs w:val="17"/>
                <w:color w:val="auto"/>
              </w:rPr>
            </w:pPr>
          </w:p>
        </w:tc>
        <w:tc>
          <w:tcPr>
            <w:tcW w:w="580" w:type="dxa"/>
            <w:vAlign w:val="bottom"/>
            <w:tcBorders>
              <w:bottom w:val="single" w:sz="8" w:color="0C479D"/>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1,936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40" w:hanging="172"/>
        <w:spacing w:after="0"/>
        <w:tabs>
          <w:tab w:leader="none" w:pos="240" w:val="left"/>
        </w:tabs>
        <w:numPr>
          <w:ilvl w:val="0"/>
          <w:numId w:val="20"/>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Data reported net of purchases/sales contracts with the same counterparty.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CORPORATE AND FINANCING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60" w:type="dxa"/>
            <w:vAlign w:val="bottom"/>
            <w:vMerge w:val="restart"/>
            <w:shd w:val="clear" w:color="auto" w:fill="0C479D"/>
          </w:tcPr>
          <w:p>
            <w:pPr>
              <w:ind w:left="80"/>
              <w:spacing w:after="0"/>
              <w:rPr>
                <w:sz w:val="20"/>
                <w:szCs w:val="20"/>
                <w:color w:val="auto"/>
              </w:rPr>
            </w:pPr>
            <w:r>
              <w:rPr>
                <w:rFonts w:ascii="Times New Roman" w:cs="Times New Roman" w:eastAsia="Times New Roman" w:hAnsi="Times New Roman"/>
                <w:sz w:val="18"/>
                <w:szCs w:val="18"/>
                <w:b w:val="1"/>
                <w:bCs w:val="1"/>
                <w:color w:val="FFFFFF"/>
              </w:rPr>
              <w:t>Corporate and Financing Financial Results</w:t>
            </w:r>
          </w:p>
        </w:tc>
        <w:tc>
          <w:tcPr>
            <w:tcW w:w="1980" w:type="dxa"/>
            <w:vAlign w:val="bottom"/>
            <w:gridSpan w:val="3"/>
            <w:shd w:val="clear" w:color="auto" w:fill="0C479D"/>
          </w:tcPr>
          <w:p>
            <w:pPr>
              <w:ind w:left="340"/>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260" w:type="dxa"/>
            <w:vAlign w:val="bottom"/>
            <w:vMerge w:val="continue"/>
            <w:shd w:val="clear" w:color="auto" w:fill="0C479D"/>
          </w:tcPr>
          <w:p>
            <w:pPr>
              <w:spacing w:after="0"/>
              <w:rPr>
                <w:sz w:val="14"/>
                <w:szCs w:val="14"/>
                <w:color w:val="auto"/>
              </w:rPr>
            </w:pPr>
          </w:p>
        </w:tc>
        <w:tc>
          <w:tcPr>
            <w:tcW w:w="1440" w:type="dxa"/>
            <w:vAlign w:val="bottom"/>
            <w:gridSpan w:val="2"/>
            <w:shd w:val="clear" w:color="auto" w:fill="0C479D"/>
          </w:tcPr>
          <w:p>
            <w:pPr>
              <w:ind w:left="680"/>
              <w:spacing w:after="0"/>
              <w:rPr>
                <w:sz w:val="20"/>
                <w:szCs w:val="20"/>
                <w:color w:val="auto"/>
              </w:rPr>
            </w:pPr>
            <w:r>
              <w:rPr>
                <w:rFonts w:ascii="Times New Roman" w:cs="Times New Roman" w:eastAsia="Times New Roman" w:hAnsi="Times New Roman"/>
                <w:sz w:val="14"/>
                <w:szCs w:val="14"/>
                <w:b w:val="1"/>
                <w:bCs w:val="1"/>
                <w:color w:val="FFFFFF"/>
              </w:rPr>
              <w:t>March 31,</w:t>
            </w:r>
          </w:p>
        </w:tc>
        <w:tc>
          <w:tcPr>
            <w:tcW w:w="540" w:type="dxa"/>
            <w:vAlign w:val="bottom"/>
            <w:shd w:val="clear" w:color="auto" w:fill="0C479D"/>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60" w:type="dxa"/>
            <w:vAlign w:val="bottom"/>
            <w:tcBorders>
              <w:bottom w:val="single" w:sz="8" w:color="0C479D"/>
            </w:tcBorders>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000" w:type="dxa"/>
            <w:vAlign w:val="bottom"/>
            <w:tcBorders>
              <w:bottom w:val="single" w:sz="8" w:color="0C479D"/>
            </w:tcBorders>
            <w:shd w:val="clear" w:color="auto" w:fill="0C479D"/>
          </w:tcPr>
          <w:p>
            <w:pPr>
              <w:ind w:left="660"/>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40" w:type="dxa"/>
            <w:vAlign w:val="bottom"/>
            <w:tcBorders>
              <w:bottom w:val="single" w:sz="8" w:color="0C479D"/>
            </w:tcBorders>
            <w:shd w:val="clear" w:color="auto" w:fill="0C479D"/>
          </w:tcPr>
          <w:p>
            <w:pPr>
              <w:spacing w:after="0"/>
              <w:rPr>
                <w:sz w:val="18"/>
                <w:szCs w:val="18"/>
                <w:color w:val="auto"/>
              </w:rPr>
            </w:pPr>
          </w:p>
        </w:tc>
        <w:tc>
          <w:tcPr>
            <w:tcW w:w="54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Borders>
              <w:bottom w:val="single" w:sz="8" w:color="0C479D"/>
            </w:tcBorders>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60" w:type="dxa"/>
            <w:vAlign w:val="bottom"/>
            <w:tcBorders>
              <w:bottom w:val="single" w:sz="8" w:color="0C479D"/>
            </w:tcBorders>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Earnings (loss) (U.S. GAAP)</w:t>
            </w:r>
          </w:p>
        </w:tc>
        <w:tc>
          <w:tcPr>
            <w:tcW w:w="1000" w:type="dxa"/>
            <w:vAlign w:val="bottom"/>
            <w:tcBorders>
              <w:bottom w:val="single" w:sz="8" w:color="0C479D"/>
            </w:tcBorders>
            <w:shd w:val="clear" w:color="auto" w:fill="F0F0F0"/>
          </w:tcPr>
          <w:p>
            <w:pPr>
              <w:jc w:val="right"/>
              <w:spacing w:after="0" w:line="202" w:lineRule="exact"/>
              <w:rPr>
                <w:sz w:val="20"/>
                <w:szCs w:val="20"/>
                <w:color w:val="auto"/>
              </w:rPr>
            </w:pPr>
            <w:r>
              <w:rPr>
                <w:rFonts w:ascii="Times New Roman" w:cs="Times New Roman" w:eastAsia="Times New Roman" w:hAnsi="Times New Roman"/>
                <w:sz w:val="18"/>
                <w:szCs w:val="18"/>
                <w:color w:val="auto"/>
              </w:rPr>
              <w:t>(1,053)</w:t>
            </w:r>
          </w:p>
        </w:tc>
        <w:tc>
          <w:tcPr>
            <w:tcW w:w="440" w:type="dxa"/>
            <w:vAlign w:val="bottom"/>
            <w:tcBorders>
              <w:bottom w:val="single" w:sz="8" w:color="0C479D"/>
            </w:tcBorders>
          </w:tcPr>
          <w:p>
            <w:pPr>
              <w:spacing w:after="0"/>
              <w:rPr>
                <w:sz w:val="18"/>
                <w:szCs w:val="18"/>
                <w:color w:val="auto"/>
              </w:rPr>
            </w:pPr>
          </w:p>
        </w:tc>
        <w:tc>
          <w:tcPr>
            <w:tcW w:w="540" w:type="dxa"/>
            <w:vAlign w:val="bottom"/>
            <w:tcBorders>
              <w:bottom w:val="single" w:sz="8" w:color="0C479D"/>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Corporate and Financing expenses were $1,053 million for the first quarter of 2026, $255 million higher than the first quarter of 2025, due to lower interest income and the absence of favorable tax items.</w:t>
      </w:r>
    </w:p>
    <w:p>
      <w:pPr>
        <w:sectPr>
          <w:pgSz w:w="11900" w:h="16838" w:orient="portrait"/>
          <w:cols w:equalWidth="0" w:num="1">
            <w:col w:w="9260"/>
          </w:cols>
          <w:pgMar w:left="1320" w:top="49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260"/>
          </w:cols>
          <w:pgMar w:left="1320" w:top="499" w:right="1319" w:bottom="1440" w:gutter="0" w:footer="0" w:header="0"/>
          <w:type w:val="continuous"/>
        </w:sectPr>
      </w:pPr>
    </w:p>
    <w:bookmarkStart w:id="25" w:name="page26"/>
    <w:bookmarkEnd w:id="25"/>
    <w:p>
      <w:pPr>
        <w:ind w:left="796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LIQUIDITY AND CAPITAL RESOURCES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60" w:type="dxa"/>
            <w:vAlign w:val="bottom"/>
            <w:shd w:val="clear" w:color="auto" w:fill="0C479D"/>
          </w:tcPr>
          <w:p>
            <w:pPr>
              <w:spacing w:after="0"/>
              <w:rPr>
                <w:sz w:val="17"/>
                <w:szCs w:val="17"/>
                <w:color w:val="auto"/>
              </w:rPr>
            </w:pPr>
          </w:p>
        </w:tc>
        <w:tc>
          <w:tcPr>
            <w:tcW w:w="1980" w:type="dxa"/>
            <w:vAlign w:val="bottom"/>
            <w:gridSpan w:val="3"/>
            <w:shd w:val="clear" w:color="auto" w:fill="0C479D"/>
          </w:tcPr>
          <w:p>
            <w:pPr>
              <w:jc w:val="right"/>
              <w:ind w:right="252"/>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shd w:val="clear" w:color="auto" w:fill="0C479D"/>
          </w:tcPr>
          <w:p>
            <w:pPr>
              <w:spacing w:after="0"/>
              <w:rPr>
                <w:sz w:val="17"/>
                <w:szCs w:val="17"/>
                <w:color w:val="auto"/>
              </w:rPr>
            </w:pPr>
          </w:p>
        </w:tc>
      </w:tr>
      <w:tr>
        <w:trPr>
          <w:trHeight w:val="176"/>
        </w:trPr>
        <w:tc>
          <w:tcPr>
            <w:tcW w:w="7260" w:type="dxa"/>
            <w:vAlign w:val="bottom"/>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00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March</w:t>
            </w:r>
          </w:p>
        </w:tc>
        <w:tc>
          <w:tcPr>
            <w:tcW w:w="34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31,</w:t>
            </w:r>
          </w:p>
        </w:tc>
        <w:tc>
          <w:tcPr>
            <w:tcW w:w="640" w:type="dxa"/>
            <w:vAlign w:val="bottom"/>
            <w:shd w:val="clear" w:color="auto" w:fill="0C479D"/>
          </w:tcPr>
          <w:p>
            <w:pPr>
              <w:spacing w:after="0"/>
              <w:rPr>
                <w:sz w:val="15"/>
                <w:szCs w:val="15"/>
                <w:color w:val="auto"/>
              </w:rPr>
            </w:pPr>
          </w:p>
        </w:tc>
        <w:tc>
          <w:tcPr>
            <w:tcW w:w="20" w:type="dxa"/>
            <w:vAlign w:val="bottom"/>
            <w:shd w:val="clear" w:color="auto" w:fill="0C479D"/>
          </w:tcPr>
          <w:p>
            <w:pPr>
              <w:spacing w:after="0"/>
              <w:rPr>
                <w:sz w:val="15"/>
                <w:szCs w:val="15"/>
                <w:color w:val="auto"/>
              </w:rPr>
            </w:pPr>
          </w:p>
        </w:tc>
      </w:tr>
      <w:tr>
        <w:trPr>
          <w:trHeight w:val="209"/>
        </w:trPr>
        <w:tc>
          <w:tcPr>
            <w:tcW w:w="7260" w:type="dxa"/>
            <w:vAlign w:val="bottom"/>
            <w:tcBorders>
              <w:bottom w:val="single" w:sz="8" w:color="0C479D"/>
            </w:tcBorders>
            <w:shd w:val="clear" w:color="auto" w:fill="0C479D"/>
          </w:tcPr>
          <w:p>
            <w:pPr>
              <w:spacing w:after="0"/>
              <w:rPr>
                <w:sz w:val="18"/>
                <w:szCs w:val="18"/>
                <w:color w:val="auto"/>
              </w:rPr>
            </w:pPr>
          </w:p>
        </w:tc>
        <w:tc>
          <w:tcPr>
            <w:tcW w:w="100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340" w:type="dxa"/>
            <w:vAlign w:val="bottom"/>
            <w:tcBorders>
              <w:bottom w:val="single" w:sz="8" w:color="0C479D"/>
            </w:tcBorders>
            <w:shd w:val="clear" w:color="auto" w:fill="0C479D"/>
          </w:tcPr>
          <w:p>
            <w:pPr>
              <w:spacing w:after="0"/>
              <w:rPr>
                <w:sz w:val="18"/>
                <w:szCs w:val="18"/>
                <w:color w:val="auto"/>
              </w:rPr>
            </w:pPr>
          </w:p>
        </w:tc>
        <w:tc>
          <w:tcPr>
            <w:tcW w:w="64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Borders>
              <w:bottom w:val="single" w:sz="8" w:color="0C479D"/>
            </w:tcBorders>
            <w:shd w:val="clear" w:color="auto" w:fill="0C479D"/>
          </w:tcPr>
          <w:p>
            <w:pPr>
              <w:spacing w:after="0"/>
              <w:rPr>
                <w:sz w:val="18"/>
                <w:szCs w:val="18"/>
                <w:color w:val="auto"/>
              </w:rPr>
            </w:pPr>
          </w:p>
        </w:tc>
      </w:tr>
      <w:tr>
        <w:trPr>
          <w:trHeight w:val="211"/>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Net cash provided by/(used in)</w:t>
            </w:r>
          </w:p>
        </w:tc>
        <w:tc>
          <w:tcPr>
            <w:tcW w:w="1000" w:type="dxa"/>
            <w:vAlign w:val="bottom"/>
            <w:shd w:val="clear" w:color="auto" w:fill="F0F0F0"/>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12,953</w:t>
            </w:r>
          </w:p>
        </w:tc>
        <w:tc>
          <w:tcPr>
            <w:tcW w:w="20" w:type="dxa"/>
            <w:vAlign w:val="bottom"/>
          </w:tcPr>
          <w:p>
            <w:pPr>
              <w:spacing w:after="0"/>
              <w:rPr>
                <w:sz w:val="18"/>
                <w:szCs w:val="18"/>
                <w:color w:val="auto"/>
              </w:rPr>
            </w:pPr>
          </w:p>
        </w:tc>
      </w:tr>
      <w:tr>
        <w:trPr>
          <w:trHeight w:val="216"/>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Investing activities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20" w:type="dxa"/>
            <w:vAlign w:val="bottom"/>
          </w:tcPr>
          <w:p>
            <w:pPr>
              <w:spacing w:after="0"/>
              <w:rPr>
                <w:sz w:val="18"/>
                <w:szCs w:val="18"/>
                <w:color w:val="auto"/>
              </w:rPr>
            </w:pPr>
          </w:p>
        </w:tc>
      </w:tr>
      <w:tr>
        <w:trPr>
          <w:trHeight w:val="216"/>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Financing activities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(13,579)</w:t>
            </w:r>
          </w:p>
        </w:tc>
        <w:tc>
          <w:tcPr>
            <w:tcW w:w="20" w:type="dxa"/>
            <w:vAlign w:val="bottom"/>
          </w:tcPr>
          <w:p>
            <w:pPr>
              <w:spacing w:after="0"/>
              <w:rPr>
                <w:sz w:val="18"/>
                <w:szCs w:val="18"/>
                <w:color w:val="auto"/>
              </w:rPr>
            </w:pPr>
          </w:p>
        </w:tc>
      </w:tr>
      <w:tr>
        <w:trPr>
          <w:trHeight w:val="207"/>
        </w:trPr>
        <w:tc>
          <w:tcPr>
            <w:tcW w:w="726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Borders>
              <w:bottom w:val="single" w:sz="8" w:color="0C479D"/>
            </w:tcBorders>
          </w:tcPr>
          <w:p>
            <w:pPr>
              <w:spacing w:after="0"/>
              <w:rPr>
                <w:sz w:val="18"/>
                <w:szCs w:val="18"/>
                <w:color w:val="auto"/>
              </w:rPr>
            </w:pPr>
          </w:p>
        </w:tc>
        <w:tc>
          <w:tcPr>
            <w:tcW w:w="6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r>
      <w:tr>
        <w:trPr>
          <w:trHeight w:val="189"/>
        </w:trPr>
        <w:tc>
          <w:tcPr>
            <w:tcW w:w="7260" w:type="dxa"/>
            <w:vAlign w:val="bottom"/>
            <w:tcBorders>
              <w:bottom w:val="single" w:sz="8" w:color="0C479D"/>
            </w:tcBorders>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Increase/(decrease) in cash and cash equivalents</w:t>
            </w:r>
          </w:p>
        </w:tc>
        <w:tc>
          <w:tcPr>
            <w:tcW w:w="1000" w:type="dxa"/>
            <w:vAlign w:val="bottom"/>
            <w:tcBorders>
              <w:bottom w:val="single" w:sz="8" w:color="0C479D"/>
            </w:tcBorders>
            <w:shd w:val="clear" w:color="auto" w:fill="F0F0F0"/>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(2,246)</w:t>
            </w:r>
          </w:p>
        </w:tc>
        <w:tc>
          <w:tcPr>
            <w:tcW w:w="340" w:type="dxa"/>
            <w:vAlign w:val="bottom"/>
            <w:tcBorders>
              <w:bottom w:val="single" w:sz="8" w:color="0C479D"/>
            </w:tcBorders>
          </w:tcPr>
          <w:p>
            <w:pPr>
              <w:spacing w:after="0"/>
              <w:rPr>
                <w:sz w:val="16"/>
                <w:szCs w:val="16"/>
                <w:color w:val="auto"/>
              </w:rPr>
            </w:pPr>
          </w:p>
        </w:tc>
        <w:tc>
          <w:tcPr>
            <w:tcW w:w="640" w:type="dxa"/>
            <w:vAlign w:val="bottom"/>
            <w:tcBorders>
              <w:bottom w:val="single" w:sz="8" w:color="0C479D"/>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(4,675)</w:t>
            </w:r>
          </w:p>
        </w:tc>
        <w:tc>
          <w:tcPr>
            <w:tcW w:w="20" w:type="dxa"/>
            <w:vAlign w:val="bottom"/>
          </w:tcPr>
          <w:p>
            <w:pPr>
              <w:spacing w:after="0"/>
              <w:rPr>
                <w:sz w:val="16"/>
                <w:szCs w:val="16"/>
                <w:color w:val="auto"/>
              </w:rPr>
            </w:pPr>
          </w:p>
        </w:tc>
      </w:tr>
      <w:tr>
        <w:trPr>
          <w:trHeight w:val="324"/>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Cash and cash equivalents (at end of period)</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20" w:type="dxa"/>
            <w:vAlign w:val="bottom"/>
          </w:tcPr>
          <w:p>
            <w:pPr>
              <w:spacing w:after="0"/>
              <w:rPr>
                <w:sz w:val="24"/>
                <w:szCs w:val="24"/>
                <w:color w:val="auto"/>
              </w:rPr>
            </w:pPr>
          </w:p>
        </w:tc>
      </w:tr>
      <w:tr>
        <w:trPr>
          <w:trHeight w:val="288"/>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0C479D"/>
              </w:rPr>
              <w:t>Cash flow from operations and asset sales</w:t>
            </w:r>
          </w:p>
        </w:tc>
        <w:tc>
          <w:tcPr>
            <w:tcW w:w="1000" w:type="dxa"/>
            <w:vAlign w:val="bottom"/>
            <w:shd w:val="clear" w:color="auto" w:fill="F0F0F0"/>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(U.S. GAAP)</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12,953</w:t>
            </w:r>
          </w:p>
        </w:tc>
        <w:tc>
          <w:tcPr>
            <w:tcW w:w="20" w:type="dxa"/>
            <w:vAlign w:val="bottom"/>
          </w:tcPr>
          <w:p>
            <w:pPr>
              <w:spacing w:after="0"/>
              <w:rPr>
                <w:sz w:val="19"/>
                <w:szCs w:val="19"/>
                <w:color w:val="auto"/>
              </w:rPr>
            </w:pPr>
          </w:p>
        </w:tc>
      </w:tr>
      <w:tr>
        <w:trPr>
          <w:trHeight w:val="189"/>
        </w:trPr>
        <w:tc>
          <w:tcPr>
            <w:tcW w:w="726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Proceeds associated with sales of subsidiaries, property, plant &amp; equipment, and sales and returns</w:t>
            </w:r>
          </w:p>
        </w:tc>
        <w:tc>
          <w:tcPr>
            <w:tcW w:w="1000" w:type="dxa"/>
            <w:vAlign w:val="bottom"/>
            <w:shd w:val="clear" w:color="auto" w:fill="F0F0F0"/>
          </w:tcPr>
          <w:p>
            <w:pPr>
              <w:jc w:val="right"/>
              <w:spacing w:after="0" w:line="189" w:lineRule="exact"/>
              <w:rPr>
                <w:sz w:val="20"/>
                <w:szCs w:val="20"/>
                <w:color w:val="auto"/>
              </w:rPr>
            </w:pPr>
            <w:r>
              <w:rPr>
                <w:rFonts w:ascii="Times New Roman" w:cs="Times New Roman" w:eastAsia="Times New Roman" w:hAnsi="Times New Roman"/>
                <w:sz w:val="18"/>
                <w:szCs w:val="18"/>
                <w:color w:val="auto"/>
              </w:rPr>
              <w:t>219</w:t>
            </w:r>
          </w:p>
        </w:tc>
        <w:tc>
          <w:tcPr>
            <w:tcW w:w="34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1,823</w:t>
            </w:r>
          </w:p>
        </w:tc>
        <w:tc>
          <w:tcPr>
            <w:tcW w:w="20" w:type="dxa"/>
            <w:vAlign w:val="bottom"/>
          </w:tcPr>
          <w:p>
            <w:pPr>
              <w:spacing w:after="0"/>
              <w:rPr>
                <w:sz w:val="16"/>
                <w:szCs w:val="16"/>
                <w:color w:val="auto"/>
              </w:rPr>
            </w:pPr>
          </w:p>
        </w:tc>
      </w:tr>
      <w:tr>
        <w:trPr>
          <w:trHeight w:val="221"/>
        </w:trPr>
        <w:tc>
          <w:tcPr>
            <w:tcW w:w="7260" w:type="dxa"/>
            <w:vAlign w:val="bottom"/>
            <w:tcBorders>
              <w:bottom w:val="single" w:sz="8" w:color="0C479D"/>
            </w:tcBorders>
          </w:tcPr>
          <w:p>
            <w:pPr>
              <w:ind w:left="80"/>
              <w:spacing w:after="0"/>
              <w:rPr>
                <w:sz w:val="20"/>
                <w:szCs w:val="20"/>
                <w:color w:val="auto"/>
              </w:rPr>
            </w:pPr>
            <w:r>
              <w:rPr>
                <w:rFonts w:ascii="Times New Roman" w:cs="Times New Roman" w:eastAsia="Times New Roman" w:hAnsi="Times New Roman"/>
                <w:sz w:val="18"/>
                <w:szCs w:val="18"/>
                <w:color w:val="auto"/>
              </w:rPr>
              <w:t>of investments</w:t>
            </w:r>
          </w:p>
        </w:tc>
        <w:tc>
          <w:tcPr>
            <w:tcW w:w="1000" w:type="dxa"/>
            <w:vAlign w:val="bottom"/>
            <w:tcBorders>
              <w:bottom w:val="single" w:sz="8" w:color="0C479D"/>
            </w:tcBorders>
            <w:shd w:val="clear" w:color="auto" w:fill="F0F0F0"/>
          </w:tcPr>
          <w:p>
            <w:pPr>
              <w:spacing w:after="0"/>
              <w:rPr>
                <w:sz w:val="19"/>
                <w:szCs w:val="19"/>
                <w:color w:val="auto"/>
              </w:rPr>
            </w:pPr>
          </w:p>
        </w:tc>
        <w:tc>
          <w:tcPr>
            <w:tcW w:w="340" w:type="dxa"/>
            <w:vAlign w:val="bottom"/>
            <w:tcBorders>
              <w:bottom w:val="single" w:sz="8" w:color="0C479D"/>
            </w:tcBorders>
          </w:tcPr>
          <w:p>
            <w:pPr>
              <w:spacing w:after="0"/>
              <w:rPr>
                <w:sz w:val="19"/>
                <w:szCs w:val="19"/>
                <w:color w:val="auto"/>
              </w:rPr>
            </w:pPr>
          </w:p>
        </w:tc>
        <w:tc>
          <w:tcPr>
            <w:tcW w:w="640" w:type="dxa"/>
            <w:vAlign w:val="bottom"/>
            <w:tcBorders>
              <w:bottom w:val="single" w:sz="8" w:color="0C479D"/>
            </w:tcBorders>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7260" w:type="dxa"/>
            <w:vAlign w:val="bottom"/>
            <w:tcBorders>
              <w:bottom w:val="single" w:sz="8" w:color="0C479D"/>
            </w:tcBorders>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Cash flow from operations and asset sales </w:t>
            </w:r>
            <w:r>
              <w:rPr>
                <w:rFonts w:ascii="Times New Roman" w:cs="Times New Roman" w:eastAsia="Times New Roman" w:hAnsi="Times New Roman"/>
                <w:sz w:val="18"/>
                <w:szCs w:val="18"/>
                <w:color w:val="auto"/>
              </w:rPr>
              <w:t>(Non-GAAP)</w:t>
            </w:r>
          </w:p>
        </w:tc>
        <w:tc>
          <w:tcPr>
            <w:tcW w:w="1000" w:type="dxa"/>
            <w:vAlign w:val="bottom"/>
            <w:tcBorders>
              <w:bottom w:val="single" w:sz="8" w:color="0C479D"/>
            </w:tcBorders>
            <w:shd w:val="clear" w:color="auto" w:fill="F0F0F0"/>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8,924</w:t>
            </w:r>
          </w:p>
        </w:tc>
        <w:tc>
          <w:tcPr>
            <w:tcW w:w="340" w:type="dxa"/>
            <w:vAlign w:val="bottom"/>
            <w:tcBorders>
              <w:bottom w:val="single" w:sz="8" w:color="0C479D"/>
            </w:tcBorders>
          </w:tcPr>
          <w:p>
            <w:pPr>
              <w:spacing w:after="0"/>
              <w:rPr>
                <w:sz w:val="16"/>
                <w:szCs w:val="16"/>
                <w:color w:val="auto"/>
              </w:rPr>
            </w:pPr>
          </w:p>
        </w:tc>
        <w:tc>
          <w:tcPr>
            <w:tcW w:w="640" w:type="dxa"/>
            <w:vAlign w:val="bottom"/>
            <w:tcBorders>
              <w:bottom w:val="single" w:sz="8" w:color="0C479D"/>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14,776</w:t>
            </w:r>
          </w:p>
        </w:tc>
        <w:tc>
          <w:tcPr>
            <w:tcW w:w="20" w:type="dxa"/>
            <w:vAlign w:val="bottom"/>
          </w:tcPr>
          <w:p>
            <w:pPr>
              <w:spacing w:after="0"/>
              <w:rPr>
                <w:sz w:val="16"/>
                <w:szCs w:val="16"/>
                <w:color w:val="auto"/>
              </w:rPr>
            </w:pPr>
          </w:p>
        </w:tc>
      </w:tr>
    </w:tbl>
    <w:p>
      <w:pPr>
        <w:spacing w:after="0" w:line="79" w:lineRule="exact"/>
        <w:rPr>
          <w:sz w:val="20"/>
          <w:szCs w:val="20"/>
          <w:color w:val="auto"/>
        </w:rPr>
      </w:pPr>
    </w:p>
    <w:p>
      <w:pPr>
        <w:ind w:left="60" w:right="80"/>
        <w:spacing w:after="0" w:line="233" w:lineRule="auto"/>
        <w:rPr>
          <w:sz w:val="20"/>
          <w:szCs w:val="20"/>
          <w:color w:val="auto"/>
        </w:rPr>
      </w:pPr>
      <w:r>
        <w:rPr>
          <w:rFonts w:ascii="Times New Roman" w:cs="Times New Roman" w:eastAsia="Times New Roman" w:hAnsi="Times New Roman"/>
          <w:sz w:val="16"/>
          <w:szCs w:val="16"/>
          <w:i w:val="1"/>
          <w:iCs w:val="1"/>
          <w:color w:val="auto"/>
        </w:rPr>
        <w:t>Because of the ongoing nature of our asset management and divestment program, we believe it is useful for investors to consider proceeds associated with asset sales together with cash provided by operating activities when evaluating cash available for investment in the business and financing activities, including shareholder distributions.</w:t>
      </w:r>
    </w:p>
    <w:p>
      <w:pPr>
        <w:spacing w:after="0" w:line="27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flow from operations and asset sales in the first quarter of 2026 was $8.9 billion, a decrease of $5.9 billion from the comparable 2025 period.</w:t>
      </w:r>
    </w:p>
    <w:p>
      <w:pPr>
        <w:spacing w:after="0" w:line="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totaled $8.7 billion for the first three months of 2026, $4.2 billion lower than 2025. Net income including noncontrolling interests was $4.5 billion, a decrease of $3.6 billion from the prior year period. The adjustment for the noncash provision of $6.8 billion for depreciation and depletion was up $1.1 billion from 2025. Changes in operational working capital were a reduction of $1.8 billion during the period. All other items net decreased cash flows by $0.8 billion in 2026 versus an increase of $0.1 billion in 2025. See the Condensed Consolidated Statement of Cash Flows for additional details.</w:t>
      </w:r>
    </w:p>
    <w:p>
      <w:pPr>
        <w:spacing w:after="0" w:line="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Investing activities for the first three months of 2026 used net cash of $6.0 billion, an increase of $1.9 billion compared to the prior year. Spending for additions to property, plant and equipment of $6.5 billion was $0.6 billion higher than 2025. Proceeds from asset sales were $0.2 billion , a decrease of $1.6 billion compared to the prior year. Net investments and advances decreased $0.3 billion from $0.1 billion in 2025.</w:t>
      </w:r>
    </w:p>
    <w:p>
      <w:pPr>
        <w:spacing w:after="0" w:line="5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 xml:space="preserve">Net cash used in financing activities was $4.9 billion in the first three months of 2026, including $4.9 billion for the purchase of 33.6 million shares of ExxonMobil stock, as part of the previously announced buyback program. This compares to net cash used in financing activities of $13.6 billion in the prior year. Total debt at the end of the first quarter of 2026 was $47.7 billion compared to $43.5 billion at year-end 2025. The Corporation's debt to total capital ratio was 15.4 percent at the end of the first quarter of 2026 compared to 14.0 percent at year-end 2025. The net debt to capital ratio </w:t>
      </w: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8"/>
          <w:szCs w:val="18"/>
          <w:color w:val="auto"/>
        </w:rPr>
        <w:t xml:space="preserve"> was 13.1 percent at the end of the first quarter, an increase of 2.1 percentage points from year-end 2025. The Corporation's capital allocation priorities are investing in competitively advantaged, high-return projects, maintaining a strong balance sheet, and sharing our success with our shareholders through more consistent share repurchases and a growing dividend. The Corporation distributed a total of $4.3 billion to shareholders in the first three months of 2026 through dividends.</w:t>
      </w:r>
    </w:p>
    <w:p>
      <w:pPr>
        <w:spacing w:after="0" w:line="6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Corporation has access to significant capacity of long-term and short-term liquidity. Internally generated funds are expected to cover the majority of financial requirements, supplemented by long-term and short-term debt. Commercial paper is used to balance short-term liquidity requirements and is reflected in "Notes and loans payable" on the Consolidated Balance Sheet, with changes in outstanding commercial paper between periods included in the Consolidated Statement of Cash Flows. The Corporation had undrawn short-term committed lines of credit of $7.3 billion and undrawn long-term committed lines of credit of $0.3 billion as of the end of first quarter 2026.</w:t>
      </w:r>
    </w:p>
    <w:p>
      <w:pPr>
        <w:spacing w:after="0" w:line="6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Corporation’s financial strength enables it to make large, long-term capital expenditures. Cash capex in the first quarter of 2026 was $6.2 billion, up $0.3 billion from the first quarter of 2025. The Corporation plans to invest in the range of $27 billion to $29 billion in 2026. Actual spending could vary depending on the progress of individual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60" w:firstLine="7"/>
        <w:spacing w:after="0" w:line="219" w:lineRule="auto"/>
        <w:tabs>
          <w:tab w:leader="none" w:pos="183" w:val="left"/>
        </w:tabs>
        <w:numPr>
          <w:ilvl w:val="0"/>
          <w:numId w:val="21"/>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4"/>
          <w:szCs w:val="14"/>
          <w:i w:val="1"/>
          <w:iCs w:val="1"/>
          <w:color w:val="auto"/>
        </w:rPr>
        <w:t>Net debt is total debt of $47.7 billion less $8.4 billion of cash and cash equivalents excluding restricted cash . Net debt to capital ratio is net debt divided by net debt plus total equity of $261.0 billion. Total debt is the sum of notes and loans payable and long-term debt, as reported in the Consolidated Balance Sheet.</w:t>
      </w:r>
    </w:p>
    <w:p>
      <w:pPr>
        <w:sectPr>
          <w:pgSz w:w="11900" w:h="16838" w:orient="portrait"/>
          <w:cols w:equalWidth="0" w:num="1">
            <w:col w:w="9260"/>
          </w:cols>
          <w:pgMar w:left="1320" w:top="499" w:right="1319" w:bottom="1440"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260"/>
          </w:cols>
          <w:pgMar w:left="1320" w:top="499" w:right="1319" w:bottom="1440" w:gutter="0" w:footer="0" w:header="0"/>
          <w:type w:val="continuous"/>
        </w:sectPr>
      </w:pPr>
    </w:p>
    <w:bookmarkStart w:id="26" w:name="page27"/>
    <w:bookmarkEnd w:id="26"/>
    <w:p>
      <w:pPr>
        <w:ind w:left="796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Corporation, as part of its ongoing asset management program, continues to evaluate its mix of assets for potential upgrade. Because of the ongoing nature of this program, dispositions will continue to be made from time to time which will result in either gains or losses. Additionally, the Corporation continues to evaluate opportunities to enhance its business portfolio through acquisitions of assets or companies, and enters into such transactions from time to time. Key criteria for evaluating acquisitions include strategic fit, cost synergies, potential for future growth, low cost of supply, and attractive valuations. Acquisitions may be made with cash, shares of the Corporation’s common stock, or both.</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Litigation and other contingencies are discussed in </w:t>
      </w:r>
      <w:r>
        <w:rPr>
          <w:rFonts w:ascii="Times New Roman" w:cs="Times New Roman" w:eastAsia="Times New Roman" w:hAnsi="Times New Roman"/>
          <w:sz w:val="18"/>
          <w:szCs w:val="18"/>
          <w:color w:val="0000FF"/>
        </w:rPr>
        <w:t>Note 7</w:t>
      </w:r>
      <w:r>
        <w:rPr>
          <w:rFonts w:ascii="Times New Roman" w:cs="Times New Roman" w:eastAsia="Times New Roman" w:hAnsi="Times New Roman"/>
          <w:sz w:val="18"/>
          <w:szCs w:val="18"/>
          <w:color w:val="auto"/>
        </w:rPr>
        <w:t xml:space="preserve"> to the unaudited Condensed Consolidated Financial Statements.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TAXES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60" w:type="dxa"/>
            <w:vAlign w:val="bottom"/>
            <w:shd w:val="clear" w:color="auto" w:fill="0C479D"/>
          </w:tcPr>
          <w:p>
            <w:pPr>
              <w:spacing w:after="0"/>
              <w:rPr>
                <w:sz w:val="16"/>
                <w:szCs w:val="16"/>
                <w:color w:val="auto"/>
              </w:rPr>
            </w:pPr>
          </w:p>
        </w:tc>
        <w:tc>
          <w:tcPr>
            <w:tcW w:w="1980" w:type="dxa"/>
            <w:vAlign w:val="bottom"/>
            <w:gridSpan w:val="3"/>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7260" w:type="dxa"/>
            <w:vAlign w:val="bottom"/>
            <w:shd w:val="clear" w:color="auto" w:fill="0C479D"/>
          </w:tcPr>
          <w:p>
            <w:pPr>
              <w:ind w:left="8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320" w:type="dxa"/>
            <w:vAlign w:val="bottom"/>
            <w:gridSpan w:val="2"/>
            <w:shd w:val="clear" w:color="auto" w:fill="0C479D"/>
          </w:tcPr>
          <w:p>
            <w:pPr>
              <w:jc w:val="center"/>
              <w:ind w:left="578"/>
              <w:spacing w:after="0"/>
              <w:rPr>
                <w:sz w:val="20"/>
                <w:szCs w:val="20"/>
                <w:color w:val="auto"/>
              </w:rPr>
            </w:pPr>
            <w:r>
              <w:rPr>
                <w:rFonts w:ascii="Times New Roman" w:cs="Times New Roman" w:eastAsia="Times New Roman" w:hAnsi="Times New Roman"/>
                <w:sz w:val="14"/>
                <w:szCs w:val="14"/>
                <w:b w:val="1"/>
                <w:bCs w:val="1"/>
                <w:color w:val="FFFFFF"/>
              </w:rPr>
              <w:t>March 31,</w:t>
            </w:r>
          </w:p>
        </w:tc>
        <w:tc>
          <w:tcPr>
            <w:tcW w:w="66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0C479D"/>
            </w:tcBorders>
            <w:shd w:val="clear" w:color="auto" w:fill="0C479D"/>
          </w:tcPr>
          <w:p>
            <w:pPr>
              <w:spacing w:after="0"/>
              <w:rPr>
                <w:sz w:val="19"/>
                <w:szCs w:val="19"/>
                <w:color w:val="auto"/>
              </w:rPr>
            </w:pPr>
          </w:p>
        </w:tc>
        <w:tc>
          <w:tcPr>
            <w:tcW w:w="100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320" w:type="dxa"/>
            <w:vAlign w:val="bottom"/>
            <w:tcBorders>
              <w:bottom w:val="single" w:sz="8" w:color="0C479D"/>
            </w:tcBorders>
            <w:shd w:val="clear" w:color="auto" w:fill="0C479D"/>
          </w:tcPr>
          <w:p>
            <w:pPr>
              <w:spacing w:after="0"/>
              <w:rPr>
                <w:sz w:val="19"/>
                <w:szCs w:val="19"/>
                <w:color w:val="auto"/>
              </w:rPr>
            </w:pPr>
          </w:p>
        </w:tc>
        <w:tc>
          <w:tcPr>
            <w:tcW w:w="660" w:type="dxa"/>
            <w:vAlign w:val="bottom"/>
            <w:tcBorders>
              <w:bottom w:val="single" w:sz="8" w:color="0C479D"/>
            </w:tcBorders>
            <w:vMerge w:val="continue"/>
            <w:shd w:val="clear" w:color="auto" w:fill="0C479D"/>
          </w:tcPr>
          <w:p>
            <w:pPr>
              <w:spacing w:after="0"/>
              <w:rPr>
                <w:sz w:val="19"/>
                <w:szCs w:val="19"/>
                <w:color w:val="auto"/>
              </w:rPr>
            </w:pPr>
          </w:p>
        </w:tc>
        <w:tc>
          <w:tcPr>
            <w:tcW w:w="20" w:type="dxa"/>
            <w:vAlign w:val="bottom"/>
            <w:tcBorders>
              <w:bottom w:val="single" w:sz="8" w:color="0C479D"/>
            </w:tcBorders>
            <w:shd w:val="clear" w:color="auto" w:fill="0C479D"/>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taxes</w:t>
            </w:r>
          </w:p>
        </w:tc>
        <w:tc>
          <w:tcPr>
            <w:tcW w:w="10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6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000" w:type="dxa"/>
            <w:vAlign w:val="bottom"/>
            <w:shd w:val="clear" w:color="auto" w:fill="F0F0F0"/>
          </w:tcPr>
          <w:p>
            <w:pPr>
              <w:jc w:val="right"/>
              <w:ind w:right="238"/>
              <w:spacing w:after="0"/>
              <w:rPr>
                <w:sz w:val="20"/>
                <w:szCs w:val="20"/>
                <w:color w:val="auto"/>
              </w:rPr>
            </w:pPr>
            <w:r>
              <w:rPr>
                <w:rFonts w:ascii="Times New Roman" w:cs="Times New Roman" w:eastAsia="Times New Roman" w:hAnsi="Times New Roman"/>
                <w:sz w:val="18"/>
                <w:szCs w:val="18"/>
                <w:i w:val="1"/>
                <w:iCs w:val="1"/>
                <w:color w:val="auto"/>
              </w:rPr>
              <w:t>40%</w:t>
            </w:r>
          </w:p>
        </w:tc>
        <w:tc>
          <w:tcPr>
            <w:tcW w:w="320" w:type="dxa"/>
            <w:vAlign w:val="bottom"/>
          </w:tcPr>
          <w:p>
            <w:pPr>
              <w:spacing w:after="0"/>
              <w:rPr>
                <w:sz w:val="18"/>
                <w:szCs w:val="18"/>
                <w:color w:val="auto"/>
              </w:rPr>
            </w:pPr>
          </w:p>
        </w:tc>
        <w:tc>
          <w:tcPr>
            <w:tcW w:w="660" w:type="dxa"/>
            <w:vAlign w:val="bottom"/>
          </w:tcPr>
          <w:p>
            <w:pPr>
              <w:jc w:val="right"/>
              <w:ind w:right="214"/>
              <w:spacing w:after="0"/>
              <w:rPr>
                <w:sz w:val="20"/>
                <w:szCs w:val="20"/>
                <w:color w:val="auto"/>
              </w:rPr>
            </w:pPr>
            <w:r>
              <w:rPr>
                <w:rFonts w:ascii="Times New Roman" w:cs="Times New Roman" w:eastAsia="Times New Roman" w:hAnsi="Times New Roman"/>
                <w:sz w:val="18"/>
                <w:szCs w:val="18"/>
                <w:i w:val="1"/>
                <w:iCs w:val="1"/>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260" w:type="dxa"/>
            <w:vAlign w:val="bottom"/>
            <w:tcBorders>
              <w:bottom w:val="single" w:sz="8" w:color="0C479D"/>
            </w:tcBorders>
          </w:tcPr>
          <w:p>
            <w:pPr>
              <w:ind w:left="60"/>
              <w:spacing w:after="0" w:line="240" w:lineRule="exact"/>
              <w:rPr>
                <w:sz w:val="20"/>
                <w:szCs w:val="20"/>
                <w:color w:val="auto"/>
              </w:rPr>
            </w:pPr>
            <w:r>
              <w:rPr>
                <w:rFonts w:ascii="Times New Roman" w:cs="Times New Roman" w:eastAsia="Times New Roman" w:hAnsi="Times New Roman"/>
                <w:sz w:val="18"/>
                <w:szCs w:val="18"/>
                <w:color w:val="auto"/>
              </w:rPr>
              <w:t xml:space="preserve">Total other taxes and duties </w:t>
            </w:r>
            <w:r>
              <w:rPr>
                <w:rFonts w:ascii="Times New Roman" w:cs="Times New Roman" w:eastAsia="Times New Roman" w:hAnsi="Times New Roman"/>
                <w:sz w:val="23"/>
                <w:szCs w:val="23"/>
                <w:i w:val="1"/>
                <w:iCs w:val="1"/>
                <w:color w:val="auto"/>
                <w:vertAlign w:val="superscript"/>
              </w:rPr>
              <w:t>(1)</w:t>
            </w:r>
          </w:p>
        </w:tc>
        <w:tc>
          <w:tcPr>
            <w:tcW w:w="10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320" w:type="dxa"/>
            <w:vAlign w:val="bottom"/>
            <w:tcBorders>
              <w:bottom w:val="single" w:sz="8" w:color="0C479D"/>
            </w:tcBorders>
          </w:tcPr>
          <w:p>
            <w:pPr>
              <w:spacing w:after="0"/>
              <w:rPr>
                <w:sz w:val="20"/>
                <w:szCs w:val="20"/>
                <w:color w:val="auto"/>
              </w:rPr>
            </w:pP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260" w:type="dxa"/>
            <w:vAlign w:val="bottom"/>
            <w:tcBorders>
              <w:bottom w:val="single" w:sz="8" w:color="0C479D"/>
            </w:tcBorders>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0C479D"/>
            </w:tcBorders>
            <w:shd w:val="clear" w:color="auto" w:fill="F0F0F0"/>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9,270</w:t>
            </w:r>
          </w:p>
        </w:tc>
        <w:tc>
          <w:tcPr>
            <w:tcW w:w="320" w:type="dxa"/>
            <w:vAlign w:val="bottom"/>
            <w:tcBorders>
              <w:bottom w:val="single" w:sz="8" w:color="0C479D"/>
            </w:tcBorders>
          </w:tcPr>
          <w:p>
            <w:pPr>
              <w:spacing w:after="0"/>
              <w:rPr>
                <w:sz w:val="17"/>
                <w:szCs w:val="17"/>
                <w:color w:val="auto"/>
              </w:rPr>
            </w:pPr>
          </w:p>
        </w:tc>
        <w:tc>
          <w:tcPr>
            <w:tcW w:w="660" w:type="dxa"/>
            <w:vAlign w:val="bottom"/>
            <w:tcBorders>
              <w:bottom w:val="single" w:sz="8" w:color="0C479D"/>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10,633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60" w:right="240" w:firstLine="8"/>
        <w:spacing w:after="0" w:line="229" w:lineRule="auto"/>
        <w:tabs>
          <w:tab w:leader="none" w:pos="223" w:val="left"/>
        </w:tabs>
        <w:numPr>
          <w:ilvl w:val="0"/>
          <w:numId w:val="2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highlight w:val="white"/>
        </w:rPr>
        <w:t>Includes “Other taxes and duties” plus taxes that are included in “Production and manufacturing expenses” and “Selli</w:t>
      </w:r>
      <w:r>
        <w:rPr>
          <w:rFonts w:ascii="Times New Roman" w:cs="Times New Roman" w:eastAsia="Times New Roman" w:hAnsi="Times New Roman"/>
          <w:sz w:val="15"/>
          <w:szCs w:val="15"/>
          <w:i w:val="1"/>
          <w:iCs w:val="1"/>
          <w:color w:val="auto"/>
        </w:rPr>
        <w:t>ng, general and</w:t>
      </w:r>
      <w:r>
        <w:rPr>
          <w:rFonts w:ascii="Times New Roman" w:cs="Times New Roman" w:eastAsia="Times New Roman" w:hAnsi="Times New Roman"/>
          <w:sz w:val="15"/>
          <w:szCs w:val="15"/>
          <w:i w:val="1"/>
          <w:iCs w:val="1"/>
          <w:color w:val="auto"/>
          <w:highlight w:val="white"/>
        </w:rPr>
        <w:t xml:space="preserve"> </w:t>
      </w:r>
      <w:r>
        <w:rPr>
          <w:rFonts w:ascii="Times New Roman" w:cs="Times New Roman" w:eastAsia="Times New Roman" w:hAnsi="Times New Roman"/>
          <w:sz w:val="15"/>
          <w:szCs w:val="15"/>
          <w:i w:val="1"/>
          <w:iCs w:val="1"/>
          <w:color w:val="auto"/>
        </w:rPr>
        <w:t>administrative expenses”, each from the Consolidated Statement of Income.</w:t>
      </w:r>
    </w:p>
    <w:p>
      <w:pPr>
        <w:spacing w:after="0" w:line="1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Total taxes were $9.3 billion for the first quarter of 2026, a decrease of $1.4 billion from 2025. Income tax expense was $2.5 billion compared to $3.6 billion in the prior year. The effective income tax rate, which is calculated based on consolidated company income taxes and ExxonMobil's share of equity company income taxes, was 40 percent, 6 percent higher than the prior year period driven by portfolio mix effects impacted by derivative mark-to-market losses. Total other taxes and duties decreased by $0.3 billion to $6.8 billion.</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ITEM 3. QUANTITATIVE AND QUALITATIVE DISCLOSURES ABOUT MARKET RISK</w:t>
      </w:r>
    </w:p>
    <w:p>
      <w:pPr>
        <w:spacing w:after="0" w:line="11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Information about market risks for the three months ended March 31, 2026, does not differ materially from that discussed under Item 7A of the registrant's Annual Report on Form 10-K for 2025.</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ITEM 4. CONTROLS AND PROCEDURES</w:t>
      </w:r>
    </w:p>
    <w:p>
      <w:pPr>
        <w:spacing w:after="0" w:line="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indicated in the certifications in Exhibit 31 of this report, the Corporation’s Chief Executive Officer, Chief Financial Officer, and Principal Accounting Officer have evaluated the Corporation’s disclosure controls and procedures as of March 31, 2026 . Based on that evaluation, these officers have concluded that the Corporation’s disclosure controls and procedures are effective in ensuring that information required to be disclosed by the Corporation in the reports that it files or submits under the Securities Exchange Act of 1934, as amended, is accumulated and communicated to them in a manner that allows for timely decisions regarding required disclosures and are effective in ensuring that such information is recorded, processed, summarized, and reported within the time periods specified in the Securities and Exchange Commission’s rules and forms. There were no changes during the Corporation’s last fiscal quarter that materially affected, or are reasonably likely to materially affect, the Corporation’s internal control over financial reporting.</w:t>
      </w:r>
    </w:p>
    <w:p>
      <w:pPr>
        <w:sectPr>
          <w:pgSz w:w="11900" w:h="16838" w:orient="portrait"/>
          <w:cols w:equalWidth="0" w:num="1">
            <w:col w:w="9260"/>
          </w:cols>
          <w:pgMar w:left="1320" w:top="49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260"/>
          </w:cols>
          <w:pgMar w:left="1320" w:top="499" w:right="1319" w:bottom="1440" w:gutter="0" w:footer="0" w:header="0"/>
          <w:type w:val="continuous"/>
        </w:sectPr>
      </w:pPr>
    </w:p>
    <w:bookmarkStart w:id="27" w:name="page28"/>
    <w:bookmarkEnd w:id="27"/>
    <w:p>
      <w:pPr>
        <w:jc w:val="right"/>
        <w:ind w:right="40"/>
        <w:spacing w:after="0"/>
        <w:rPr>
          <w:sz w:val="20"/>
          <w:szCs w:val="20"/>
          <w:color w:val="auto"/>
        </w:rPr>
      </w:pPr>
      <w:r>
        <w:rPr>
          <w:rFonts w:ascii="Times New Roman" w:cs="Times New Roman" w:eastAsia="Times New Roman" w:hAnsi="Times New Roman"/>
          <w:sz w:val="18"/>
          <w:szCs w:val="18"/>
          <w:color w:val="6D6D6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Table of Contents</w:t>
      </w:r>
    </w:p>
    <w:p>
      <w:pPr>
        <w:spacing w:after="0" w:line="2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0C479D"/>
        </w:rPr>
        <w:t>PART II. OTHER INFORMATION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ITEM 1. LEGAL PROCEEDINGS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ExxonMobil has elected to use a $1 million threshold for disclosing environmental proceedings.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the relevant portions of </w:t>
      </w:r>
      <w:r>
        <w:rPr>
          <w:rFonts w:ascii="Times New Roman" w:cs="Times New Roman" w:eastAsia="Times New Roman" w:hAnsi="Times New Roman"/>
          <w:sz w:val="18"/>
          <w:szCs w:val="18"/>
          <w:color w:val="0000FF"/>
        </w:rPr>
        <w:t>Note 7</w:t>
      </w:r>
      <w:r>
        <w:rPr>
          <w:rFonts w:ascii="Times New Roman" w:cs="Times New Roman" w:eastAsia="Times New Roman" w:hAnsi="Times New Roman"/>
          <w:sz w:val="18"/>
          <w:szCs w:val="18"/>
          <w:color w:val="auto"/>
        </w:rPr>
        <w:t xml:space="preserve"> of this Quarterly Report on Form 10-Q for further information on legal proceedings.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ITEM 2. UNREGISTERED SALES OF EQUITY SECURITIES AND USE OF PROCEEDS</w:t>
      </w:r>
    </w:p>
    <w:p>
      <w:pPr>
        <w:spacing w:after="0" w:line="1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0C479D"/>
        </w:rPr>
        <w:t>Issuer Purchases of Equity Securities for Quarter Ended March 31, 2026</w:t>
      </w:r>
    </w:p>
    <w:p>
      <w:pPr>
        <w:sectPr>
          <w:pgSz w:w="11900" w:h="16838" w:orient="portrait"/>
          <w:cols w:equalWidth="0" w:num="1">
            <w:col w:w="9260"/>
          </w:cols>
          <w:pgMar w:left="1320" w:top="499" w:right="1319" w:bottom="1440" w:gutter="0" w:footer="0" w:header="0"/>
        </w:sectPr>
      </w:pPr>
    </w:p>
    <w:p>
      <w:pPr>
        <w:spacing w:after="0" w:line="126" w:lineRule="exact"/>
        <w:rPr>
          <w:sz w:val="20"/>
          <w:szCs w:val="20"/>
          <w:color w:val="auto"/>
        </w:rPr>
      </w:pPr>
    </w:p>
    <w:tbl>
      <w:tblPr>
        <w:tblLayout w:type="fixed"/>
        <w:tblInd w:w="2300" w:type="dxa"/>
        <w:tblCellMar>
          <w:top w:w="0" w:type="dxa"/>
          <w:left w:w="0" w:type="dxa"/>
          <w:bottom w:w="0" w:type="dxa"/>
          <w:right w:w="0" w:type="dxa"/>
        </w:tblCellMar>
      </w:tblPr>
      <w:tr>
        <w:trPr>
          <w:trHeight w:val="418"/>
        </w:trPr>
        <w:tc>
          <w:tcPr>
            <w:tcW w:w="1420" w:type="dxa"/>
            <w:vAlign w:val="bottom"/>
            <w:tcBorders>
              <w:right w:val="single" w:sz="8" w:color="0C479D"/>
            </w:tcBorders>
          </w:tcPr>
          <w:p>
            <w:pPr>
              <w:jc w:val="center"/>
              <w:ind w:right="379"/>
              <w:spacing w:after="0"/>
              <w:rPr>
                <w:sz w:val="20"/>
                <w:szCs w:val="20"/>
                <w:color w:val="auto"/>
              </w:rPr>
            </w:pPr>
            <w:r>
              <w:rPr>
                <w:rFonts w:ascii="Times New Roman" w:cs="Times New Roman" w:eastAsia="Times New Roman" w:hAnsi="Times New Roman"/>
                <w:sz w:val="16"/>
                <w:szCs w:val="16"/>
                <w:b w:val="1"/>
                <w:bCs w:val="1"/>
                <w:color w:val="FFFFFF"/>
                <w:w w:val="98"/>
              </w:rPr>
              <w:t>Total Number</w:t>
            </w:r>
          </w:p>
        </w:tc>
        <w:tc>
          <w:tcPr>
            <w:tcW w:w="132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FFFFFF"/>
                <w:w w:val="98"/>
              </w:rPr>
              <w:t>Average</w:t>
            </w:r>
          </w:p>
        </w:tc>
      </w:tr>
      <w:tr>
        <w:trPr>
          <w:trHeight w:val="162"/>
        </w:trPr>
        <w:tc>
          <w:tcPr>
            <w:tcW w:w="1420" w:type="dxa"/>
            <w:vAlign w:val="bottom"/>
            <w:tcBorders>
              <w:right w:val="single" w:sz="8" w:color="0C479D"/>
            </w:tcBorders>
          </w:tcPr>
          <w:p>
            <w:pPr>
              <w:jc w:val="center"/>
              <w:ind w:right="379"/>
              <w:spacing w:after="0" w:line="162" w:lineRule="exact"/>
              <w:rPr>
                <w:sz w:val="20"/>
                <w:szCs w:val="20"/>
                <w:color w:val="auto"/>
              </w:rPr>
            </w:pPr>
            <w:r>
              <w:rPr>
                <w:rFonts w:ascii="Times New Roman" w:cs="Times New Roman" w:eastAsia="Times New Roman" w:hAnsi="Times New Roman"/>
                <w:sz w:val="16"/>
                <w:szCs w:val="16"/>
                <w:b w:val="1"/>
                <w:bCs w:val="1"/>
                <w:color w:val="FFFFFF"/>
              </w:rPr>
              <w:t>of Shares</w:t>
            </w:r>
          </w:p>
        </w:tc>
        <w:tc>
          <w:tcPr>
            <w:tcW w:w="1320" w:type="dxa"/>
            <w:vAlign w:val="bottom"/>
          </w:tcPr>
          <w:p>
            <w:pPr>
              <w:jc w:val="center"/>
              <w:ind w:left="399"/>
              <w:spacing w:after="0" w:line="162" w:lineRule="exact"/>
              <w:rPr>
                <w:sz w:val="20"/>
                <w:szCs w:val="20"/>
                <w:color w:val="auto"/>
              </w:rPr>
            </w:pPr>
            <w:r>
              <w:rPr>
                <w:rFonts w:ascii="Times New Roman" w:cs="Times New Roman" w:eastAsia="Times New Roman" w:hAnsi="Times New Roman"/>
                <w:sz w:val="16"/>
                <w:szCs w:val="16"/>
                <w:b w:val="1"/>
                <w:bCs w:val="1"/>
                <w:color w:val="FFFFFF"/>
              </w:rPr>
              <w:t>Price Paid</w:t>
            </w:r>
          </w:p>
        </w:tc>
      </w:tr>
      <w:tr>
        <w:trPr>
          <w:trHeight w:val="281"/>
        </w:trPr>
        <w:tc>
          <w:tcPr>
            <w:tcW w:w="1420" w:type="dxa"/>
            <w:vAlign w:val="bottom"/>
            <w:tcBorders>
              <w:right w:val="single" w:sz="8" w:color="0C479D"/>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FFFFFF"/>
                <w:w w:val="97"/>
              </w:rPr>
              <w:t xml:space="preserve">Purchased </w:t>
            </w:r>
            <w:r>
              <w:rPr>
                <w:rFonts w:ascii="Times New Roman" w:cs="Times New Roman" w:eastAsia="Times New Roman" w:hAnsi="Times New Roman"/>
                <w:sz w:val="21"/>
                <w:szCs w:val="21"/>
                <w:i w:val="1"/>
                <w:iCs w:val="1"/>
                <w:color w:val="FFFFFF"/>
                <w:w w:val="97"/>
                <w:vertAlign w:val="superscript"/>
              </w:rPr>
              <w:t>(1)</w:t>
            </w:r>
          </w:p>
        </w:tc>
        <w:tc>
          <w:tcPr>
            <w:tcW w:w="132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FFFFFF"/>
                <w:w w:val="96"/>
              </w:rPr>
              <w:t xml:space="preserve">per Share </w:t>
            </w:r>
            <w:r>
              <w:rPr>
                <w:rFonts w:ascii="Times New Roman" w:cs="Times New Roman" w:eastAsia="Times New Roman" w:hAnsi="Times New Roman"/>
                <w:sz w:val="21"/>
                <w:szCs w:val="21"/>
                <w:i w:val="1"/>
                <w:iCs w:val="1"/>
                <w:color w:val="FFFFFF"/>
                <w:w w:val="96"/>
                <w:vertAlign w:val="superscript"/>
              </w:rPr>
              <w:t>(2)</w:t>
            </w:r>
          </w:p>
        </w:tc>
      </w:tr>
      <w:tr>
        <w:trPr>
          <w:trHeight w:val="192"/>
        </w:trPr>
        <w:tc>
          <w:tcPr>
            <w:tcW w:w="1420" w:type="dxa"/>
            <w:vAlign w:val="bottom"/>
            <w:tcBorders>
              <w:right w:val="single" w:sz="8" w:color="0C479D"/>
            </w:tcBorders>
          </w:tcPr>
          <w:p>
            <w:pPr>
              <w:spacing w:after="0"/>
              <w:rPr>
                <w:sz w:val="16"/>
                <w:szCs w:val="16"/>
                <w:color w:val="auto"/>
              </w:rPr>
            </w:pPr>
          </w:p>
        </w:tc>
        <w:tc>
          <w:tcPr>
            <w:tcW w:w="13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hanging="104"/>
        <w:spacing w:after="0" w:line="249" w:lineRule="auto"/>
        <w:rPr>
          <w:sz w:val="20"/>
          <w:szCs w:val="20"/>
          <w:color w:val="auto"/>
        </w:rPr>
      </w:pPr>
      <w:r>
        <w:rPr>
          <w:rFonts w:ascii="Times New Roman" w:cs="Times New Roman" w:eastAsia="Times New Roman" w:hAnsi="Times New Roman"/>
          <w:sz w:val="15"/>
          <w:szCs w:val="15"/>
          <w:b w:val="1"/>
          <w:bCs w:val="1"/>
          <w:color w:val="FFFFFF"/>
        </w:rPr>
        <w:t xml:space="preserve">Total Number of Shares Purchased as Part of Publicly Announced Plans or Programs </w:t>
      </w:r>
      <w:r>
        <w:rPr>
          <w:rFonts w:ascii="Times New Roman" w:cs="Times New Roman" w:eastAsia="Times New Roman" w:hAnsi="Times New Roman"/>
          <w:sz w:val="20"/>
          <w:szCs w:val="20"/>
          <w:i w:val="1"/>
          <w:iCs w:val="1"/>
          <w:color w:val="FFFFFF"/>
          <w:vertAlign w:val="superscript"/>
        </w:rPr>
        <w:t>(3)</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200"/>
        <w:spacing w:after="0" w:line="243" w:lineRule="auto"/>
        <w:rPr>
          <w:sz w:val="20"/>
          <w:szCs w:val="20"/>
          <w:color w:val="auto"/>
        </w:rPr>
      </w:pPr>
      <w:r>
        <w:rPr>
          <w:rFonts w:ascii="Times New Roman" w:cs="Times New Roman" w:eastAsia="Times New Roman" w:hAnsi="Times New Roman"/>
          <w:sz w:val="15"/>
          <w:szCs w:val="15"/>
          <w:b w:val="1"/>
          <w:bCs w:val="1"/>
          <w:color w:val="FFFFFF"/>
        </w:rPr>
        <w:t xml:space="preserve">Approximate Dollar Value of Shares that May Yet Be Purchased Under the Program (Billions of dollars) </w:t>
      </w:r>
      <w:r>
        <w:rPr>
          <w:rFonts w:ascii="Times New Roman" w:cs="Times New Roman" w:eastAsia="Times New Roman" w:hAnsi="Times New Roman"/>
          <w:sz w:val="20"/>
          <w:szCs w:val="20"/>
          <w:i w:val="1"/>
          <w:iCs w:val="1"/>
          <w:color w:val="FFFFFF"/>
          <w:vertAlign w:val="superscript"/>
        </w:rPr>
        <w:t>(4)</w:t>
      </w:r>
    </w:p>
    <w:p>
      <w:pPr>
        <w:spacing w:after="0" w:line="38" w:lineRule="exact"/>
        <w:rPr>
          <w:sz w:val="20"/>
          <w:szCs w:val="20"/>
          <w:color w:val="auto"/>
        </w:rPr>
      </w:pPr>
    </w:p>
    <w:p>
      <w:pPr>
        <w:sectPr>
          <w:pgSz w:w="11900" w:h="16838" w:orient="portrait"/>
          <w:cols w:equalWidth="0" w:num="3">
            <w:col w:w="5040" w:space="700"/>
            <w:col w:w="1540" w:space="220"/>
            <w:col w:w="1760"/>
          </w:cols>
          <w:pgMar w:left="1320" w:top="499" w:right="1319" w:bottom="1440" w:gutter="0" w:footer="0" w:header="0"/>
          <w:type w:val="continuous"/>
        </w:sectPr>
      </w:pPr>
    </w:p>
    <w:tbl>
      <w:tblPr>
        <w:tblLayout w:type="fixed"/>
        <w:tblInd w:w="40" w:type="dxa"/>
        <w:tblCellMar>
          <w:top w:w="0" w:type="dxa"/>
          <w:left w:w="0" w:type="dxa"/>
          <w:bottom w:w="0" w:type="dxa"/>
          <w:right w:w="0" w:type="dxa"/>
        </w:tblCellMar>
      </w:tblPr>
      <w:tr>
        <w:trPr>
          <w:trHeight w:val="248"/>
        </w:trPr>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January 2026</w:t>
            </w:r>
          </w:p>
        </w:tc>
        <w:tc>
          <w:tcPr>
            <w:tcW w:w="20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12,345,353</w:t>
            </w: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$129.43</w:t>
            </w:r>
          </w:p>
        </w:tc>
        <w:tc>
          <w:tcPr>
            <w:tcW w:w="20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12,312,718</w:t>
            </w:r>
          </w:p>
        </w:tc>
        <w:tc>
          <w:tcPr>
            <w:tcW w:w="17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$18.4</w:t>
            </w:r>
          </w:p>
        </w:tc>
      </w:tr>
      <w:tr>
        <w:trPr>
          <w:trHeight w:val="257"/>
        </w:trPr>
        <w:tc>
          <w:tcPr>
            <w:tcW w:w="1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February 2026</w:t>
            </w:r>
          </w:p>
        </w:tc>
        <w:tc>
          <w:tcPr>
            <w:tcW w:w="20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10,206,464</w:t>
            </w: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$148.60</w:t>
            </w:r>
          </w:p>
        </w:tc>
        <w:tc>
          <w:tcPr>
            <w:tcW w:w="20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10,189,486</w:t>
            </w:r>
          </w:p>
        </w:tc>
        <w:tc>
          <w:tcPr>
            <w:tcW w:w="17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$16.9</w:t>
            </w:r>
          </w:p>
        </w:tc>
      </w:tr>
      <w:tr>
        <w:trPr>
          <w:trHeight w:val="243"/>
        </w:trPr>
        <w:tc>
          <w:tcPr>
            <w:tcW w:w="172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March 2026</w:t>
            </w:r>
          </w:p>
        </w:tc>
        <w:tc>
          <w:tcPr>
            <w:tcW w:w="2000" w:type="dxa"/>
            <w:vAlign w:val="bottom"/>
            <w:tcBorders>
              <w:bottom w:val="single" w:sz="8" w:color="0C479D"/>
            </w:tcBorders>
          </w:tcPr>
          <w:p>
            <w:pPr>
              <w:jc w:val="right"/>
              <w:ind w:right="490"/>
              <w:spacing w:after="0"/>
              <w:rPr>
                <w:sz w:val="20"/>
                <w:szCs w:val="20"/>
                <w:color w:val="auto"/>
              </w:rPr>
            </w:pPr>
            <w:r>
              <w:rPr>
                <w:rFonts w:ascii="Times New Roman" w:cs="Times New Roman" w:eastAsia="Times New Roman" w:hAnsi="Times New Roman"/>
                <w:sz w:val="18"/>
                <w:szCs w:val="18"/>
                <w:color w:val="auto"/>
              </w:rPr>
              <w:t>11,101,977</w:t>
            </w:r>
          </w:p>
        </w:tc>
        <w:tc>
          <w:tcPr>
            <w:tcW w:w="1720" w:type="dxa"/>
            <w:vAlign w:val="bottom"/>
            <w:tcBorders>
              <w:bottom w:val="single" w:sz="8" w:color="0C479D"/>
            </w:tcBorders>
          </w:tcPr>
          <w:p>
            <w:pPr>
              <w:jc w:val="right"/>
              <w:ind w:right="470"/>
              <w:spacing w:after="0"/>
              <w:rPr>
                <w:sz w:val="20"/>
                <w:szCs w:val="20"/>
                <w:color w:val="auto"/>
              </w:rPr>
            </w:pPr>
            <w:r>
              <w:rPr>
                <w:rFonts w:ascii="Times New Roman" w:cs="Times New Roman" w:eastAsia="Times New Roman" w:hAnsi="Times New Roman"/>
                <w:sz w:val="18"/>
                <w:szCs w:val="18"/>
                <w:color w:val="auto"/>
              </w:rPr>
              <w:t>$157.95</w:t>
            </w:r>
          </w:p>
        </w:tc>
        <w:tc>
          <w:tcPr>
            <w:tcW w:w="2000" w:type="dxa"/>
            <w:vAlign w:val="bottom"/>
            <w:tcBorders>
              <w:bottom w:val="single" w:sz="8" w:color="0C479D"/>
            </w:tcBorders>
          </w:tcPr>
          <w:p>
            <w:pPr>
              <w:jc w:val="right"/>
              <w:ind w:right="530"/>
              <w:spacing w:after="0"/>
              <w:rPr>
                <w:sz w:val="20"/>
                <w:szCs w:val="20"/>
                <w:color w:val="auto"/>
              </w:rPr>
            </w:pPr>
            <w:r>
              <w:rPr>
                <w:rFonts w:ascii="Times New Roman" w:cs="Times New Roman" w:eastAsia="Times New Roman" w:hAnsi="Times New Roman"/>
                <w:sz w:val="18"/>
                <w:szCs w:val="18"/>
                <w:color w:val="auto"/>
              </w:rPr>
              <w:t>11,099,689</w:t>
            </w:r>
          </w:p>
        </w:tc>
        <w:tc>
          <w:tcPr>
            <w:tcW w:w="1740" w:type="dxa"/>
            <w:vAlign w:val="bottom"/>
            <w:tcBorders>
              <w:bottom w:val="single" w:sz="8" w:color="0C479D"/>
            </w:tcBorders>
          </w:tcPr>
          <w:p>
            <w:pPr>
              <w:jc w:val="right"/>
              <w:ind w:right="630"/>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172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tcBorders>
              <w:bottom w:val="single" w:sz="8" w:color="0C479D"/>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33,653,794</w:t>
            </w:r>
          </w:p>
        </w:tc>
        <w:tc>
          <w:tcPr>
            <w:tcW w:w="1720" w:type="dxa"/>
            <w:vAlign w:val="bottom"/>
            <w:tcBorders>
              <w:bottom w:val="single" w:sz="8" w:color="0C479D"/>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$144.65</w:t>
            </w:r>
          </w:p>
        </w:tc>
        <w:tc>
          <w:tcPr>
            <w:tcW w:w="2000" w:type="dxa"/>
            <w:vAlign w:val="bottom"/>
            <w:tcBorders>
              <w:bottom w:val="single" w:sz="8" w:color="0C479D"/>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33,601,893</w:t>
            </w:r>
          </w:p>
        </w:tc>
        <w:tc>
          <w:tcPr>
            <w:tcW w:w="1740" w:type="dxa"/>
            <w:vAlign w:val="bottom"/>
            <w:tcBorders>
              <w:bottom w:val="single" w:sz="8" w:color="0C479D"/>
            </w:tcBorders>
          </w:tcPr>
          <w:p>
            <w:pPr>
              <w:spacing w:after="0"/>
              <w:rPr>
                <w:sz w:val="20"/>
                <w:szCs w:val="20"/>
                <w:color w:val="auto"/>
              </w:rPr>
            </w:pPr>
          </w:p>
        </w:tc>
      </w:tr>
    </w:tbl>
    <w:p>
      <w:pPr>
        <w:spacing w:after="0" w:line="77" w:lineRule="exact"/>
        <w:rPr>
          <w:sz w:val="20"/>
          <w:szCs w:val="20"/>
          <w:color w:val="auto"/>
        </w:rPr>
      </w:pPr>
    </w:p>
    <w:p>
      <w:pPr>
        <w:ind w:left="260" w:hanging="165"/>
        <w:spacing w:after="0"/>
        <w:tabs>
          <w:tab w:leader="none" w:pos="260" w:val="left"/>
        </w:tabs>
        <w:numPr>
          <w:ilvl w:val="0"/>
          <w:numId w:val="23"/>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Includes shares withheld from participants in the Corporation's incentive program for personal income taxes.</w:t>
      </w:r>
    </w:p>
    <w:p>
      <w:pPr>
        <w:spacing w:after="0" w:line="37" w:lineRule="exact"/>
        <w:rPr>
          <w:rFonts w:ascii="Times New Roman" w:cs="Times New Roman" w:eastAsia="Times New Roman" w:hAnsi="Times New Roman"/>
          <w:sz w:val="21"/>
          <w:szCs w:val="21"/>
          <w:i w:val="1"/>
          <w:iCs w:val="1"/>
          <w:color w:val="auto"/>
          <w:vertAlign w:val="superscript"/>
        </w:rPr>
      </w:pPr>
    </w:p>
    <w:p>
      <w:pPr>
        <w:ind w:left="260" w:hanging="165"/>
        <w:spacing w:after="0" w:line="191" w:lineRule="auto"/>
        <w:tabs>
          <w:tab w:leader="none" w:pos="260" w:val="left"/>
        </w:tabs>
        <w:numPr>
          <w:ilvl w:val="0"/>
          <w:numId w:val="23"/>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Excludes 1% U.S. excise tax on stock repurchases.</w:t>
      </w:r>
    </w:p>
    <w:p>
      <w:pPr>
        <w:spacing w:after="0" w:line="37" w:lineRule="exact"/>
        <w:rPr>
          <w:rFonts w:ascii="Times New Roman" w:cs="Times New Roman" w:eastAsia="Times New Roman" w:hAnsi="Times New Roman"/>
          <w:sz w:val="21"/>
          <w:szCs w:val="21"/>
          <w:i w:val="1"/>
          <w:iCs w:val="1"/>
          <w:color w:val="auto"/>
          <w:vertAlign w:val="superscript"/>
        </w:rPr>
      </w:pPr>
    </w:p>
    <w:p>
      <w:pPr>
        <w:ind w:left="260" w:hanging="165"/>
        <w:spacing w:after="0" w:line="191" w:lineRule="auto"/>
        <w:tabs>
          <w:tab w:leader="none" w:pos="260" w:val="left"/>
        </w:tabs>
        <w:numPr>
          <w:ilvl w:val="0"/>
          <w:numId w:val="23"/>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Purchases were made under terms intended to qualify for exemption under Rules 10b-18 and 10b5-1.</w:t>
      </w:r>
    </w:p>
    <w:p>
      <w:pPr>
        <w:spacing w:after="0" w:line="37" w:lineRule="exact"/>
        <w:rPr>
          <w:rFonts w:ascii="Times New Roman" w:cs="Times New Roman" w:eastAsia="Times New Roman" w:hAnsi="Times New Roman"/>
          <w:sz w:val="21"/>
          <w:szCs w:val="21"/>
          <w:i w:val="1"/>
          <w:iCs w:val="1"/>
          <w:color w:val="auto"/>
          <w:vertAlign w:val="superscript"/>
        </w:rPr>
      </w:pPr>
    </w:p>
    <w:p>
      <w:pPr>
        <w:ind w:left="100" w:right="120" w:hanging="5"/>
        <w:spacing w:after="0" w:line="199" w:lineRule="auto"/>
        <w:tabs>
          <w:tab w:leader="none" w:pos="263" w:val="left"/>
        </w:tabs>
        <w:numPr>
          <w:ilvl w:val="0"/>
          <w:numId w:val="23"/>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The Corporation continued its share repurchase program, originally initiated in 2022. In its 2025 Corporate Plan Update released December 9, 2025, the Corporation stated that it expects share repurchases of $20 billion in 2026, assuming reasonable market conditions.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the Corporation did not issue or sell any unregistered equity securities.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ITEM 5. OTHER INFORMATION</w:t>
      </w:r>
    </w:p>
    <w:p>
      <w:pPr>
        <w:spacing w:after="0" w:line="11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 none of the Corporation’s directors or officers adopted or terminated a “Rule 10b5-1 trading arrangement” or “non-Rule 10b5-1 trading arrangement,” as each term is defined in Item 408(a) of Regulation S-K.</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ITEM 6. EXHIBITS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270" w:type="dxa"/>
            <w:vAlign w:val="bottom"/>
            <w:gridSpan w:val="2"/>
            <w:shd w:val="clear" w:color="auto" w:fill="0C479D"/>
          </w:tcPr>
          <w:p>
            <w:pPr>
              <w:ind w:left="80"/>
              <w:spacing w:after="0"/>
              <w:rPr>
                <w:sz w:val="20"/>
                <w:szCs w:val="20"/>
                <w:color w:val="auto"/>
              </w:rPr>
            </w:pPr>
            <w:r>
              <w:rPr>
                <w:rFonts w:ascii="Times New Roman" w:cs="Times New Roman" w:eastAsia="Times New Roman" w:hAnsi="Times New Roman"/>
                <w:sz w:val="16"/>
                <w:szCs w:val="16"/>
                <w:b w:val="1"/>
                <w:bCs w:val="1"/>
                <w:color w:val="FFFFFF"/>
              </w:rPr>
              <w:t>Exhibit</w:t>
            </w:r>
          </w:p>
        </w:tc>
        <w:tc>
          <w:tcPr>
            <w:tcW w:w="1010" w:type="dxa"/>
            <w:vAlign w:val="bottom"/>
            <w:shd w:val="clear" w:color="auto" w:fill="0C479D"/>
          </w:tcPr>
          <w:p>
            <w:pPr>
              <w:ind w:left="30"/>
              <w:spacing w:after="0"/>
              <w:rPr>
                <w:sz w:val="20"/>
                <w:szCs w:val="20"/>
                <w:color w:val="auto"/>
              </w:rPr>
            </w:pPr>
            <w:r>
              <w:rPr>
                <w:rFonts w:ascii="Times New Roman" w:cs="Times New Roman" w:eastAsia="Times New Roman" w:hAnsi="Times New Roman"/>
                <w:sz w:val="16"/>
                <w:szCs w:val="16"/>
                <w:b w:val="1"/>
                <w:bCs w:val="1"/>
                <w:color w:val="FFFFFF"/>
              </w:rPr>
              <w:t>Description</w:t>
            </w:r>
          </w:p>
        </w:tc>
        <w:tc>
          <w:tcPr>
            <w:tcW w:w="6980" w:type="dxa"/>
            <w:vAlign w:val="bottom"/>
            <w:shd w:val="clear" w:color="auto" w:fill="0C479D"/>
          </w:tcPr>
          <w:p>
            <w:pPr>
              <w:spacing w:after="0"/>
              <w:rPr>
                <w:sz w:val="24"/>
                <w:szCs w:val="24"/>
                <w:color w:val="auto"/>
              </w:rPr>
            </w:pPr>
          </w:p>
        </w:tc>
      </w:tr>
      <w:tr>
        <w:trPr>
          <w:trHeight w:val="338"/>
        </w:trPr>
        <w:tc>
          <w:tcPr>
            <w:tcW w:w="127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10(iii)(c.2)</w:t>
            </w:r>
          </w:p>
        </w:tc>
        <w:tc>
          <w:tcPr>
            <w:tcW w:w="7990" w:type="dxa"/>
            <w:vAlign w:val="bottom"/>
            <w:gridSpan w:val="2"/>
          </w:tcPr>
          <w:p>
            <w:pPr>
              <w:ind w:left="30"/>
              <w:spacing w:after="0"/>
              <w:rPr>
                <w:sz w:val="20"/>
                <w:szCs w:val="20"/>
                <w:color w:val="auto"/>
              </w:rPr>
            </w:pPr>
            <w:r>
              <w:rPr>
                <w:rFonts w:ascii="Times New Roman" w:cs="Times New Roman" w:eastAsia="Times New Roman" w:hAnsi="Times New Roman"/>
                <w:sz w:val="18"/>
                <w:szCs w:val="18"/>
                <w:color w:val="auto"/>
              </w:rPr>
              <w:t>ExxonMobil Supplemental Pension Plan.</w:t>
            </w:r>
            <w:r>
              <w:rPr>
                <w:rFonts w:ascii="Times New Roman" w:cs="Times New Roman" w:eastAsia="Times New Roman" w:hAnsi="Times New Roman"/>
                <w:sz w:val="18"/>
                <w:szCs w:val="18"/>
                <w:i w:val="1"/>
                <w:iCs w:val="1"/>
                <w:color w:val="auto"/>
              </w:rPr>
              <w:t>*</w:t>
            </w:r>
          </w:p>
        </w:tc>
      </w:tr>
      <w:tr>
        <w:trPr>
          <w:trHeight w:val="284"/>
        </w:trPr>
        <w:tc>
          <w:tcPr>
            <w:tcW w:w="127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10(iii)(c.3)</w:t>
            </w:r>
          </w:p>
        </w:tc>
        <w:tc>
          <w:tcPr>
            <w:tcW w:w="7990" w:type="dxa"/>
            <w:vAlign w:val="bottom"/>
            <w:gridSpan w:val="2"/>
          </w:tcPr>
          <w:p>
            <w:pPr>
              <w:ind w:left="30"/>
              <w:spacing w:after="0"/>
              <w:rPr>
                <w:sz w:val="20"/>
                <w:szCs w:val="20"/>
                <w:color w:val="auto"/>
              </w:rPr>
            </w:pPr>
            <w:r>
              <w:rPr>
                <w:rFonts w:ascii="Times New Roman" w:cs="Times New Roman" w:eastAsia="Times New Roman" w:hAnsi="Times New Roman"/>
                <w:sz w:val="18"/>
                <w:szCs w:val="18"/>
                <w:color w:val="auto"/>
              </w:rPr>
              <w:t>ExxonMobil Additional Payments Plan.</w:t>
            </w:r>
            <w:r>
              <w:rPr>
                <w:rFonts w:ascii="Times New Roman" w:cs="Times New Roman" w:eastAsia="Times New Roman" w:hAnsi="Times New Roman"/>
                <w:sz w:val="18"/>
                <w:szCs w:val="18"/>
                <w:i w:val="1"/>
                <w:iCs w:val="1"/>
                <w:color w:val="auto"/>
              </w:rPr>
              <w:t>*</w:t>
            </w:r>
          </w:p>
        </w:tc>
      </w:tr>
      <w:tr>
        <w:trPr>
          <w:trHeight w:val="256"/>
        </w:trPr>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31.1</w:t>
            </w:r>
          </w:p>
        </w:tc>
        <w:tc>
          <w:tcPr>
            <w:tcW w:w="87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7990" w:type="dxa"/>
            <w:vAlign w:val="bottom"/>
            <w:gridSpan w:val="2"/>
          </w:tcPr>
          <w:p>
            <w:pPr>
              <w:ind w:left="30"/>
              <w:spacing w:after="0"/>
              <w:rPr>
                <w:sz w:val="20"/>
                <w:szCs w:val="20"/>
                <w:color w:val="auto"/>
              </w:rPr>
            </w:pPr>
            <w:r>
              <w:rPr>
                <w:rFonts w:ascii="Times New Roman" w:cs="Times New Roman" w:eastAsia="Times New Roman" w:hAnsi="Times New Roman"/>
                <w:sz w:val="18"/>
                <w:szCs w:val="18"/>
                <w:color w:val="auto"/>
              </w:rPr>
              <w:t>Certification (pursuant to Securities Exchange Act Rule 13a-14(a)) by Chief Executive Officer.</w:t>
            </w:r>
          </w:p>
        </w:tc>
      </w:tr>
      <w:tr>
        <w:trPr>
          <w:trHeight w:val="270"/>
        </w:trPr>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31.2</w:t>
            </w:r>
          </w:p>
        </w:tc>
        <w:tc>
          <w:tcPr>
            <w:tcW w:w="87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7990" w:type="dxa"/>
            <w:vAlign w:val="bottom"/>
            <w:gridSpan w:val="2"/>
          </w:tcPr>
          <w:p>
            <w:pPr>
              <w:ind w:left="30"/>
              <w:spacing w:after="0"/>
              <w:rPr>
                <w:sz w:val="20"/>
                <w:szCs w:val="20"/>
                <w:color w:val="auto"/>
              </w:rPr>
            </w:pPr>
            <w:r>
              <w:rPr>
                <w:rFonts w:ascii="Times New Roman" w:cs="Times New Roman" w:eastAsia="Times New Roman" w:hAnsi="Times New Roman"/>
                <w:sz w:val="18"/>
                <w:szCs w:val="18"/>
                <w:color w:val="auto"/>
              </w:rPr>
              <w:t>Certification (pursuant to Securities Exchange Act Rule 13a-14(a)) by Chief Financial Officer.</w:t>
            </w:r>
          </w:p>
        </w:tc>
      </w:tr>
      <w:tr>
        <w:trPr>
          <w:trHeight w:val="270"/>
        </w:trPr>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31.3</w:t>
            </w:r>
          </w:p>
        </w:tc>
        <w:tc>
          <w:tcPr>
            <w:tcW w:w="87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7990" w:type="dxa"/>
            <w:vAlign w:val="bottom"/>
            <w:gridSpan w:val="2"/>
          </w:tcPr>
          <w:p>
            <w:pPr>
              <w:ind w:left="30"/>
              <w:spacing w:after="0"/>
              <w:rPr>
                <w:sz w:val="20"/>
                <w:szCs w:val="20"/>
                <w:color w:val="auto"/>
              </w:rPr>
            </w:pPr>
            <w:r>
              <w:rPr>
                <w:rFonts w:ascii="Times New Roman" w:cs="Times New Roman" w:eastAsia="Times New Roman" w:hAnsi="Times New Roman"/>
                <w:sz w:val="18"/>
                <w:szCs w:val="18"/>
                <w:color w:val="auto"/>
              </w:rPr>
              <w:t>Certification (pursuant to Securities Exchange Act Rule 13a-14(a)) by Principal Accounting Officer.</w:t>
            </w:r>
          </w:p>
        </w:tc>
      </w:tr>
      <w:tr>
        <w:trPr>
          <w:trHeight w:val="270"/>
        </w:trPr>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32.1</w:t>
            </w:r>
          </w:p>
        </w:tc>
        <w:tc>
          <w:tcPr>
            <w:tcW w:w="87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010" w:type="dxa"/>
            <w:vAlign w:val="bottom"/>
          </w:tcPr>
          <w:p>
            <w:pPr>
              <w:ind w:left="30"/>
              <w:spacing w:after="0"/>
              <w:rPr>
                <w:sz w:val="20"/>
                <w:szCs w:val="20"/>
                <w:color w:val="auto"/>
              </w:rPr>
            </w:pPr>
            <w:r>
              <w:rPr>
                <w:rFonts w:ascii="Times New Roman" w:cs="Times New Roman" w:eastAsia="Times New Roman" w:hAnsi="Times New Roman"/>
                <w:sz w:val="18"/>
                <w:szCs w:val="18"/>
                <w:color w:val="auto"/>
              </w:rPr>
              <w:t>Section 1350</w:t>
            </w: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Sarbanes-Oxley Section 906) by Chief Executive Officer.</w:t>
            </w:r>
          </w:p>
        </w:tc>
      </w:tr>
      <w:tr>
        <w:trPr>
          <w:trHeight w:val="270"/>
        </w:trPr>
        <w:tc>
          <w:tcPr>
            <w:tcW w:w="127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 xml:space="preserve">32.2 </w:t>
            </w:r>
            <w:r>
              <w:rPr>
                <w:rFonts w:ascii="Times New Roman" w:cs="Times New Roman" w:eastAsia="Times New Roman" w:hAnsi="Times New Roman"/>
                <w:sz w:val="18"/>
                <w:szCs w:val="18"/>
                <w:i w:val="1"/>
                <w:iCs w:val="1"/>
                <w:color w:val="000000"/>
              </w:rPr>
              <w:t>***</w:t>
            </w:r>
          </w:p>
        </w:tc>
        <w:tc>
          <w:tcPr>
            <w:tcW w:w="1010" w:type="dxa"/>
            <w:vAlign w:val="bottom"/>
          </w:tcPr>
          <w:p>
            <w:pPr>
              <w:ind w:left="30"/>
              <w:spacing w:after="0"/>
              <w:rPr>
                <w:sz w:val="20"/>
                <w:szCs w:val="20"/>
                <w:color w:val="auto"/>
              </w:rPr>
            </w:pPr>
            <w:r>
              <w:rPr>
                <w:rFonts w:ascii="Times New Roman" w:cs="Times New Roman" w:eastAsia="Times New Roman" w:hAnsi="Times New Roman"/>
                <w:sz w:val="18"/>
                <w:szCs w:val="18"/>
                <w:color w:val="auto"/>
              </w:rPr>
              <w:t>Section 1350</w:t>
            </w: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Sarbanes-Oxley Section 906) by Chief Financial Officer.</w:t>
            </w:r>
          </w:p>
        </w:tc>
      </w:tr>
      <w:tr>
        <w:trPr>
          <w:trHeight w:val="270"/>
        </w:trPr>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32.3</w:t>
            </w:r>
          </w:p>
        </w:tc>
        <w:tc>
          <w:tcPr>
            <w:tcW w:w="87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010" w:type="dxa"/>
            <w:vAlign w:val="bottom"/>
          </w:tcPr>
          <w:p>
            <w:pPr>
              <w:ind w:left="30"/>
              <w:spacing w:after="0"/>
              <w:rPr>
                <w:sz w:val="20"/>
                <w:szCs w:val="20"/>
                <w:color w:val="auto"/>
              </w:rPr>
            </w:pPr>
            <w:r>
              <w:rPr>
                <w:rFonts w:ascii="Times New Roman" w:cs="Times New Roman" w:eastAsia="Times New Roman" w:hAnsi="Times New Roman"/>
                <w:sz w:val="18"/>
                <w:szCs w:val="18"/>
                <w:color w:val="auto"/>
              </w:rPr>
              <w:t>Section 1350</w:t>
            </w: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Sarbanes-Oxley Section 906) by Principal Accounting Officer.</w:t>
            </w:r>
          </w:p>
        </w:tc>
      </w:tr>
      <w:tr>
        <w:trPr>
          <w:trHeight w:val="270"/>
        </w:trPr>
        <w:tc>
          <w:tcPr>
            <w:tcW w:w="127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i w:val="1"/>
                <w:iCs w:val="1"/>
                <w:color w:val="auto"/>
              </w:rPr>
              <w:t>**</w:t>
            </w:r>
          </w:p>
        </w:tc>
        <w:tc>
          <w:tcPr>
            <w:tcW w:w="7990" w:type="dxa"/>
            <w:vAlign w:val="bottom"/>
            <w:gridSpan w:val="2"/>
          </w:tcPr>
          <w:p>
            <w:pPr>
              <w:ind w:left="30"/>
              <w:spacing w:after="0"/>
              <w:rPr>
                <w:sz w:val="20"/>
                <w:szCs w:val="20"/>
                <w:color w:val="auto"/>
              </w:rPr>
            </w:pPr>
            <w:r>
              <w:rPr>
                <w:rFonts w:ascii="Times New Roman" w:cs="Times New Roman" w:eastAsia="Times New Roman" w:hAnsi="Times New Roman"/>
                <w:sz w:val="18"/>
                <w:szCs w:val="18"/>
                <w:color w:val="auto"/>
              </w:rPr>
              <w:t>Interactive Data Files (formatted as Inline XBRL).</w:t>
            </w:r>
          </w:p>
        </w:tc>
      </w:tr>
      <w:tr>
        <w:trPr>
          <w:trHeight w:val="270"/>
        </w:trPr>
        <w:tc>
          <w:tcPr>
            <w:tcW w:w="127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i w:val="1"/>
                <w:iCs w:val="1"/>
                <w:color w:val="auto"/>
              </w:rPr>
              <w:t>**</w:t>
            </w:r>
          </w:p>
        </w:tc>
        <w:tc>
          <w:tcPr>
            <w:tcW w:w="7990" w:type="dxa"/>
            <w:vAlign w:val="bottom"/>
            <w:gridSpan w:val="2"/>
          </w:tcPr>
          <w:p>
            <w:pPr>
              <w:ind w:left="3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37" w:lineRule="exact"/>
        <w:rPr>
          <w:sz w:val="20"/>
          <w:szCs w:val="20"/>
          <w:color w:val="auto"/>
        </w:rPr>
      </w:pPr>
    </w:p>
    <w:p>
      <w:pPr>
        <w:ind w:left="60" w:right="5540" w:firstLine="8"/>
        <w:spacing w:after="0" w:line="322" w:lineRule="auto"/>
        <w:tabs>
          <w:tab w:leader="none" w:pos="168" w:val="left"/>
        </w:tabs>
        <w:numPr>
          <w:ilvl w:val="0"/>
          <w:numId w:val="2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Management contract or compensatory plan or arrangement. ** Filed herewith.</w:t>
      </w:r>
    </w:p>
    <w:p>
      <w:pPr>
        <w:ind w:left="60"/>
        <w:spacing w:after="0"/>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Furnished herewith.</w:t>
      </w:r>
    </w:p>
    <w:p>
      <w:pPr>
        <w:sectPr>
          <w:pgSz w:w="11900" w:h="16838" w:orient="portrait"/>
          <w:cols w:equalWidth="0" w:num="1">
            <w:col w:w="9260"/>
          </w:cols>
          <w:pgMar w:left="1320" w:top="499"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260"/>
          </w:cols>
          <w:pgMar w:left="1320" w:top="499" w:right="1319" w:bottom="1440" w:gutter="0" w:footer="0" w:header="0"/>
          <w:type w:val="continuous"/>
        </w:sectPr>
      </w:pPr>
    </w:p>
    <w:bookmarkStart w:id="28" w:name="page29"/>
    <w:bookmarkEnd w:id="28"/>
    <w:p>
      <w:pPr>
        <w:jc w:val="center"/>
        <w:ind w:right="-99"/>
        <w:spacing w:after="0"/>
        <w:rPr>
          <w:sz w:val="20"/>
          <w:szCs w:val="20"/>
          <w:color w:val="auto"/>
        </w:rPr>
      </w:pPr>
      <w:r>
        <w:rPr>
          <w:rFonts w:ascii="Times New Roman" w:cs="Times New Roman" w:eastAsia="Times New Roman" w:hAnsi="Times New Roman"/>
          <w:sz w:val="22"/>
          <w:szCs w:val="22"/>
          <w:b w:val="1"/>
          <w:bCs w:val="1"/>
          <w:color w:val="0C479D"/>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EXXON MOBIL CORPORATION</w:t>
      </w:r>
    </w:p>
    <w:p>
      <w:pPr>
        <w:spacing w:after="0" w:line="202" w:lineRule="exact"/>
        <w:rPr>
          <w:sz w:val="20"/>
          <w:szCs w:val="20"/>
          <w:color w:val="auto"/>
        </w:rPr>
      </w:pPr>
    </w:p>
    <w:p>
      <w:pPr>
        <w:ind w:left="60"/>
        <w:spacing w:after="0"/>
        <w:tabs>
          <w:tab w:leader="none" w:pos="4140" w:val="left"/>
          <w:tab w:leader="none" w:pos="6400" w:val="left"/>
        </w:tabs>
        <w:rPr>
          <w:sz w:val="20"/>
          <w:szCs w:val="20"/>
          <w:color w:val="auto"/>
        </w:rPr>
      </w:pPr>
      <w:r>
        <w:rPr>
          <w:rFonts w:ascii="Times New Roman" w:cs="Times New Roman" w:eastAsia="Times New Roman" w:hAnsi="Times New Roman"/>
          <w:sz w:val="18"/>
          <w:szCs w:val="18"/>
          <w:color w:val="auto"/>
        </w:rPr>
        <w:t>Date: May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LEN M. FOX</w:t>
      </w:r>
    </w:p>
    <w:p>
      <w:pPr>
        <w:spacing w:after="0" w:line="6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Len M. Fox</w:t>
      </w:r>
    </w:p>
    <w:p>
      <w:pPr>
        <w:spacing w:after="0" w:line="3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Vice President, Controller and Tax</w:t>
      </w:r>
    </w:p>
    <w:p>
      <w:pPr>
        <w:ind w:left="592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9140"/>
          </w:cols>
          <w:pgMar w:left="1320" w:top="972"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140"/>
          </w:cols>
          <w:pgMar w:left="1320" w:top="972" w:right="1439" w:bottom="1440" w:gutter="0" w:footer="0" w:header="0"/>
          <w:type w:val="continuous"/>
        </w:sectPr>
      </w:pPr>
    </w:p>
    <w:bookmarkStart w:id="29" w:name="page30"/>
    <w:bookmarkEnd w:id="29"/>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10(iii)(c.2)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EXXONMOBIL SUPPLEMENTAL PENSION PLAN</w:t>
      </w:r>
    </w:p>
    <w:p>
      <w:pPr>
        <w:spacing w:after="0" w:line="200" w:lineRule="exact"/>
        <w:rPr>
          <w:sz w:val="20"/>
          <w:szCs w:val="20"/>
          <w:color w:val="auto"/>
        </w:rPr>
      </w:pPr>
    </w:p>
    <w:p>
      <w:pPr>
        <w:spacing w:after="0" w:line="236" w:lineRule="exact"/>
        <w:rPr>
          <w:sz w:val="20"/>
          <w:szCs w:val="20"/>
          <w:color w:val="auto"/>
        </w:rPr>
      </w:pPr>
    </w:p>
    <w:p>
      <w:pPr>
        <w:ind w:left="4800" w:hanging="668"/>
        <w:spacing w:after="0"/>
        <w:tabs>
          <w:tab w:leader="none" w:pos="480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Purpose</w:t>
      </w:r>
    </w:p>
    <w:p>
      <w:pPr>
        <w:spacing w:after="0" w:line="200" w:lineRule="exact"/>
        <w:rPr>
          <w:sz w:val="20"/>
          <w:szCs w:val="20"/>
          <w:color w:val="auto"/>
        </w:rPr>
      </w:pPr>
    </w:p>
    <w:p>
      <w:pPr>
        <w:spacing w:after="0" w:line="249"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The purpose of this Plan is to provide payments of equivalent value from the general assets of Exxon Mobil Corporation (“Corporation”) to those participants in the ExxonMobil Pension Plan (“Pension Plan”) who, because of the application of United States Internal Revenue Code (“Code”) sections 415 and 401(a)(17), are precluded from receiving from Pension Plan funded assets all the payments to which they would otherwise be entitled under the Pension Plan's formula.</w:t>
      </w:r>
    </w:p>
    <w:p>
      <w:pPr>
        <w:spacing w:after="0" w:line="200" w:lineRule="exact"/>
        <w:rPr>
          <w:sz w:val="20"/>
          <w:szCs w:val="20"/>
          <w:color w:val="auto"/>
        </w:rPr>
      </w:pPr>
    </w:p>
    <w:p>
      <w:pPr>
        <w:spacing w:after="0" w:line="208" w:lineRule="exact"/>
        <w:rPr>
          <w:sz w:val="20"/>
          <w:szCs w:val="20"/>
          <w:color w:val="auto"/>
        </w:rPr>
      </w:pPr>
    </w:p>
    <w:p>
      <w:pPr>
        <w:ind w:left="4800" w:hanging="656"/>
        <w:spacing w:after="0"/>
        <w:tabs>
          <w:tab w:leader="none" w:pos="480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Benefits</w:t>
      </w:r>
    </w:p>
    <w:p>
      <w:pPr>
        <w:spacing w:after="0" w:line="200" w:lineRule="exact"/>
        <w:rPr>
          <w:sz w:val="20"/>
          <w:szCs w:val="20"/>
          <w:color w:val="auto"/>
        </w:rPr>
      </w:pP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u w:val="single" w:color="auto"/>
          <w:color w:val="auto"/>
        </w:rPr>
        <w:t>Eligibility</w:t>
      </w:r>
    </w:p>
    <w:p>
      <w:pPr>
        <w:spacing w:after="0" w:line="98" w:lineRule="exact"/>
        <w:rPr>
          <w:sz w:val="20"/>
          <w:szCs w:val="20"/>
          <w:color w:val="auto"/>
        </w:rPr>
      </w:pPr>
    </w:p>
    <w:p>
      <w:pPr>
        <w:ind w:right="980" w:firstLine="648"/>
        <w:spacing w:after="0" w:line="272" w:lineRule="auto"/>
        <w:rPr>
          <w:sz w:val="20"/>
          <w:szCs w:val="20"/>
          <w:color w:val="auto"/>
        </w:rPr>
      </w:pPr>
      <w:r>
        <w:rPr>
          <w:rFonts w:ascii="Arial" w:cs="Arial" w:eastAsia="Arial" w:hAnsi="Arial"/>
          <w:sz w:val="22"/>
          <w:szCs w:val="22"/>
          <w:color w:val="auto"/>
        </w:rPr>
        <w:t>A person is eligible to receive benefits under this Plan only if any one of the following requirements is met with respect to the person:</w:t>
      </w:r>
    </w:p>
    <w:p>
      <w:pPr>
        <w:spacing w:after="0" w:line="34" w:lineRule="exact"/>
        <w:rPr>
          <w:sz w:val="20"/>
          <w:szCs w:val="20"/>
          <w:color w:val="auto"/>
        </w:rPr>
      </w:pPr>
    </w:p>
    <w:p>
      <w:pPr>
        <w:jc w:val="both"/>
        <w:ind w:right="20" w:firstLine="652"/>
        <w:spacing w:after="0" w:line="257" w:lineRule="auto"/>
        <w:tabs>
          <w:tab w:leader="none" w:pos="1296"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person becomes a retiree pursuant to section 4.1(A) (relating to age, service and LTD-eligibility requirements) or section 4.1(D) (relating to retiree grow-ins in connection with certain divestments) of the ExxonMobil Common Provisions, or a qualified plans retiree within the meaning of the ExxonMobil Pension Plan (“Retiree”);</w:t>
      </w:r>
    </w:p>
    <w:p>
      <w:pPr>
        <w:spacing w:after="0" w:line="50" w:lineRule="exact"/>
        <w:rPr>
          <w:rFonts w:ascii="Arial" w:cs="Arial" w:eastAsia="Arial" w:hAnsi="Arial"/>
          <w:sz w:val="22"/>
          <w:szCs w:val="22"/>
          <w:color w:val="auto"/>
        </w:rPr>
      </w:pPr>
    </w:p>
    <w:p>
      <w:pPr>
        <w:ind w:firstLine="652"/>
        <w:spacing w:after="0" w:line="257" w:lineRule="auto"/>
        <w:tabs>
          <w:tab w:leader="none" w:pos="1296"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person’s employment is terminated in connection with a sale of the assets to a buyer or the outsourcing of a business operation to an outsourcing company, and the person continues in employment until the closing date of the sale of assets or outsourcing;</w:t>
      </w:r>
    </w:p>
    <w:p>
      <w:pPr>
        <w:spacing w:after="0" w:line="51" w:lineRule="exact"/>
        <w:rPr>
          <w:rFonts w:ascii="Arial" w:cs="Arial" w:eastAsia="Arial" w:hAnsi="Arial"/>
          <w:sz w:val="22"/>
          <w:szCs w:val="22"/>
          <w:color w:val="auto"/>
        </w:rPr>
      </w:pPr>
    </w:p>
    <w:p>
      <w:pPr>
        <w:ind w:right="360" w:firstLine="652"/>
        <w:spacing w:after="0" w:line="296" w:lineRule="auto"/>
        <w:tabs>
          <w:tab w:leader="none" w:pos="1308"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person receives a severance benefit from the ExxonMobil Special Program of Severance Allowances, or similar severance program sponsored by the Corporation or an affiliate;</w:t>
      </w:r>
    </w:p>
    <w:p>
      <w:pPr>
        <w:spacing w:after="0" w:line="11" w:lineRule="exact"/>
        <w:rPr>
          <w:rFonts w:ascii="Arial" w:cs="Arial" w:eastAsia="Arial" w:hAnsi="Arial"/>
          <w:sz w:val="21"/>
          <w:szCs w:val="21"/>
          <w:color w:val="auto"/>
        </w:rPr>
      </w:pPr>
    </w:p>
    <w:p>
      <w:pPr>
        <w:ind w:firstLine="652"/>
        <w:spacing w:after="0" w:line="253" w:lineRule="auto"/>
        <w:tabs>
          <w:tab w:leader="none" w:pos="1308"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Plan Administrator determines, in its sole and absolute discretion, that the person is eligible to receive benefits under this Plan. In this regard, the Plan Administrator may from time to time adopt eligibility standards or guidelines that may guide the Plan Administrator’s eligibility determinations, and may in its discretion, modify, suspend, supersede, or cancel such standards or guidelines.</w:t>
      </w:r>
    </w:p>
    <w:p>
      <w:pPr>
        <w:spacing w:after="0" w:line="5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u w:val="single" w:color="auto"/>
          <w:color w:val="auto"/>
        </w:rPr>
        <w:t>Benefit Formula</w:t>
      </w:r>
    </w:p>
    <w:p>
      <w:pPr>
        <w:spacing w:after="0" w:line="98"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For any participant eligible to receive benefits under this Plan, the value of such benefits is an amount that when added to the normal form amount that can be paid to the participant from the Pension Plan produces a sum equal to the total normal form amount to which the participant would be entitled computed under the Pension Plan formula applicable to that participant disregarding any reductions, restrictions, or limitations brought about by the application of Code sections 415 and 401(a)(17). Where relevant, this computation is performed after taking into account any entitlement the participant may have under the Overseas Contributory Annuity Plan. The resulting benefit is expressed in the form of a monthly five-year-certain and life annuity for the life of the participant commencing at the participant’s age 65 (“Normal Retirement Age”).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1"/>
          <w:szCs w:val="21"/>
          <w:u w:val="single" w:color="auto"/>
          <w:color w:val="auto"/>
        </w:rPr>
        <w:t>Offsets for Other Pension Benefits</w:t>
      </w:r>
    </w:p>
    <w:p>
      <w:pPr>
        <w:spacing w:after="0" w:line="98" w:lineRule="exact"/>
        <w:rPr>
          <w:sz w:val="20"/>
          <w:szCs w:val="20"/>
          <w:color w:val="auto"/>
        </w:rPr>
      </w:pPr>
    </w:p>
    <w:p>
      <w:pPr>
        <w:ind w:right="460" w:firstLine="648"/>
        <w:spacing w:after="0" w:line="272" w:lineRule="auto"/>
        <w:rPr>
          <w:sz w:val="20"/>
          <w:szCs w:val="20"/>
          <w:color w:val="auto"/>
        </w:rPr>
      </w:pPr>
      <w:r>
        <w:rPr>
          <w:rFonts w:ascii="Arial" w:cs="Arial" w:eastAsia="Arial" w:hAnsi="Arial"/>
          <w:sz w:val="22"/>
          <w:szCs w:val="22"/>
          <w:color w:val="auto"/>
        </w:rPr>
        <w:t>A person’s benefit determined under section 2.2 shall be offset, but not below zero, by any benefit payable to the person under</w:t>
      </w:r>
    </w:p>
    <w:p>
      <w:pPr>
        <w:sectPr>
          <w:pgSz w:w="11900" w:h="16925" w:orient="portrait"/>
          <w:cols w:equalWidth="0" w:num="1">
            <w:col w:w="9720"/>
          </w:cols>
          <w:pgMar w:left="1080" w:top="1386" w:right="1099" w:bottom="0" w:gutter="0" w:footer="0" w:header="0"/>
        </w:sectPr>
      </w:pPr>
    </w:p>
    <w:bookmarkStart w:id="30" w:name="page31"/>
    <w:bookmarkEnd w:id="30"/>
    <w:p>
      <w:pPr>
        <w:ind w:left="1300" w:hanging="648"/>
        <w:spacing w:after="0"/>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an offsetting pension that is not qualified under the terms of the U.S. Internal Revenue</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78" w:lineRule="exact"/>
        <w:rPr>
          <w:sz w:val="20"/>
          <w:szCs w:val="20"/>
          <w:color w:val="auto"/>
        </w:rPr>
      </w:pPr>
    </w:p>
    <w:p>
      <w:pPr>
        <w:ind w:left="1300" w:hanging="648"/>
        <w:spacing w:after="0"/>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 separation payment offset, or</w:t>
      </w:r>
    </w:p>
    <w:p>
      <w:pPr>
        <w:spacing w:after="0" w:line="98" w:lineRule="exact"/>
        <w:rPr>
          <w:rFonts w:ascii="Arial" w:cs="Arial" w:eastAsia="Arial" w:hAnsi="Arial"/>
          <w:sz w:val="22"/>
          <w:szCs w:val="22"/>
          <w:color w:val="auto"/>
        </w:rPr>
      </w:pPr>
    </w:p>
    <w:p>
      <w:pPr>
        <w:ind w:left="1320" w:hanging="668"/>
        <w:spacing w:after="0"/>
        <w:tabs>
          <w:tab w:leader="none" w:pos="13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 non-U.S. governmental pension offset,</w:t>
      </w:r>
    </w:p>
    <w:p>
      <w:pPr>
        <w:spacing w:after="0" w:line="98" w:lineRule="exact"/>
        <w:rPr>
          <w:sz w:val="20"/>
          <w:szCs w:val="20"/>
          <w:color w:val="auto"/>
        </w:rPr>
      </w:pPr>
    </w:p>
    <w:p>
      <w:pPr>
        <w:jc w:val="both"/>
        <w:ind w:right="840" w:firstLine="648"/>
        <w:spacing w:after="0" w:line="257" w:lineRule="auto"/>
        <w:rPr>
          <w:sz w:val="20"/>
          <w:szCs w:val="20"/>
          <w:color w:val="auto"/>
        </w:rPr>
      </w:pPr>
      <w:r>
        <w:rPr>
          <w:rFonts w:ascii="Arial" w:cs="Arial" w:eastAsia="Arial" w:hAnsi="Arial"/>
          <w:sz w:val="22"/>
          <w:szCs w:val="22"/>
          <w:color w:val="auto"/>
        </w:rPr>
        <w:t>as such terms are defined under the Pension Plan. The procedure for determining the application of the offsets under this section 2.3 shall be determined in the sole and exclusive discretion of the Plan Administrator.</w:t>
      </w:r>
    </w:p>
    <w:p>
      <w:pPr>
        <w:spacing w:after="0" w:line="200" w:lineRule="exact"/>
        <w:rPr>
          <w:sz w:val="20"/>
          <w:szCs w:val="20"/>
          <w:color w:val="auto"/>
        </w:rPr>
      </w:pPr>
    </w:p>
    <w:p>
      <w:pPr>
        <w:spacing w:after="0" w:line="202" w:lineRule="exact"/>
        <w:rPr>
          <w:sz w:val="20"/>
          <w:szCs w:val="20"/>
          <w:color w:val="auto"/>
        </w:rPr>
      </w:pPr>
    </w:p>
    <w:p>
      <w:pPr>
        <w:ind w:left="4220" w:hanging="652"/>
        <w:spacing w:after="0"/>
        <w:tabs>
          <w:tab w:leader="none" w:pos="422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Payment of Benefits</w:t>
      </w:r>
    </w:p>
    <w:p>
      <w:pPr>
        <w:spacing w:after="0" w:line="200" w:lineRule="exact"/>
        <w:rPr>
          <w:sz w:val="20"/>
          <w:szCs w:val="20"/>
          <w:color w:val="auto"/>
        </w:rPr>
      </w:pP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u w:val="single" w:color="auto"/>
          <w:color w:val="auto"/>
        </w:rPr>
        <w:t>Timing of Payment</w:t>
      </w:r>
    </w:p>
    <w:p>
      <w:pPr>
        <w:spacing w:after="0" w:line="85" w:lineRule="exact"/>
        <w:rPr>
          <w:sz w:val="20"/>
          <w:szCs w:val="20"/>
          <w:color w:val="auto"/>
        </w:rPr>
      </w:pPr>
    </w:p>
    <w:p>
      <w:pPr>
        <w:ind w:right="20" w:firstLine="648"/>
        <w:spacing w:after="0" w:line="264" w:lineRule="auto"/>
        <w:rPr>
          <w:sz w:val="20"/>
          <w:szCs w:val="20"/>
          <w:color w:val="auto"/>
        </w:rPr>
      </w:pPr>
      <w:r>
        <w:rPr>
          <w:rFonts w:ascii="Arial" w:cs="Arial" w:eastAsia="Arial" w:hAnsi="Arial"/>
          <w:sz w:val="22"/>
          <w:szCs w:val="22"/>
          <w:color w:val="auto"/>
        </w:rPr>
        <w:t>Effective as of January 1, 2023, payment of a person’s benefit described in Article 2 above shall occur as soon as practicable following whichever of the pension commencement dates specified in paragraphs (A), (B), (C), or (D) below is applicable to the person.</w:t>
      </w:r>
    </w:p>
    <w:p>
      <w:pPr>
        <w:spacing w:after="0" w:line="43" w:lineRule="exact"/>
        <w:rPr>
          <w:sz w:val="20"/>
          <w:szCs w:val="20"/>
          <w:color w:val="auto"/>
        </w:rPr>
      </w:pPr>
    </w:p>
    <w:p>
      <w:pPr>
        <w:ind w:left="1300" w:hanging="648"/>
        <w:spacing w:after="0"/>
        <w:tabs>
          <w:tab w:leader="none" w:pos="130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Retirees</w:t>
      </w:r>
    </w:p>
    <w:p>
      <w:pPr>
        <w:spacing w:after="0" w:line="98" w:lineRule="exact"/>
        <w:rPr>
          <w:sz w:val="20"/>
          <w:szCs w:val="20"/>
          <w:color w:val="auto"/>
        </w:rPr>
      </w:pPr>
    </w:p>
    <w:p>
      <w:pPr>
        <w:ind w:right="120" w:firstLine="1296"/>
        <w:spacing w:after="0" w:line="257" w:lineRule="auto"/>
        <w:rPr>
          <w:sz w:val="20"/>
          <w:szCs w:val="20"/>
          <w:color w:val="auto"/>
        </w:rPr>
      </w:pPr>
      <w:r>
        <w:rPr>
          <w:rFonts w:ascii="Arial" w:cs="Arial" w:eastAsia="Arial" w:hAnsi="Arial"/>
          <w:sz w:val="22"/>
          <w:szCs w:val="22"/>
          <w:color w:val="auto"/>
        </w:rPr>
        <w:t>Except as provided under paragraph (B) or (D) below, in the case of a Retiree, the person’s pension commencement date is the first of the month next following the person’s last day of employment with ExxonMobil.</w:t>
      </w:r>
    </w:p>
    <w:p>
      <w:pPr>
        <w:spacing w:after="0" w:line="51" w:lineRule="exact"/>
        <w:rPr>
          <w:sz w:val="20"/>
          <w:szCs w:val="20"/>
          <w:color w:val="auto"/>
        </w:rPr>
      </w:pPr>
    </w:p>
    <w:p>
      <w:pPr>
        <w:ind w:left="1300" w:hanging="648"/>
        <w:spacing w:after="0"/>
        <w:tabs>
          <w:tab w:leader="none" w:pos="130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Disability Retirees</w:t>
      </w:r>
    </w:p>
    <w:p>
      <w:pPr>
        <w:spacing w:after="0" w:line="98" w:lineRule="exact"/>
        <w:rPr>
          <w:sz w:val="20"/>
          <w:szCs w:val="20"/>
          <w:color w:val="auto"/>
        </w:rPr>
      </w:pPr>
    </w:p>
    <w:p>
      <w:pPr>
        <w:ind w:right="220" w:firstLine="1296"/>
        <w:spacing w:after="0" w:line="257" w:lineRule="auto"/>
        <w:rPr>
          <w:sz w:val="20"/>
          <w:szCs w:val="20"/>
          <w:color w:val="auto"/>
        </w:rPr>
      </w:pPr>
      <w:r>
        <w:rPr>
          <w:rFonts w:ascii="Arial" w:cs="Arial" w:eastAsia="Arial" w:hAnsi="Arial"/>
          <w:sz w:val="22"/>
          <w:szCs w:val="22"/>
          <w:color w:val="auto"/>
        </w:rPr>
        <w:t>In the case of a person who retires from ExxonMobil on account of long-term disability prior to the first of the month in which the person attains age 55, the person’s pension commencement date is the first of the month in which the person attains age 55.</w:t>
      </w:r>
    </w:p>
    <w:p>
      <w:pPr>
        <w:spacing w:after="0" w:line="51" w:lineRule="exact"/>
        <w:rPr>
          <w:sz w:val="20"/>
          <w:szCs w:val="20"/>
          <w:color w:val="auto"/>
        </w:rPr>
      </w:pPr>
    </w:p>
    <w:p>
      <w:pPr>
        <w:ind w:left="1300" w:hanging="648"/>
        <w:spacing w:after="0"/>
        <w:tabs>
          <w:tab w:leader="none" w:pos="130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Terminees</w:t>
      </w:r>
    </w:p>
    <w:p>
      <w:pPr>
        <w:spacing w:after="0" w:line="98" w:lineRule="exact"/>
        <w:rPr>
          <w:sz w:val="20"/>
          <w:szCs w:val="20"/>
          <w:color w:val="auto"/>
        </w:rPr>
      </w:pPr>
    </w:p>
    <w:p>
      <w:pPr>
        <w:ind w:right="40" w:firstLine="1296"/>
        <w:spacing w:after="0" w:line="253" w:lineRule="auto"/>
        <w:rPr>
          <w:sz w:val="20"/>
          <w:szCs w:val="20"/>
          <w:color w:val="auto"/>
        </w:rPr>
      </w:pPr>
      <w:r>
        <w:rPr>
          <w:rFonts w:ascii="Arial" w:cs="Arial" w:eastAsia="Arial" w:hAnsi="Arial"/>
          <w:sz w:val="22"/>
          <w:szCs w:val="22"/>
          <w:color w:val="auto"/>
        </w:rPr>
        <w:t>Except as provided under paragraph (D) below, in the case of a person who is eligible for a benefit under Section 2.1(B), (C), or (D) above, the person’s pension commencement date is the first of the month next following three months from the person’s last day of employment with ExxonMobil.</w:t>
      </w:r>
    </w:p>
    <w:p>
      <w:pPr>
        <w:spacing w:after="0" w:line="54" w:lineRule="exact"/>
        <w:rPr>
          <w:sz w:val="20"/>
          <w:szCs w:val="20"/>
          <w:color w:val="auto"/>
        </w:rPr>
      </w:pPr>
    </w:p>
    <w:p>
      <w:pPr>
        <w:ind w:left="1320" w:hanging="668"/>
        <w:spacing w:after="0"/>
        <w:tabs>
          <w:tab w:leader="none" w:pos="132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Key Employees</w:t>
      </w:r>
    </w:p>
    <w:p>
      <w:pPr>
        <w:spacing w:after="0" w:line="98" w:lineRule="exact"/>
        <w:rPr>
          <w:sz w:val="20"/>
          <w:szCs w:val="20"/>
          <w:color w:val="auto"/>
        </w:rPr>
      </w:pPr>
    </w:p>
    <w:p>
      <w:pPr>
        <w:ind w:right="80" w:firstLine="1296"/>
        <w:spacing w:after="0" w:line="273" w:lineRule="auto"/>
        <w:rPr>
          <w:sz w:val="20"/>
          <w:szCs w:val="20"/>
          <w:color w:val="auto"/>
        </w:rPr>
      </w:pPr>
      <w:r>
        <w:rPr>
          <w:rFonts w:ascii="Arial" w:cs="Arial" w:eastAsia="Arial" w:hAnsi="Arial"/>
          <w:sz w:val="21"/>
          <w:szCs w:val="21"/>
          <w:color w:val="auto"/>
        </w:rPr>
        <w:t>Notwithstanding paragraphs (A) or (C) above, and except as provided in paragraph (B), in the case of a person who, at the time of his or her termination of employment, has a Classification Level of 35 or above (“Key Employee”), the person’s pension commencement date is the first of the month next following six months from the person’s last day of employment with ExxonMobil.</w:t>
      </w:r>
    </w:p>
    <w:p>
      <w:pPr>
        <w:spacing w:after="0" w:line="3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1"/>
          <w:szCs w:val="21"/>
          <w:u w:val="single" w:color="auto"/>
          <w:color w:val="auto"/>
        </w:rPr>
        <w:t>Reduction for Early Commencement</w:t>
      </w:r>
    </w:p>
    <w:p>
      <w:pPr>
        <w:spacing w:after="0" w:line="98"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If a person’s pension commencement date under section 3.1 above is prior to the month in which the person reaches Normal Retirement Age, the person’s benefit described in Article 2 above is reduced by applying the early commencement factors specified under the Pension Plan for a benefit commencing at the person’s then age.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1"/>
          <w:szCs w:val="21"/>
          <w:u w:val="single" w:color="auto"/>
          <w:color w:val="auto"/>
        </w:rPr>
        <w:t>Form of Payment</w:t>
      </w:r>
    </w:p>
    <w:p>
      <w:pPr>
        <w:spacing w:after="0" w:line="98"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Payment of the benefit described in Article 2 above shall be made in a lump sum that is the actuarial equivalent of the five-year-certain and life annuity measured as of the person’s pension commencement date specified in Section 3.1 above. For this purpose, actuarial equivalence shall be determined by the Plan Administrator using the factors and procedures that are used for the calculation of the lump-sum payment option under the Pension Plan.</w:t>
      </w:r>
    </w:p>
    <w:p>
      <w:pPr>
        <w:spacing w:after="0" w:line="5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1"/>
          <w:szCs w:val="21"/>
          <w:u w:val="single" w:color="auto"/>
          <w:color w:val="auto"/>
        </w:rPr>
        <w:t>Adjustment for Key Employees</w:t>
      </w:r>
    </w:p>
    <w:p>
      <w:pPr>
        <w:spacing w:after="0" w:line="85" w:lineRule="exact"/>
        <w:rPr>
          <w:sz w:val="20"/>
          <w:szCs w:val="20"/>
          <w:color w:val="auto"/>
        </w:rPr>
      </w:pPr>
    </w:p>
    <w:p>
      <w:pPr>
        <w:ind w:right="340" w:firstLine="648"/>
        <w:spacing w:after="0" w:line="264" w:lineRule="auto"/>
        <w:rPr>
          <w:sz w:val="20"/>
          <w:szCs w:val="20"/>
          <w:color w:val="auto"/>
        </w:rPr>
      </w:pPr>
      <w:r>
        <w:rPr>
          <w:rFonts w:ascii="Arial" w:cs="Arial" w:eastAsia="Arial" w:hAnsi="Arial"/>
          <w:sz w:val="22"/>
          <w:szCs w:val="22"/>
          <w:color w:val="auto"/>
        </w:rPr>
        <w:t>A Key Employee's benefit payable hereunder shall not be less than the amount equal to the person’s benefit calculated as of the pension commencement date that would apply if the person were not a Key Employee plus interest from such date until the person’s actual pension</w:t>
      </w:r>
    </w:p>
    <w:p>
      <w:pPr>
        <w:sectPr>
          <w:pgSz w:w="11900" w:h="16838" w:orient="portrait"/>
          <w:cols w:equalWidth="0" w:num="1">
            <w:col w:w="9720"/>
          </w:cols>
          <w:pgMar w:left="1080" w:top="181" w:right="1099" w:bottom="0" w:gutter="0" w:footer="0" w:header="0"/>
        </w:sectPr>
      </w:pPr>
    </w:p>
    <w:bookmarkStart w:id="31" w:name="page32"/>
    <w:bookmarkEnd w:id="31"/>
    <w:p>
      <w:pPr>
        <w:spacing w:after="0" w:line="113" w:lineRule="exact"/>
        <w:rPr>
          <w:sz w:val="20"/>
          <w:szCs w:val="20"/>
          <w:color w:val="auto"/>
        </w:rPr>
      </w:pPr>
    </w:p>
    <w:p>
      <w:pPr>
        <w:ind w:right="20"/>
        <w:spacing w:after="0" w:line="191" w:lineRule="auto"/>
        <w:rPr>
          <w:sz w:val="20"/>
          <w:szCs w:val="20"/>
          <w:color w:val="auto"/>
        </w:rPr>
      </w:pPr>
      <w:r>
        <w:rPr>
          <w:rFonts w:ascii="Arial" w:cs="Arial" w:eastAsia="Arial" w:hAnsi="Arial"/>
          <w:sz w:val="21"/>
          <w:szCs w:val="21"/>
          <w:color w:val="auto"/>
        </w:rPr>
        <w:t>commencement date. For this purpose, interest shall be credited at a rate equal to the Citibank prime lending rate in effect on the date the person separates from employment, or, if the person’s last 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-200025</wp:posOffset>
            </wp:positionV>
            <wp:extent cx="713232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employment is on or after November 1, 2022, at the interest rate determined under section</w:t>
      </w:r>
    </w:p>
    <w:p>
      <w:pPr>
        <w:spacing w:after="0" w:line="11"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4.4(D)(3)(b)(iii) of Part 1 of the ExxonMobil Pension Plan on the first of the month immediately following the person’s last day of employment, but taking into account only the first segment rate for this purpose.</w:t>
      </w:r>
    </w:p>
    <w:p>
      <w:pPr>
        <w:spacing w:after="0" w:line="200" w:lineRule="exact"/>
        <w:rPr>
          <w:sz w:val="20"/>
          <w:szCs w:val="20"/>
          <w:color w:val="auto"/>
        </w:rPr>
      </w:pPr>
    </w:p>
    <w:p>
      <w:pPr>
        <w:spacing w:after="0" w:line="208" w:lineRule="exact"/>
        <w:rPr>
          <w:sz w:val="20"/>
          <w:szCs w:val="20"/>
          <w:color w:val="auto"/>
        </w:rPr>
      </w:pPr>
    </w:p>
    <w:p>
      <w:pPr>
        <w:ind w:left="4540" w:hanging="660"/>
        <w:spacing w:after="0"/>
        <w:tabs>
          <w:tab w:leader="none" w:pos="454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Death Benefit</w:t>
      </w:r>
    </w:p>
    <w:p>
      <w:pPr>
        <w:spacing w:after="0" w:line="200" w:lineRule="exact"/>
        <w:rPr>
          <w:sz w:val="20"/>
          <w:szCs w:val="20"/>
          <w:color w:val="auto"/>
        </w:rPr>
      </w:pP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1"/>
          <w:szCs w:val="21"/>
          <w:u w:val="single" w:color="auto"/>
          <w:color w:val="auto"/>
        </w:rPr>
        <w:t>Benefits Payable On Account of Death</w:t>
      </w:r>
    </w:p>
    <w:p>
      <w:pPr>
        <w:spacing w:after="0" w:line="98" w:lineRule="exact"/>
        <w:rPr>
          <w:sz w:val="20"/>
          <w:szCs w:val="20"/>
          <w:color w:val="auto"/>
        </w:rPr>
      </w:pPr>
    </w:p>
    <w:p>
      <w:pPr>
        <w:ind w:left="1300" w:hanging="648"/>
        <w:spacing w:after="0"/>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In General</w:t>
      </w:r>
    </w:p>
    <w:p>
      <w:pPr>
        <w:spacing w:after="0" w:line="98" w:lineRule="exact"/>
        <w:rPr>
          <w:sz w:val="20"/>
          <w:szCs w:val="20"/>
          <w:color w:val="auto"/>
        </w:rPr>
      </w:pPr>
    </w:p>
    <w:p>
      <w:pPr>
        <w:ind w:firstLine="1296"/>
        <w:spacing w:after="0" w:line="264" w:lineRule="auto"/>
        <w:rPr>
          <w:sz w:val="20"/>
          <w:szCs w:val="20"/>
          <w:color w:val="auto"/>
        </w:rPr>
      </w:pPr>
      <w:r>
        <w:rPr>
          <w:rFonts w:ascii="Arial" w:cs="Arial" w:eastAsia="Arial" w:hAnsi="Arial"/>
          <w:sz w:val="21"/>
          <w:szCs w:val="21"/>
          <w:color w:val="auto"/>
        </w:rPr>
        <w:t>In the event a portion of a pension death benefit or a “career annuity subject to deferred commencement that commences by reason of death” that becomes payable under the terms of the Pension Plan on account of the death of a participant cannot be paid from the Pension Plan because of the application of Code sections 415 and 401(a)(17), a lump-sum death benefit of equivalent value shall be paid to the participant’s beneficiary (as determined under section 4.2 below) under this Plan. For this purpose, equivalent value shall be determined by the Plan Administrator using the factors and procedures that are used for the calculation of similar benefits under the Pension Plan.</w:t>
      </w:r>
    </w:p>
    <w:p>
      <w:pPr>
        <w:spacing w:after="0" w:line="44" w:lineRule="exact"/>
        <w:rPr>
          <w:sz w:val="20"/>
          <w:szCs w:val="20"/>
          <w:color w:val="auto"/>
        </w:rPr>
      </w:pPr>
    </w:p>
    <w:p>
      <w:pPr>
        <w:ind w:left="1300" w:hanging="648"/>
        <w:spacing w:after="0"/>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Death Benefit Payable During Post-termination Deferral Period</w:t>
      </w:r>
    </w:p>
    <w:p>
      <w:pPr>
        <w:spacing w:after="0" w:line="98" w:lineRule="exact"/>
        <w:rPr>
          <w:sz w:val="20"/>
          <w:szCs w:val="20"/>
          <w:color w:val="auto"/>
        </w:rPr>
      </w:pPr>
    </w:p>
    <w:p>
      <w:pPr>
        <w:ind w:right="140" w:firstLine="1296"/>
        <w:spacing w:after="0" w:line="250" w:lineRule="auto"/>
        <w:rPr>
          <w:sz w:val="20"/>
          <w:szCs w:val="20"/>
          <w:color w:val="auto"/>
        </w:rPr>
      </w:pPr>
      <w:r>
        <w:rPr>
          <w:rFonts w:ascii="Arial" w:cs="Arial" w:eastAsia="Arial" w:hAnsi="Arial"/>
          <w:sz w:val="22"/>
          <w:szCs w:val="22"/>
          <w:color w:val="auto"/>
        </w:rPr>
        <w:t>If a participant who is a Key Employee is entitled to a benefit under Article 2 above on account of his or her retirement, but dies during the six-month period following the person’s retirement, then the person’s benefit to which he or she would otherwise be entitled shall be immediately payable as a lump-sum death benefit of equivalent value to the participant’s beneficiary (determined under section 4.2 below). For this purpose, equivalent value shall be determined by the Plan Administrator using the factors and procedures that are used for the calculation of similar benefits under the Pension Plan.</w:t>
      </w:r>
    </w:p>
    <w:p>
      <w:pPr>
        <w:spacing w:after="0" w:line="59" w:lineRule="exact"/>
        <w:rPr>
          <w:sz w:val="20"/>
          <w:szCs w:val="20"/>
          <w:color w:val="auto"/>
        </w:rPr>
      </w:pPr>
    </w:p>
    <w:p>
      <w:pPr>
        <w:ind w:left="1320" w:hanging="668"/>
        <w:spacing w:after="0"/>
        <w:tabs>
          <w:tab w:leader="none" w:pos="132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Excluded Benefits</w:t>
      </w:r>
    </w:p>
    <w:p>
      <w:pPr>
        <w:spacing w:after="0" w:line="98" w:lineRule="exact"/>
        <w:rPr>
          <w:sz w:val="20"/>
          <w:szCs w:val="20"/>
          <w:color w:val="auto"/>
        </w:rPr>
      </w:pPr>
    </w:p>
    <w:p>
      <w:pPr>
        <w:ind w:right="320" w:firstLine="1296"/>
        <w:spacing w:after="0" w:line="257" w:lineRule="auto"/>
        <w:rPr>
          <w:sz w:val="20"/>
          <w:szCs w:val="20"/>
          <w:color w:val="auto"/>
        </w:rPr>
      </w:pPr>
      <w:r>
        <w:rPr>
          <w:rFonts w:ascii="Arial" w:cs="Arial" w:eastAsia="Arial" w:hAnsi="Arial"/>
          <w:sz w:val="22"/>
          <w:szCs w:val="22"/>
          <w:color w:val="auto"/>
        </w:rPr>
        <w:t>Neither the Qualified Joint and Survivor Annuity payment option, nor the Surviving Spouse Annuity benefit, as such are provided for under the Pension Plan, are provided as benefits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u w:val="single" w:color="auto"/>
          <w:color w:val="auto"/>
        </w:rPr>
        <w:t>Designation of Beneficiaries</w:t>
      </w:r>
    </w:p>
    <w:p>
      <w:pPr>
        <w:spacing w:after="0" w:line="98" w:lineRule="exact"/>
        <w:rPr>
          <w:sz w:val="20"/>
          <w:szCs w:val="20"/>
          <w:color w:val="auto"/>
        </w:rPr>
      </w:pPr>
    </w:p>
    <w:p>
      <w:pPr>
        <w:ind w:left="1300" w:hanging="648"/>
        <w:spacing w:after="0"/>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In General</w:t>
      </w:r>
    </w:p>
    <w:p>
      <w:pPr>
        <w:spacing w:after="0" w:line="98" w:lineRule="exact"/>
        <w:rPr>
          <w:sz w:val="20"/>
          <w:szCs w:val="20"/>
          <w:color w:val="auto"/>
        </w:rPr>
      </w:pPr>
    </w:p>
    <w:p>
      <w:pPr>
        <w:jc w:val="both"/>
        <w:ind w:right="600" w:firstLine="1296"/>
        <w:spacing w:after="0" w:line="253" w:lineRule="auto"/>
        <w:rPr>
          <w:sz w:val="20"/>
          <w:szCs w:val="20"/>
          <w:color w:val="auto"/>
        </w:rPr>
      </w:pPr>
      <w:r>
        <w:rPr>
          <w:rFonts w:ascii="Arial" w:cs="Arial" w:eastAsia="Arial" w:hAnsi="Arial"/>
          <w:sz w:val="22"/>
          <w:szCs w:val="22"/>
          <w:color w:val="auto"/>
        </w:rPr>
        <w:t>A person may name one or more designated beneficiaries to receive the benefits payable under this Plan under section 4.1 above in the event of the person's death. Beneficiary designations shall be made in accordance with such procedures as the Plan Administrator may establish. Spousal consent to any designation is not required.</w:t>
      </w:r>
    </w:p>
    <w:p>
      <w:pPr>
        <w:spacing w:after="0" w:line="54" w:lineRule="exact"/>
        <w:rPr>
          <w:sz w:val="20"/>
          <w:szCs w:val="20"/>
          <w:color w:val="auto"/>
        </w:rPr>
      </w:pPr>
    </w:p>
    <w:p>
      <w:pPr>
        <w:ind w:left="1300" w:hanging="648"/>
        <w:spacing w:after="0"/>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Default Beneficiaries</w:t>
      </w:r>
    </w:p>
    <w:p>
      <w:pPr>
        <w:spacing w:after="0" w:line="98" w:lineRule="exact"/>
        <w:rPr>
          <w:sz w:val="20"/>
          <w:szCs w:val="20"/>
          <w:color w:val="auto"/>
        </w:rPr>
      </w:pPr>
    </w:p>
    <w:p>
      <w:pPr>
        <w:ind w:left="1980" w:hanging="680"/>
        <w:spacing w:after="0"/>
        <w:tabs>
          <w:tab w:leader="none" w:pos="198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In General</w:t>
      </w:r>
    </w:p>
    <w:p>
      <w:pPr>
        <w:spacing w:after="0" w:line="98" w:lineRule="exact"/>
        <w:rPr>
          <w:sz w:val="20"/>
          <w:szCs w:val="20"/>
          <w:color w:val="auto"/>
        </w:rPr>
      </w:pPr>
    </w:p>
    <w:p>
      <w:pPr>
        <w:ind w:right="160" w:firstLine="1944"/>
        <w:spacing w:after="0" w:line="257" w:lineRule="auto"/>
        <w:rPr>
          <w:sz w:val="20"/>
          <w:szCs w:val="20"/>
          <w:color w:val="auto"/>
        </w:rPr>
      </w:pPr>
      <w:r>
        <w:rPr>
          <w:rFonts w:ascii="Arial" w:cs="Arial" w:eastAsia="Arial" w:hAnsi="Arial"/>
          <w:sz w:val="22"/>
          <w:szCs w:val="22"/>
          <w:color w:val="auto"/>
        </w:rPr>
        <w:t>If no specific designation is in effect, the deceased’s beneficiary is the person or persons in the first of the following classes of successive beneficiaries living at the time of death of the deceased:</w:t>
      </w:r>
    </w:p>
    <w:p>
      <w:pPr>
        <w:spacing w:after="0" w:line="51" w:lineRule="exact"/>
        <w:rPr>
          <w:sz w:val="20"/>
          <w:szCs w:val="20"/>
          <w:color w:val="auto"/>
        </w:rPr>
      </w:pPr>
    </w:p>
    <w:p>
      <w:pPr>
        <w:ind w:left="2280" w:hanging="332"/>
        <w:spacing w:after="0"/>
        <w:tabs>
          <w:tab w:leader="none" w:pos="22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spouse;</w:t>
      </w:r>
    </w:p>
    <w:p>
      <w:pPr>
        <w:spacing w:after="0" w:line="98" w:lineRule="exact"/>
        <w:rPr>
          <w:rFonts w:ascii="Arial" w:cs="Arial" w:eastAsia="Arial" w:hAnsi="Arial"/>
          <w:sz w:val="22"/>
          <w:szCs w:val="22"/>
          <w:color w:val="auto"/>
        </w:rPr>
      </w:pPr>
    </w:p>
    <w:p>
      <w:pPr>
        <w:ind w:right="180" w:firstLine="1948"/>
        <w:spacing w:after="0" w:line="272" w:lineRule="auto"/>
        <w:tabs>
          <w:tab w:leader="none" w:pos="2268" w:val="left"/>
        </w:tabs>
        <w:numPr>
          <w:ilvl w:val="0"/>
          <w:numId w:val="42"/>
        </w:numPr>
        <w:rPr>
          <w:rFonts w:ascii="Arial" w:cs="Arial" w:eastAsia="Arial" w:hAnsi="Arial"/>
          <w:sz w:val="22"/>
          <w:szCs w:val="22"/>
          <w:color w:val="auto"/>
        </w:rPr>
      </w:pPr>
      <w:r>
        <w:rPr>
          <w:rFonts w:ascii="Arial" w:cs="Arial" w:eastAsia="Arial" w:hAnsi="Arial"/>
          <w:sz w:val="22"/>
          <w:szCs w:val="22"/>
          <w:color w:val="auto"/>
        </w:rPr>
        <w:t>children who survive the participant or who die before the participant leaving children of their own who survive the participant;</w:t>
      </w:r>
    </w:p>
    <w:p>
      <w:pPr>
        <w:spacing w:after="0" w:line="34" w:lineRule="exact"/>
        <w:rPr>
          <w:rFonts w:ascii="Arial" w:cs="Arial" w:eastAsia="Arial" w:hAnsi="Arial"/>
          <w:sz w:val="22"/>
          <w:szCs w:val="22"/>
          <w:color w:val="auto"/>
        </w:rPr>
      </w:pPr>
    </w:p>
    <w:p>
      <w:pPr>
        <w:ind w:left="2260" w:hanging="312"/>
        <w:spacing w:after="0"/>
        <w:tabs>
          <w:tab w:leader="none" w:pos="22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parents;</w:t>
      </w:r>
    </w:p>
    <w:p>
      <w:pPr>
        <w:spacing w:after="0" w:line="98" w:lineRule="exact"/>
        <w:rPr>
          <w:rFonts w:ascii="Arial" w:cs="Arial" w:eastAsia="Arial" w:hAnsi="Arial"/>
          <w:sz w:val="22"/>
          <w:szCs w:val="22"/>
          <w:color w:val="auto"/>
        </w:rPr>
      </w:pPr>
    </w:p>
    <w:p>
      <w:pPr>
        <w:ind w:right="840" w:firstLine="1948"/>
        <w:spacing w:after="0" w:line="272" w:lineRule="auto"/>
        <w:tabs>
          <w:tab w:leader="none" w:pos="2268" w:val="left"/>
        </w:tabs>
        <w:numPr>
          <w:ilvl w:val="0"/>
          <w:numId w:val="42"/>
        </w:numPr>
        <w:rPr>
          <w:rFonts w:ascii="Arial" w:cs="Arial" w:eastAsia="Arial" w:hAnsi="Arial"/>
          <w:sz w:val="22"/>
          <w:szCs w:val="22"/>
          <w:color w:val="auto"/>
        </w:rPr>
      </w:pPr>
      <w:r>
        <w:rPr>
          <w:rFonts w:ascii="Arial" w:cs="Arial" w:eastAsia="Arial" w:hAnsi="Arial"/>
          <w:sz w:val="22"/>
          <w:szCs w:val="22"/>
          <w:color w:val="auto"/>
        </w:rPr>
        <w:t>brothers and sisters who survive the participant or who die before the participant leaving children of their own who survive the participant.</w:t>
      </w:r>
    </w:p>
    <w:p>
      <w:pPr>
        <w:sectPr>
          <w:pgSz w:w="11900" w:h="16952" w:orient="portrait"/>
          <w:cols w:equalWidth="0" w:num="1">
            <w:col w:w="9720"/>
          </w:cols>
          <w:pgMar w:left="1080" w:top="71" w:right="1099" w:bottom="0" w:gutter="0" w:footer="0" w:header="0"/>
        </w:sectPr>
      </w:pPr>
    </w:p>
    <w:bookmarkStart w:id="32" w:name="page33"/>
    <w:bookmarkEnd w:id="32"/>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right="240" w:firstLine="1944"/>
        <w:spacing w:after="0" w:line="272" w:lineRule="auto"/>
        <w:rPr>
          <w:sz w:val="20"/>
          <w:szCs w:val="20"/>
          <w:color w:val="auto"/>
        </w:rPr>
      </w:pPr>
      <w:r>
        <w:rPr>
          <w:rFonts w:ascii="Arial" w:cs="Arial" w:eastAsia="Arial" w:hAnsi="Arial"/>
          <w:sz w:val="22"/>
          <w:szCs w:val="22"/>
          <w:color w:val="auto"/>
        </w:rPr>
        <w:t>If there are no members of any class of such beneficiaries, payment is made to the deceased's executors or administrators.</w:t>
      </w:r>
    </w:p>
    <w:p>
      <w:pPr>
        <w:spacing w:after="0" w:line="34" w:lineRule="exact"/>
        <w:rPr>
          <w:sz w:val="20"/>
          <w:szCs w:val="20"/>
          <w:color w:val="auto"/>
        </w:rPr>
      </w:pPr>
    </w:p>
    <w:p>
      <w:pPr>
        <w:ind w:left="1980" w:hanging="680"/>
        <w:spacing w:after="0"/>
        <w:tabs>
          <w:tab w:leader="none" w:pos="198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Allocation among Default Beneficiaries</w:t>
      </w:r>
    </w:p>
    <w:p>
      <w:pPr>
        <w:spacing w:after="0" w:line="98" w:lineRule="exact"/>
        <w:rPr>
          <w:sz w:val="20"/>
          <w:szCs w:val="20"/>
          <w:color w:val="auto"/>
        </w:rPr>
      </w:pPr>
    </w:p>
    <w:p>
      <w:pPr>
        <w:ind w:right="160" w:firstLine="1944"/>
        <w:spacing w:after="0" w:line="251" w:lineRule="auto"/>
        <w:rPr>
          <w:sz w:val="20"/>
          <w:szCs w:val="20"/>
          <w:color w:val="auto"/>
        </w:rPr>
      </w:pPr>
      <w:r>
        <w:rPr>
          <w:rFonts w:ascii="Arial" w:cs="Arial" w:eastAsia="Arial" w:hAnsi="Arial"/>
          <w:sz w:val="22"/>
          <w:szCs w:val="22"/>
          <w:color w:val="auto"/>
        </w:rPr>
        <w:t>If the same class of beneficiaries under paragraph (1) above contains two or more persons, they share equally, with further subdivision of such equal shares as next provided. In class (b), where a child dies before the participant leaving children who survive the participant, such child's share is subdivided equally among those children. In class (d), where a brother or sister dies before the participant leaving children who survive the participant, such brother or sister's share is subdivided equally among those children.</w:t>
      </w:r>
    </w:p>
    <w:p>
      <w:pPr>
        <w:spacing w:after="0" w:line="60" w:lineRule="exact"/>
        <w:rPr>
          <w:sz w:val="20"/>
          <w:szCs w:val="20"/>
          <w:color w:val="auto"/>
        </w:rPr>
      </w:pPr>
    </w:p>
    <w:p>
      <w:pPr>
        <w:ind w:left="1980" w:hanging="680"/>
        <w:spacing w:after="0"/>
        <w:tabs>
          <w:tab w:leader="none" w:pos="198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Definitions</w:t>
      </w:r>
    </w:p>
    <w:p>
      <w:pPr>
        <w:spacing w:after="0" w:line="98" w:lineRule="exact"/>
        <w:rPr>
          <w:sz w:val="20"/>
          <w:szCs w:val="20"/>
          <w:color w:val="auto"/>
        </w:rPr>
      </w:pPr>
    </w:p>
    <w:p>
      <w:pPr>
        <w:ind w:right="340" w:firstLine="1944"/>
        <w:spacing w:after="0" w:line="253" w:lineRule="auto"/>
        <w:rPr>
          <w:sz w:val="20"/>
          <w:szCs w:val="20"/>
          <w:color w:val="auto"/>
        </w:rPr>
      </w:pPr>
      <w:r>
        <w:rPr>
          <w:rFonts w:ascii="Arial" w:cs="Arial" w:eastAsia="Arial" w:hAnsi="Arial"/>
          <w:sz w:val="22"/>
          <w:szCs w:val="22"/>
          <w:color w:val="auto"/>
        </w:rPr>
        <w:t>For purposes of this section 4.2, "child" means a person's son or daughter by legitimate blood relationship or legal adoption; "parent" means a person's father or mother by legitimate blood relationship or legal adoption; "brother" or "sister" means another child of either or both of one's parents.</w:t>
      </w:r>
    </w:p>
    <w:p>
      <w:pPr>
        <w:spacing w:after="0" w:line="200" w:lineRule="exact"/>
        <w:rPr>
          <w:sz w:val="20"/>
          <w:szCs w:val="20"/>
          <w:color w:val="auto"/>
        </w:rPr>
      </w:pPr>
    </w:p>
    <w:p>
      <w:pPr>
        <w:spacing w:after="0" w:line="205" w:lineRule="exact"/>
        <w:rPr>
          <w:sz w:val="20"/>
          <w:szCs w:val="20"/>
          <w:color w:val="auto"/>
        </w:rPr>
      </w:pPr>
    </w:p>
    <w:p>
      <w:pPr>
        <w:ind w:left="4500" w:hanging="650"/>
        <w:spacing w:after="0"/>
        <w:tabs>
          <w:tab w:leader="none" w:pos="450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00" w:lineRule="exact"/>
        <w:rPr>
          <w:sz w:val="20"/>
          <w:szCs w:val="20"/>
          <w:color w:val="auto"/>
        </w:rPr>
      </w:pP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1"/>
          <w:szCs w:val="21"/>
          <w:u w:val="single" w:color="auto"/>
          <w:color w:val="auto"/>
        </w:rPr>
        <w:t>Administration of Plan</w:t>
      </w:r>
    </w:p>
    <w:p>
      <w:pPr>
        <w:spacing w:after="0" w:line="98"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Plan Administrator shall be the Manager, Compensation, Benefit Plans and Policies, Human Resources Department, Exxon Mobil Corporation. The Plan Administrator shall have the right and authority to conclusively interpret this Plan for all purposes, including the determination of any person’s eligibility for benefits hereunder and the resolution of any and all appeals relating to claims by participants or beneficiaries, with any such interpretation being conclusive for all participants and beneficiaries.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1"/>
          <w:szCs w:val="21"/>
          <w:u w:val="single" w:color="auto"/>
          <w:color w:val="auto"/>
        </w:rPr>
        <w:t>Nature of Payments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Payments provided under this Plan are considered general obligations of the Corporation.</w:t>
      </w:r>
    </w:p>
    <w:p>
      <w:pPr>
        <w:spacing w:after="0" w:line="9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1"/>
          <w:szCs w:val="21"/>
          <w:u w:val="single" w:color="auto"/>
          <w:color w:val="auto"/>
        </w:rPr>
        <w:t>Assignment or Alienation</w:t>
      </w:r>
    </w:p>
    <w:p>
      <w:pPr>
        <w:spacing w:after="0" w:line="98" w:lineRule="exact"/>
        <w:rPr>
          <w:sz w:val="20"/>
          <w:szCs w:val="20"/>
          <w:color w:val="auto"/>
        </w:rPr>
      </w:pPr>
    </w:p>
    <w:p>
      <w:pPr>
        <w:ind w:right="720" w:firstLine="648"/>
        <w:spacing w:after="0" w:line="272" w:lineRule="auto"/>
        <w:rPr>
          <w:sz w:val="20"/>
          <w:szCs w:val="20"/>
          <w:color w:val="auto"/>
        </w:rPr>
      </w:pPr>
      <w:r>
        <w:rPr>
          <w:rFonts w:ascii="Arial" w:cs="Arial" w:eastAsia="Arial" w:hAnsi="Arial"/>
          <w:sz w:val="22"/>
          <w:szCs w:val="22"/>
          <w:color w:val="auto"/>
        </w:rPr>
        <w:t>Except as provided in section 5.5 below, payments provided under this Plan may not be assigned or otherwise alienated or pledged.</w:t>
      </w:r>
    </w:p>
    <w:p>
      <w:pPr>
        <w:spacing w:after="0" w:line="3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1"/>
          <w:szCs w:val="21"/>
          <w:u w:val="single" w:color="auto"/>
          <w:color w:val="auto"/>
        </w:rPr>
        <w:t>Amendment or Termination</w:t>
      </w:r>
    </w:p>
    <w:p>
      <w:pPr>
        <w:spacing w:after="0" w:line="98" w:lineRule="exact"/>
        <w:rPr>
          <w:sz w:val="20"/>
          <w:szCs w:val="20"/>
          <w:color w:val="auto"/>
        </w:rPr>
      </w:pPr>
    </w:p>
    <w:p>
      <w:pPr>
        <w:ind w:right="280" w:firstLine="648"/>
        <w:spacing w:after="0" w:line="257" w:lineRule="auto"/>
        <w:rPr>
          <w:sz w:val="20"/>
          <w:szCs w:val="20"/>
          <w:color w:val="auto"/>
        </w:rPr>
      </w:pPr>
      <w:r>
        <w:rPr>
          <w:rFonts w:ascii="Arial" w:cs="Arial" w:eastAsia="Arial" w:hAnsi="Arial"/>
          <w:sz w:val="22"/>
          <w:szCs w:val="22"/>
          <w:color w:val="auto"/>
        </w:rPr>
        <w:t>The Corporation reserves the right to amend or terminate this Plan, in whole or in part, including the right at any time to reduce or eliminate any accrued benefits hereunder and to alter or amend the benefit formula set out herein.</w:t>
      </w:r>
    </w:p>
    <w:p>
      <w:pPr>
        <w:spacing w:after="0" w:line="200" w:lineRule="exact"/>
        <w:rPr>
          <w:sz w:val="20"/>
          <w:szCs w:val="20"/>
          <w:color w:val="auto"/>
        </w:rPr>
      </w:pP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1"/>
          <w:szCs w:val="21"/>
          <w:u w:val="single" w:color="auto"/>
          <w:color w:val="auto"/>
        </w:rPr>
        <w:t>Forfeiture of Benefits</w:t>
      </w:r>
    </w:p>
    <w:p>
      <w:pPr>
        <w:spacing w:after="0" w:line="98"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No person shall be entitled to receive payments under this Plan and any payments received under this Plan shall be forfeited and returned if it is determined by the Corporation in its sole discretion, acting through its chief executive or such person or committee as the chief executive may designate, that a person otherwise entitled to a payment under this Plan or who has commenced receiving payments under this Plan:</w:t>
      </w:r>
    </w:p>
    <w:p>
      <w:pPr>
        <w:spacing w:after="0" w:line="59" w:lineRule="exact"/>
        <w:rPr>
          <w:sz w:val="20"/>
          <w:szCs w:val="20"/>
          <w:color w:val="auto"/>
        </w:rPr>
      </w:pPr>
    </w:p>
    <w:p>
      <w:pPr>
        <w:ind w:left="1300" w:hanging="648"/>
        <w:spacing w:after="0"/>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engaged in gross misconduct harmful to the Corporation,</w:t>
      </w:r>
    </w:p>
    <w:p>
      <w:pPr>
        <w:spacing w:after="0" w:line="98" w:lineRule="exact"/>
        <w:rPr>
          <w:rFonts w:ascii="Arial" w:cs="Arial" w:eastAsia="Arial" w:hAnsi="Arial"/>
          <w:sz w:val="22"/>
          <w:szCs w:val="22"/>
          <w:color w:val="auto"/>
        </w:rPr>
      </w:pPr>
    </w:p>
    <w:p>
      <w:pPr>
        <w:ind w:left="1300" w:hanging="648"/>
        <w:spacing w:after="0"/>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committed a criminal violation harmful to the Corporation,</w:t>
      </w:r>
    </w:p>
    <w:p>
      <w:pPr>
        <w:spacing w:after="0" w:line="98" w:lineRule="exact"/>
        <w:rPr>
          <w:rFonts w:ascii="Arial" w:cs="Arial" w:eastAsia="Arial" w:hAnsi="Arial"/>
          <w:sz w:val="22"/>
          <w:szCs w:val="22"/>
          <w:color w:val="auto"/>
        </w:rPr>
      </w:pPr>
    </w:p>
    <w:p>
      <w:pPr>
        <w:ind w:right="260" w:firstLine="652"/>
        <w:spacing w:after="0" w:line="257" w:lineRule="auto"/>
        <w:tabs>
          <w:tab w:leader="none" w:pos="1308" w:val="left"/>
        </w:tabs>
        <w:numPr>
          <w:ilvl w:val="0"/>
          <w:numId w:val="46"/>
        </w:numPr>
        <w:rPr>
          <w:rFonts w:ascii="Arial" w:cs="Arial" w:eastAsia="Arial" w:hAnsi="Arial"/>
          <w:sz w:val="22"/>
          <w:szCs w:val="22"/>
          <w:color w:val="auto"/>
        </w:rPr>
      </w:pPr>
      <w:r>
        <w:rPr>
          <w:rFonts w:ascii="Arial" w:cs="Arial" w:eastAsia="Arial" w:hAnsi="Arial"/>
          <w:sz w:val="22"/>
          <w:szCs w:val="22"/>
          <w:color w:val="auto"/>
        </w:rPr>
        <w:t>had concealed actions described in paragraph (A) or (B) above which would have brought about termination from employment thereby making the person ineligible for benefits under this Plan,</w:t>
      </w:r>
    </w:p>
    <w:p>
      <w:pPr>
        <w:spacing w:after="0" w:line="51" w:lineRule="exact"/>
        <w:rPr>
          <w:rFonts w:ascii="Arial" w:cs="Arial" w:eastAsia="Arial" w:hAnsi="Arial"/>
          <w:sz w:val="22"/>
          <w:szCs w:val="22"/>
          <w:color w:val="auto"/>
        </w:rPr>
      </w:pPr>
    </w:p>
    <w:p>
      <w:pPr>
        <w:ind w:right="40" w:firstLine="652"/>
        <w:spacing w:after="0" w:line="282" w:lineRule="auto"/>
        <w:tabs>
          <w:tab w:leader="none" w:pos="1308" w:val="left"/>
        </w:tabs>
        <w:numPr>
          <w:ilvl w:val="0"/>
          <w:numId w:val="46"/>
        </w:numPr>
        <w:rPr>
          <w:rFonts w:ascii="Arial" w:cs="Arial" w:eastAsia="Arial" w:hAnsi="Arial"/>
          <w:sz w:val="21"/>
          <w:szCs w:val="21"/>
          <w:color w:val="auto"/>
        </w:rPr>
      </w:pPr>
      <w:r>
        <w:rPr>
          <w:rFonts w:ascii="Arial" w:cs="Arial" w:eastAsia="Arial" w:hAnsi="Arial"/>
          <w:sz w:val="21"/>
          <w:szCs w:val="21"/>
          <w:color w:val="auto"/>
        </w:rPr>
        <w:t>separated from service prior to attaining Normal Retirement Age without having received from the Corporation or its delegatee prior written approval for such termination, given in the sole discretion of the Corporation or its delegatee and in the context of recognition that benefits under</w:t>
      </w:r>
    </w:p>
    <w:p>
      <w:pPr>
        <w:sectPr>
          <w:pgSz w:w="11900" w:h="16892" w:orient="portrait"/>
          <w:cols w:equalWidth="0" w:num="1">
            <w:col w:w="9720"/>
          </w:cols>
          <w:pgMar w:left="1080" w:top="208" w:right="1099" w:bottom="0" w:gutter="0" w:footer="0" w:header="0"/>
        </w:sectPr>
      </w:pPr>
    </w:p>
    <w:bookmarkStart w:id="33" w:name="page34"/>
    <w:bookmarkEnd w:id="33"/>
    <w:p>
      <w:pPr>
        <w:spacing w:after="0"/>
        <w:rPr>
          <w:sz w:val="20"/>
          <w:szCs w:val="20"/>
          <w:color w:val="auto"/>
        </w:rPr>
      </w:pPr>
      <w:r>
        <w:rPr>
          <w:rFonts w:ascii="Arial" w:cs="Arial" w:eastAsia="Arial" w:hAnsi="Arial"/>
          <w:sz w:val="21"/>
          <w:szCs w:val="21"/>
          <w:color w:val="auto"/>
        </w:rPr>
        <w:t>this Plan would not be forfeited upon such termination,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-109220</wp:posOffset>
            </wp:positionV>
            <wp:extent cx="7132320" cy="3585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585210"/>
                    </a:xfrm>
                    <a:prstGeom prst="rect">
                      <a:avLst/>
                    </a:prstGeom>
                    <a:noFill/>
                  </pic:spPr>
                </pic:pic>
              </a:graphicData>
            </a:graphic>
          </wp:anchor>
        </w:drawing>
      </w:r>
    </w:p>
    <w:p>
      <w:pPr>
        <w:sectPr>
          <w:pgSz w:w="11900" w:h="16838" w:orient="portrait"/>
          <w:cols w:equalWidth="0" w:num="1">
            <w:col w:w="9379"/>
          </w:cols>
          <w:pgMar w:left="1080" w:top="71" w:right="1440" w:bottom="1440" w:gutter="0" w:footer="0" w:header="0"/>
        </w:sectPr>
      </w:pPr>
    </w:p>
    <w:p>
      <w:pPr>
        <w:spacing w:after="0" w:line="84" w:lineRule="exact"/>
        <w:rPr>
          <w:sz w:val="20"/>
          <w:szCs w:val="20"/>
          <w:color w:val="auto"/>
        </w:rPr>
      </w:pPr>
    </w:p>
    <w:p>
      <w:pPr>
        <w:ind w:left="1300" w:hanging="648"/>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had been terminated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379"/>
          </w:cols>
          <w:pgMar w:left="1080" w:top="71" w:right="1440" w:bottom="1440" w:gutter="0" w:footer="0" w:header="0"/>
          <w:type w:val="continuous"/>
        </w:sectPr>
      </w:pPr>
    </w:p>
    <w:bookmarkStart w:id="34" w:name="page35"/>
    <w:bookmarkEnd w:id="34"/>
    <w:p>
      <w:pPr>
        <w:jc w:val="right"/>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10(iii)(c.3)</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EXXONMOBIL ADDITIONAL PAYMENTS PLAN</w:t>
      </w:r>
    </w:p>
    <w:p>
      <w:pPr>
        <w:spacing w:after="0" w:line="200" w:lineRule="exact"/>
        <w:rPr>
          <w:sz w:val="20"/>
          <w:szCs w:val="20"/>
          <w:color w:val="auto"/>
        </w:rPr>
      </w:pPr>
    </w:p>
    <w:p>
      <w:pPr>
        <w:spacing w:after="0" w:line="236" w:lineRule="exact"/>
        <w:rPr>
          <w:sz w:val="20"/>
          <w:szCs w:val="20"/>
          <w:color w:val="auto"/>
        </w:rPr>
      </w:pPr>
    </w:p>
    <w:p>
      <w:pPr>
        <w:ind w:left="4440" w:hanging="668"/>
        <w:spacing w:after="0"/>
        <w:tabs>
          <w:tab w:leader="none" w:pos="444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Purpose</w:t>
      </w:r>
    </w:p>
    <w:p>
      <w:pPr>
        <w:spacing w:after="0" w:line="200" w:lineRule="exact"/>
        <w:rPr>
          <w:sz w:val="20"/>
          <w:szCs w:val="20"/>
          <w:color w:val="auto"/>
        </w:rPr>
      </w:pPr>
    </w:p>
    <w:p>
      <w:pPr>
        <w:spacing w:after="0" w:line="249" w:lineRule="exact"/>
        <w:rPr>
          <w:sz w:val="20"/>
          <w:szCs w:val="20"/>
          <w:color w:val="auto"/>
        </w:rPr>
      </w:pPr>
    </w:p>
    <w:p>
      <w:pPr>
        <w:ind w:left="300" w:right="379"/>
        <w:spacing w:after="0" w:line="250" w:lineRule="auto"/>
        <w:rPr>
          <w:sz w:val="20"/>
          <w:szCs w:val="20"/>
          <w:color w:val="auto"/>
        </w:rPr>
      </w:pPr>
      <w:r>
        <w:rPr>
          <w:rFonts w:ascii="Arial" w:cs="Arial" w:eastAsia="Arial" w:hAnsi="Arial"/>
          <w:sz w:val="22"/>
          <w:szCs w:val="22"/>
          <w:color w:val="auto"/>
        </w:rPr>
        <w:t>The purpose of this Plan is to provide additional payments from the general assets of Exxon Mobil Corporation (the "Corporation") to certain persons. The benefits payable under this Plan consist of two types of pension benefits and a disability benefit. The first pension benefit is a benefit based upon the person's final average incentive compensation ("Incentive Pension Benefit"). The second pension benefit restores certain benefits that are accrued under a pension plan sponsored by a non-U.S. affiliate of the Corporation but which are not paid ("Overseas Makeup Benefit"). The disability benefit is based on incentive compensation and is paid in the event of a long-term disability ("Disability Benefit").</w:t>
      </w:r>
    </w:p>
    <w:p>
      <w:pPr>
        <w:spacing w:after="0" w:line="396" w:lineRule="exact"/>
        <w:rPr>
          <w:sz w:val="20"/>
          <w:szCs w:val="20"/>
          <w:color w:val="auto"/>
        </w:rPr>
      </w:pPr>
    </w:p>
    <w:p>
      <w:pPr>
        <w:ind w:left="3560" w:hanging="658"/>
        <w:spacing w:after="0"/>
        <w:tabs>
          <w:tab w:leader="none" w:pos="356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Incentive Pension Benefits</w:t>
      </w:r>
    </w:p>
    <w:p>
      <w:pPr>
        <w:spacing w:after="0" w:line="200" w:lineRule="exact"/>
        <w:rPr>
          <w:sz w:val="20"/>
          <w:szCs w:val="20"/>
          <w:color w:val="auto"/>
        </w:rPr>
      </w:pPr>
    </w:p>
    <w:p>
      <w:pPr>
        <w:spacing w:after="0" w:line="249"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u w:val="single" w:color="auto"/>
          <w:color w:val="auto"/>
        </w:rPr>
        <w:t>Eligibility</w:t>
      </w:r>
    </w:p>
    <w:p>
      <w:pPr>
        <w:spacing w:after="0" w:line="98" w:lineRule="exact"/>
        <w:rPr>
          <w:sz w:val="20"/>
          <w:szCs w:val="20"/>
          <w:color w:val="auto"/>
        </w:rPr>
      </w:pPr>
    </w:p>
    <w:p>
      <w:pPr>
        <w:ind w:left="300" w:right="619" w:firstLine="648"/>
        <w:spacing w:after="0" w:line="272" w:lineRule="auto"/>
        <w:rPr>
          <w:sz w:val="20"/>
          <w:szCs w:val="20"/>
          <w:color w:val="auto"/>
        </w:rPr>
      </w:pPr>
      <w:r>
        <w:rPr>
          <w:rFonts w:ascii="Arial" w:cs="Arial" w:eastAsia="Arial" w:hAnsi="Arial"/>
          <w:sz w:val="22"/>
          <w:szCs w:val="22"/>
          <w:color w:val="auto"/>
        </w:rPr>
        <w:t>A person is eligible to receive Incentive Pension Benefits only if any one of the following requirements is met with respect to the person:</w:t>
      </w:r>
    </w:p>
    <w:p>
      <w:pPr>
        <w:spacing w:after="0" w:line="34" w:lineRule="exact"/>
        <w:rPr>
          <w:sz w:val="20"/>
          <w:szCs w:val="20"/>
          <w:color w:val="auto"/>
        </w:rPr>
      </w:pPr>
    </w:p>
    <w:p>
      <w:pPr>
        <w:ind w:left="300" w:right="1099" w:firstLine="640"/>
        <w:spacing w:after="0" w:line="272" w:lineRule="auto"/>
        <w:tabs>
          <w:tab w:leader="none" w:pos="1476"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person becomes a retiree within the meaning of the ExxonMobil Common Provisions ("Retiree");</w:t>
      </w:r>
    </w:p>
    <w:p>
      <w:pPr>
        <w:spacing w:after="0" w:line="34" w:lineRule="exact"/>
        <w:rPr>
          <w:rFonts w:ascii="Arial" w:cs="Arial" w:eastAsia="Arial" w:hAnsi="Arial"/>
          <w:sz w:val="22"/>
          <w:szCs w:val="22"/>
          <w:color w:val="auto"/>
        </w:rPr>
      </w:pPr>
    </w:p>
    <w:p>
      <w:pPr>
        <w:ind w:left="300" w:right="299" w:firstLine="640"/>
        <w:spacing w:after="0" w:line="257" w:lineRule="auto"/>
        <w:tabs>
          <w:tab w:leader="none" w:pos="1536"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person’s employment is terminated in connection with a sale of the assets to a buyer or the outsourcing of a business operation to an outsourcing company, and the person continues in employment until the closing date of the sale of assets or outsourcing;</w:t>
      </w:r>
    </w:p>
    <w:p>
      <w:pPr>
        <w:spacing w:after="0" w:line="50" w:lineRule="exact"/>
        <w:rPr>
          <w:rFonts w:ascii="Arial" w:cs="Arial" w:eastAsia="Arial" w:hAnsi="Arial"/>
          <w:sz w:val="22"/>
          <w:szCs w:val="22"/>
          <w:color w:val="auto"/>
        </w:rPr>
      </w:pPr>
    </w:p>
    <w:p>
      <w:pPr>
        <w:jc w:val="both"/>
        <w:ind w:left="300" w:right="779" w:firstLine="640"/>
        <w:spacing w:after="0" w:line="257" w:lineRule="auto"/>
        <w:tabs>
          <w:tab w:leader="none" w:pos="1548"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person receives a severance benefit from the ExxonMobil Special Program of Severance Allowances, or similar severance program sponsored by the Corporation or an affiliate;</w:t>
      </w:r>
    </w:p>
    <w:p>
      <w:pPr>
        <w:spacing w:after="0" w:line="51" w:lineRule="exact"/>
        <w:rPr>
          <w:rFonts w:ascii="Arial" w:cs="Arial" w:eastAsia="Arial" w:hAnsi="Arial"/>
          <w:sz w:val="22"/>
          <w:szCs w:val="22"/>
          <w:color w:val="auto"/>
        </w:rPr>
      </w:pPr>
    </w:p>
    <w:p>
      <w:pPr>
        <w:ind w:left="300" w:right="379" w:firstLine="640"/>
        <w:spacing w:after="0" w:line="253" w:lineRule="auto"/>
        <w:tabs>
          <w:tab w:leader="none" w:pos="1608"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Plan Administrator determines, in its sole and absolute discretion, that the person is eligible to receive Incentive Pension Benefits. In this regard, the Plan Administrator may from time to time adopt eligibility standards or guidelines that may guide the Plan Administrator’s eligibility determinations, and may in its discretion, modify, suspend, supersede, or cancel such standards or guidelines.</w:t>
      </w:r>
    </w:p>
    <w:p>
      <w:pPr>
        <w:spacing w:after="0" w:line="395"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u w:val="single" w:color="auto"/>
          <w:color w:val="auto"/>
        </w:rPr>
        <w:t>Benefit Formula</w:t>
      </w:r>
    </w:p>
    <w:p>
      <w:pPr>
        <w:spacing w:after="0" w:line="98" w:lineRule="exact"/>
        <w:rPr>
          <w:sz w:val="20"/>
          <w:szCs w:val="20"/>
          <w:color w:val="auto"/>
        </w:rPr>
      </w:pPr>
    </w:p>
    <w:p>
      <w:pPr>
        <w:ind w:left="1580" w:hanging="640"/>
        <w:spacing w:after="0"/>
        <w:tabs>
          <w:tab w:leader="none" w:pos="158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In General</w:t>
      </w:r>
    </w:p>
    <w:p>
      <w:pPr>
        <w:spacing w:after="0" w:line="98" w:lineRule="exact"/>
        <w:rPr>
          <w:sz w:val="20"/>
          <w:szCs w:val="20"/>
          <w:color w:val="auto"/>
        </w:rPr>
      </w:pPr>
    </w:p>
    <w:p>
      <w:pPr>
        <w:ind w:left="300" w:right="559" w:firstLine="1296"/>
        <w:spacing w:after="0" w:line="296" w:lineRule="auto"/>
        <w:rPr>
          <w:sz w:val="20"/>
          <w:szCs w:val="20"/>
          <w:color w:val="auto"/>
        </w:rPr>
      </w:pPr>
      <w:r>
        <w:rPr>
          <w:rFonts w:ascii="Arial" w:cs="Arial" w:eastAsia="Arial" w:hAnsi="Arial"/>
          <w:sz w:val="21"/>
          <w:szCs w:val="21"/>
          <w:color w:val="auto"/>
        </w:rPr>
        <w:t>The amount of a person's Incentive Pension Benefit is determined by multiplying 1.6% of the person's final average incentive compensation by the person's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300" w:right="419"/>
        <w:spacing w:after="0" w:line="257" w:lineRule="auto"/>
        <w:rPr>
          <w:sz w:val="20"/>
          <w:szCs w:val="20"/>
          <w:color w:val="auto"/>
        </w:rPr>
      </w:pPr>
      <w:r>
        <w:rPr>
          <w:rFonts w:ascii="Arial" w:cs="Arial" w:eastAsia="Arial" w:hAnsi="Arial"/>
          <w:sz w:val="22"/>
          <w:szCs w:val="22"/>
          <w:color w:val="auto"/>
        </w:rPr>
        <w:t>years of pensionable service, and dividing the amount so derived by twelve. The result is expressed in the form of a monthly five-year certain and life annuity for the life of the person commencing at the person's age 65 ("Normal Retirement Age").</w:t>
      </w:r>
    </w:p>
    <w:p>
      <w:pPr>
        <w:sectPr>
          <w:pgSz w:w="11900" w:h="16838" w:orient="portrait"/>
          <w:cols w:equalWidth="0" w:num="1">
            <w:col w:w="9019"/>
          </w:cols>
          <w:pgMar w:left="1440" w:top="1390" w:right="1440" w:bottom="0" w:gutter="0" w:footer="0" w:header="0"/>
        </w:sectPr>
      </w:pPr>
    </w:p>
    <w:bookmarkStart w:id="35" w:name="page36"/>
    <w:bookmarkEnd w:id="35"/>
    <w:p>
      <w:pPr>
        <w:ind w:left="1580" w:hanging="640"/>
        <w:spacing w:after="0"/>
        <w:tabs>
          <w:tab w:leader="none" w:pos="158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Pensionable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-125730</wp:posOffset>
            </wp:positionV>
            <wp:extent cx="713232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79" w:lineRule="exact"/>
        <w:rPr>
          <w:sz w:val="20"/>
          <w:szCs w:val="20"/>
          <w:color w:val="auto"/>
        </w:rPr>
      </w:pPr>
    </w:p>
    <w:p>
      <w:pPr>
        <w:ind w:left="300" w:right="659" w:firstLine="1296"/>
        <w:spacing w:after="0" w:line="272" w:lineRule="auto"/>
        <w:rPr>
          <w:sz w:val="20"/>
          <w:szCs w:val="20"/>
          <w:color w:val="auto"/>
        </w:rPr>
      </w:pPr>
      <w:r>
        <w:rPr>
          <w:rFonts w:ascii="Arial" w:cs="Arial" w:eastAsia="Arial" w:hAnsi="Arial"/>
          <w:sz w:val="22"/>
          <w:szCs w:val="22"/>
          <w:color w:val="auto"/>
        </w:rPr>
        <w:t>For purposes of paragraph (A) above, a person’s “pensionable service” shall be determined as follows:</w:t>
      </w:r>
    </w:p>
    <w:p>
      <w:pPr>
        <w:spacing w:after="0" w:line="34" w:lineRule="exact"/>
        <w:rPr>
          <w:sz w:val="20"/>
          <w:szCs w:val="20"/>
          <w:color w:val="auto"/>
        </w:rPr>
      </w:pPr>
    </w:p>
    <w:p>
      <w:pPr>
        <w:ind w:left="300" w:right="519" w:firstLine="1288"/>
        <w:spacing w:after="0" w:line="296" w:lineRule="auto"/>
        <w:tabs>
          <w:tab w:leader="none" w:pos="2280" w:val="left"/>
        </w:tabs>
        <w:numPr>
          <w:ilvl w:val="0"/>
          <w:numId w:val="53"/>
        </w:numPr>
        <w:rPr>
          <w:rFonts w:ascii="Arial" w:cs="Arial" w:eastAsia="Arial" w:hAnsi="Arial"/>
          <w:sz w:val="21"/>
          <w:szCs w:val="21"/>
          <w:color w:val="auto"/>
        </w:rPr>
      </w:pPr>
      <w:r>
        <w:rPr>
          <w:rFonts w:ascii="Arial" w:cs="Arial" w:eastAsia="Arial" w:hAnsi="Arial"/>
          <w:sz w:val="21"/>
          <w:szCs w:val="21"/>
          <w:color w:val="auto"/>
        </w:rPr>
        <w:t>Except as provided in paragraph (2) below, it shall be the amount of pension service credited for the person under the ExxonMobil Pension Plan.</w:t>
      </w:r>
    </w:p>
    <w:p>
      <w:pPr>
        <w:spacing w:after="0" w:line="11" w:lineRule="exact"/>
        <w:rPr>
          <w:rFonts w:ascii="Arial" w:cs="Arial" w:eastAsia="Arial" w:hAnsi="Arial"/>
          <w:sz w:val="21"/>
          <w:szCs w:val="21"/>
          <w:color w:val="auto"/>
        </w:rPr>
      </w:pPr>
    </w:p>
    <w:p>
      <w:pPr>
        <w:ind w:left="2280" w:hanging="692"/>
        <w:spacing w:after="0"/>
        <w:tabs>
          <w:tab w:leader="none" w:pos="22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the event a person</w:t>
      </w:r>
    </w:p>
    <w:p>
      <w:pPr>
        <w:spacing w:after="0" w:line="98" w:lineRule="exact"/>
        <w:rPr>
          <w:rFonts w:ascii="Arial" w:cs="Arial" w:eastAsia="Arial" w:hAnsi="Arial"/>
          <w:sz w:val="22"/>
          <w:szCs w:val="22"/>
          <w:color w:val="auto"/>
        </w:rPr>
      </w:pPr>
    </w:p>
    <w:p>
      <w:pPr>
        <w:ind w:left="300" w:right="539" w:firstLine="1936"/>
        <w:spacing w:after="0" w:line="272" w:lineRule="auto"/>
        <w:tabs>
          <w:tab w:leader="none" w:pos="2568" w:val="left"/>
        </w:tabs>
        <w:numPr>
          <w:ilvl w:val="1"/>
          <w:numId w:val="53"/>
        </w:numPr>
        <w:rPr>
          <w:rFonts w:ascii="Arial" w:cs="Arial" w:eastAsia="Arial" w:hAnsi="Arial"/>
          <w:sz w:val="22"/>
          <w:szCs w:val="22"/>
          <w:color w:val="auto"/>
        </w:rPr>
      </w:pPr>
      <w:r>
        <w:rPr>
          <w:rFonts w:ascii="Arial" w:cs="Arial" w:eastAsia="Arial" w:hAnsi="Arial"/>
          <w:sz w:val="22"/>
          <w:szCs w:val="22"/>
          <w:color w:val="auto"/>
        </w:rPr>
        <w:t>transfers directly to Exxon Mobil Corporation or one of its U.S. affiliates in connection with an employment localization,</w:t>
      </w:r>
    </w:p>
    <w:p>
      <w:pPr>
        <w:spacing w:after="0" w:line="34" w:lineRule="exact"/>
        <w:rPr>
          <w:rFonts w:ascii="Arial" w:cs="Arial" w:eastAsia="Arial" w:hAnsi="Arial"/>
          <w:sz w:val="22"/>
          <w:szCs w:val="22"/>
          <w:color w:val="auto"/>
        </w:rPr>
      </w:pPr>
    </w:p>
    <w:p>
      <w:pPr>
        <w:ind w:left="300" w:right="459" w:firstLine="1936"/>
        <w:spacing w:after="0" w:line="264" w:lineRule="auto"/>
        <w:tabs>
          <w:tab w:leader="none" w:pos="2928" w:val="left"/>
        </w:tabs>
        <w:numPr>
          <w:ilvl w:val="1"/>
          <w:numId w:val="53"/>
        </w:numPr>
        <w:rPr>
          <w:rFonts w:ascii="Arial" w:cs="Arial" w:eastAsia="Arial" w:hAnsi="Arial"/>
          <w:sz w:val="22"/>
          <w:szCs w:val="22"/>
          <w:color w:val="auto"/>
        </w:rPr>
      </w:pPr>
      <w:r>
        <w:rPr>
          <w:rFonts w:ascii="Arial" w:cs="Arial" w:eastAsia="Arial" w:hAnsi="Arial"/>
          <w:sz w:val="22"/>
          <w:szCs w:val="22"/>
          <w:color w:val="auto"/>
        </w:rPr>
        <w:t>upon localization is not credited with pension service under the ExxonMobil Pension Plan for the person’s service with the most recent service-oriented employer, and</w:t>
      </w:r>
    </w:p>
    <w:p>
      <w:pPr>
        <w:spacing w:after="0" w:line="29" w:lineRule="exact"/>
        <w:rPr>
          <w:rFonts w:ascii="Arial" w:cs="Arial" w:eastAsia="Arial" w:hAnsi="Arial"/>
          <w:sz w:val="22"/>
          <w:szCs w:val="22"/>
          <w:color w:val="auto"/>
        </w:rPr>
      </w:pPr>
    </w:p>
    <w:p>
      <w:pPr>
        <w:ind w:left="300" w:right="1199" w:firstLine="1936"/>
        <w:spacing w:after="0" w:line="308" w:lineRule="auto"/>
        <w:tabs>
          <w:tab w:leader="none" w:pos="2556" w:val="left"/>
        </w:tabs>
        <w:numPr>
          <w:ilvl w:val="1"/>
          <w:numId w:val="53"/>
        </w:numPr>
        <w:rPr>
          <w:rFonts w:ascii="Arial" w:cs="Arial" w:eastAsia="Arial" w:hAnsi="Arial"/>
          <w:sz w:val="21"/>
          <w:szCs w:val="21"/>
          <w:color w:val="auto"/>
        </w:rPr>
      </w:pPr>
      <w:r>
        <w:rPr>
          <w:rFonts w:ascii="Arial" w:cs="Arial" w:eastAsia="Arial" w:hAnsi="Arial"/>
          <w:sz w:val="21"/>
          <w:szCs w:val="21"/>
          <w:color w:val="auto"/>
        </w:rPr>
        <w:t>immediately prior to localization was a participant in the Canadian Supplemental Pension Arrangement (SPA) Bonus (“Imperial Plan”),</w:t>
      </w:r>
    </w:p>
    <w:p>
      <w:pPr>
        <w:spacing w:after="0" w:line="1" w:lineRule="exact"/>
        <w:rPr>
          <w:sz w:val="20"/>
          <w:szCs w:val="20"/>
          <w:color w:val="auto"/>
        </w:rPr>
      </w:pPr>
    </w:p>
    <w:p>
      <w:pPr>
        <w:ind w:left="300" w:right="359" w:firstLine="1944"/>
        <w:spacing w:after="0" w:line="257" w:lineRule="auto"/>
        <w:rPr>
          <w:sz w:val="20"/>
          <w:szCs w:val="20"/>
          <w:color w:val="auto"/>
        </w:rPr>
      </w:pPr>
      <w:r>
        <w:rPr>
          <w:rFonts w:ascii="Arial" w:cs="Arial" w:eastAsia="Arial" w:hAnsi="Arial"/>
          <w:sz w:val="22"/>
          <w:szCs w:val="22"/>
          <w:color w:val="auto"/>
        </w:rPr>
        <w:t>the person’s pensionable service shall be the sum of the service credited under the Imperial Plan at the time of the person’s localization plus the pension service credited thereafter to the person under the ExxonMobil Pension Plan.</w:t>
      </w:r>
    </w:p>
    <w:p>
      <w:pPr>
        <w:spacing w:after="0" w:line="51" w:lineRule="exact"/>
        <w:rPr>
          <w:sz w:val="20"/>
          <w:szCs w:val="20"/>
          <w:color w:val="auto"/>
        </w:rPr>
      </w:pPr>
    </w:p>
    <w:p>
      <w:pPr>
        <w:ind w:left="1600" w:hanging="660"/>
        <w:spacing w:after="0"/>
        <w:tabs>
          <w:tab w:leader="none" w:pos="160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Final Average Incentive Compensation</w:t>
      </w:r>
    </w:p>
    <w:p>
      <w:pPr>
        <w:spacing w:after="0" w:line="98" w:lineRule="exact"/>
        <w:rPr>
          <w:sz w:val="20"/>
          <w:szCs w:val="20"/>
          <w:color w:val="auto"/>
        </w:rPr>
      </w:pPr>
    </w:p>
    <w:p>
      <w:pPr>
        <w:ind w:left="300" w:right="739" w:firstLine="1296"/>
        <w:spacing w:after="0" w:line="296" w:lineRule="auto"/>
        <w:rPr>
          <w:sz w:val="20"/>
          <w:szCs w:val="20"/>
          <w:color w:val="auto"/>
        </w:rPr>
      </w:pPr>
      <w:r>
        <w:rPr>
          <w:rFonts w:ascii="Arial" w:cs="Arial" w:eastAsia="Arial" w:hAnsi="Arial"/>
          <w:sz w:val="21"/>
          <w:szCs w:val="21"/>
          <w:color w:val="auto"/>
        </w:rPr>
        <w:t>For the purposes of paragraph (A) above, a person's "final average incentive compensation" shall be determined in accordance with this paragraph (C).</w:t>
      </w:r>
    </w:p>
    <w:p>
      <w:pPr>
        <w:spacing w:after="0" w:line="12" w:lineRule="exact"/>
        <w:rPr>
          <w:sz w:val="20"/>
          <w:szCs w:val="20"/>
          <w:color w:val="auto"/>
        </w:rPr>
      </w:pPr>
    </w:p>
    <w:p>
      <w:pPr>
        <w:ind w:left="2280" w:hanging="692"/>
        <w:spacing w:after="0"/>
        <w:tabs>
          <w:tab w:leader="none" w:pos="228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In General</w:t>
      </w:r>
    </w:p>
    <w:p>
      <w:pPr>
        <w:spacing w:after="0" w:line="98" w:lineRule="exact"/>
        <w:rPr>
          <w:sz w:val="20"/>
          <w:szCs w:val="20"/>
          <w:color w:val="auto"/>
        </w:rPr>
      </w:pPr>
    </w:p>
    <w:p>
      <w:pPr>
        <w:ind w:left="300" w:right="359" w:firstLine="1944"/>
        <w:spacing w:after="0" w:line="253" w:lineRule="auto"/>
        <w:rPr>
          <w:sz w:val="20"/>
          <w:szCs w:val="20"/>
          <w:color w:val="auto"/>
        </w:rPr>
      </w:pPr>
      <w:r>
        <w:rPr>
          <w:rFonts w:ascii="Arial" w:cs="Arial" w:eastAsia="Arial" w:hAnsi="Arial"/>
          <w:sz w:val="22"/>
          <w:szCs w:val="22"/>
          <w:color w:val="auto"/>
        </w:rPr>
        <w:t>A person's final average incentive compensation is the average of the person's three highest annual bonus awards (including awards of zero, if any) under the Corporation's Incentive Programs awarded on any of the five most recent annual award dates immediately preceding the person's termination of employment.</w:t>
      </w:r>
    </w:p>
    <w:p>
      <w:pPr>
        <w:spacing w:after="0" w:line="54" w:lineRule="exact"/>
        <w:rPr>
          <w:sz w:val="20"/>
          <w:szCs w:val="20"/>
          <w:color w:val="auto"/>
        </w:rPr>
      </w:pPr>
    </w:p>
    <w:p>
      <w:pPr>
        <w:ind w:left="2280" w:hanging="692"/>
        <w:spacing w:after="0"/>
        <w:tabs>
          <w:tab w:leader="none" w:pos="228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Corporate Acquisitions</w:t>
      </w:r>
    </w:p>
    <w:p>
      <w:pPr>
        <w:spacing w:after="0" w:line="98" w:lineRule="exact"/>
        <w:rPr>
          <w:sz w:val="20"/>
          <w:szCs w:val="20"/>
          <w:color w:val="auto"/>
        </w:rPr>
      </w:pPr>
    </w:p>
    <w:p>
      <w:pPr>
        <w:ind w:left="300" w:right="399" w:firstLine="1944"/>
        <w:spacing w:after="0" w:line="251" w:lineRule="auto"/>
        <w:rPr>
          <w:sz w:val="20"/>
          <w:szCs w:val="20"/>
          <w:color w:val="auto"/>
        </w:rPr>
      </w:pPr>
      <w:r>
        <w:rPr>
          <w:rFonts w:ascii="Arial" w:cs="Arial" w:eastAsia="Arial" w:hAnsi="Arial"/>
          <w:sz w:val="22"/>
          <w:szCs w:val="22"/>
          <w:color w:val="auto"/>
        </w:rPr>
        <w:t>If a person commences employment with the Corporation or one of its affiliates in connection with a corporate acquisition, incentive compensation paid by the person's former employer that is the equivalent of bonus awards payable under the Corporation's Incentive Program may, in the sole discretion of the management of the Corporation, be taken into account for purposes of determining the person’s final average incentive compensation under this Paragraph (C).</w:t>
      </w:r>
    </w:p>
    <w:p>
      <w:pPr>
        <w:spacing w:after="0" w:line="60" w:lineRule="exact"/>
        <w:rPr>
          <w:sz w:val="20"/>
          <w:szCs w:val="20"/>
          <w:color w:val="auto"/>
        </w:rPr>
      </w:pPr>
    </w:p>
    <w:p>
      <w:pPr>
        <w:ind w:left="2260" w:hanging="672"/>
        <w:spacing w:after="0"/>
        <w:tabs>
          <w:tab w:leader="none" w:pos="226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Annual Bonus Award</w:t>
      </w:r>
    </w:p>
    <w:p>
      <w:pPr>
        <w:spacing w:after="0" w:line="98" w:lineRule="exact"/>
        <w:rPr>
          <w:rFonts w:ascii="Arial" w:cs="Arial" w:eastAsia="Arial" w:hAnsi="Arial"/>
          <w:sz w:val="22"/>
          <w:szCs w:val="22"/>
          <w:color w:val="auto"/>
        </w:rPr>
      </w:pPr>
    </w:p>
    <w:p>
      <w:pPr>
        <w:ind w:left="2920" w:hanging="684"/>
        <w:spacing w:after="0"/>
        <w:tabs>
          <w:tab w:leader="none" w:pos="2920"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Items Used in Calculation</w:t>
      </w:r>
    </w:p>
    <w:p>
      <w:pPr>
        <w:spacing w:after="0" w:line="98" w:lineRule="exact"/>
        <w:rPr>
          <w:sz w:val="20"/>
          <w:szCs w:val="20"/>
          <w:color w:val="auto"/>
        </w:rPr>
      </w:pPr>
    </w:p>
    <w:p>
      <w:pPr>
        <w:ind w:left="300" w:right="639" w:firstLine="2592"/>
        <w:spacing w:after="0" w:line="275" w:lineRule="auto"/>
        <w:rPr>
          <w:sz w:val="20"/>
          <w:szCs w:val="20"/>
          <w:color w:val="auto"/>
        </w:rPr>
      </w:pPr>
      <w:r>
        <w:rPr>
          <w:rFonts w:ascii="Arial" w:cs="Arial" w:eastAsia="Arial" w:hAnsi="Arial"/>
          <w:sz w:val="21"/>
          <w:szCs w:val="21"/>
          <w:color w:val="auto"/>
        </w:rPr>
        <w:t>For purposes of this paragraph (C), in determining the amount of a person's annual bonus award, only awards granted under the short-term incentive part of the Incentive Programs as cash and bonus units are considered.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920" w:hanging="684"/>
        <w:spacing w:after="0"/>
        <w:tabs>
          <w:tab w:leader="none" w:pos="292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Item Excluded From Calculation</w:t>
      </w:r>
    </w:p>
    <w:p>
      <w:pPr>
        <w:spacing w:after="0" w:line="98" w:lineRule="exact"/>
        <w:rPr>
          <w:sz w:val="20"/>
          <w:szCs w:val="20"/>
          <w:color w:val="auto"/>
        </w:rPr>
      </w:pPr>
    </w:p>
    <w:p>
      <w:pPr>
        <w:ind w:left="300" w:right="559" w:firstLine="2592"/>
        <w:spacing w:after="0" w:line="253" w:lineRule="auto"/>
        <w:rPr>
          <w:sz w:val="20"/>
          <w:szCs w:val="20"/>
          <w:color w:val="auto"/>
        </w:rPr>
      </w:pPr>
      <w:r>
        <w:rPr>
          <w:rFonts w:ascii="Arial" w:cs="Arial" w:eastAsia="Arial" w:hAnsi="Arial"/>
          <w:sz w:val="22"/>
          <w:szCs w:val="22"/>
          <w:color w:val="auto"/>
        </w:rPr>
        <w:t>For purposes of this paragraph (C), in determining the amount of a person's annual bonus award, an award to a person characterized by the granting authority as a special one-time bonus is disregarded, unless deemed specifically includable by the granting authority at the time of grant.</w:t>
      </w:r>
    </w:p>
    <w:p>
      <w:pPr>
        <w:spacing w:after="0" w:line="54" w:lineRule="exact"/>
        <w:rPr>
          <w:sz w:val="20"/>
          <w:szCs w:val="20"/>
          <w:color w:val="auto"/>
        </w:rPr>
      </w:pPr>
    </w:p>
    <w:p>
      <w:pPr>
        <w:ind w:left="2840" w:hanging="604"/>
        <w:spacing w:after="0"/>
        <w:tabs>
          <w:tab w:leader="none" w:pos="284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Calculation of Annual Bonus Award</w:t>
      </w:r>
    </w:p>
    <w:p>
      <w:pPr>
        <w:spacing w:after="0" w:line="98" w:lineRule="exact"/>
        <w:rPr>
          <w:sz w:val="20"/>
          <w:szCs w:val="20"/>
          <w:color w:val="auto"/>
        </w:rPr>
      </w:pPr>
    </w:p>
    <w:p>
      <w:pPr>
        <w:ind w:left="300" w:right="819" w:firstLine="2592"/>
        <w:spacing w:after="0" w:line="264" w:lineRule="auto"/>
        <w:rPr>
          <w:sz w:val="20"/>
          <w:szCs w:val="20"/>
          <w:color w:val="auto"/>
        </w:rPr>
      </w:pPr>
      <w:r>
        <w:rPr>
          <w:rFonts w:ascii="Arial" w:cs="Arial" w:eastAsia="Arial" w:hAnsi="Arial"/>
          <w:sz w:val="22"/>
          <w:szCs w:val="22"/>
          <w:color w:val="auto"/>
        </w:rPr>
        <w:t>If an annual bonus award is granted as bonus units, the maximum settlement value obtainable at the time of the grant shall be used in calculating the value of the award.</w:t>
      </w:r>
    </w:p>
    <w:p>
      <w:pPr>
        <w:spacing w:after="0" w:line="29"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1"/>
          <w:szCs w:val="21"/>
          <w:u w:val="single" w:color="auto"/>
          <w:color w:val="auto"/>
        </w:rPr>
        <w:t>Offset for Similar Benefits</w:t>
      </w:r>
    </w:p>
    <w:p>
      <w:pPr>
        <w:sectPr>
          <w:pgSz w:w="11900" w:h="16838" w:orient="portrait"/>
          <w:cols w:equalWidth="0" w:num="1">
            <w:col w:w="9019"/>
          </w:cols>
          <w:pgMar w:left="1440" w:top="85" w:right="1440" w:bottom="0" w:gutter="0" w:footer="0" w:header="0"/>
        </w:sectPr>
      </w:pPr>
    </w:p>
    <w:bookmarkStart w:id="36" w:name="page37"/>
    <w:bookmarkEnd w:id="36"/>
    <w:p>
      <w:pPr>
        <w:spacing w:after="0" w:line="24" w:lineRule="exact"/>
        <w:rPr>
          <w:sz w:val="20"/>
          <w:szCs w:val="20"/>
          <w:color w:val="auto"/>
        </w:rPr>
      </w:pPr>
    </w:p>
    <w:p>
      <w:pPr>
        <w:ind w:left="300" w:right="379" w:firstLine="648"/>
        <w:spacing w:after="0" w:line="251" w:lineRule="auto"/>
        <w:rPr>
          <w:sz w:val="20"/>
          <w:szCs w:val="20"/>
          <w:color w:val="auto"/>
        </w:rPr>
      </w:pPr>
      <w:r>
        <w:rPr>
          <w:rFonts w:ascii="Arial" w:cs="Arial" w:eastAsia="Arial" w:hAnsi="Arial"/>
          <w:sz w:val="22"/>
          <w:szCs w:val="22"/>
          <w:color w:val="auto"/>
        </w:rPr>
        <w:t>If a participant under this Plan is also entitled to payments comparable to the Incentive Pension Benefit for any portion of the same years of pensionable service under a plan of a service-oriented employer, as defined in the ExxonMobil Common Provisions, other than the Corporation, the amount of the Incentive Pension Benefit shall be reduced by the respective amount of such comparable payments. In any given case, the Plan Administrator may determine the precise amount of this offset and if a conversion of currency computation is required, may follow the process established under the ExxonMobil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-1317625</wp:posOffset>
            </wp:positionV>
            <wp:extent cx="713232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37"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u w:val="single" w:color="auto"/>
          <w:color w:val="auto"/>
        </w:rPr>
        <w:t>Lapse of Incentive Pension Benefit</w:t>
      </w:r>
    </w:p>
    <w:p>
      <w:pPr>
        <w:spacing w:after="0" w:line="85" w:lineRule="exact"/>
        <w:rPr>
          <w:sz w:val="20"/>
          <w:szCs w:val="20"/>
          <w:color w:val="auto"/>
        </w:rPr>
      </w:pPr>
    </w:p>
    <w:p>
      <w:pPr>
        <w:ind w:left="300" w:right="319" w:firstLine="648"/>
        <w:spacing w:after="0" w:line="285" w:lineRule="auto"/>
        <w:rPr>
          <w:sz w:val="20"/>
          <w:szCs w:val="20"/>
          <w:color w:val="auto"/>
        </w:rPr>
      </w:pPr>
      <w:r>
        <w:rPr>
          <w:rFonts w:ascii="Arial" w:cs="Arial" w:eastAsia="Arial" w:hAnsi="Arial"/>
          <w:sz w:val="22"/>
          <w:szCs w:val="22"/>
          <w:color w:val="auto"/>
        </w:rPr>
        <w:t>The portion of any Incentive Pension Benefit deriving from a provisionally granted bonus that is subsequently annulled lapses as of the date of such annulment.</w:t>
      </w:r>
    </w:p>
    <w:p>
      <w:pPr>
        <w:spacing w:after="0" w:line="358" w:lineRule="exact"/>
        <w:rPr>
          <w:sz w:val="20"/>
          <w:szCs w:val="20"/>
          <w:color w:val="auto"/>
        </w:rPr>
      </w:pPr>
    </w:p>
    <w:p>
      <w:pPr>
        <w:ind w:left="3600" w:hanging="668"/>
        <w:spacing w:after="0"/>
        <w:tabs>
          <w:tab w:leader="none" w:pos="360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Overseas Makeup Benefit</w:t>
      </w:r>
    </w:p>
    <w:p>
      <w:pPr>
        <w:spacing w:after="0" w:line="200" w:lineRule="exact"/>
        <w:rPr>
          <w:sz w:val="20"/>
          <w:szCs w:val="20"/>
          <w:color w:val="auto"/>
        </w:rPr>
      </w:pPr>
    </w:p>
    <w:p>
      <w:pPr>
        <w:spacing w:after="0" w:line="249"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u w:val="single" w:color="auto"/>
          <w:color w:val="auto"/>
        </w:rPr>
        <w:t>Eligibility</w:t>
      </w:r>
    </w:p>
    <w:p>
      <w:pPr>
        <w:spacing w:after="0" w:line="98" w:lineRule="exact"/>
        <w:rPr>
          <w:sz w:val="20"/>
          <w:szCs w:val="20"/>
          <w:color w:val="auto"/>
        </w:rPr>
      </w:pPr>
    </w:p>
    <w:p>
      <w:pPr>
        <w:ind w:left="300" w:right="999" w:firstLine="648"/>
        <w:spacing w:after="0" w:line="272" w:lineRule="auto"/>
        <w:rPr>
          <w:sz w:val="20"/>
          <w:szCs w:val="20"/>
          <w:color w:val="auto"/>
        </w:rPr>
      </w:pPr>
      <w:r>
        <w:rPr>
          <w:rFonts w:ascii="Arial" w:cs="Arial" w:eastAsia="Arial" w:hAnsi="Arial"/>
          <w:sz w:val="22"/>
          <w:szCs w:val="22"/>
          <w:color w:val="auto"/>
        </w:rPr>
        <w:t>A person is eligible to receive an Overseas Makeup Benefit if the following conditions are met as determined by the Plan Administrator:</w:t>
      </w:r>
    </w:p>
    <w:p>
      <w:pPr>
        <w:spacing w:after="0" w:line="34" w:lineRule="exact"/>
        <w:rPr>
          <w:sz w:val="20"/>
          <w:szCs w:val="20"/>
          <w:color w:val="auto"/>
        </w:rPr>
      </w:pPr>
    </w:p>
    <w:p>
      <w:pPr>
        <w:ind w:left="300" w:right="959" w:firstLine="640"/>
        <w:spacing w:after="0" w:line="272" w:lineRule="auto"/>
        <w:tabs>
          <w:tab w:leader="none" w:pos="1596"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person accrues a benefit under a pension plan ("non-U.S. plan") sponsored by a non-U.S. affiliate of the Corporation;</w:t>
      </w:r>
    </w:p>
    <w:p>
      <w:pPr>
        <w:spacing w:after="0" w:line="34" w:lineRule="exact"/>
        <w:rPr>
          <w:rFonts w:ascii="Arial" w:cs="Arial" w:eastAsia="Arial" w:hAnsi="Arial"/>
          <w:sz w:val="22"/>
          <w:szCs w:val="22"/>
          <w:color w:val="auto"/>
        </w:rPr>
      </w:pPr>
    </w:p>
    <w:p>
      <w:pPr>
        <w:ind w:left="300" w:right="519" w:firstLine="640"/>
        <w:spacing w:after="0" w:line="264" w:lineRule="auto"/>
        <w:tabs>
          <w:tab w:leader="none" w:pos="1596"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person terminates active participation in the non-U.S. plan and simultaneously becomes a participant in the ExxonMobil Pension Plan or predecessor plan;</w:t>
      </w:r>
    </w:p>
    <w:p>
      <w:pPr>
        <w:spacing w:after="0" w:line="29" w:lineRule="exact"/>
        <w:rPr>
          <w:rFonts w:ascii="Arial" w:cs="Arial" w:eastAsia="Arial" w:hAnsi="Arial"/>
          <w:sz w:val="22"/>
          <w:szCs w:val="22"/>
          <w:color w:val="auto"/>
        </w:rPr>
      </w:pPr>
    </w:p>
    <w:p>
      <w:pPr>
        <w:ind w:left="300" w:right="319" w:firstLine="640"/>
        <w:spacing w:after="0" w:line="264" w:lineRule="auto"/>
        <w:tabs>
          <w:tab w:leader="none" w:pos="1608" w:val="left"/>
        </w:tabs>
        <w:numPr>
          <w:ilvl w:val="0"/>
          <w:numId w:val="61"/>
        </w:numPr>
        <w:rPr>
          <w:rFonts w:ascii="Arial" w:cs="Arial" w:eastAsia="Arial" w:hAnsi="Arial"/>
          <w:sz w:val="22"/>
          <w:szCs w:val="22"/>
          <w:color w:val="auto"/>
        </w:rPr>
      </w:pPr>
      <w:r>
        <w:rPr>
          <w:rFonts w:ascii="Arial" w:cs="Arial" w:eastAsia="Arial" w:hAnsi="Arial"/>
          <w:sz w:val="22"/>
          <w:szCs w:val="22"/>
          <w:color w:val="auto"/>
        </w:rPr>
        <w:t>as a result of terminating active participant status under the non-U.S. plan, the person loses eligibility for all or a portion of the benefit under the non- U.S. plan accrued prior to termination; and</w:t>
      </w:r>
    </w:p>
    <w:p>
      <w:pPr>
        <w:spacing w:after="0" w:line="42" w:lineRule="exact"/>
        <w:rPr>
          <w:rFonts w:ascii="Arial" w:cs="Arial" w:eastAsia="Arial" w:hAnsi="Arial"/>
          <w:sz w:val="22"/>
          <w:szCs w:val="22"/>
          <w:color w:val="auto"/>
        </w:rPr>
      </w:pPr>
    </w:p>
    <w:p>
      <w:pPr>
        <w:ind w:left="300" w:right="679" w:firstLine="640"/>
        <w:spacing w:after="0" w:line="257" w:lineRule="auto"/>
        <w:tabs>
          <w:tab w:leader="none" w:pos="1608"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amount of the lost benefit is not provided under the terms of the ExxonMobil Pension Plan, the ExxonMobil Supplemental Pension Plan, or otherwise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1"/>
          <w:szCs w:val="21"/>
          <w:u w:val="single" w:color="auto"/>
          <w:color w:val="auto"/>
        </w:rPr>
        <w:t>Benefit Formula</w:t>
      </w:r>
    </w:p>
    <w:p>
      <w:pPr>
        <w:spacing w:after="0" w:line="98" w:lineRule="exact"/>
        <w:rPr>
          <w:sz w:val="20"/>
          <w:szCs w:val="20"/>
          <w:color w:val="auto"/>
        </w:rPr>
      </w:pPr>
    </w:p>
    <w:p>
      <w:pPr>
        <w:ind w:left="300" w:right="779" w:firstLine="648"/>
        <w:spacing w:after="0" w:line="253" w:lineRule="auto"/>
        <w:rPr>
          <w:sz w:val="20"/>
          <w:szCs w:val="20"/>
          <w:color w:val="auto"/>
        </w:rPr>
      </w:pPr>
      <w:r>
        <w:rPr>
          <w:rFonts w:ascii="Arial" w:cs="Arial" w:eastAsia="Arial" w:hAnsi="Arial"/>
          <w:sz w:val="22"/>
          <w:szCs w:val="22"/>
          <w:color w:val="auto"/>
        </w:rPr>
        <w:t>The amount of the Overseas Makeup Benefit is the amount, expressed as a monthly benefit in the form of a five-year certain and life annuity that is the actuarial equivalent of the lost benefit under the non-U.S. plan. Such amount shall be conclusively determined by the Plan Administrator.</w:t>
      </w:r>
    </w:p>
    <w:p>
      <w:pPr>
        <w:spacing w:after="0" w:line="200" w:lineRule="exact"/>
        <w:rPr>
          <w:sz w:val="20"/>
          <w:szCs w:val="20"/>
          <w:color w:val="auto"/>
        </w:rPr>
      </w:pPr>
    </w:p>
    <w:p>
      <w:pPr>
        <w:spacing w:after="0" w:line="205" w:lineRule="exact"/>
        <w:rPr>
          <w:sz w:val="20"/>
          <w:szCs w:val="20"/>
          <w:color w:val="auto"/>
        </w:rPr>
      </w:pPr>
    </w:p>
    <w:p>
      <w:pPr>
        <w:ind w:left="3440" w:hanging="652"/>
        <w:spacing w:after="0"/>
        <w:tabs>
          <w:tab w:leader="none" w:pos="344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Payment of Pension Benefits</w:t>
      </w:r>
    </w:p>
    <w:p>
      <w:pPr>
        <w:spacing w:after="0" w:line="200" w:lineRule="exact"/>
        <w:rPr>
          <w:sz w:val="20"/>
          <w:szCs w:val="20"/>
          <w:color w:val="auto"/>
        </w:rPr>
      </w:pPr>
    </w:p>
    <w:p>
      <w:pPr>
        <w:spacing w:after="0" w:line="249"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1"/>
          <w:szCs w:val="21"/>
          <w:u w:val="single" w:color="auto"/>
          <w:color w:val="auto"/>
        </w:rPr>
        <w:t>Timing of Payment</w:t>
      </w:r>
    </w:p>
    <w:p>
      <w:pPr>
        <w:spacing w:after="0" w:line="98" w:lineRule="exact"/>
        <w:rPr>
          <w:sz w:val="20"/>
          <w:szCs w:val="20"/>
          <w:color w:val="auto"/>
        </w:rPr>
      </w:pPr>
    </w:p>
    <w:p>
      <w:pPr>
        <w:jc w:val="both"/>
        <w:ind w:left="300" w:right="299" w:firstLine="648"/>
        <w:spacing w:after="0" w:line="261" w:lineRule="auto"/>
        <w:rPr>
          <w:sz w:val="20"/>
          <w:szCs w:val="20"/>
          <w:color w:val="auto"/>
        </w:rPr>
      </w:pPr>
      <w:r>
        <w:rPr>
          <w:rFonts w:ascii="Arial" w:cs="Arial" w:eastAsia="Arial" w:hAnsi="Arial"/>
          <w:sz w:val="21"/>
          <w:szCs w:val="21"/>
          <w:color w:val="auto"/>
        </w:rPr>
        <w:t>Effective as of January 1, 2023, payment of a person’s Incentive Pension Benefit and, if applicable, Overseas Makeup Benefit shall occur as soon as practicable following whichever of the pension commencement dates specified in paragraphs (A), (B), (C), or</w:t>
      </w:r>
    </w:p>
    <w:p>
      <w:pPr>
        <w:spacing w:after="0" w:line="2" w:lineRule="exact"/>
        <w:rPr>
          <w:sz w:val="20"/>
          <w:szCs w:val="20"/>
          <w:color w:val="auto"/>
        </w:rPr>
      </w:pPr>
    </w:p>
    <w:p>
      <w:pPr>
        <w:ind w:left="660" w:hanging="368"/>
        <w:spacing w:after="0"/>
        <w:tabs>
          <w:tab w:leader="none" w:pos="6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below is applicable to the person.</w:t>
      </w:r>
    </w:p>
    <w:p>
      <w:pPr>
        <w:spacing w:after="0" w:line="78" w:lineRule="exact"/>
        <w:rPr>
          <w:rFonts w:ascii="Arial" w:cs="Arial" w:eastAsia="Arial" w:hAnsi="Arial"/>
          <w:sz w:val="22"/>
          <w:szCs w:val="22"/>
          <w:color w:val="auto"/>
        </w:rPr>
      </w:pPr>
    </w:p>
    <w:p>
      <w:pPr>
        <w:ind w:left="1580" w:hanging="640"/>
        <w:spacing w:after="0"/>
        <w:tabs>
          <w:tab w:leader="none" w:pos="1580"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Retirees</w:t>
      </w:r>
    </w:p>
    <w:p>
      <w:pPr>
        <w:spacing w:after="0" w:line="98" w:lineRule="exact"/>
        <w:rPr>
          <w:sz w:val="20"/>
          <w:szCs w:val="20"/>
          <w:color w:val="auto"/>
        </w:rPr>
      </w:pPr>
    </w:p>
    <w:p>
      <w:pPr>
        <w:ind w:left="300" w:right="779" w:firstLine="1296"/>
        <w:spacing w:after="0" w:line="264" w:lineRule="auto"/>
        <w:rPr>
          <w:sz w:val="20"/>
          <w:szCs w:val="20"/>
          <w:color w:val="auto"/>
        </w:rPr>
      </w:pPr>
      <w:r>
        <w:rPr>
          <w:rFonts w:ascii="Arial" w:cs="Arial" w:eastAsia="Arial" w:hAnsi="Arial"/>
          <w:sz w:val="22"/>
          <w:szCs w:val="22"/>
          <w:color w:val="auto"/>
        </w:rPr>
        <w:t>Except as provided under paragraph (B) or (D) below, in the case of a Retiree, the person’s pension commencement date is the first of the month next following the person’s last day of employment with ExxonMobil.</w:t>
      </w:r>
    </w:p>
    <w:p>
      <w:pPr>
        <w:sectPr>
          <w:pgSz w:w="11900" w:h="16862" w:orient="portrait"/>
          <w:cols w:equalWidth="0" w:num="1">
            <w:col w:w="9019"/>
          </w:cols>
          <w:pgMar w:left="1440" w:top="100" w:right="1440" w:bottom="0" w:gutter="0" w:footer="0" w:header="0"/>
        </w:sectPr>
      </w:pPr>
    </w:p>
    <w:bookmarkStart w:id="37" w:name="page38"/>
    <w:bookmarkEnd w:id="37"/>
    <w:p>
      <w:pPr>
        <w:spacing w:after="0" w:line="32" w:lineRule="exact"/>
        <w:rPr>
          <w:sz w:val="20"/>
          <w:szCs w:val="20"/>
          <w:color w:val="auto"/>
        </w:rPr>
      </w:pPr>
    </w:p>
    <w:p>
      <w:pPr>
        <w:ind w:left="1580" w:hanging="640"/>
        <w:spacing w:after="0"/>
        <w:tabs>
          <w:tab w:leader="none" w:pos="158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Pre-55 Disability Retirees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-142240</wp:posOffset>
            </wp:positionV>
            <wp:extent cx="7132320"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80" w:lineRule="exact"/>
        <w:rPr>
          <w:sz w:val="20"/>
          <w:szCs w:val="20"/>
          <w:color w:val="auto"/>
        </w:rPr>
      </w:pPr>
    </w:p>
    <w:p>
      <w:pPr>
        <w:ind w:left="300" w:right="499" w:firstLine="1296"/>
        <w:spacing w:after="0" w:line="257" w:lineRule="auto"/>
        <w:rPr>
          <w:sz w:val="20"/>
          <w:szCs w:val="20"/>
          <w:color w:val="auto"/>
        </w:rPr>
      </w:pPr>
      <w:r>
        <w:rPr>
          <w:rFonts w:ascii="Arial" w:cs="Arial" w:eastAsia="Arial" w:hAnsi="Arial"/>
          <w:sz w:val="22"/>
          <w:szCs w:val="22"/>
          <w:color w:val="auto"/>
        </w:rPr>
        <w:t>In the case of a person who retires with eligibility for Disability Benefits under article 6 below prior to the first of the month in which the person attains age 55, the person’s pension commencement date is the first of the month in which the person attains age 55.</w:t>
      </w:r>
    </w:p>
    <w:p>
      <w:pPr>
        <w:spacing w:after="0" w:line="50" w:lineRule="exact"/>
        <w:rPr>
          <w:sz w:val="20"/>
          <w:szCs w:val="20"/>
          <w:color w:val="auto"/>
        </w:rPr>
      </w:pPr>
    </w:p>
    <w:p>
      <w:pPr>
        <w:ind w:left="1600" w:hanging="660"/>
        <w:spacing w:after="0"/>
        <w:tabs>
          <w:tab w:leader="none" w:pos="160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Terminees</w:t>
      </w:r>
    </w:p>
    <w:p>
      <w:pPr>
        <w:spacing w:after="0" w:line="98" w:lineRule="exact"/>
        <w:rPr>
          <w:sz w:val="20"/>
          <w:szCs w:val="20"/>
          <w:color w:val="auto"/>
        </w:rPr>
      </w:pPr>
    </w:p>
    <w:p>
      <w:pPr>
        <w:ind w:left="300" w:right="439" w:firstLine="1296"/>
        <w:spacing w:after="0" w:line="253" w:lineRule="auto"/>
        <w:rPr>
          <w:sz w:val="20"/>
          <w:szCs w:val="20"/>
          <w:color w:val="auto"/>
        </w:rPr>
      </w:pPr>
      <w:r>
        <w:rPr>
          <w:rFonts w:ascii="Arial" w:cs="Arial" w:eastAsia="Arial" w:hAnsi="Arial"/>
          <w:sz w:val="22"/>
          <w:szCs w:val="22"/>
          <w:color w:val="auto"/>
        </w:rPr>
        <w:t>Except as provided under paragraph (D) below, in the case of a person who is eligible for an Incentive Pension Benefit under Section 2.1(B), (C), or (D) above, the person’s pension commencement date is the first of the month next following three months from the person’s last day of employment with ExxonMobil.</w:t>
      </w:r>
    </w:p>
    <w:p>
      <w:pPr>
        <w:spacing w:after="0" w:line="54" w:lineRule="exact"/>
        <w:rPr>
          <w:sz w:val="20"/>
          <w:szCs w:val="20"/>
          <w:color w:val="auto"/>
        </w:rPr>
      </w:pPr>
    </w:p>
    <w:p>
      <w:pPr>
        <w:ind w:left="1600" w:hanging="660"/>
        <w:spacing w:after="0"/>
        <w:tabs>
          <w:tab w:leader="none" w:pos="160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Key Employees</w:t>
      </w:r>
    </w:p>
    <w:p>
      <w:pPr>
        <w:spacing w:after="0" w:line="98" w:lineRule="exact"/>
        <w:rPr>
          <w:sz w:val="20"/>
          <w:szCs w:val="20"/>
          <w:color w:val="auto"/>
        </w:rPr>
      </w:pPr>
    </w:p>
    <w:p>
      <w:pPr>
        <w:ind w:left="300" w:right="339" w:firstLine="1296"/>
        <w:spacing w:after="0" w:line="253" w:lineRule="auto"/>
        <w:rPr>
          <w:sz w:val="20"/>
          <w:szCs w:val="20"/>
          <w:color w:val="auto"/>
        </w:rPr>
      </w:pPr>
      <w:r>
        <w:rPr>
          <w:rFonts w:ascii="Arial" w:cs="Arial" w:eastAsia="Arial" w:hAnsi="Arial"/>
          <w:sz w:val="22"/>
          <w:szCs w:val="22"/>
          <w:color w:val="auto"/>
        </w:rPr>
        <w:t>Notwithstanding paragraphs (A), or (C) above, and except as provided in paragraph (B), in the case of a person who, at the time of his or her termination of employment, has a Classification Level of 35 or above (“Key Employee”), the person’s pension commencement date is the first of the month next following six months from the person’s last day of employment with ExxonMobil.</w:t>
      </w:r>
    </w:p>
    <w:p>
      <w:pPr>
        <w:spacing w:after="0" w:line="57" w:lineRule="exact"/>
        <w:rPr>
          <w:sz w:val="20"/>
          <w:szCs w:val="20"/>
          <w:color w:val="auto"/>
        </w:rPr>
      </w:pPr>
    </w:p>
    <w:p>
      <w:pPr>
        <w:ind w:left="360"/>
        <w:spacing w:after="0"/>
        <w:tabs>
          <w:tab w:leader="none" w:pos="100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u w:val="single" w:color="auto"/>
          <w:color w:val="auto"/>
        </w:rPr>
        <w:t>Reduction for Early Commencement</w:t>
      </w:r>
    </w:p>
    <w:p>
      <w:pPr>
        <w:spacing w:after="0" w:line="85" w:lineRule="exact"/>
        <w:rPr>
          <w:sz w:val="20"/>
          <w:szCs w:val="20"/>
          <w:color w:val="auto"/>
        </w:rPr>
      </w:pPr>
    </w:p>
    <w:p>
      <w:pPr>
        <w:ind w:left="300" w:right="359" w:firstLine="729"/>
        <w:spacing w:after="0" w:line="253" w:lineRule="auto"/>
        <w:rPr>
          <w:sz w:val="20"/>
          <w:szCs w:val="20"/>
          <w:color w:val="auto"/>
        </w:rPr>
      </w:pPr>
      <w:r>
        <w:rPr>
          <w:rFonts w:ascii="Arial" w:cs="Arial" w:eastAsia="Arial" w:hAnsi="Arial"/>
          <w:sz w:val="22"/>
          <w:szCs w:val="22"/>
          <w:color w:val="auto"/>
        </w:rPr>
        <w:t>If a person’s pension commencement date under section 4.1 above occurs prior to the month in which the person reaches Normal Retirement Age, the person’s Incentive Pension Benefit and/or Overseas Makeup Benefit is reduced by applying the early commencement factors specified under the ExxonMobil Pension Plan for a benefit commencing at the person's then 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1"/>
          <w:szCs w:val="21"/>
          <w:u w:val="single" w:color="auto"/>
          <w:color w:val="auto"/>
        </w:rPr>
        <w:t>Form of Payment</w:t>
      </w:r>
    </w:p>
    <w:p>
      <w:pPr>
        <w:spacing w:after="0" w:line="98" w:lineRule="exact"/>
        <w:rPr>
          <w:sz w:val="20"/>
          <w:szCs w:val="20"/>
          <w:color w:val="auto"/>
        </w:rPr>
      </w:pPr>
    </w:p>
    <w:p>
      <w:pPr>
        <w:ind w:left="300" w:right="439" w:firstLine="648"/>
        <w:spacing w:after="0" w:line="251" w:lineRule="auto"/>
        <w:rPr>
          <w:sz w:val="20"/>
          <w:szCs w:val="20"/>
          <w:color w:val="auto"/>
        </w:rPr>
      </w:pPr>
      <w:r>
        <w:rPr>
          <w:rFonts w:ascii="Arial" w:cs="Arial" w:eastAsia="Arial" w:hAnsi="Arial"/>
          <w:sz w:val="22"/>
          <w:szCs w:val="22"/>
          <w:color w:val="auto"/>
        </w:rPr>
        <w:t>Payment of a person's Incentive Pension Benefit or Overseas Makeup Benefit shall be made in a lump sum that is the actuarial equivalent of the five-year certain and life annuity measured as of the person’s pension commencement date specified under section 4.1 above. For this purpose, actuarial equivalence shall be determined by the Plan Administrator using the factors and procedures that are used for the calculation of the lump-sum payment option under the ExxonMobil Pension Plan.</w:t>
      </w:r>
    </w:p>
    <w:p>
      <w:pPr>
        <w:spacing w:after="0" w:line="60"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21"/>
          <w:szCs w:val="21"/>
          <w:u w:val="single" w:color="auto"/>
          <w:color w:val="auto"/>
        </w:rPr>
        <w:t>Adjustment for Key Employees</w:t>
      </w:r>
    </w:p>
    <w:p>
      <w:pPr>
        <w:spacing w:after="0" w:line="98" w:lineRule="exact"/>
        <w:rPr>
          <w:sz w:val="20"/>
          <w:szCs w:val="20"/>
          <w:color w:val="auto"/>
        </w:rPr>
      </w:pPr>
    </w:p>
    <w:p>
      <w:pPr>
        <w:ind w:left="300" w:right="359" w:firstLine="648"/>
        <w:spacing w:after="0" w:line="261" w:lineRule="auto"/>
        <w:rPr>
          <w:sz w:val="20"/>
          <w:szCs w:val="20"/>
          <w:color w:val="auto"/>
        </w:rPr>
      </w:pPr>
      <w:r>
        <w:rPr>
          <w:rFonts w:ascii="Arial" w:cs="Arial" w:eastAsia="Arial" w:hAnsi="Arial"/>
          <w:sz w:val="21"/>
          <w:szCs w:val="21"/>
          <w:color w:val="auto"/>
        </w:rPr>
        <w:t>A Key Employee's Incentive Pension Benefit and/or Overseas Makeup Benefit shall not be less than the amount equal to the person’s benefit calculated as of the pension commencement date that would apply if the person were not a Key Employee plus interest from such date until the person’s actual pension commencement date. For this purpose, interest shall be credited at a rate equal to the Citibank prime lending rate in effect on the date the person separates from employment, or, if the person’s last day of employment is on or after November 1, 2022, at the interest rate determined under section 4.4(D)(3)(b)(iii) of Part 1 of the ExxonMobil Pension Plan on the first of the month immediately following the person’s last day of employment, but taking into account only the first segment rate for this purpose. .</w:t>
      </w:r>
    </w:p>
    <w:p>
      <w:pPr>
        <w:spacing w:after="0" w:line="398" w:lineRule="exact"/>
        <w:rPr>
          <w:sz w:val="20"/>
          <w:szCs w:val="20"/>
          <w:color w:val="auto"/>
        </w:rPr>
      </w:pPr>
    </w:p>
    <w:p>
      <w:pPr>
        <w:ind w:left="4180" w:hanging="660"/>
        <w:spacing w:after="0"/>
        <w:tabs>
          <w:tab w:leader="none" w:pos="418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Death Benefit</w:t>
      </w:r>
    </w:p>
    <w:p>
      <w:pPr>
        <w:spacing w:after="0" w:line="200" w:lineRule="exact"/>
        <w:rPr>
          <w:sz w:val="20"/>
          <w:szCs w:val="20"/>
          <w:color w:val="auto"/>
        </w:rPr>
      </w:pPr>
    </w:p>
    <w:p>
      <w:pPr>
        <w:spacing w:after="0" w:line="249"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1"/>
          <w:szCs w:val="21"/>
          <w:u w:val="single" w:color="auto"/>
          <w:color w:val="auto"/>
        </w:rPr>
        <w:t>In General</w:t>
      </w:r>
    </w:p>
    <w:p>
      <w:pPr>
        <w:spacing w:after="0" w:line="98" w:lineRule="exact"/>
        <w:rPr>
          <w:sz w:val="20"/>
          <w:szCs w:val="20"/>
          <w:color w:val="auto"/>
        </w:rPr>
      </w:pPr>
    </w:p>
    <w:p>
      <w:pPr>
        <w:ind w:left="940"/>
        <w:spacing w:after="0"/>
        <w:rPr>
          <w:sz w:val="20"/>
          <w:szCs w:val="20"/>
          <w:color w:val="auto"/>
        </w:rPr>
      </w:pPr>
      <w:r>
        <w:rPr>
          <w:rFonts w:ascii="Arial" w:cs="Arial" w:eastAsia="Arial" w:hAnsi="Arial"/>
          <w:sz w:val="22"/>
          <w:szCs w:val="22"/>
          <w:color w:val="auto"/>
        </w:rPr>
        <w:t>If a person dies who, at the time of his death,</w:t>
      </w:r>
    </w:p>
    <w:p>
      <w:pPr>
        <w:spacing w:after="0" w:line="98" w:lineRule="exact"/>
        <w:rPr>
          <w:sz w:val="20"/>
          <w:szCs w:val="20"/>
          <w:color w:val="auto"/>
        </w:rPr>
      </w:pPr>
    </w:p>
    <w:p>
      <w:pPr>
        <w:ind w:left="300" w:right="619" w:firstLine="640"/>
        <w:spacing w:after="0" w:line="272" w:lineRule="auto"/>
        <w:tabs>
          <w:tab w:leader="none" w:pos="1596" w:val="left"/>
        </w:tabs>
        <w:numPr>
          <w:ilvl w:val="0"/>
          <w:numId w:val="68"/>
        </w:numPr>
        <w:rPr>
          <w:rFonts w:ascii="Arial" w:cs="Arial" w:eastAsia="Arial" w:hAnsi="Arial"/>
          <w:sz w:val="22"/>
          <w:szCs w:val="22"/>
          <w:color w:val="auto"/>
        </w:rPr>
      </w:pPr>
      <w:r>
        <w:rPr>
          <w:rFonts w:ascii="Arial" w:cs="Arial" w:eastAsia="Arial" w:hAnsi="Arial"/>
          <w:sz w:val="22"/>
          <w:szCs w:val="22"/>
          <w:color w:val="auto"/>
        </w:rPr>
        <w:t>is an active employee with 15 or more years of Benefit Plan Service, as determined under the ExxonMobil Common Provisions, or</w:t>
      </w:r>
    </w:p>
    <w:p>
      <w:pPr>
        <w:sectPr>
          <w:pgSz w:w="11900" w:h="16871" w:orient="portrait"/>
          <w:cols w:equalWidth="0" w:num="1">
            <w:col w:w="9019"/>
          </w:cols>
          <w:pgMar w:left="1440" w:top="111" w:right="1440" w:bottom="0" w:gutter="0" w:footer="0" w:header="0"/>
        </w:sectPr>
      </w:pPr>
    </w:p>
    <w:bookmarkStart w:id="38" w:name="page39"/>
    <w:bookmarkEnd w:id="38"/>
    <w:p>
      <w:pPr>
        <w:ind w:left="300" w:right="319" w:firstLine="640"/>
        <w:spacing w:after="0" w:line="262" w:lineRule="auto"/>
        <w:tabs>
          <w:tab w:leader="none" w:pos="1596" w:val="left"/>
        </w:tabs>
        <w:numPr>
          <w:ilvl w:val="0"/>
          <w:numId w:val="69"/>
        </w:numPr>
        <w:rPr>
          <w:rFonts w:ascii="Arial" w:cs="Arial" w:eastAsia="Arial" w:hAnsi="Arial"/>
          <w:sz w:val="21"/>
          <w:szCs w:val="21"/>
          <w:color w:val="auto"/>
        </w:rPr>
      </w:pPr>
      <w:r>
        <w:rPr>
          <w:rFonts w:ascii="Arial" w:cs="Arial" w:eastAsia="Arial" w:hAnsi="Arial"/>
          <w:sz w:val="21"/>
          <w:szCs w:val="21"/>
          <w:color w:val="auto"/>
        </w:rPr>
        <w:t>had retired with eligibility for an Incentive Pension Benefit and/or a Overseas Makeup Benefit and had not received such benefit, a lump-sum death benefit shall be payable to the person's beneficiary (as determined under section 5.2 below). The death benefit payable to the person's beneficiary shall be the lump-sum equivalent value of the amount of the Pension Benefit and Overseas Makeup Benefit to which the person was or would have been entitled. For this purpose, equivalent value shall be determined by the Plan Administrator using the factors and procedures that are used for the calculation of similar benefits under the ExxonMobil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-1330325</wp:posOffset>
            </wp:positionV>
            <wp:extent cx="713232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382"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1"/>
          <w:szCs w:val="21"/>
          <w:u w:val="single" w:color="auto"/>
          <w:color w:val="auto"/>
        </w:rPr>
        <w:t>Designation of Beneficiaries</w:t>
      </w:r>
    </w:p>
    <w:p>
      <w:pPr>
        <w:spacing w:after="0" w:line="98" w:lineRule="exact"/>
        <w:rPr>
          <w:sz w:val="20"/>
          <w:szCs w:val="20"/>
          <w:color w:val="auto"/>
        </w:rPr>
      </w:pPr>
    </w:p>
    <w:p>
      <w:pPr>
        <w:ind w:left="1580" w:hanging="640"/>
        <w:spacing w:after="0"/>
        <w:tabs>
          <w:tab w:leader="none" w:pos="158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In General</w:t>
      </w:r>
    </w:p>
    <w:p>
      <w:pPr>
        <w:spacing w:after="0" w:line="98" w:lineRule="exact"/>
        <w:rPr>
          <w:sz w:val="20"/>
          <w:szCs w:val="20"/>
          <w:color w:val="auto"/>
        </w:rPr>
      </w:pPr>
    </w:p>
    <w:p>
      <w:pPr>
        <w:jc w:val="both"/>
        <w:ind w:left="300" w:right="879" w:firstLine="1296"/>
        <w:spacing w:after="0" w:line="275" w:lineRule="auto"/>
        <w:rPr>
          <w:sz w:val="20"/>
          <w:szCs w:val="20"/>
          <w:color w:val="auto"/>
        </w:rPr>
      </w:pPr>
      <w:r>
        <w:rPr>
          <w:rFonts w:ascii="Arial" w:cs="Arial" w:eastAsia="Arial" w:hAnsi="Arial"/>
          <w:sz w:val="21"/>
          <w:szCs w:val="21"/>
          <w:color w:val="auto"/>
        </w:rPr>
        <w:t>A person may name one or more designated beneficiaries to receive payment of the death benefits payable under section 5.1 above in the event of the person's death. Beneficiary designations shall be made in accordance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00" w:right="859"/>
        <w:spacing w:after="0" w:line="272" w:lineRule="auto"/>
        <w:rPr>
          <w:sz w:val="20"/>
          <w:szCs w:val="20"/>
          <w:color w:val="auto"/>
        </w:rPr>
      </w:pPr>
      <w:r>
        <w:rPr>
          <w:rFonts w:ascii="Arial" w:cs="Arial" w:eastAsia="Arial" w:hAnsi="Arial"/>
          <w:sz w:val="22"/>
          <w:szCs w:val="22"/>
          <w:color w:val="auto"/>
        </w:rPr>
        <w:t>procedures as the Plan Administrator may establish. Spousal consent to any such designation is not required.</w:t>
      </w:r>
    </w:p>
    <w:p>
      <w:pPr>
        <w:spacing w:after="0" w:line="34" w:lineRule="exact"/>
        <w:rPr>
          <w:sz w:val="20"/>
          <w:szCs w:val="20"/>
          <w:color w:val="auto"/>
        </w:rPr>
      </w:pPr>
    </w:p>
    <w:p>
      <w:pPr>
        <w:ind w:left="1580" w:hanging="640"/>
        <w:spacing w:after="0"/>
        <w:tabs>
          <w:tab w:leader="none" w:pos="158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Default Beneficiaries</w:t>
      </w:r>
    </w:p>
    <w:p>
      <w:pPr>
        <w:spacing w:after="0" w:line="98" w:lineRule="exact"/>
        <w:rPr>
          <w:rFonts w:ascii="Arial" w:cs="Arial" w:eastAsia="Arial" w:hAnsi="Arial"/>
          <w:sz w:val="22"/>
          <w:szCs w:val="22"/>
          <w:color w:val="auto"/>
        </w:rPr>
      </w:pPr>
    </w:p>
    <w:p>
      <w:pPr>
        <w:ind w:left="2280" w:hanging="692"/>
        <w:spacing w:after="0"/>
        <w:tabs>
          <w:tab w:leader="none" w:pos="2280"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In General</w:t>
      </w:r>
    </w:p>
    <w:p>
      <w:pPr>
        <w:spacing w:after="0" w:line="98" w:lineRule="exact"/>
        <w:rPr>
          <w:sz w:val="20"/>
          <w:szCs w:val="20"/>
          <w:color w:val="auto"/>
        </w:rPr>
      </w:pPr>
    </w:p>
    <w:p>
      <w:pPr>
        <w:ind w:left="300" w:right="499" w:firstLine="1944"/>
        <w:spacing w:after="0" w:line="257" w:lineRule="auto"/>
        <w:rPr>
          <w:sz w:val="20"/>
          <w:szCs w:val="20"/>
          <w:color w:val="auto"/>
        </w:rPr>
      </w:pPr>
      <w:r>
        <w:rPr>
          <w:rFonts w:ascii="Arial" w:cs="Arial" w:eastAsia="Arial" w:hAnsi="Arial"/>
          <w:sz w:val="22"/>
          <w:szCs w:val="22"/>
          <w:color w:val="auto"/>
        </w:rPr>
        <w:t>If no specific designation is in effect, the deceased's beneficiary is the person or persons in the first of the following classes of successive beneficiaries living at the time of death of the deceased:</w:t>
      </w:r>
    </w:p>
    <w:p>
      <w:pPr>
        <w:spacing w:after="0" w:line="51" w:lineRule="exact"/>
        <w:rPr>
          <w:sz w:val="20"/>
          <w:szCs w:val="20"/>
          <w:color w:val="auto"/>
        </w:rPr>
      </w:pPr>
    </w:p>
    <w:p>
      <w:pPr>
        <w:ind w:left="2560" w:hanging="324"/>
        <w:spacing w:after="0"/>
        <w:tabs>
          <w:tab w:leader="none" w:pos="25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spouse;</w:t>
      </w:r>
    </w:p>
    <w:p>
      <w:pPr>
        <w:spacing w:after="0" w:line="98" w:lineRule="exact"/>
        <w:rPr>
          <w:rFonts w:ascii="Arial" w:cs="Arial" w:eastAsia="Arial" w:hAnsi="Arial"/>
          <w:sz w:val="22"/>
          <w:szCs w:val="22"/>
          <w:color w:val="auto"/>
        </w:rPr>
      </w:pPr>
    </w:p>
    <w:p>
      <w:pPr>
        <w:ind w:left="2560" w:hanging="324"/>
        <w:spacing w:after="0"/>
        <w:tabs>
          <w:tab w:leader="none" w:pos="25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children who survive the deceased or who die before the</w:t>
      </w:r>
    </w:p>
    <w:p>
      <w:pPr>
        <w:spacing w:after="0" w:line="23" w:lineRule="exact"/>
        <w:rPr>
          <w:rFonts w:ascii="Arial" w:cs="Arial" w:eastAsia="Arial" w:hAnsi="Arial"/>
          <w:sz w:val="22"/>
          <w:szCs w:val="22"/>
          <w:color w:val="auto"/>
        </w:rPr>
      </w:pPr>
    </w:p>
    <w:p>
      <w:pPr>
        <w:ind w:left="300"/>
        <w:spacing w:after="0"/>
        <w:rPr>
          <w:rFonts w:ascii="Arial" w:cs="Arial" w:eastAsia="Arial" w:hAnsi="Arial"/>
          <w:sz w:val="22"/>
          <w:szCs w:val="22"/>
          <w:color w:val="auto"/>
        </w:rPr>
      </w:pPr>
      <w:r>
        <w:rPr>
          <w:rFonts w:ascii="Arial" w:cs="Arial" w:eastAsia="Arial" w:hAnsi="Arial"/>
          <w:sz w:val="22"/>
          <w:szCs w:val="22"/>
          <w:color w:val="auto"/>
        </w:rPr>
        <w:t>deceased leaving children of their own who survive the deceased;</w:t>
      </w:r>
    </w:p>
    <w:p>
      <w:pPr>
        <w:spacing w:after="0" w:line="78" w:lineRule="exact"/>
        <w:rPr>
          <w:rFonts w:ascii="Arial" w:cs="Arial" w:eastAsia="Arial" w:hAnsi="Arial"/>
          <w:sz w:val="22"/>
          <w:szCs w:val="22"/>
          <w:color w:val="auto"/>
        </w:rPr>
      </w:pPr>
    </w:p>
    <w:p>
      <w:pPr>
        <w:ind w:left="2540" w:hanging="304"/>
        <w:spacing w:after="0"/>
        <w:tabs>
          <w:tab w:leader="none" w:pos="25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parents;</w:t>
      </w:r>
    </w:p>
    <w:p>
      <w:pPr>
        <w:spacing w:after="0" w:line="98" w:lineRule="exact"/>
        <w:rPr>
          <w:rFonts w:ascii="Arial" w:cs="Arial" w:eastAsia="Arial" w:hAnsi="Arial"/>
          <w:sz w:val="22"/>
          <w:szCs w:val="22"/>
          <w:color w:val="auto"/>
        </w:rPr>
      </w:pPr>
    </w:p>
    <w:p>
      <w:pPr>
        <w:ind w:left="300" w:right="939" w:firstLine="1936"/>
        <w:spacing w:after="0" w:line="296" w:lineRule="auto"/>
        <w:tabs>
          <w:tab w:leader="none" w:pos="2568" w:val="left"/>
        </w:tabs>
        <w:numPr>
          <w:ilvl w:val="0"/>
          <w:numId w:val="72"/>
        </w:numPr>
        <w:rPr>
          <w:rFonts w:ascii="Arial" w:cs="Arial" w:eastAsia="Arial" w:hAnsi="Arial"/>
          <w:sz w:val="21"/>
          <w:szCs w:val="21"/>
          <w:color w:val="auto"/>
        </w:rPr>
      </w:pPr>
      <w:r>
        <w:rPr>
          <w:rFonts w:ascii="Arial" w:cs="Arial" w:eastAsia="Arial" w:hAnsi="Arial"/>
          <w:sz w:val="21"/>
          <w:szCs w:val="21"/>
          <w:color w:val="auto"/>
        </w:rPr>
        <w:t>brothers and sisters who survive the deceased or who die before the deceased leaving children of their own who survive the deceased.</w:t>
      </w:r>
    </w:p>
    <w:p>
      <w:pPr>
        <w:spacing w:after="0" w:line="12" w:lineRule="exact"/>
        <w:rPr>
          <w:sz w:val="20"/>
          <w:szCs w:val="20"/>
          <w:color w:val="auto"/>
        </w:rPr>
      </w:pPr>
    </w:p>
    <w:p>
      <w:pPr>
        <w:ind w:left="300" w:right="299" w:firstLine="1944"/>
        <w:spacing w:after="0" w:line="272" w:lineRule="auto"/>
        <w:rPr>
          <w:sz w:val="20"/>
          <w:szCs w:val="20"/>
          <w:color w:val="auto"/>
        </w:rPr>
      </w:pPr>
      <w:r>
        <w:rPr>
          <w:rFonts w:ascii="Arial" w:cs="Arial" w:eastAsia="Arial" w:hAnsi="Arial"/>
          <w:sz w:val="22"/>
          <w:szCs w:val="22"/>
          <w:color w:val="auto"/>
        </w:rPr>
        <w:t>If there are no members of any class of such beneficiaries, payment is made to the deceased's executors or administrators.</w:t>
      </w:r>
    </w:p>
    <w:p>
      <w:pPr>
        <w:spacing w:after="0" w:line="34" w:lineRule="exact"/>
        <w:rPr>
          <w:sz w:val="20"/>
          <w:szCs w:val="20"/>
          <w:color w:val="auto"/>
        </w:rPr>
      </w:pPr>
    </w:p>
    <w:p>
      <w:pPr>
        <w:ind w:left="2260" w:hanging="672"/>
        <w:spacing w:after="0"/>
        <w:tabs>
          <w:tab w:leader="none" w:pos="226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Allocation Among Default Beneficiaries</w:t>
      </w:r>
    </w:p>
    <w:p>
      <w:pPr>
        <w:spacing w:after="0" w:line="98" w:lineRule="exact"/>
        <w:rPr>
          <w:sz w:val="20"/>
          <w:szCs w:val="20"/>
          <w:color w:val="auto"/>
        </w:rPr>
      </w:pPr>
    </w:p>
    <w:p>
      <w:pPr>
        <w:ind w:left="300" w:right="379" w:firstLine="1944"/>
        <w:spacing w:after="0" w:line="250" w:lineRule="auto"/>
        <w:rPr>
          <w:sz w:val="20"/>
          <w:szCs w:val="20"/>
          <w:color w:val="auto"/>
        </w:rPr>
      </w:pPr>
      <w:r>
        <w:rPr>
          <w:rFonts w:ascii="Arial" w:cs="Arial" w:eastAsia="Arial" w:hAnsi="Arial"/>
          <w:sz w:val="22"/>
          <w:szCs w:val="22"/>
          <w:color w:val="auto"/>
        </w:rPr>
        <w:t>If the same class of beneficiaries under paragraph (1) above contains two or more persons, they share equally, with further subdivision of such equal shares as next provided. In class (b), where a child dies before the deceased leaving children who survive the deceased, such child's share is subdivided equally among those children. In class (d), where a brother or sister dies before the deceased leaving children who survive the deceased, such brother or sister's share is subdivided equally among those children.</w:t>
      </w:r>
    </w:p>
    <w:p>
      <w:pPr>
        <w:spacing w:after="0" w:line="59" w:lineRule="exact"/>
        <w:rPr>
          <w:sz w:val="20"/>
          <w:szCs w:val="20"/>
          <w:color w:val="auto"/>
        </w:rPr>
      </w:pPr>
    </w:p>
    <w:p>
      <w:pPr>
        <w:ind w:left="2280" w:hanging="692"/>
        <w:spacing w:after="0"/>
        <w:tabs>
          <w:tab w:leader="none" w:pos="228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Definitions</w:t>
      </w:r>
    </w:p>
    <w:p>
      <w:pPr>
        <w:spacing w:after="0" w:line="98" w:lineRule="exact"/>
        <w:rPr>
          <w:sz w:val="20"/>
          <w:szCs w:val="20"/>
          <w:color w:val="auto"/>
        </w:rPr>
      </w:pPr>
    </w:p>
    <w:p>
      <w:pPr>
        <w:jc w:val="both"/>
        <w:ind w:left="300" w:right="539" w:firstLine="1944"/>
        <w:spacing w:after="0" w:line="253" w:lineRule="auto"/>
        <w:rPr>
          <w:sz w:val="20"/>
          <w:szCs w:val="20"/>
          <w:color w:val="auto"/>
        </w:rPr>
      </w:pPr>
      <w:r>
        <w:rPr>
          <w:rFonts w:ascii="Arial" w:cs="Arial" w:eastAsia="Arial" w:hAnsi="Arial"/>
          <w:sz w:val="22"/>
          <w:szCs w:val="22"/>
          <w:color w:val="auto"/>
        </w:rPr>
        <w:t>For purposes of this section 5.4, "child" means a person's son or daughter by legitimate blood relationship or legal adoption; "parent" means a person's father or mother by legitimate blood relationship or legal adoption; "brother" or "sister" means another child of either or both of one's parents.</w:t>
      </w:r>
    </w:p>
    <w:p>
      <w:pPr>
        <w:sectPr>
          <w:pgSz w:w="11900" w:h="16838" w:orient="portrait"/>
          <w:cols w:equalWidth="0" w:num="1">
            <w:col w:w="9019"/>
          </w:cols>
          <w:pgMar w:left="1440" w:top="127" w:right="1440" w:bottom="97" w:gutter="0" w:footer="0" w:header="0"/>
        </w:sectPr>
      </w:pPr>
    </w:p>
    <w:p>
      <w:pPr>
        <w:spacing w:after="0" w:line="200" w:lineRule="exact"/>
        <w:rPr>
          <w:sz w:val="20"/>
          <w:szCs w:val="20"/>
          <w:color w:val="auto"/>
        </w:rPr>
      </w:pPr>
    </w:p>
    <w:p>
      <w:pPr>
        <w:spacing w:after="0" w:line="205" w:lineRule="exact"/>
        <w:rPr>
          <w:sz w:val="20"/>
          <w:szCs w:val="20"/>
          <w:color w:val="auto"/>
        </w:rPr>
      </w:pPr>
    </w:p>
    <w:p>
      <w:pPr>
        <w:ind w:left="4040" w:hanging="664"/>
        <w:spacing w:after="0"/>
        <w:tabs>
          <w:tab w:leader="none" w:pos="4040"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Disability Benefit</w:t>
      </w:r>
    </w:p>
    <w:p>
      <w:pPr>
        <w:sectPr>
          <w:pgSz w:w="11900" w:h="16838" w:orient="portrait"/>
          <w:cols w:equalWidth="0" w:num="1">
            <w:col w:w="9019"/>
          </w:cols>
          <w:pgMar w:left="1440" w:top="127" w:right="1440" w:bottom="97" w:gutter="0" w:footer="0" w:header="0"/>
          <w:type w:val="continuous"/>
        </w:sectPr>
      </w:pPr>
    </w:p>
    <w:bookmarkStart w:id="39" w:name="page40"/>
    <w:bookmarkEnd w:id="39"/>
    <w:p>
      <w:pPr>
        <w:spacing w:after="0" w:line="3"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u w:val="single" w:color="auto"/>
          <w:color w:val="auto"/>
        </w:rPr>
        <w:t>Nature of Disability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-116840</wp:posOffset>
            </wp:positionV>
            <wp:extent cx="713232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66" w:lineRule="exact"/>
        <w:rPr>
          <w:sz w:val="20"/>
          <w:szCs w:val="20"/>
          <w:color w:val="auto"/>
        </w:rPr>
      </w:pPr>
    </w:p>
    <w:p>
      <w:pPr>
        <w:ind w:left="300" w:right="419" w:firstLine="648"/>
        <w:spacing w:after="0" w:line="251" w:lineRule="auto"/>
        <w:rPr>
          <w:sz w:val="20"/>
          <w:szCs w:val="20"/>
          <w:color w:val="auto"/>
        </w:rPr>
      </w:pPr>
      <w:r>
        <w:rPr>
          <w:rFonts w:ascii="Arial" w:cs="Arial" w:eastAsia="Arial" w:hAnsi="Arial"/>
          <w:sz w:val="22"/>
          <w:szCs w:val="22"/>
          <w:color w:val="auto"/>
        </w:rPr>
        <w:t>The benefits provided under this article 6 ("Disability Benefits") are in the nature of long-term disability benefits, payable on account of and for the duration of a person's incapacity on account of disability. These Disability Benefits are intended to qualify as employee welfare benefits under ERISA and as "disability pay" under section 409A of the Internal Revenue Code and its supporting regulations, thereby being exempt from the scope and application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u w:val="single" w:color="auto"/>
          <w:color w:val="auto"/>
        </w:rPr>
        <w:t>Payment of Disability Benefit</w:t>
      </w:r>
    </w:p>
    <w:p>
      <w:pPr>
        <w:spacing w:after="0" w:line="98" w:lineRule="exact"/>
        <w:rPr>
          <w:sz w:val="20"/>
          <w:szCs w:val="20"/>
          <w:color w:val="auto"/>
        </w:rPr>
      </w:pPr>
    </w:p>
    <w:p>
      <w:pPr>
        <w:ind w:left="300" w:right="479" w:firstLine="648"/>
        <w:spacing w:after="0" w:line="251" w:lineRule="auto"/>
        <w:rPr>
          <w:sz w:val="20"/>
          <w:szCs w:val="20"/>
          <w:color w:val="auto"/>
        </w:rPr>
      </w:pPr>
      <w:r>
        <w:rPr>
          <w:rFonts w:ascii="Arial" w:cs="Arial" w:eastAsia="Arial" w:hAnsi="Arial"/>
          <w:sz w:val="22"/>
          <w:szCs w:val="22"/>
          <w:color w:val="auto"/>
        </w:rPr>
        <w:t>If a person who becomes a Retiree also becomes entitled to long-term disability benefits under a disability benefit plan sponsored by ExxonMobil, the person shall receive monthly Disability Benefits under this Plan. Such Disability Benefits shall commence at the time the person commences long-term disability benefits under such disability plan and shall continue as long as entitlement to long-term disability benefits under such plan continues.</w:t>
      </w:r>
    </w:p>
    <w:p>
      <w:pPr>
        <w:spacing w:after="0" w:line="60"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1"/>
          <w:szCs w:val="21"/>
          <w:u w:val="single" w:color="auto"/>
          <w:color w:val="auto"/>
        </w:rPr>
        <w:t>Benefit Formula</w:t>
      </w:r>
    </w:p>
    <w:p>
      <w:pPr>
        <w:spacing w:after="0" w:line="98" w:lineRule="exact"/>
        <w:rPr>
          <w:sz w:val="20"/>
          <w:szCs w:val="20"/>
          <w:color w:val="auto"/>
        </w:rPr>
      </w:pPr>
    </w:p>
    <w:p>
      <w:pPr>
        <w:ind w:left="1580" w:hanging="640"/>
        <w:spacing w:after="0"/>
        <w:tabs>
          <w:tab w:leader="none" w:pos="158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In General</w:t>
      </w:r>
    </w:p>
    <w:p>
      <w:pPr>
        <w:spacing w:after="0" w:line="85" w:lineRule="exact"/>
        <w:rPr>
          <w:sz w:val="20"/>
          <w:szCs w:val="20"/>
          <w:color w:val="auto"/>
        </w:rPr>
      </w:pPr>
    </w:p>
    <w:p>
      <w:pPr>
        <w:ind w:left="300" w:right="579" w:firstLine="1296"/>
        <w:spacing w:after="0" w:line="257" w:lineRule="auto"/>
        <w:rPr>
          <w:sz w:val="20"/>
          <w:szCs w:val="20"/>
          <w:color w:val="auto"/>
        </w:rPr>
      </w:pPr>
      <w:r>
        <w:rPr>
          <w:rFonts w:ascii="Arial" w:cs="Arial" w:eastAsia="Arial" w:hAnsi="Arial"/>
          <w:sz w:val="22"/>
          <w:szCs w:val="22"/>
          <w:color w:val="auto"/>
        </w:rPr>
        <w:t>The amount of each monthly Disability Benefit payable to a person is determined by dividing one-half of the person's final average incentive compensation, determined under section 2.2(C) above, by 12 and deducting therefrom the offset described in paragraph (B) below.</w:t>
      </w:r>
    </w:p>
    <w:p>
      <w:pPr>
        <w:spacing w:after="0" w:line="50" w:lineRule="exact"/>
        <w:rPr>
          <w:sz w:val="20"/>
          <w:szCs w:val="20"/>
          <w:color w:val="auto"/>
        </w:rPr>
      </w:pPr>
    </w:p>
    <w:p>
      <w:pPr>
        <w:ind w:left="1580" w:hanging="640"/>
        <w:spacing w:after="0"/>
        <w:tabs>
          <w:tab w:leader="none" w:pos="158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Offset</w:t>
      </w:r>
    </w:p>
    <w:p>
      <w:pPr>
        <w:spacing w:after="0" w:line="98" w:lineRule="exact"/>
        <w:rPr>
          <w:sz w:val="20"/>
          <w:szCs w:val="20"/>
          <w:color w:val="auto"/>
        </w:rPr>
      </w:pPr>
    </w:p>
    <w:p>
      <w:pPr>
        <w:ind w:left="300" w:right="299" w:firstLine="1296"/>
        <w:spacing w:after="0" w:line="250" w:lineRule="auto"/>
        <w:rPr>
          <w:sz w:val="20"/>
          <w:szCs w:val="20"/>
          <w:color w:val="auto"/>
        </w:rPr>
      </w:pPr>
      <w:r>
        <w:rPr>
          <w:rFonts w:ascii="Arial" w:cs="Arial" w:eastAsia="Arial" w:hAnsi="Arial"/>
          <w:sz w:val="22"/>
          <w:szCs w:val="22"/>
          <w:color w:val="auto"/>
        </w:rPr>
        <w:t>Commencing with the month in which a person's Incentive Pension Benefit is paid, the amount of the person's monthly Disability Benefit shall be reduced by the monthly amount of the person's Incentive Pension Benefit and/or Overseas Makeup Benefit (expressed as a five-year-certain and life annuity). In the case of a Key Employee, the offset provided under this paragraph (B) shall be applied beginning with the month his or her Incentive Pension Benefit would have been paid if he or she were not a Key Employee.</w:t>
      </w:r>
    </w:p>
    <w:p>
      <w:pPr>
        <w:spacing w:after="0" w:line="59"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1"/>
          <w:szCs w:val="21"/>
          <w:u w:val="single" w:color="auto"/>
          <w:color w:val="auto"/>
        </w:rPr>
        <w:t>Offset for Similar Benefit</w:t>
      </w:r>
    </w:p>
    <w:p>
      <w:pPr>
        <w:spacing w:after="0" w:line="98" w:lineRule="exact"/>
        <w:rPr>
          <w:sz w:val="20"/>
          <w:szCs w:val="20"/>
          <w:color w:val="auto"/>
        </w:rPr>
      </w:pPr>
    </w:p>
    <w:p>
      <w:pPr>
        <w:ind w:left="300" w:right="299" w:firstLine="648"/>
        <w:spacing w:after="0" w:line="249" w:lineRule="auto"/>
        <w:rPr>
          <w:sz w:val="20"/>
          <w:szCs w:val="20"/>
          <w:color w:val="auto"/>
        </w:rPr>
      </w:pPr>
      <w:r>
        <w:rPr>
          <w:rFonts w:ascii="Arial" w:cs="Arial" w:eastAsia="Arial" w:hAnsi="Arial"/>
          <w:sz w:val="22"/>
          <w:szCs w:val="22"/>
          <w:color w:val="auto"/>
        </w:rPr>
        <w:t>If a person receiving Disability Benefits hereunder is also entitled to comparable payments under a plan of a service-oriented employer (as defined in the ExxonMobil Common Provisions) other than the Corporation under circumstances where the Plan Administrator determines that such benefits are duplicative of the Disability Benefits payable hereunder, then such Disability Benefits shall be reduced by the amount of such comparable payment. In any given case, the Plan Administrator may determine the precise amount of this offset and if a conversion of currency computation is required, may follow the process established under the ExxonMobil Pension Plan.</w:t>
      </w:r>
    </w:p>
    <w:p>
      <w:pPr>
        <w:spacing w:after="0" w:line="60"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21"/>
          <w:szCs w:val="21"/>
          <w:u w:val="single" w:color="auto"/>
          <w:color w:val="auto"/>
        </w:rPr>
        <w:t>Disability Death Benefit</w:t>
      </w:r>
    </w:p>
    <w:p>
      <w:pPr>
        <w:spacing w:after="0" w:line="98" w:lineRule="exact"/>
        <w:rPr>
          <w:sz w:val="20"/>
          <w:szCs w:val="20"/>
          <w:color w:val="auto"/>
        </w:rPr>
      </w:pPr>
    </w:p>
    <w:p>
      <w:pPr>
        <w:ind w:left="1580" w:hanging="640"/>
        <w:spacing w:after="0"/>
        <w:tabs>
          <w:tab w:leader="none" w:pos="158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Death During Employment</w:t>
      </w:r>
    </w:p>
    <w:p>
      <w:pPr>
        <w:spacing w:after="0" w:line="98" w:lineRule="exact"/>
        <w:rPr>
          <w:sz w:val="20"/>
          <w:szCs w:val="20"/>
          <w:color w:val="auto"/>
        </w:rPr>
      </w:pPr>
    </w:p>
    <w:p>
      <w:pPr>
        <w:ind w:left="300" w:right="379" w:firstLine="1296"/>
        <w:spacing w:after="0" w:line="248" w:lineRule="auto"/>
        <w:rPr>
          <w:sz w:val="20"/>
          <w:szCs w:val="20"/>
          <w:color w:val="auto"/>
        </w:rPr>
      </w:pPr>
      <w:r>
        <w:rPr>
          <w:rFonts w:ascii="Arial" w:cs="Arial" w:eastAsia="Arial" w:hAnsi="Arial"/>
          <w:sz w:val="22"/>
          <w:szCs w:val="22"/>
          <w:color w:val="auto"/>
        </w:rPr>
        <w:t>If a person dies as an active employee with 15 or more years of Benefit Plan Service, as determined under the ExxonMobil Common Provisions, then the person's beneficiary (as determined under section 5.2 above) shall receive a disability death benefit equal to the present value of 60 monthly installments of the person's Disability Benefit, calculated as if the person had become eligible for Disability Benefit payments on the day prior to death. For purposes of this paragraph (A), the value of the person's Disability Benefit installments shall be determined by applying the offset under section 6.3(B) above as if the person's Incentive Pension Benefit and/or Overseas Makeup Benefit were payable at the time of death.</w:t>
      </w:r>
    </w:p>
    <w:p>
      <w:pPr>
        <w:sectPr>
          <w:pgSz w:w="11900" w:h="16841" w:orient="portrait"/>
          <w:cols w:equalWidth="0" w:num="1">
            <w:col w:w="9019"/>
          </w:cols>
          <w:pgMar w:left="1440" w:top="72" w:right="1440" w:bottom="0" w:gutter="0" w:footer="0" w:header="0"/>
        </w:sectPr>
      </w:pPr>
    </w:p>
    <w:bookmarkStart w:id="40" w:name="page41"/>
    <w:bookmarkEnd w:id="40"/>
    <w:p>
      <w:pPr>
        <w:jc w:val="center"/>
        <w:ind w:right="19"/>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7</w:t>
      </w:r>
    </w:p>
    <w:p>
      <w:pPr>
        <w:sectPr>
          <w:pgSz w:w="11900" w:h="16838" w:orient="portrait"/>
          <w:cols w:equalWidth="0" w:num="1">
            <w:col w:w="9019"/>
          </w:cols>
          <w:pgMar w:left="1440" w:top="937" w:right="1440" w:bottom="6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580" w:hanging="640"/>
        <w:spacing w:after="0"/>
        <w:tabs>
          <w:tab w:leader="none" w:pos="158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Death After Commencement of Disability Retirement Payments</w:t>
      </w:r>
    </w:p>
    <w:p>
      <w:pPr>
        <w:spacing w:after="0" w:line="98" w:lineRule="exact"/>
        <w:rPr>
          <w:sz w:val="20"/>
          <w:szCs w:val="20"/>
          <w:color w:val="auto"/>
        </w:rPr>
      </w:pPr>
    </w:p>
    <w:p>
      <w:pPr>
        <w:ind w:left="300" w:right="439" w:firstLine="1296"/>
        <w:spacing w:after="0" w:line="249" w:lineRule="auto"/>
        <w:rPr>
          <w:sz w:val="20"/>
          <w:szCs w:val="20"/>
          <w:color w:val="auto"/>
        </w:rPr>
      </w:pPr>
      <w:r>
        <w:rPr>
          <w:rFonts w:ascii="Arial" w:cs="Arial" w:eastAsia="Arial" w:hAnsi="Arial"/>
          <w:sz w:val="22"/>
          <w:szCs w:val="22"/>
          <w:color w:val="auto"/>
        </w:rPr>
        <w:t>If a person dies while receiving Disability Benefits under this article 6 but before the receipt of 60 monthly installments, the person's beneficiary (as determined under section 5.2 above) shall receive the lump-sum equivalent value of the remaining 60 monthly installments. If at the time of death the person's Incentive Pension Benefit had not been paid, then the value of the person's remaining Disability Benefit installments shall be determined by applying the offset under section 6.3(B) above as if the person's Incentive Pension Benefit and/or Overseas Makeup Benefit were paid at the time of death.</w:t>
      </w:r>
    </w:p>
    <w:p>
      <w:pPr>
        <w:spacing w:after="0" w:line="200" w:lineRule="exact"/>
        <w:rPr>
          <w:sz w:val="20"/>
          <w:szCs w:val="20"/>
          <w:color w:val="auto"/>
        </w:rPr>
      </w:pPr>
    </w:p>
    <w:p>
      <w:pPr>
        <w:spacing w:after="0" w:line="211" w:lineRule="exact"/>
        <w:rPr>
          <w:sz w:val="20"/>
          <w:szCs w:val="20"/>
          <w:color w:val="auto"/>
        </w:rPr>
      </w:pPr>
    </w:p>
    <w:p>
      <w:pPr>
        <w:ind w:left="4140" w:hanging="650"/>
        <w:spacing w:after="0"/>
        <w:tabs>
          <w:tab w:leader="none" w:pos="414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00" w:lineRule="exact"/>
        <w:rPr>
          <w:sz w:val="20"/>
          <w:szCs w:val="20"/>
          <w:color w:val="auto"/>
        </w:rPr>
      </w:pPr>
    </w:p>
    <w:p>
      <w:pPr>
        <w:spacing w:after="0" w:line="249"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u w:val="single" w:color="auto"/>
          <w:color w:val="auto"/>
        </w:rPr>
        <w:t>Plan Administrator</w:t>
      </w:r>
    </w:p>
    <w:p>
      <w:pPr>
        <w:spacing w:after="0" w:line="98" w:lineRule="exact"/>
        <w:rPr>
          <w:sz w:val="20"/>
          <w:szCs w:val="20"/>
          <w:color w:val="auto"/>
        </w:rPr>
      </w:pPr>
    </w:p>
    <w:p>
      <w:pPr>
        <w:ind w:left="300" w:right="479" w:firstLine="648"/>
        <w:spacing w:after="0" w:line="250" w:lineRule="auto"/>
        <w:rPr>
          <w:sz w:val="20"/>
          <w:szCs w:val="20"/>
          <w:color w:val="auto"/>
        </w:rPr>
      </w:pPr>
      <w:r>
        <w:rPr>
          <w:rFonts w:ascii="Arial" w:cs="Arial" w:eastAsia="Arial" w:hAnsi="Arial"/>
          <w:sz w:val="22"/>
          <w:szCs w:val="22"/>
          <w:color w:val="auto"/>
        </w:rPr>
        <w:t>The Plan Administrator shall be the Manager, Compensation, Benefit Plans and Policies, Human Resources Department, Exxon Mobil Corporation. The Plan Administrator shall have the right and authority to conclusively interpret this Plan for all purposes, including the determination of any person's eligibility for benefits hereunder and the resolution of any and all appeals relating to claims by participants or beneficiaries, with any such interpretation being conclusive for all participants and beneficiaries.</w:t>
      </w:r>
    </w:p>
    <w:p>
      <w:pPr>
        <w:spacing w:after="0" w:line="59"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u w:val="single" w:color="auto"/>
          <w:color w:val="auto"/>
        </w:rPr>
        <w:t>Nature of Payments</w:t>
      </w:r>
    </w:p>
    <w:p>
      <w:pPr>
        <w:spacing w:after="0" w:line="98" w:lineRule="exact"/>
        <w:rPr>
          <w:sz w:val="20"/>
          <w:szCs w:val="20"/>
          <w:color w:val="auto"/>
        </w:rPr>
      </w:pPr>
    </w:p>
    <w:p>
      <w:pPr>
        <w:ind w:left="300" w:right="759" w:firstLine="648"/>
        <w:spacing w:after="0" w:line="272" w:lineRule="auto"/>
        <w:rPr>
          <w:sz w:val="20"/>
          <w:szCs w:val="20"/>
          <w:color w:val="auto"/>
        </w:rPr>
      </w:pPr>
      <w:r>
        <w:rPr>
          <w:rFonts w:ascii="Arial" w:cs="Arial" w:eastAsia="Arial" w:hAnsi="Arial"/>
          <w:sz w:val="22"/>
          <w:szCs w:val="22"/>
          <w:color w:val="auto"/>
        </w:rPr>
        <w:t>Payments provided under this Plan are considered general obligations of the Corporation.</w:t>
      </w:r>
    </w:p>
    <w:p>
      <w:pPr>
        <w:spacing w:after="0" w:line="34"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1"/>
          <w:szCs w:val="21"/>
          <w:u w:val="single" w:color="auto"/>
          <w:color w:val="auto"/>
        </w:rPr>
        <w:t>Assignment or Alienation</w:t>
      </w:r>
    </w:p>
    <w:p>
      <w:pPr>
        <w:spacing w:after="0" w:line="85" w:lineRule="exact"/>
        <w:rPr>
          <w:sz w:val="20"/>
          <w:szCs w:val="20"/>
          <w:color w:val="auto"/>
        </w:rPr>
      </w:pPr>
    </w:p>
    <w:p>
      <w:pPr>
        <w:ind w:left="300" w:right="379" w:firstLine="648"/>
        <w:spacing w:after="0" w:line="285" w:lineRule="auto"/>
        <w:rPr>
          <w:sz w:val="20"/>
          <w:szCs w:val="20"/>
          <w:color w:val="auto"/>
        </w:rPr>
      </w:pPr>
      <w:r>
        <w:rPr>
          <w:rFonts w:ascii="Arial" w:cs="Arial" w:eastAsia="Arial" w:hAnsi="Arial"/>
          <w:sz w:val="22"/>
          <w:szCs w:val="22"/>
          <w:color w:val="auto"/>
        </w:rPr>
        <w:t>Except as provided in section 7.5 below, payments provided under this Plan may not be assigned or otherwise alienated or pledged.</w:t>
      </w:r>
    </w:p>
    <w:p>
      <w:pPr>
        <w:spacing w:after="0" w:line="20"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1"/>
          <w:szCs w:val="21"/>
          <w:u w:val="single" w:color="auto"/>
          <w:color w:val="auto"/>
        </w:rPr>
        <w:t>Amendment or Termination</w:t>
      </w:r>
    </w:p>
    <w:p>
      <w:pPr>
        <w:spacing w:after="0" w:line="85" w:lineRule="exact"/>
        <w:rPr>
          <w:sz w:val="20"/>
          <w:szCs w:val="20"/>
          <w:color w:val="auto"/>
        </w:rPr>
      </w:pPr>
    </w:p>
    <w:p>
      <w:pPr>
        <w:ind w:left="300" w:right="339" w:firstLine="648"/>
        <w:spacing w:after="0" w:line="264" w:lineRule="auto"/>
        <w:rPr>
          <w:sz w:val="20"/>
          <w:szCs w:val="20"/>
          <w:color w:val="auto"/>
        </w:rPr>
      </w:pPr>
      <w:r>
        <w:rPr>
          <w:rFonts w:ascii="Arial" w:cs="Arial" w:eastAsia="Arial" w:hAnsi="Arial"/>
          <w:sz w:val="22"/>
          <w:szCs w:val="22"/>
          <w:color w:val="auto"/>
        </w:rPr>
        <w:t>The Corporation reserves the right to amend or terminate this Plan, in whole or in part, including the right at any time to reduce or eliminate any accrued benefits hereunder and to alter or amend the benefit formula set out herein.</w:t>
      </w:r>
    </w:p>
    <w:p>
      <w:pPr>
        <w:spacing w:after="0" w:line="43"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21"/>
          <w:szCs w:val="21"/>
          <w:u w:val="single" w:color="auto"/>
          <w:color w:val="auto"/>
        </w:rPr>
        <w:t>Forfeiture of Benefits</w:t>
      </w:r>
    </w:p>
    <w:p>
      <w:pPr>
        <w:spacing w:after="0" w:line="98" w:lineRule="exact"/>
        <w:rPr>
          <w:sz w:val="20"/>
          <w:szCs w:val="20"/>
          <w:color w:val="auto"/>
        </w:rPr>
      </w:pPr>
    </w:p>
    <w:p>
      <w:pPr>
        <w:ind w:left="300" w:right="319" w:firstLine="648"/>
        <w:spacing w:after="0" w:line="249" w:lineRule="auto"/>
        <w:rPr>
          <w:sz w:val="20"/>
          <w:szCs w:val="20"/>
          <w:color w:val="auto"/>
        </w:rPr>
      </w:pPr>
      <w:r>
        <w:rPr>
          <w:rFonts w:ascii="Arial" w:cs="Arial" w:eastAsia="Arial" w:hAnsi="Arial"/>
          <w:sz w:val="22"/>
          <w:szCs w:val="22"/>
          <w:color w:val="auto"/>
        </w:rPr>
        <w:t>Any payments received under this Plan shall be forfeited and returned if the forfeiture and repayment of such payments is required by any clawback policy adopted by the Corporation. Additionally, no person shall be entitled to receive payments under this Plan, and any payments received under this Plan shall be forfeited and returned, if it is determined by the Corporation in its sole discretion, acting through its chief executive or such person or committee as the chief executive may designate, that a person otherwise entitled to a payment under this Plan or who has commenced receiving payments under this Plan:</w:t>
      </w:r>
    </w:p>
    <w:p>
      <w:pPr>
        <w:spacing w:after="0" w:line="60" w:lineRule="exact"/>
        <w:rPr>
          <w:sz w:val="20"/>
          <w:szCs w:val="20"/>
          <w:color w:val="auto"/>
        </w:rPr>
      </w:pPr>
    </w:p>
    <w:p>
      <w:pPr>
        <w:ind w:left="1580" w:hanging="640"/>
        <w:spacing w:after="0"/>
        <w:tabs>
          <w:tab w:leader="none" w:pos="15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engaged in gross misconduct harmful to the Corporation,</w:t>
      </w:r>
    </w:p>
    <w:p>
      <w:pPr>
        <w:sectPr>
          <w:pgSz w:w="11900" w:h="16838" w:orient="portrait"/>
          <w:cols w:equalWidth="0" w:num="1">
            <w:col w:w="9019"/>
          </w:cols>
          <w:pgMar w:left="1440" w:top="937" w:right="1440" w:bottom="67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9019"/>
          </w:cols>
          <w:pgMar w:left="1440" w:top="937" w:right="1440" w:bottom="677" w:gutter="0" w:footer="0" w:header="0"/>
          <w:type w:val="continuous"/>
        </w:sectPr>
      </w:pPr>
    </w:p>
    <w:bookmarkStart w:id="41" w:name="page42"/>
    <w:bookmarkEnd w:id="41"/>
    <w:p>
      <w:pPr>
        <w:ind w:left="1580" w:hanging="640"/>
        <w:spacing w:after="0"/>
        <w:tabs>
          <w:tab w:leader="none" w:pos="1580" w:val="left"/>
        </w:tabs>
        <w:numPr>
          <w:ilvl w:val="0"/>
          <w:numId w:val="82"/>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6258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625840"/>
                    </a:xfrm>
                    <a:prstGeom prst="rect">
                      <a:avLst/>
                    </a:prstGeom>
                    <a:noFill/>
                  </pic:spPr>
                </pic:pic>
              </a:graphicData>
            </a:graphic>
          </wp:anchor>
        </w:drawing>
        <w:t>committed a criminal violation harmful to the Corporation,</w:t>
      </w:r>
    </w:p>
    <w:p>
      <w:pPr>
        <w:spacing w:after="0" w:line="98" w:lineRule="exact"/>
        <w:rPr>
          <w:rFonts w:ascii="Arial" w:cs="Arial" w:eastAsia="Arial" w:hAnsi="Arial"/>
          <w:sz w:val="22"/>
          <w:szCs w:val="22"/>
          <w:color w:val="auto"/>
        </w:rPr>
      </w:pPr>
    </w:p>
    <w:p>
      <w:pPr>
        <w:ind w:left="300" w:right="699" w:firstLine="640"/>
        <w:spacing w:after="0" w:line="257" w:lineRule="auto"/>
        <w:tabs>
          <w:tab w:leader="none" w:pos="1488" w:val="left"/>
        </w:tabs>
        <w:numPr>
          <w:ilvl w:val="0"/>
          <w:numId w:val="82"/>
        </w:numPr>
        <w:rPr>
          <w:rFonts w:ascii="Arial" w:cs="Arial" w:eastAsia="Arial" w:hAnsi="Arial"/>
          <w:sz w:val="22"/>
          <w:szCs w:val="22"/>
          <w:color w:val="auto"/>
        </w:rPr>
      </w:pPr>
      <w:r>
        <w:rPr>
          <w:rFonts w:ascii="Arial" w:cs="Arial" w:eastAsia="Arial" w:hAnsi="Arial"/>
          <w:sz w:val="22"/>
          <w:szCs w:val="22"/>
          <w:color w:val="auto"/>
        </w:rPr>
        <w:t>had concealed actions described in (A) or (B) above which would have brought about termination from employment thereby making the person ineligible for benefits under this Plan,</w:t>
      </w:r>
    </w:p>
    <w:p>
      <w:pPr>
        <w:spacing w:after="0" w:line="51" w:lineRule="exact"/>
        <w:rPr>
          <w:rFonts w:ascii="Arial" w:cs="Arial" w:eastAsia="Arial" w:hAnsi="Arial"/>
          <w:sz w:val="22"/>
          <w:szCs w:val="22"/>
          <w:color w:val="auto"/>
        </w:rPr>
      </w:pPr>
    </w:p>
    <w:p>
      <w:pPr>
        <w:ind w:left="300" w:right="559" w:firstLine="640"/>
        <w:spacing w:after="0" w:line="253" w:lineRule="auto"/>
        <w:tabs>
          <w:tab w:leader="none" w:pos="1608" w:val="left"/>
        </w:tabs>
        <w:numPr>
          <w:ilvl w:val="0"/>
          <w:numId w:val="82"/>
        </w:numPr>
        <w:rPr>
          <w:rFonts w:ascii="Arial" w:cs="Arial" w:eastAsia="Arial" w:hAnsi="Arial"/>
          <w:sz w:val="22"/>
          <w:szCs w:val="22"/>
          <w:color w:val="auto"/>
        </w:rPr>
      </w:pPr>
      <w:r>
        <w:rPr>
          <w:rFonts w:ascii="Arial" w:cs="Arial" w:eastAsia="Arial" w:hAnsi="Arial"/>
          <w:sz w:val="22"/>
          <w:szCs w:val="22"/>
          <w:color w:val="auto"/>
        </w:rPr>
        <w:t>separated from service prior to attaining Normal Retirement Age without having received from the Corporation or its delegate prior written approval for such termination, given in the sole discretion of the Corporation or its delegatee and in the context of recognition that benefits under this Plan would not be forfeited upon such termination, or</w:t>
      </w:r>
    </w:p>
    <w:p>
      <w:pPr>
        <w:spacing w:after="0" w:line="57" w:lineRule="exact"/>
        <w:rPr>
          <w:rFonts w:ascii="Arial" w:cs="Arial" w:eastAsia="Arial" w:hAnsi="Arial"/>
          <w:sz w:val="22"/>
          <w:szCs w:val="22"/>
          <w:color w:val="auto"/>
        </w:rPr>
      </w:pPr>
    </w:p>
    <w:p>
      <w:pPr>
        <w:ind w:left="1580" w:hanging="640"/>
        <w:spacing w:after="0"/>
        <w:tabs>
          <w:tab w:leader="none" w:pos="15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had been terminated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9019"/>
          </w:cols>
          <w:pgMar w:left="1440" w:top="680"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31.1</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by Darren W. Woods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Darren W. Woods, certify that:</w:t>
      </w:r>
    </w:p>
    <w:p>
      <w:pPr>
        <w:spacing w:after="0" w:line="225"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Exxon Mobil Corporation;</w:t>
      </w:r>
    </w:p>
    <w:p>
      <w:pPr>
        <w:spacing w:after="0" w:line="225" w:lineRule="exact"/>
        <w:rPr>
          <w:rFonts w:ascii="Times New Roman" w:cs="Times New Roman" w:eastAsia="Times New Roman" w:hAnsi="Times New Roman"/>
          <w:sz w:val="18"/>
          <w:szCs w:val="18"/>
          <w:color w:val="auto"/>
        </w:rPr>
      </w:pPr>
    </w:p>
    <w:p>
      <w:pPr>
        <w:jc w:val="both"/>
        <w:ind w:left="340" w:right="220" w:hanging="332"/>
        <w:spacing w:after="0" w:line="266"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40" w:right="360" w:hanging="332"/>
        <w:spacing w:after="0" w:line="266"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2026</w:t>
      </w:r>
    </w:p>
    <w:p>
      <w:pPr>
        <w:spacing w:after="0" w:line="306"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/s/ DARREN W. WOODS</w:t>
      </w:r>
    </w:p>
    <w:p>
      <w:pPr>
        <w:spacing w:after="0" w:line="36"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Darren W. Woods</w:t>
      </w:r>
    </w:p>
    <w:p>
      <w:pPr>
        <w:spacing w:after="0" w:line="5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9080"/>
          </w:cols>
          <w:pgMar w:left="1400" w:top="414" w:right="14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Neil A. Hansen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Neil A. Hansen, certify that:</w:t>
      </w:r>
    </w:p>
    <w:p>
      <w:pPr>
        <w:spacing w:after="0" w:line="225"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Exxon Mobil Corporation;</w:t>
      </w:r>
    </w:p>
    <w:p>
      <w:pPr>
        <w:spacing w:after="0" w:line="225" w:lineRule="exact"/>
        <w:rPr>
          <w:rFonts w:ascii="Times New Roman" w:cs="Times New Roman" w:eastAsia="Times New Roman" w:hAnsi="Times New Roman"/>
          <w:sz w:val="18"/>
          <w:szCs w:val="18"/>
          <w:color w:val="auto"/>
        </w:rPr>
      </w:pPr>
    </w:p>
    <w:p>
      <w:pPr>
        <w:jc w:val="both"/>
        <w:ind w:left="340" w:right="220" w:hanging="332"/>
        <w:spacing w:after="0" w:line="266"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40" w:right="360" w:hanging="332"/>
        <w:spacing w:after="0" w:line="266"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2026</w:t>
      </w:r>
    </w:p>
    <w:p>
      <w:pPr>
        <w:spacing w:after="0" w:line="306"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8"/>
          <w:szCs w:val="18"/>
          <w:color w:val="auto"/>
        </w:rPr>
        <w:t>/s/ NEIL A. HANSEN</w:t>
      </w:r>
    </w:p>
    <w:p>
      <w:pPr>
        <w:spacing w:after="0" w:line="36"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8"/>
          <w:szCs w:val="18"/>
          <w:color w:val="auto"/>
        </w:rPr>
        <w:t>Neil A. Hansen</w:t>
      </w:r>
    </w:p>
    <w:p>
      <w:pPr>
        <w:spacing w:after="0" w:line="5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9080"/>
          </w:cols>
          <w:pgMar w:left="1400" w:top="414" w:right="14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Len M. Fox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Len M. Fox, certify that:</w:t>
      </w:r>
    </w:p>
    <w:p>
      <w:pPr>
        <w:spacing w:after="0" w:line="225"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Exxon Mobil Corporation;</w:t>
      </w:r>
    </w:p>
    <w:p>
      <w:pPr>
        <w:spacing w:after="0" w:line="225" w:lineRule="exact"/>
        <w:rPr>
          <w:rFonts w:ascii="Times New Roman" w:cs="Times New Roman" w:eastAsia="Times New Roman" w:hAnsi="Times New Roman"/>
          <w:sz w:val="18"/>
          <w:szCs w:val="18"/>
          <w:color w:val="auto"/>
        </w:rPr>
      </w:pPr>
    </w:p>
    <w:p>
      <w:pPr>
        <w:jc w:val="both"/>
        <w:ind w:left="340" w:right="220" w:hanging="332"/>
        <w:spacing w:after="0" w:line="266"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40" w:right="360" w:hanging="332"/>
        <w:spacing w:after="0" w:line="266"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2026</w:t>
      </w:r>
    </w:p>
    <w:p>
      <w:pPr>
        <w:spacing w:after="0" w:line="30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LEN M. FOX</w:t>
      </w:r>
    </w:p>
    <w:p>
      <w:pPr>
        <w:spacing w:after="0" w:line="3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Len M. Fox</w:t>
      </w:r>
    </w:p>
    <w:p>
      <w:pPr>
        <w:spacing w:after="0" w:line="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Vice President, Controller and Tax</w:t>
      </w:r>
    </w:p>
    <w:p>
      <w:pPr>
        <w:ind w:left="606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9080"/>
          </w:cols>
          <w:pgMar w:left="1400" w:top="414" w:right="14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Darren W. Woods, the chief executive officer of Exxon Mobil Corporation (the “Company”), hereby certifies that, to his knowledge:</w:t>
      </w:r>
    </w:p>
    <w:p>
      <w:pPr>
        <w:spacing w:after="0" w:line="176" w:lineRule="exact"/>
        <w:rPr>
          <w:sz w:val="20"/>
          <w:szCs w:val="20"/>
          <w:color w:val="auto"/>
        </w:rPr>
      </w:pPr>
    </w:p>
    <w:p>
      <w:pPr>
        <w:jc w:val="both"/>
        <w:ind w:left="580" w:hanging="331"/>
        <w:spacing w:after="0" w:line="266" w:lineRule="auto"/>
        <w:tabs>
          <w:tab w:leader="none" w:pos="5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2026, as filed with the Securities and Exchange Commission on the date hereof (the “Report”) fully complies with the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580" w:right="480" w:hanging="331"/>
        <w:spacing w:after="0" w:line="282" w:lineRule="auto"/>
        <w:tabs>
          <w:tab w:leader="none" w:pos="5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2026</w:t>
      </w:r>
    </w:p>
    <w:p>
      <w:pPr>
        <w:spacing w:after="0" w:line="90"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color w:val="auto"/>
        </w:rPr>
        <w:t>/s/ DARREN W. WOODS</w:t>
      </w:r>
    </w:p>
    <w:p>
      <w:pPr>
        <w:spacing w:after="0" w:line="36"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color w:val="auto"/>
        </w:rPr>
        <w:t>Darren W. Woods</w:t>
      </w:r>
    </w:p>
    <w:p>
      <w:pPr>
        <w:spacing w:after="0" w:line="5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0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ectPr>
          <w:pgSz w:w="11900" w:h="16838" w:orient="portrait"/>
          <w:cols w:equalWidth="0" w:num="1">
            <w:col w:w="9400"/>
          </w:cols>
          <w:pgMar w:left="1240" w:top="738" w:right="12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 A. Hansen, the chief financial officer of Exxon Mobil Corporation (the “Company”), hereby certifies that, to his knowledge:</w:t>
      </w:r>
    </w:p>
    <w:p>
      <w:pPr>
        <w:spacing w:after="0" w:line="207" w:lineRule="exact"/>
        <w:rPr>
          <w:sz w:val="20"/>
          <w:szCs w:val="20"/>
          <w:color w:val="auto"/>
        </w:rPr>
      </w:pPr>
    </w:p>
    <w:p>
      <w:pPr>
        <w:jc w:val="both"/>
        <w:ind w:left="580" w:hanging="331"/>
        <w:spacing w:after="0" w:line="266" w:lineRule="auto"/>
        <w:tabs>
          <w:tab w:leader="none" w:pos="5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2026, as filed with the Securities and Exchange Commission on the date hereof (the “Report”) fully complies with the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580" w:right="480" w:hanging="331"/>
        <w:spacing w:after="0" w:line="282" w:lineRule="auto"/>
        <w:tabs>
          <w:tab w:leader="none" w:pos="5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2026</w:t>
      </w:r>
    </w:p>
    <w:p>
      <w:pPr>
        <w:spacing w:after="0" w:line="306"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8"/>
          <w:szCs w:val="18"/>
          <w:color w:val="auto"/>
        </w:rPr>
        <w:t>/s/ NEIL A. HANSEN</w:t>
      </w:r>
    </w:p>
    <w:p>
      <w:pPr>
        <w:spacing w:after="0" w:line="36"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8"/>
          <w:szCs w:val="18"/>
          <w:color w:val="auto"/>
        </w:rPr>
        <w:t>Neil A. Hansen</w:t>
      </w:r>
    </w:p>
    <w:p>
      <w:pPr>
        <w:spacing w:after="0" w:line="5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3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ectPr>
          <w:pgSz w:w="11900" w:h="16838" w:orient="portrait"/>
          <w:cols w:equalWidth="0" w:num="1">
            <w:col w:w="9400"/>
          </w:cols>
          <w:pgMar w:left="1240" w:top="738" w:right="12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Len M. Fox, the principal accounting officer of Exxon Mobil Corporation (the “Company”), hereby certifies that, to his knowledge:</w:t>
      </w:r>
    </w:p>
    <w:p>
      <w:pPr>
        <w:spacing w:after="0" w:line="176" w:lineRule="exact"/>
        <w:rPr>
          <w:sz w:val="20"/>
          <w:szCs w:val="20"/>
          <w:color w:val="auto"/>
        </w:rPr>
      </w:pPr>
    </w:p>
    <w:p>
      <w:pPr>
        <w:jc w:val="both"/>
        <w:ind w:left="580" w:hanging="331"/>
        <w:spacing w:after="0" w:line="266" w:lineRule="auto"/>
        <w:tabs>
          <w:tab w:leader="none" w:pos="5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2026, as filed with the Securities and Exchange Commission on the date hereof (the “Report”) fully complies with the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580" w:right="480" w:hanging="331"/>
        <w:spacing w:after="0" w:line="282" w:lineRule="auto"/>
        <w:tabs>
          <w:tab w:leader="none" w:pos="5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2026</w:t>
      </w:r>
    </w:p>
    <w:p>
      <w:pPr>
        <w:spacing w:after="0" w:line="30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LEN M. FOX</w:t>
      </w:r>
    </w:p>
    <w:p>
      <w:pPr>
        <w:spacing w:after="0" w:line="3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Len M. Fox</w:t>
      </w:r>
    </w:p>
    <w:p>
      <w:pPr>
        <w:spacing w:after="0" w:line="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Vice President, Controller and Tax</w:t>
      </w:r>
    </w:p>
    <w:p>
      <w:pPr>
        <w:ind w:left="60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3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sectPr>
      <w:pgSz w:w="11900" w:h="16838" w:orient="portrait"/>
      <w:cols w:equalWidth="0" w:num="1">
        <w:col w:w="9400"/>
      </w:cols>
      <w:pgMar w:left="1240" w:top="738"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decimal"/>
      <w:start w:val="263"/>
    </w:lvl>
    <w:lvl w:ilvl="1">
      <w:lvlJc w:val="left"/>
      <w:lvlText w:val="%2"/>
      <w:numFmt w:val="decimal"/>
      <w:start w:val="1"/>
    </w:lvl>
  </w:abstractNum>
  <w:abstractNum w:abstractNumId="3">
    <w:nsid w:val="4B588F54"/>
    <w:multiLevelType w:val="hybridMultilevel"/>
    <w:lvl w:ilvl="0">
      <w:lvlJc w:val="left"/>
      <w:lvlText w:val="(%1)"/>
      <w:numFmt w:val="decimal"/>
      <w:start w:val="5"/>
    </w:lvl>
    <w:lvl w:ilvl="1">
      <w:lvlJc w:val="left"/>
      <w:lvlText w:val="%2"/>
      <w:numFmt w:val="decimal"/>
      <w:start w:val="1"/>
    </w:lvl>
  </w:abstractNum>
  <w:abstractNum w:abstractNumId="4">
    <w:nsid w:val="542289EC"/>
    <w:multiLevelType w:val="hybridMultilevel"/>
    <w:lvl w:ilvl="0">
      <w:lvlJc w:val="left"/>
      <w:lvlText w:val="(%1)"/>
      <w:numFmt w:val="decimal"/>
      <w:start w:val="35"/>
    </w:lvl>
  </w:abstractNum>
  <w:abstractNum w:abstractNumId="5">
    <w:nsid w:val="6DE91B18"/>
    <w:multiLevelType w:val="hybridMultilevel"/>
    <w:lvl w:ilvl="0">
      <w:lvlJc w:val="left"/>
      <w:lvlText w:val="(%1)"/>
      <w:numFmt w:val="decimal"/>
      <w:start w:val="27"/>
    </w:lvl>
  </w:abstractNum>
  <w:abstractNum w:abstractNumId="6">
    <w:nsid w:val="38437FDB"/>
    <w:multiLevelType w:val="hybridMultilevel"/>
    <w:lvl w:ilvl="0">
      <w:lvlJc w:val="left"/>
      <w:lvlText w:val="(%1)"/>
      <w:numFmt w:val="decimal"/>
      <w:start w:val="1"/>
    </w:lvl>
  </w:abstractNum>
  <w:abstractNum w:abstractNumId="7">
    <w:nsid w:val="7644A45C"/>
    <w:multiLevelType w:val="hybridMultilevel"/>
    <w:lvl w:ilvl="0">
      <w:lvlJc w:val="left"/>
      <w:lvlText w:val="(%1)"/>
      <w:numFmt w:val="decimal"/>
      <w:start w:val="1"/>
    </w:lvl>
  </w:abstractNum>
  <w:abstractNum w:abstractNumId="8">
    <w:nsid w:val="32FFF902"/>
    <w:multiLevelType w:val="hybridMultilevel"/>
    <w:lvl w:ilvl="0">
      <w:lvlJc w:val="left"/>
      <w:lvlText w:val="(%1)"/>
      <w:numFmt w:val="decimal"/>
      <w:start w:val="1"/>
    </w:lvl>
  </w:abstractNum>
  <w:abstractNum w:abstractNumId="9">
    <w:nsid w:val="684A481A"/>
    <w:multiLevelType w:val="hybridMultilevel"/>
    <w:lvl w:ilvl="0">
      <w:lvlJc w:val="left"/>
      <w:lvlText w:val="(%1)"/>
      <w:numFmt w:val="decimal"/>
      <w:start w:val="1"/>
    </w:lvl>
  </w:abstractNum>
  <w:abstractNum w:abstractNumId="10">
    <w:nsid w:val="579478FE"/>
    <w:multiLevelType w:val="hybridMultilevel"/>
    <w:lvl w:ilvl="0">
      <w:lvlJc w:val="left"/>
      <w:lvlText w:val="(%1)"/>
      <w:numFmt w:val="decimal"/>
      <w:start w:val="1"/>
    </w:lvl>
  </w:abstractNum>
  <w:abstractNum w:abstractNumId="11">
    <w:nsid w:val="749ABB43"/>
    <w:multiLevelType w:val="hybridMultilevel"/>
    <w:lvl w:ilvl="0">
      <w:lvlJc w:val="left"/>
      <w:lvlText w:val="(%1)"/>
      <w:numFmt w:val="decimal"/>
      <w:start w:val="1"/>
    </w:lvl>
  </w:abstractNum>
  <w:abstractNum w:abstractNumId="12">
    <w:nsid w:val="3DC240FB"/>
    <w:multiLevelType w:val="hybridMultilevel"/>
    <w:lvl w:ilvl="0">
      <w:lvlJc w:val="left"/>
      <w:lvlText w:val="(%1)"/>
      <w:numFmt w:val="decimal"/>
      <w:start w:val="1"/>
    </w:lvl>
  </w:abstractNum>
  <w:abstractNum w:abstractNumId="13">
    <w:nsid w:val="1BA026FA"/>
    <w:multiLevelType w:val="hybridMultilevel"/>
    <w:lvl w:ilvl="0">
      <w:lvlJc w:val="left"/>
      <w:lvlText w:val="(%1)"/>
      <w:numFmt w:val="decimal"/>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1)"/>
      <w:numFmt w:val="decimal"/>
      <w:start w:val="1"/>
    </w:lvl>
  </w:abstractNum>
  <w:abstractNum w:abstractNumId="17">
    <w:nsid w:val="70C6A529"/>
    <w:multiLevelType w:val="hybridMultilevel"/>
    <w:lvl w:ilvl="0">
      <w:lvlJc w:val="left"/>
      <w:lvlText w:val="(%1)"/>
      <w:numFmt w:val="decimal"/>
      <w:start w:val="1"/>
    </w:lvl>
  </w:abstractNum>
  <w:abstractNum w:abstractNumId="18">
    <w:nsid w:val="520EEDD1"/>
    <w:multiLevelType w:val="hybridMultilevel"/>
    <w:lvl w:ilvl="0">
      <w:lvlJc w:val="left"/>
      <w:lvlText w:val="(%1)"/>
      <w:numFmt w:val="decimal"/>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1)"/>
      <w:numFmt w:val="decimal"/>
      <w:start w:val="1"/>
    </w:lvl>
  </w:abstractNum>
  <w:abstractNum w:abstractNumId="22">
    <w:nsid w:val="649BB77C"/>
    <w:multiLevelType w:val="hybridMultilevel"/>
    <w:lvl w:ilvl="0">
      <w:lvlJc w:val="left"/>
      <w:lvlText w:val="(%1)"/>
      <w:numFmt w:val="decimal"/>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1."/>
      <w:numFmt w:val="decimal"/>
      <w:start w:val="2"/>
    </w:lvl>
  </w:abstractNum>
  <w:abstractNum w:abstractNumId="26">
    <w:nsid w:val="180115BE"/>
    <w:multiLevelType w:val="hybridMultilevel"/>
    <w:lvl w:ilvl="0">
      <w:lvlJc w:val="left"/>
      <w:lvlText w:val="(%1)"/>
      <w:numFmt w:val="upperLetter"/>
      <w:start w:val="1"/>
    </w:lvl>
  </w:abstractNum>
  <w:abstractNum w:abstractNumId="27">
    <w:nsid w:val="235BA861"/>
    <w:multiLevelType w:val="hybridMultilevel"/>
    <w:lvl w:ilvl="0">
      <w:lvlJc w:val="left"/>
      <w:lvlText w:val="(%1)"/>
      <w:numFmt w:val="upperLetter"/>
      <w:start w:val="1"/>
    </w:lvl>
  </w:abstractNum>
  <w:abstractNum w:abstractNumId="28">
    <w:nsid w:val="47398C89"/>
    <w:multiLevelType w:val="hybridMultilevel"/>
    <w:lvl w:ilvl="0">
      <w:lvlJc w:val="left"/>
      <w:lvlText w:val="(%1)"/>
      <w:numFmt w:val="upperLetter"/>
      <w:start w:val="2"/>
    </w:lvl>
  </w:abstractNum>
  <w:abstractNum w:abstractNumId="29">
    <w:nsid w:val="354FE9F9"/>
    <w:multiLevelType w:val="hybridMultilevel"/>
    <w:lvl w:ilvl="0">
      <w:lvlJc w:val="left"/>
      <w:lvlText w:val="%1."/>
      <w:numFmt w:val="decimal"/>
      <w:start w:val="3"/>
    </w:lvl>
  </w:abstractNum>
  <w:abstractNum w:abstractNumId="30">
    <w:nsid w:val="15B5AF5C"/>
    <w:multiLevelType w:val="hybridMultilevel"/>
    <w:lvl w:ilvl="0">
      <w:lvlJc w:val="left"/>
      <w:lvlText w:val="(%1)"/>
      <w:numFmt w:val="upperLetter"/>
      <w:start w:val="1"/>
    </w:lvl>
  </w:abstractNum>
  <w:abstractNum w:abstractNumId="31">
    <w:nsid w:val="741226BB"/>
    <w:multiLevelType w:val="hybridMultilevel"/>
    <w:lvl w:ilvl="0">
      <w:lvlJc w:val="left"/>
      <w:lvlText w:val="(%1)"/>
      <w:numFmt w:val="upperLetter"/>
      <w:start w:val="2"/>
    </w:lvl>
  </w:abstractNum>
  <w:abstractNum w:abstractNumId="32">
    <w:nsid w:val="D34B6A8"/>
    <w:multiLevelType w:val="hybridMultilevel"/>
    <w:lvl w:ilvl="0">
      <w:lvlJc w:val="left"/>
      <w:lvlText w:val="(%1)"/>
      <w:numFmt w:val="upperLetter"/>
      <w:start w:val="3"/>
    </w:lvl>
  </w:abstractNum>
  <w:abstractNum w:abstractNumId="33">
    <w:nsid w:val="10233C99"/>
    <w:multiLevelType w:val="hybridMultilevel"/>
    <w:lvl w:ilvl="0">
      <w:lvlJc w:val="left"/>
      <w:lvlText w:val="(%1)"/>
      <w:numFmt w:val="upperLetter"/>
      <w:start w:val="4"/>
    </w:lvl>
  </w:abstractNum>
  <w:abstractNum w:abstractNumId="34">
    <w:nsid w:val="3F6AB60F"/>
    <w:multiLevelType w:val="hybridMultilevel"/>
    <w:lvl w:ilvl="0">
      <w:lvlJc w:val="left"/>
      <w:lvlText w:val="%1."/>
      <w:numFmt w:val="decimal"/>
      <w:start w:val="4"/>
    </w:lvl>
  </w:abstractNum>
  <w:abstractNum w:abstractNumId="35">
    <w:nsid w:val="61574095"/>
    <w:multiLevelType w:val="hybridMultilevel"/>
    <w:lvl w:ilvl="0">
      <w:lvlJc w:val="left"/>
      <w:lvlText w:val="(%1)"/>
      <w:numFmt w:val="upperLetter"/>
      <w:start w:val="1"/>
    </w:lvl>
  </w:abstractNum>
  <w:abstractNum w:abstractNumId="36">
    <w:nsid w:val="7E0C57B1"/>
    <w:multiLevelType w:val="hybridMultilevel"/>
    <w:lvl w:ilvl="0">
      <w:lvlJc w:val="left"/>
      <w:lvlText w:val="(%1)"/>
      <w:numFmt w:val="upperLetter"/>
      <w:start w:val="2"/>
    </w:lvl>
  </w:abstractNum>
  <w:abstractNum w:abstractNumId="37">
    <w:nsid w:val="77AE35EB"/>
    <w:multiLevelType w:val="hybridMultilevel"/>
    <w:lvl w:ilvl="0">
      <w:lvlJc w:val="left"/>
      <w:lvlText w:val="(%1)"/>
      <w:numFmt w:val="upperLetter"/>
      <w:start w:val="3"/>
    </w:lvl>
  </w:abstractNum>
  <w:abstractNum w:abstractNumId="38">
    <w:nsid w:val="579BE4F1"/>
    <w:multiLevelType w:val="hybridMultilevel"/>
    <w:lvl w:ilvl="0">
      <w:lvlJc w:val="left"/>
      <w:lvlText w:val="(%1)"/>
      <w:numFmt w:val="upperLetter"/>
      <w:start w:val="1"/>
    </w:lvl>
  </w:abstractNum>
  <w:abstractNum w:abstractNumId="39">
    <w:nsid w:val="310C50B3"/>
    <w:multiLevelType w:val="hybridMultilevel"/>
    <w:lvl w:ilvl="0">
      <w:lvlJc w:val="left"/>
      <w:lvlText w:val="(%1)"/>
      <w:numFmt w:val="upperLetter"/>
      <w:start w:val="2"/>
    </w:lvl>
  </w:abstractNum>
  <w:abstractNum w:abstractNumId="40">
    <w:nsid w:val="5FF87E05"/>
    <w:multiLevelType w:val="hybridMultilevel"/>
    <w:lvl w:ilvl="0">
      <w:lvlJc w:val="left"/>
      <w:lvlText w:val="(%1)"/>
      <w:numFmt w:val="decimal"/>
      <w:start w:val="1"/>
    </w:lvl>
  </w:abstractNum>
  <w:abstractNum w:abstractNumId="41">
    <w:nsid w:val="2F305DEF"/>
    <w:multiLevelType w:val="hybridMultilevel"/>
    <w:lvl w:ilvl="0">
      <w:lvlJc w:val="left"/>
      <w:lvlText w:val="(%1)"/>
      <w:numFmt w:val="lowerLetter"/>
      <w:start w:val="1"/>
    </w:lvl>
  </w:abstractNum>
  <w:abstractNum w:abstractNumId="42">
    <w:nsid w:val="25A70BF7"/>
    <w:multiLevelType w:val="hybridMultilevel"/>
    <w:lvl w:ilvl="0">
      <w:lvlJc w:val="left"/>
      <w:lvlText w:val="(%1)"/>
      <w:numFmt w:val="decimal"/>
      <w:start w:val="2"/>
    </w:lvl>
  </w:abstractNum>
  <w:abstractNum w:abstractNumId="43">
    <w:nsid w:val="1DBABF00"/>
    <w:multiLevelType w:val="hybridMultilevel"/>
    <w:lvl w:ilvl="0">
      <w:lvlJc w:val="left"/>
      <w:lvlText w:val="(%1)"/>
      <w:numFmt w:val="decimal"/>
      <w:start w:val="3"/>
    </w:lvl>
  </w:abstractNum>
  <w:abstractNum w:abstractNumId="44">
    <w:nsid w:val="4AD084E9"/>
    <w:multiLevelType w:val="hybridMultilevel"/>
    <w:lvl w:ilvl="0">
      <w:lvlJc w:val="left"/>
      <w:lvlText w:val="%1."/>
      <w:numFmt w:val="decimal"/>
      <w:start w:val="5"/>
    </w:lvl>
  </w:abstractNum>
  <w:abstractNum w:abstractNumId="45">
    <w:nsid w:val="1F48EAA1"/>
    <w:multiLevelType w:val="hybridMultilevel"/>
    <w:lvl w:ilvl="0">
      <w:lvlJc w:val="left"/>
      <w:lvlText w:val="(%1)"/>
      <w:numFmt w:val="upperLetter"/>
      <w:start w:val="1"/>
    </w:lvl>
  </w:abstractNum>
  <w:abstractNum w:abstractNumId="46">
    <w:nsid w:val="1381823A"/>
    <w:multiLevelType w:val="hybridMultilevel"/>
    <w:lvl w:ilvl="0">
      <w:lvlJc w:val="left"/>
      <w:lvlText w:val="(%1)"/>
      <w:numFmt w:val="upperLetter"/>
      <w:start w:val="5"/>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decimal"/>
      <w:start w:val="2"/>
    </w:lvl>
  </w:abstractNum>
  <w:abstractNum w:abstractNumId="49">
    <w:nsid w:val="6590700B"/>
    <w:multiLevelType w:val="hybridMultilevel"/>
    <w:lvl w:ilvl="0">
      <w:lvlJc w:val="left"/>
      <w:lvlText w:val="(%1)"/>
      <w:numFmt w:val="upperLetter"/>
      <w:start w:val="1"/>
    </w:lvl>
  </w:abstractNum>
  <w:abstractNum w:abstractNumId="50">
    <w:nsid w:val="15014ACB"/>
    <w:multiLevelType w:val="hybridMultilevel"/>
    <w:lvl w:ilvl="0">
      <w:lvlJc w:val="left"/>
      <w:lvlText w:val="(%1)"/>
      <w:numFmt w:val="upperLetter"/>
      <w:start w:val="1"/>
    </w:lvl>
  </w:abstractNum>
  <w:abstractNum w:abstractNumId="51">
    <w:nsid w:val="5F5E7FD0"/>
    <w:multiLevelType w:val="hybridMultilevel"/>
    <w:lvl w:ilvl="0">
      <w:lvlJc w:val="left"/>
      <w:lvlText w:val="(%1)"/>
      <w:numFmt w:val="upperLetter"/>
      <w:start w:val="2"/>
    </w:lvl>
  </w:abstractNum>
  <w:abstractNum w:abstractNumId="52">
    <w:nsid w:val="98A3148"/>
    <w:multiLevelType w:val="hybridMultilevel"/>
    <w:lvl w:ilvl="0">
      <w:lvlJc w:val="left"/>
      <w:lvlText w:val="(%1)"/>
      <w:numFmt w:val="decimal"/>
      <w:start w:val="1"/>
    </w:lvl>
    <w:lvl w:ilvl="1">
      <w:lvlJc w:val="left"/>
      <w:lvlText w:val="(%2)"/>
      <w:numFmt w:val="lowerLetter"/>
      <w:start w:val="1"/>
    </w:lvl>
  </w:abstractNum>
  <w:abstractNum w:abstractNumId="53">
    <w:nsid w:val="799D0247"/>
    <w:multiLevelType w:val="hybridMultilevel"/>
    <w:lvl w:ilvl="0">
      <w:lvlJc w:val="left"/>
      <w:lvlText w:val="(%1)"/>
      <w:numFmt w:val="upperLetter"/>
      <w:start w:val="3"/>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decimal"/>
      <w:start w:val="2"/>
    </w:lvl>
  </w:abstractNum>
  <w:abstractNum w:abstractNumId="56">
    <w:nsid w:val="168E121F"/>
    <w:multiLevelType w:val="hybridMultilevel"/>
    <w:lvl w:ilvl="0">
      <w:lvlJc w:val="left"/>
      <w:lvlText w:val="(%1)"/>
      <w:numFmt w:val="decimal"/>
      <w:start w:val="3"/>
    </w:lvl>
    <w:lvl w:ilvl="1">
      <w:lvlJc w:val="left"/>
      <w:lvlText w:val="(%2)"/>
      <w:numFmt w:val="lowerLetter"/>
      <w:start w:val="1"/>
    </w:lvl>
  </w:abstractNum>
  <w:abstractNum w:abstractNumId="57">
    <w:nsid w:val="1EBA5D23"/>
    <w:multiLevelType w:val="hybridMultilevel"/>
    <w:lvl w:ilvl="0">
      <w:lvlJc w:val="left"/>
      <w:lvlText w:val="(%1)"/>
      <w:numFmt w:val="lowerLetter"/>
      <w:start w:val="2"/>
    </w:lvl>
  </w:abstractNum>
  <w:abstractNum w:abstractNumId="58">
    <w:nsid w:val="661E3F1E"/>
    <w:multiLevelType w:val="hybridMultilevel"/>
    <w:lvl w:ilvl="0">
      <w:lvlJc w:val="left"/>
      <w:lvlText w:val="(%1)"/>
      <w:numFmt w:val="lowerLetter"/>
      <w:start w:val="3"/>
    </w:lvl>
  </w:abstractNum>
  <w:abstractNum w:abstractNumId="59">
    <w:nsid w:val="5DC79EA8"/>
    <w:multiLevelType w:val="hybridMultilevel"/>
    <w:lvl w:ilvl="0">
      <w:lvlJc w:val="left"/>
      <w:lvlText w:val="%1."/>
      <w:numFmt w:val="decimal"/>
      <w:start w:val="3"/>
    </w:lvl>
  </w:abstractNum>
  <w:abstractNum w:abstractNumId="60">
    <w:nsid w:val="540A471C"/>
    <w:multiLevelType w:val="hybridMultilevel"/>
    <w:lvl w:ilvl="0">
      <w:lvlJc w:val="left"/>
      <w:lvlText w:val="(%1)"/>
      <w:numFmt w:val="upperLetter"/>
      <w:start w:val="1"/>
    </w:lvl>
  </w:abstractNum>
  <w:abstractNum w:abstractNumId="61">
    <w:nsid w:val="7BD3EE7B"/>
    <w:multiLevelType w:val="hybridMultilevel"/>
    <w:lvl w:ilvl="0">
      <w:lvlJc w:val="left"/>
      <w:lvlText w:val="%1."/>
      <w:numFmt w:val="decimal"/>
      <w:start w:val="4"/>
    </w:lvl>
  </w:abstractNum>
  <w:abstractNum w:abstractNumId="62">
    <w:nsid w:val="51D9C564"/>
    <w:multiLevelType w:val="hybridMultilevel"/>
    <w:lvl w:ilvl="0">
      <w:lvlJc w:val="left"/>
      <w:lvlText w:val="(%1)"/>
      <w:numFmt w:val="upperLetter"/>
      <w:start w:val="4"/>
    </w:lvl>
    <w:lvl w:ilvl="1">
      <w:lvlJc w:val="left"/>
      <w:lvlText w:val="(%2)"/>
      <w:numFmt w:val="upperLetter"/>
      <w:start w:val="1"/>
    </w:lvl>
  </w:abstractNum>
  <w:abstractNum w:abstractNumId="63">
    <w:nsid w:val="613EFDC5"/>
    <w:multiLevelType w:val="hybridMultilevel"/>
    <w:lvl w:ilvl="0">
      <w:lvlJc w:val="left"/>
      <w:lvlText w:val="(%1)"/>
      <w:numFmt w:val="upperLetter"/>
      <w:start w:val="2"/>
    </w:lvl>
  </w:abstractNum>
  <w:abstractNum w:abstractNumId="64">
    <w:nsid w:val="BF72B14"/>
    <w:multiLevelType w:val="hybridMultilevel"/>
    <w:lvl w:ilvl="0">
      <w:lvlJc w:val="left"/>
      <w:lvlText w:val="(%1)"/>
      <w:numFmt w:val="upperLetter"/>
      <w:start w:val="3"/>
    </w:lvl>
  </w:abstractNum>
  <w:abstractNum w:abstractNumId="65">
    <w:nsid w:val="11447B73"/>
    <w:multiLevelType w:val="hybridMultilevel"/>
    <w:lvl w:ilvl="0">
      <w:lvlJc w:val="left"/>
      <w:lvlText w:val="(%1)"/>
      <w:numFmt w:val="upperLetter"/>
      <w:start w:val="4"/>
    </w:lvl>
  </w:abstractNum>
  <w:abstractNum w:abstractNumId="66">
    <w:nsid w:val="42963E5A"/>
    <w:multiLevelType w:val="hybridMultilevel"/>
    <w:lvl w:ilvl="0">
      <w:lvlJc w:val="left"/>
      <w:lvlText w:val="%1."/>
      <w:numFmt w:val="decimal"/>
      <w:start w:val="5"/>
    </w:lvl>
  </w:abstractNum>
  <w:abstractNum w:abstractNumId="67">
    <w:nsid w:val="A0382C5"/>
    <w:multiLevelType w:val="hybridMultilevel"/>
    <w:lvl w:ilvl="0">
      <w:lvlJc w:val="left"/>
      <w:lvlText w:val="(%1)"/>
      <w:numFmt w:val="upperLetter"/>
      <w:start w:val="1"/>
    </w:lvl>
  </w:abstractNum>
  <w:abstractNum w:abstractNumId="68">
    <w:nsid w:val="8F2B15E"/>
    <w:multiLevelType w:val="hybridMultilevel"/>
    <w:lvl w:ilvl="0">
      <w:lvlJc w:val="left"/>
      <w:lvlText w:val="(%1)"/>
      <w:numFmt w:val="upperLetter"/>
      <w:start w:val="2"/>
    </w:lvl>
  </w:abstractNum>
  <w:abstractNum w:abstractNumId="69">
    <w:nsid w:val="1A32234B"/>
    <w:multiLevelType w:val="hybridMultilevel"/>
    <w:lvl w:ilvl="0">
      <w:lvlJc w:val="left"/>
      <w:lvlText w:val="(%1)"/>
      <w:numFmt w:val="upperLetter"/>
      <w:start w:val="1"/>
    </w:lvl>
  </w:abstractNum>
  <w:abstractNum w:abstractNumId="70">
    <w:nsid w:val="3B0FD379"/>
    <w:multiLevelType w:val="hybridMultilevel"/>
    <w:lvl w:ilvl="0">
      <w:lvlJc w:val="left"/>
      <w:lvlText w:val="(%1)"/>
      <w:numFmt w:val="upperLetter"/>
      <w:start w:val="2"/>
    </w:lvl>
    <w:lvl w:ilvl="1">
      <w:lvlJc w:val="left"/>
      <w:lvlText w:val="(%2)"/>
      <w:numFmt w:val="decimal"/>
      <w:start w:val="1"/>
    </w:lvl>
  </w:abstractNum>
  <w:abstractNum w:abstractNumId="71">
    <w:nsid w:val="68EB2F63"/>
    <w:multiLevelType w:val="hybridMultilevel"/>
    <w:lvl w:ilvl="0">
      <w:lvlJc w:val="left"/>
      <w:lvlText w:val="(%1)"/>
      <w:numFmt w:val="lowerLetter"/>
      <w:start w:val="1"/>
    </w:lvl>
  </w:abstractNum>
  <w:abstractNum w:abstractNumId="72">
    <w:nsid w:val="4962813B"/>
    <w:multiLevelType w:val="hybridMultilevel"/>
    <w:lvl w:ilvl="0">
      <w:lvlJc w:val="left"/>
      <w:lvlText w:val="(%1)"/>
      <w:numFmt w:val="decimal"/>
      <w:start w:val="2"/>
    </w:lvl>
  </w:abstractNum>
  <w:abstractNum w:abstractNumId="73">
    <w:nsid w:val="60B6DF70"/>
    <w:multiLevelType w:val="hybridMultilevel"/>
    <w:lvl w:ilvl="0">
      <w:lvlJc w:val="left"/>
      <w:lvlText w:val="(%1)"/>
      <w:numFmt w:val="decimal"/>
      <w:start w:val="3"/>
    </w:lvl>
  </w:abstractNum>
  <w:abstractNum w:abstractNumId="74">
    <w:nsid w:val="6A5EE64"/>
    <w:multiLevelType w:val="hybridMultilevel"/>
    <w:lvl w:ilvl="0">
      <w:lvlJc w:val="left"/>
      <w:lvlText w:val="%1."/>
      <w:numFmt w:val="decimal"/>
      <w:start w:val="6"/>
    </w:lvl>
  </w:abstractNum>
  <w:abstractNum w:abstractNumId="75">
    <w:nsid w:val="14330624"/>
    <w:multiLevelType w:val="hybridMultilevel"/>
    <w:lvl w:ilvl="0">
      <w:lvlJc w:val="left"/>
      <w:lvlText w:val="(%1)"/>
      <w:numFmt w:val="upperLetter"/>
      <w:start w:val="1"/>
    </w:lvl>
  </w:abstractNum>
  <w:abstractNum w:abstractNumId="76">
    <w:nsid w:val="7FFFCA11"/>
    <w:multiLevelType w:val="hybridMultilevel"/>
    <w:lvl w:ilvl="0">
      <w:lvlJc w:val="left"/>
      <w:lvlText w:val="(%1)"/>
      <w:numFmt w:val="upperLetter"/>
      <w:start w:val="2"/>
    </w:lvl>
  </w:abstractNum>
  <w:abstractNum w:abstractNumId="77">
    <w:nsid w:val="1A27709E"/>
    <w:multiLevelType w:val="hybridMultilevel"/>
    <w:lvl w:ilvl="0">
      <w:lvlJc w:val="left"/>
      <w:lvlText w:val="(%1)"/>
      <w:numFmt w:val="upperLetter"/>
      <w:start w:val="1"/>
    </w:lvl>
  </w:abstractNum>
  <w:abstractNum w:abstractNumId="78">
    <w:nsid w:val="71EA1109"/>
    <w:multiLevelType w:val="hybridMultilevel"/>
    <w:lvl w:ilvl="0">
      <w:lvlJc w:val="left"/>
      <w:lvlText w:val="(%1)"/>
      <w:numFmt w:val="upperLetter"/>
      <w:start w:val="2"/>
    </w:lvl>
  </w:abstractNum>
  <w:abstractNum w:abstractNumId="79">
    <w:nsid w:val="100F59DC"/>
    <w:multiLevelType w:val="hybridMultilevel"/>
    <w:lvl w:ilvl="0">
      <w:lvlJc w:val="left"/>
      <w:lvlText w:val="%1."/>
      <w:numFmt w:val="decimal"/>
      <w:start w:val="7"/>
    </w:lvl>
  </w:abstractNum>
  <w:abstractNum w:abstractNumId="80">
    <w:nsid w:val="7FB7E0AA"/>
    <w:multiLevelType w:val="hybridMultilevel"/>
    <w:lvl w:ilvl="0">
      <w:lvlJc w:val="left"/>
      <w:lvlText w:val="(%1)"/>
      <w:numFmt w:val="upperLetter"/>
      <w:start w:val="1"/>
    </w:lvl>
  </w:abstractNum>
  <w:abstractNum w:abstractNumId="81">
    <w:nsid w:val="6EB5BD4"/>
    <w:multiLevelType w:val="hybridMultilevel"/>
    <w:lvl w:ilvl="0">
      <w:lvlJc w:val="left"/>
      <w:lvlText w:val="(%1)"/>
      <w:numFmt w:val="upperLetter"/>
      <w:start w:val="2"/>
    </w:lvl>
  </w:abstractNum>
  <w:abstractNum w:abstractNumId="82">
    <w:nsid w:val="6F6DD9AC"/>
    <w:multiLevelType w:val="hybridMultilevel"/>
    <w:lvl w:ilvl="0">
      <w:lvlJc w:val="left"/>
      <w:lvlText w:val="%1."/>
      <w:numFmt w:val="decimal"/>
      <w:start w:val="1"/>
    </w:lvl>
    <w:lvl w:ilvl="1">
      <w:lvlJc w:val="left"/>
      <w:lvlText w:val="(%2)"/>
      <w:numFmt w:val="lowerLetter"/>
      <w:start w:val="1"/>
    </w:lvl>
  </w:abstractNum>
  <w:abstractNum w:abstractNumId="83">
    <w:nsid w:val="94211F2"/>
    <w:multiLevelType w:val="hybridMultilevel"/>
    <w:lvl w:ilvl="0">
      <w:lvlJc w:val="left"/>
      <w:lvlText w:val="%1."/>
      <w:numFmt w:val="decimal"/>
      <w:start w:val="1"/>
    </w:lvl>
    <w:lvl w:ilvl="1">
      <w:lvlJc w:val="left"/>
      <w:lvlText w:val="(%2)"/>
      <w:numFmt w:val="lowerLetter"/>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lowerRoman"/>
      <w:start w:val="1"/>
    </w:lvl>
  </w:abstractNum>
  <w:abstractNum w:abstractNumId="86">
    <w:nsid w:val="4C04A8AF"/>
    <w:multiLevelType w:val="hybridMultilevel"/>
    <w:lvl w:ilvl="0">
      <w:lvlJc w:val="left"/>
      <w:lvlText w:val="(%1)"/>
      <w:numFmt w:val="lowerRoman"/>
      <w:start w:val="1"/>
    </w:lvl>
  </w:abstractNum>
  <w:abstractNum w:abstractNumId="87">
    <w:nsid w:val="1716703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2026-05-04T11:43:31Z</dcterms:created>
  <dcterms:modified xsi:type="dcterms:W3CDTF">2026-05-04T11:43:31Z</dcterms:modified>
</cp:coreProperties>
</file>