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180"/>
        <w:spacing w:after="0"/>
        <w:rPr>
          <w:sz w:val="20"/>
          <w:szCs w:val="20"/>
          <w:color w:val="auto"/>
        </w:rPr>
      </w:pPr>
      <w:r>
        <w:rPr>
          <w:rFonts w:ascii="Arial" w:cs="Arial" w:eastAsia="Arial" w:hAnsi="Arial"/>
          <w:sz w:val="25"/>
          <w:szCs w:val="25"/>
          <w:b w:val="1"/>
          <w:bCs w:val="1"/>
          <w:color w:val="auto"/>
        </w:rPr>
        <w:t>FORM 10-Q</w:t>
      </w:r>
    </w:p>
    <w:p>
      <w:pPr>
        <w:sectPr>
          <w:pgSz w:w="11900" w:h="16838" w:orient="portrait"/>
          <w:cols w:equalWidth="0" w:num="1">
            <w:col w:w="11440"/>
          </w:cols>
          <w:pgMar w:left="240" w:top="427" w:right="219" w:bottom="1440" w:gutter="0" w:footer="0" w:header="0"/>
        </w:sectPr>
      </w:pPr>
    </w:p>
    <w:p>
      <w:pPr>
        <w:spacing w:after="0" w:line="230" w:lineRule="exact"/>
        <w:rPr>
          <w:sz w:val="24"/>
          <w:szCs w:val="24"/>
          <w:color w:val="auto"/>
        </w:rPr>
      </w:pPr>
    </w:p>
    <w:p>
      <w:pPr>
        <w:ind w:left="3760" w:right="240" w:hanging="986"/>
        <w:spacing w:after="0" w:line="282" w:lineRule="auto"/>
        <w:tabs>
          <w:tab w:leader="none" w:pos="3096"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6" w:lineRule="exact"/>
        <w:rPr>
          <w:sz w:val="24"/>
          <w:szCs w:val="24"/>
          <w:color w:val="auto"/>
        </w:rPr>
      </w:pPr>
    </w:p>
    <w:p>
      <w:pPr>
        <w:jc w:val="center"/>
        <w:ind w:left="2540"/>
        <w:spacing w:after="0"/>
        <w:rPr>
          <w:sz w:val="20"/>
          <w:szCs w:val="20"/>
          <w:color w:val="auto"/>
        </w:rPr>
      </w:pPr>
      <w:r>
        <w:rPr>
          <w:rFonts w:ascii="Arial" w:cs="Arial" w:eastAsia="Arial" w:hAnsi="Arial"/>
          <w:sz w:val="18"/>
          <w:szCs w:val="18"/>
          <w:color w:val="auto"/>
        </w:rPr>
        <w:t>For the quarterly period ended September 30, 2018</w:t>
      </w:r>
    </w:p>
    <w:p>
      <w:pPr>
        <w:spacing w:after="0" w:line="23" w:lineRule="exact"/>
        <w:rPr>
          <w:sz w:val="24"/>
          <w:szCs w:val="24"/>
          <w:color w:val="auto"/>
        </w:rPr>
      </w:pPr>
    </w:p>
    <w:p>
      <w:pPr>
        <w:jc w:val="center"/>
        <w:ind w:left="2540"/>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3760" w:right="260" w:hanging="970"/>
        <w:spacing w:after="0" w:line="282" w:lineRule="auto"/>
        <w:tabs>
          <w:tab w:leader="none" w:pos="3067"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6"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For the transition period from __________to________</w:t>
      </w:r>
    </w:p>
    <w:p>
      <w:pPr>
        <w:spacing w:after="0" w:line="225" w:lineRule="exact"/>
        <w:rPr>
          <w:sz w:val="24"/>
          <w:szCs w:val="24"/>
          <w:color w:val="auto"/>
        </w:rPr>
      </w:pPr>
    </w:p>
    <w:p>
      <w:pPr>
        <w:jc w:val="center"/>
        <w:ind w:left="2540"/>
        <w:spacing w:after="0"/>
        <w:rPr>
          <w:sz w:val="20"/>
          <w:szCs w:val="20"/>
          <w:color w:val="auto"/>
        </w:rPr>
      </w:pPr>
      <w:r>
        <w:rPr>
          <w:rFonts w:ascii="Arial" w:cs="Arial" w:eastAsia="Arial" w:hAnsi="Arial"/>
          <w:sz w:val="18"/>
          <w:szCs w:val="18"/>
          <w:color w:val="auto"/>
        </w:rPr>
        <w:t>Commission File Number 1-2256</w:t>
      </w:r>
    </w:p>
    <w:p>
      <w:pPr>
        <w:spacing w:after="0" w:line="201" w:lineRule="exact"/>
        <w:rPr>
          <w:sz w:val="24"/>
          <w:szCs w:val="24"/>
          <w:color w:val="auto"/>
        </w:rPr>
      </w:pPr>
    </w:p>
    <w:p>
      <w:pPr>
        <w:jc w:val="center"/>
        <w:ind w:left="2540"/>
        <w:spacing w:after="0"/>
        <w:rPr>
          <w:sz w:val="20"/>
          <w:szCs w:val="20"/>
          <w:color w:val="auto"/>
        </w:rPr>
      </w:pPr>
      <w:r>
        <w:rPr>
          <w:rFonts w:ascii="Arial" w:cs="Arial" w:eastAsia="Arial" w:hAnsi="Arial"/>
          <w:sz w:val="36"/>
          <w:szCs w:val="36"/>
          <w:b w:val="1"/>
          <w:bCs w:val="1"/>
          <w:color w:val="auto"/>
        </w:rPr>
        <w:t>EXXON MOBIL CORPORATION</w:t>
      </w:r>
    </w:p>
    <w:p>
      <w:pPr>
        <w:spacing w:after="0" w:line="37"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(Exact name of registrant as specified in its charter)</w:t>
      </w:r>
    </w:p>
    <w:p>
      <w:pPr>
        <w:spacing w:after="0" w:line="192" w:lineRule="exact"/>
        <w:rPr>
          <w:sz w:val="24"/>
          <w:szCs w:val="24"/>
          <w:color w:val="auto"/>
        </w:rPr>
      </w:pPr>
    </w:p>
    <w:p>
      <w:pPr>
        <w:jc w:val="center"/>
        <w:ind w:right="5040"/>
        <w:spacing w:after="0"/>
        <w:rPr>
          <w:sz w:val="20"/>
          <w:szCs w:val="20"/>
          <w:color w:val="auto"/>
        </w:rPr>
      </w:pPr>
      <w:r>
        <w:rPr>
          <w:rFonts w:ascii="Arial" w:cs="Arial" w:eastAsia="Arial" w:hAnsi="Arial"/>
          <w:sz w:val="18"/>
          <w:szCs w:val="18"/>
          <w:b w:val="1"/>
          <w:bCs w:val="1"/>
          <w:color w:val="auto"/>
        </w:rPr>
        <w:t>NEW JERSEY</w:t>
      </w:r>
    </w:p>
    <w:p>
      <w:pPr>
        <w:spacing w:after="0" w:line="35" w:lineRule="exact"/>
        <w:rPr>
          <w:sz w:val="24"/>
          <w:szCs w:val="24"/>
          <w:color w:val="auto"/>
        </w:rPr>
      </w:pPr>
    </w:p>
    <w:p>
      <w:pPr>
        <w:ind w:left="1000"/>
        <w:spacing w:after="0"/>
        <w:rPr>
          <w:sz w:val="20"/>
          <w:szCs w:val="20"/>
          <w:color w:val="auto"/>
        </w:rPr>
      </w:pPr>
      <w:r>
        <w:rPr>
          <w:rFonts w:ascii="Arial" w:cs="Arial" w:eastAsia="Arial" w:hAnsi="Arial"/>
          <w:sz w:val="14"/>
          <w:szCs w:val="14"/>
          <w:color w:val="auto"/>
        </w:rPr>
        <w:t>(State or other jurisdiction of</w:t>
      </w:r>
    </w:p>
    <w:p>
      <w:pPr>
        <w:ind w:left="9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13-5409005</w:t>
      </w:r>
    </w:p>
    <w:p>
      <w:pPr>
        <w:spacing w:after="0" w:line="36" w:lineRule="exact"/>
        <w:rPr>
          <w:sz w:val="24"/>
          <w:szCs w:val="24"/>
          <w:color w:val="auto"/>
        </w:rPr>
      </w:pPr>
    </w:p>
    <w:p>
      <w:pPr>
        <w:jc w:val="center"/>
        <w:ind w:right="660"/>
        <w:spacing w:after="0"/>
        <w:rPr>
          <w:sz w:val="20"/>
          <w:szCs w:val="20"/>
          <w:color w:val="auto"/>
        </w:rPr>
      </w:pPr>
      <w:r>
        <w:rPr>
          <w:rFonts w:ascii="Arial" w:cs="Arial" w:eastAsia="Arial" w:hAnsi="Arial"/>
          <w:sz w:val="14"/>
          <w:szCs w:val="14"/>
          <w:color w:val="auto"/>
        </w:rPr>
        <w:t>(I.R.S. Employer</w:t>
      </w:r>
    </w:p>
    <w:p>
      <w:pPr>
        <w:spacing w:after="0" w:line="8" w:lineRule="exact"/>
        <w:rPr>
          <w:sz w:val="24"/>
          <w:szCs w:val="24"/>
          <w:color w:val="auto"/>
        </w:rPr>
      </w:pPr>
    </w:p>
    <w:p>
      <w:pPr>
        <w:jc w:val="center"/>
        <w:ind w:right="660"/>
        <w:spacing w:after="0"/>
        <w:rPr>
          <w:sz w:val="20"/>
          <w:szCs w:val="20"/>
          <w:color w:val="auto"/>
        </w:rPr>
      </w:pPr>
      <w:r>
        <w:rPr>
          <w:rFonts w:ascii="Arial" w:cs="Arial" w:eastAsia="Arial" w:hAnsi="Arial"/>
          <w:sz w:val="13"/>
          <w:szCs w:val="13"/>
          <w:color w:val="auto"/>
        </w:rPr>
        <w:t>Identification Number</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8720" w:space="720"/>
            <w:col w:w="2000"/>
          </w:cols>
          <w:pgMar w:left="240" w:top="427" w:right="219" w:bottom="1440" w:gutter="0" w:footer="0" w:header="0"/>
          <w:type w:val="continuous"/>
        </w:sectPr>
      </w:pPr>
    </w:p>
    <w:p>
      <w:pPr>
        <w:spacing w:after="0" w:line="28"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5959 LAS COLINAS BOULEVARD, IRVING, TEXAS 75039-2298</w:t>
      </w:r>
    </w:p>
    <w:p>
      <w:pPr>
        <w:spacing w:after="0" w:line="21" w:lineRule="exact"/>
        <w:rPr>
          <w:sz w:val="24"/>
          <w:szCs w:val="24"/>
          <w:color w:val="auto"/>
        </w:rPr>
      </w:pPr>
    </w:p>
    <w:p>
      <w:pPr>
        <w:jc w:val="center"/>
        <w:ind w:right="200"/>
        <w:spacing w:after="0"/>
        <w:rPr>
          <w:sz w:val="20"/>
          <w:szCs w:val="20"/>
          <w:color w:val="auto"/>
        </w:rPr>
      </w:pPr>
      <w:r>
        <w:rPr>
          <w:rFonts w:ascii="Arial" w:cs="Arial" w:eastAsia="Arial" w:hAnsi="Arial"/>
          <w:sz w:val="14"/>
          <w:szCs w:val="14"/>
          <w:color w:val="auto"/>
        </w:rPr>
        <w:t>(Address of principal executive offices) (Zip Code)</w:t>
      </w:r>
    </w:p>
    <w:p>
      <w:pPr>
        <w:spacing w:after="0" w:line="192"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(972) 940-6000</w:t>
      </w:r>
    </w:p>
    <w:p>
      <w:pPr>
        <w:spacing w:after="0" w:line="21" w:lineRule="exact"/>
        <w:rPr>
          <w:sz w:val="24"/>
          <w:szCs w:val="24"/>
          <w:color w:val="auto"/>
        </w:rPr>
      </w:pPr>
    </w:p>
    <w:p>
      <w:pPr>
        <w:jc w:val="center"/>
        <w:ind w:right="180"/>
        <w:spacing w:after="0"/>
        <w:rPr>
          <w:sz w:val="20"/>
          <w:szCs w:val="20"/>
          <w:color w:val="auto"/>
        </w:rPr>
      </w:pPr>
      <w:r>
        <w:rPr>
          <w:rFonts w:ascii="Arial" w:cs="Arial" w:eastAsia="Arial" w:hAnsi="Arial"/>
          <w:sz w:val="14"/>
          <w:szCs w:val="14"/>
          <w:color w:val="auto"/>
        </w:rPr>
        <w:t>(Registrant's telephone number, including area code)</w:t>
      </w:r>
    </w:p>
    <w:p>
      <w:pPr>
        <w:spacing w:after="0" w:line="201" w:lineRule="exact"/>
        <w:rPr>
          <w:sz w:val="24"/>
          <w:szCs w:val="24"/>
          <w:color w:val="auto"/>
        </w:rPr>
      </w:pPr>
    </w:p>
    <w:p>
      <w:pPr>
        <w:ind w:right="20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right="2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right="2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100" w:type="dxa"/>
        <w:tblCellMar>
          <w:top w:w="0" w:type="dxa"/>
          <w:left w:w="0" w:type="dxa"/>
          <w:bottom w:w="0" w:type="dxa"/>
          <w:right w:w="0" w:type="dxa"/>
        </w:tblCellMar>
      </w:tblPr>
      <w:tr>
        <w:trPr>
          <w:trHeight w:val="310"/>
        </w:trPr>
        <w:tc>
          <w:tcPr>
            <w:tcW w:w="25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20" w:type="dxa"/>
            <w:vAlign w:val="bottom"/>
          </w:tcPr>
          <w:p>
            <w:pPr>
              <w:ind w:left="1100"/>
              <w:spacing w:after="0" w:line="201" w:lineRule="exact"/>
              <w:rPr>
                <w:sz w:val="20"/>
                <w:szCs w:val="20"/>
                <w:color w:val="auto"/>
              </w:rPr>
            </w:pPr>
            <w:r>
              <w:rPr>
                <w:rFonts w:ascii="MS PGothic" w:cs="MS PGothic" w:eastAsia="MS PGothic" w:hAnsi="MS PGothic"/>
                <w:sz w:val="20"/>
                <w:szCs w:val="20"/>
                <w:color w:val="auto"/>
              </w:rPr>
              <w:t>☑</w:t>
            </w:r>
          </w:p>
        </w:tc>
        <w:tc>
          <w:tcPr>
            <w:tcW w:w="3720" w:type="dxa"/>
            <w:vAlign w:val="bottom"/>
          </w:tcPr>
          <w:p>
            <w:pPr>
              <w:ind w:left="960"/>
              <w:spacing w:after="0"/>
              <w:rPr>
                <w:sz w:val="20"/>
                <w:szCs w:val="20"/>
                <w:color w:val="auto"/>
              </w:rPr>
            </w:pPr>
            <w:r>
              <w:rPr>
                <w:rFonts w:ascii="Arial" w:cs="Arial" w:eastAsia="Arial" w:hAnsi="Arial"/>
                <w:sz w:val="16"/>
                <w:szCs w:val="16"/>
                <w:color w:val="auto"/>
              </w:rPr>
              <w:t>Accelerated filer</w:t>
            </w:r>
          </w:p>
        </w:tc>
        <w:tc>
          <w:tcPr>
            <w:tcW w:w="1160" w:type="dxa"/>
            <w:vAlign w:val="bottom"/>
          </w:tcPr>
          <w:p>
            <w:pPr>
              <w:ind w:left="9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446"/>
        </w:trPr>
        <w:tc>
          <w:tcPr>
            <w:tcW w:w="2560" w:type="dxa"/>
            <w:vAlign w:val="bottom"/>
          </w:tcPr>
          <w:p>
            <w:pPr>
              <w:spacing w:after="0"/>
              <w:rPr>
                <w:sz w:val="20"/>
                <w:szCs w:val="20"/>
                <w:color w:val="auto"/>
              </w:rPr>
            </w:pPr>
            <w:r>
              <w:rPr>
                <w:rFonts w:ascii="Arial" w:cs="Arial" w:eastAsia="Arial" w:hAnsi="Arial"/>
                <w:sz w:val="16"/>
                <w:szCs w:val="16"/>
                <w:color w:val="auto"/>
              </w:rPr>
              <w:t>Non-accelerated filer</w:t>
            </w:r>
          </w:p>
        </w:tc>
        <w:tc>
          <w:tcPr>
            <w:tcW w:w="2220" w:type="dxa"/>
            <w:vAlign w:val="bottom"/>
          </w:tcPr>
          <w:p>
            <w:pPr>
              <w:ind w:left="1100"/>
              <w:spacing w:after="0" w:line="201" w:lineRule="exact"/>
              <w:rPr>
                <w:sz w:val="20"/>
                <w:szCs w:val="20"/>
                <w:color w:val="auto"/>
              </w:rPr>
            </w:pPr>
            <w:r>
              <w:rPr>
                <w:rFonts w:ascii="MS PGothic" w:cs="MS PGothic" w:eastAsia="MS PGothic" w:hAnsi="MS PGothic"/>
                <w:sz w:val="20"/>
                <w:szCs w:val="20"/>
                <w:color w:val="auto"/>
              </w:rPr>
              <w:t>☐</w:t>
            </w:r>
          </w:p>
        </w:tc>
        <w:tc>
          <w:tcPr>
            <w:tcW w:w="3720" w:type="dxa"/>
            <w:vAlign w:val="bottom"/>
          </w:tcPr>
          <w:p>
            <w:pPr>
              <w:ind w:left="960"/>
              <w:spacing w:after="0"/>
              <w:rPr>
                <w:sz w:val="20"/>
                <w:szCs w:val="20"/>
                <w:color w:val="auto"/>
              </w:rPr>
            </w:pPr>
            <w:r>
              <w:rPr>
                <w:rFonts w:ascii="Arial" w:cs="Arial" w:eastAsia="Arial" w:hAnsi="Arial"/>
                <w:sz w:val="16"/>
                <w:szCs w:val="16"/>
                <w:color w:val="auto"/>
              </w:rPr>
              <w:t>Smaller reporting company</w:t>
            </w:r>
          </w:p>
        </w:tc>
        <w:tc>
          <w:tcPr>
            <w:tcW w:w="1160" w:type="dxa"/>
            <w:vAlign w:val="bottom"/>
          </w:tcPr>
          <w:p>
            <w:pPr>
              <w:ind w:left="9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446"/>
        </w:trPr>
        <w:tc>
          <w:tcPr>
            <w:tcW w:w="2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20" w:type="dxa"/>
            <w:vAlign w:val="bottom"/>
          </w:tcPr>
          <w:p>
            <w:pPr>
              <w:ind w:left="960"/>
              <w:spacing w:after="0"/>
              <w:rPr>
                <w:sz w:val="20"/>
                <w:szCs w:val="20"/>
                <w:color w:val="auto"/>
              </w:rPr>
            </w:pPr>
            <w:r>
              <w:rPr>
                <w:rFonts w:ascii="Arial" w:cs="Arial" w:eastAsia="Arial" w:hAnsi="Arial"/>
                <w:sz w:val="16"/>
                <w:szCs w:val="16"/>
                <w:color w:val="auto"/>
              </w:rPr>
              <w:t>Emerging growth company</w:t>
            </w:r>
          </w:p>
        </w:tc>
        <w:tc>
          <w:tcPr>
            <w:tcW w:w="1160" w:type="dxa"/>
            <w:vAlign w:val="bottom"/>
          </w:tcPr>
          <w:p>
            <w:pPr>
              <w:ind w:left="98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167" w:lineRule="exact"/>
        <w:rPr>
          <w:sz w:val="24"/>
          <w:szCs w:val="24"/>
          <w:color w:val="auto"/>
        </w:rPr>
      </w:pPr>
    </w:p>
    <w:p>
      <w:pPr>
        <w:ind w:right="20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2" w:lineRule="exact"/>
        <w:rPr>
          <w:sz w:val="24"/>
          <w:szCs w:val="24"/>
          <w:color w:val="auto"/>
        </w:rPr>
      </w:pPr>
    </w:p>
    <w:p>
      <w:pPr>
        <w:spacing w:after="0" w:line="173" w:lineRule="exact"/>
        <w:tabs>
          <w:tab w:leader="none" w:pos="802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8020" w:type="dxa"/>
            <w:vAlign w:val="bottom"/>
            <w:gridSpan w:val="4"/>
          </w:tcPr>
          <w:p>
            <w:pPr>
              <w:spacing w:after="0"/>
              <w:rPr>
                <w:sz w:val="20"/>
                <w:szCs w:val="20"/>
                <w:color w:val="auto"/>
              </w:rPr>
            </w:pPr>
            <w:r>
              <w:rPr>
                <w:rFonts w:ascii="Arial" w:cs="Arial" w:eastAsia="Arial" w:hAnsi="Arial"/>
                <w:sz w:val="16"/>
                <w:szCs w:val="16"/>
                <w:color w:val="auto"/>
                <w:w w:val="91"/>
              </w:rPr>
              <w:t>Indicate the number of shares outstanding of each of the issuer's classes of common stock, as of the latest practicable date.</w:t>
            </w:r>
          </w:p>
        </w:tc>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05"/>
        </w:trPr>
        <w:tc>
          <w:tcPr>
            <w:tcW w:w="20" w:type="dxa"/>
            <w:vAlign w:val="bottom"/>
          </w:tcPr>
          <w:p>
            <w:pPr>
              <w:spacing w:after="0"/>
              <w:rPr>
                <w:sz w:val="24"/>
                <w:szCs w:val="24"/>
                <w:color w:val="auto"/>
              </w:rPr>
            </w:pPr>
          </w:p>
        </w:tc>
        <w:tc>
          <w:tcPr>
            <w:tcW w:w="8000" w:type="dxa"/>
            <w:vAlign w:val="bottom"/>
            <w:gridSpan w:val="3"/>
          </w:tcPr>
          <w:p>
            <w:pPr>
              <w:jc w:val="center"/>
              <w:ind w:right="4820"/>
              <w:spacing w:after="0"/>
              <w:rPr>
                <w:sz w:val="20"/>
                <w:szCs w:val="20"/>
                <w:color w:val="auto"/>
              </w:rPr>
            </w:pPr>
            <w:r>
              <w:rPr>
                <w:rFonts w:ascii="Arial" w:cs="Arial" w:eastAsia="Arial" w:hAnsi="Arial"/>
                <w:sz w:val="16"/>
                <w:szCs w:val="16"/>
                <w:b w:val="1"/>
                <w:bCs w:val="1"/>
                <w:color w:val="auto"/>
                <w:w w:val="88"/>
              </w:rPr>
              <w:t>Class</w:t>
            </w:r>
          </w:p>
        </w:tc>
        <w:tc>
          <w:tcPr>
            <w:tcW w:w="3400" w:type="dxa"/>
            <w:vAlign w:val="bottom"/>
          </w:tcPr>
          <w:p>
            <w:pPr>
              <w:jc w:val="center"/>
              <w:ind w:right="499"/>
              <w:spacing w:after="0"/>
              <w:rPr>
                <w:sz w:val="20"/>
                <w:szCs w:val="20"/>
                <w:color w:val="auto"/>
              </w:rPr>
            </w:pPr>
            <w:r>
              <w:rPr>
                <w:rFonts w:ascii="Arial" w:cs="Arial" w:eastAsia="Arial" w:hAnsi="Arial"/>
                <w:sz w:val="16"/>
                <w:szCs w:val="16"/>
                <w:b w:val="1"/>
                <w:bCs w:val="1"/>
                <w:color w:val="auto"/>
                <w:w w:val="90"/>
              </w:rPr>
              <w:t>Outstanding as of September 30, 2018</w:t>
            </w: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without par value</w:t>
            </w:r>
          </w:p>
        </w:tc>
        <w:tc>
          <w:tcPr>
            <w:tcW w:w="4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tcPr>
          <w:p>
            <w:pPr>
              <w:jc w:val="right"/>
              <w:ind w:right="1439"/>
              <w:spacing w:after="0"/>
              <w:rPr>
                <w:sz w:val="20"/>
                <w:szCs w:val="20"/>
                <w:color w:val="auto"/>
              </w:rPr>
            </w:pPr>
            <w:r>
              <w:rPr>
                <w:rFonts w:ascii="Arial" w:cs="Arial" w:eastAsia="Arial" w:hAnsi="Arial"/>
                <w:sz w:val="16"/>
                <w:szCs w:val="16"/>
                <w:b w:val="1"/>
                <w:bCs w:val="1"/>
                <w:color w:val="auto"/>
              </w:rPr>
              <w:t>4,233,807,170</w:t>
            </w:r>
          </w:p>
        </w:tc>
        <w:tc>
          <w:tcPr>
            <w:tcW w:w="20" w:type="dxa"/>
            <w:vAlign w:val="bottom"/>
          </w:tcPr>
          <w:p>
            <w:pPr>
              <w:spacing w:after="0"/>
              <w:rPr>
                <w:sz w:val="18"/>
                <w:szCs w:val="18"/>
                <w:color w:val="auto"/>
              </w:rPr>
            </w:pPr>
          </w:p>
        </w:tc>
      </w:tr>
      <w:tr>
        <w:trPr>
          <w:trHeight w:val="327"/>
        </w:trPr>
        <w:tc>
          <w:tcPr>
            <w:tcW w:w="20" w:type="dxa"/>
            <w:vAlign w:val="bottom"/>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27"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EXXON MOBIL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8040" w:type="dxa"/>
            <w:vAlign w:val="bottom"/>
          </w:tcPr>
          <w:p>
            <w:pPr>
              <w:jc w:val="center"/>
              <w:ind w:left="1510"/>
              <w:spacing w:after="0"/>
              <w:rPr>
                <w:sz w:val="20"/>
                <w:szCs w:val="20"/>
                <w:color w:val="auto"/>
              </w:rPr>
            </w:pPr>
            <w:r>
              <w:rPr>
                <w:rFonts w:ascii="Arial" w:cs="Arial" w:eastAsia="Arial" w:hAnsi="Arial"/>
                <w:sz w:val="18"/>
                <w:szCs w:val="18"/>
                <w:b w:val="1"/>
                <w:bCs w:val="1"/>
                <w:color w:val="auto"/>
              </w:rPr>
              <w:t>PART I. FINANCIAL INFORMATION</w:t>
            </w:r>
          </w:p>
        </w:tc>
        <w:tc>
          <w:tcPr>
            <w:tcW w:w="2500" w:type="dxa"/>
            <w:vAlign w:val="bottom"/>
          </w:tcPr>
          <w:p>
            <w:pPr>
              <w:spacing w:after="0"/>
              <w:rPr>
                <w:sz w:val="20"/>
                <w:szCs w:val="20"/>
                <w:color w:val="auto"/>
              </w:rPr>
            </w:pPr>
          </w:p>
        </w:tc>
      </w:tr>
      <w:tr>
        <w:trPr>
          <w:trHeight w:val="648"/>
        </w:trPr>
        <w:tc>
          <w:tcPr>
            <w:tcW w:w="900" w:type="dxa"/>
            <w:vAlign w:val="bottom"/>
          </w:tcPr>
          <w:p>
            <w:pPr>
              <w:ind w:left="100"/>
              <w:spacing w:after="0"/>
              <w:rPr>
                <w:sz w:val="20"/>
                <w:szCs w:val="20"/>
                <w:color w:val="auto"/>
              </w:rPr>
            </w:pPr>
            <w:r>
              <w:rPr>
                <w:rFonts w:ascii="Arial" w:cs="Arial" w:eastAsia="Arial" w:hAnsi="Arial"/>
                <w:sz w:val="18"/>
                <w:szCs w:val="18"/>
                <w:b w:val="1"/>
                <w:bCs w:val="1"/>
                <w:color w:val="auto"/>
              </w:rPr>
              <w:t>Item 1.</w:t>
            </w: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500" w:type="dxa"/>
            <w:vAlign w:val="bottom"/>
          </w:tcPr>
          <w:p>
            <w:pPr>
              <w:spacing w:after="0"/>
              <w:rPr>
                <w:sz w:val="24"/>
                <w:szCs w:val="24"/>
                <w:color w:val="auto"/>
              </w:rPr>
            </w:pPr>
          </w:p>
        </w:tc>
      </w:tr>
      <w:tr>
        <w:trPr>
          <w:trHeight w:val="418"/>
        </w:trPr>
        <w:tc>
          <w:tcPr>
            <w:tcW w:w="8940" w:type="dxa"/>
            <w:vAlign w:val="bottom"/>
            <w:gridSpan w:val="2"/>
          </w:tcPr>
          <w:p>
            <w:pPr>
              <w:ind w:left="340"/>
              <w:spacing w:after="0"/>
              <w:rPr>
                <w:sz w:val="20"/>
                <w:szCs w:val="20"/>
                <w:color w:val="auto"/>
              </w:rPr>
            </w:pPr>
            <w:r>
              <w:rPr>
                <w:rFonts w:ascii="Arial" w:cs="Arial" w:eastAsia="Arial" w:hAnsi="Arial"/>
                <w:sz w:val="18"/>
                <w:szCs w:val="18"/>
                <w:color w:val="auto"/>
              </w:rPr>
              <w:t>Condensed Consolidated Statement of Income</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3</w:t>
            </w:r>
          </w:p>
        </w:tc>
      </w:tr>
      <w:tr>
        <w:trPr>
          <w:trHeight w:val="230"/>
        </w:trPr>
        <w:tc>
          <w:tcPr>
            <w:tcW w:w="8940" w:type="dxa"/>
            <w:vAlign w:val="bottom"/>
            <w:gridSpan w:val="2"/>
          </w:tcPr>
          <w:p>
            <w:pPr>
              <w:ind w:left="520"/>
              <w:spacing w:after="0"/>
              <w:rPr>
                <w:sz w:val="20"/>
                <w:szCs w:val="20"/>
                <w:color w:val="auto"/>
              </w:rPr>
            </w:pPr>
            <w:r>
              <w:rPr>
                <w:rFonts w:ascii="Arial" w:cs="Arial" w:eastAsia="Arial" w:hAnsi="Arial"/>
                <w:sz w:val="18"/>
                <w:szCs w:val="18"/>
                <w:color w:val="auto"/>
              </w:rPr>
              <w:t>Three and nine months ended September 30, 2018 and 2017</w:t>
            </w:r>
          </w:p>
        </w:tc>
        <w:tc>
          <w:tcPr>
            <w:tcW w:w="2500" w:type="dxa"/>
            <w:vAlign w:val="bottom"/>
          </w:tcPr>
          <w:p>
            <w:pPr>
              <w:spacing w:after="0"/>
              <w:rPr>
                <w:sz w:val="20"/>
                <w:szCs w:val="20"/>
                <w:color w:val="auto"/>
              </w:rPr>
            </w:pPr>
          </w:p>
        </w:tc>
      </w:tr>
      <w:tr>
        <w:trPr>
          <w:trHeight w:val="418"/>
        </w:trPr>
        <w:tc>
          <w:tcPr>
            <w:tcW w:w="8940" w:type="dxa"/>
            <w:vAlign w:val="bottom"/>
            <w:gridSpan w:val="2"/>
          </w:tcPr>
          <w:p>
            <w:pPr>
              <w:ind w:left="340"/>
              <w:spacing w:after="0"/>
              <w:rPr>
                <w:sz w:val="20"/>
                <w:szCs w:val="20"/>
                <w:color w:val="auto"/>
              </w:rPr>
            </w:pPr>
            <w:r>
              <w:rPr>
                <w:rFonts w:ascii="Arial" w:cs="Arial" w:eastAsia="Arial" w:hAnsi="Arial"/>
                <w:sz w:val="18"/>
                <w:szCs w:val="18"/>
                <w:color w:val="auto"/>
              </w:rPr>
              <w:t>Condensed Consolidated Statement of Comprehensive Income</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4</w:t>
            </w:r>
          </w:p>
        </w:tc>
      </w:tr>
      <w:tr>
        <w:trPr>
          <w:trHeight w:val="230"/>
        </w:trPr>
        <w:tc>
          <w:tcPr>
            <w:tcW w:w="8940" w:type="dxa"/>
            <w:vAlign w:val="bottom"/>
            <w:gridSpan w:val="2"/>
          </w:tcPr>
          <w:p>
            <w:pPr>
              <w:ind w:left="520"/>
              <w:spacing w:after="0"/>
              <w:rPr>
                <w:sz w:val="20"/>
                <w:szCs w:val="20"/>
                <w:color w:val="auto"/>
              </w:rPr>
            </w:pPr>
            <w:r>
              <w:rPr>
                <w:rFonts w:ascii="Arial" w:cs="Arial" w:eastAsia="Arial" w:hAnsi="Arial"/>
                <w:sz w:val="18"/>
                <w:szCs w:val="18"/>
                <w:color w:val="auto"/>
              </w:rPr>
              <w:t>Three and nine months ended September 30, 2018 and 2017</w:t>
            </w:r>
          </w:p>
        </w:tc>
        <w:tc>
          <w:tcPr>
            <w:tcW w:w="2500" w:type="dxa"/>
            <w:vAlign w:val="bottom"/>
          </w:tcPr>
          <w:p>
            <w:pPr>
              <w:spacing w:after="0"/>
              <w:rPr>
                <w:sz w:val="20"/>
                <w:szCs w:val="20"/>
                <w:color w:val="auto"/>
              </w:rPr>
            </w:pPr>
          </w:p>
        </w:tc>
      </w:tr>
      <w:tr>
        <w:trPr>
          <w:trHeight w:val="418"/>
        </w:trPr>
        <w:tc>
          <w:tcPr>
            <w:tcW w:w="8940" w:type="dxa"/>
            <w:vAlign w:val="bottom"/>
            <w:gridSpan w:val="2"/>
          </w:tcPr>
          <w:p>
            <w:pPr>
              <w:ind w:left="340"/>
              <w:spacing w:after="0"/>
              <w:rPr>
                <w:sz w:val="20"/>
                <w:szCs w:val="20"/>
                <w:color w:val="auto"/>
              </w:rPr>
            </w:pPr>
            <w:r>
              <w:rPr>
                <w:rFonts w:ascii="Arial" w:cs="Arial" w:eastAsia="Arial" w:hAnsi="Arial"/>
                <w:sz w:val="18"/>
                <w:szCs w:val="18"/>
                <w:color w:val="auto"/>
              </w:rPr>
              <w:t>Condensed Consolidated Balance Sheet</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5</w:t>
            </w:r>
          </w:p>
        </w:tc>
      </w:tr>
      <w:tr>
        <w:trPr>
          <w:trHeight w:val="230"/>
        </w:trPr>
        <w:tc>
          <w:tcPr>
            <w:tcW w:w="8940" w:type="dxa"/>
            <w:vAlign w:val="bottom"/>
            <w:gridSpan w:val="2"/>
          </w:tcPr>
          <w:p>
            <w:pPr>
              <w:ind w:left="520"/>
              <w:spacing w:after="0"/>
              <w:rPr>
                <w:sz w:val="20"/>
                <w:szCs w:val="20"/>
                <w:color w:val="auto"/>
              </w:rPr>
            </w:pPr>
            <w:r>
              <w:rPr>
                <w:rFonts w:ascii="Arial" w:cs="Arial" w:eastAsia="Arial" w:hAnsi="Arial"/>
                <w:sz w:val="18"/>
                <w:szCs w:val="18"/>
                <w:color w:val="auto"/>
              </w:rPr>
              <w:t>As of September 30, 2018 and December 31, 2017</w:t>
            </w:r>
          </w:p>
        </w:tc>
        <w:tc>
          <w:tcPr>
            <w:tcW w:w="2500" w:type="dxa"/>
            <w:vAlign w:val="bottom"/>
          </w:tcPr>
          <w:p>
            <w:pPr>
              <w:spacing w:after="0"/>
              <w:rPr>
                <w:sz w:val="20"/>
                <w:szCs w:val="20"/>
                <w:color w:val="auto"/>
              </w:rPr>
            </w:pPr>
          </w:p>
        </w:tc>
      </w:tr>
      <w:tr>
        <w:trPr>
          <w:trHeight w:val="418"/>
        </w:trPr>
        <w:tc>
          <w:tcPr>
            <w:tcW w:w="8940" w:type="dxa"/>
            <w:vAlign w:val="bottom"/>
            <w:gridSpan w:val="2"/>
          </w:tcPr>
          <w:p>
            <w:pPr>
              <w:ind w:left="340"/>
              <w:spacing w:after="0"/>
              <w:rPr>
                <w:sz w:val="20"/>
                <w:szCs w:val="20"/>
                <w:color w:val="auto"/>
              </w:rPr>
            </w:pPr>
            <w:r>
              <w:rPr>
                <w:rFonts w:ascii="Arial" w:cs="Arial" w:eastAsia="Arial" w:hAnsi="Arial"/>
                <w:sz w:val="18"/>
                <w:szCs w:val="18"/>
                <w:color w:val="auto"/>
              </w:rPr>
              <w:t>Condensed Consolidated Statement of Cash Flows</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6</w:t>
            </w:r>
          </w:p>
        </w:tc>
      </w:tr>
      <w:tr>
        <w:trPr>
          <w:trHeight w:val="230"/>
        </w:trPr>
        <w:tc>
          <w:tcPr>
            <w:tcW w:w="8940" w:type="dxa"/>
            <w:vAlign w:val="bottom"/>
            <w:gridSpan w:val="2"/>
          </w:tcPr>
          <w:p>
            <w:pPr>
              <w:ind w:left="560"/>
              <w:spacing w:after="0"/>
              <w:rPr>
                <w:sz w:val="20"/>
                <w:szCs w:val="20"/>
                <w:color w:val="auto"/>
              </w:rPr>
            </w:pPr>
            <w:r>
              <w:rPr>
                <w:rFonts w:ascii="Arial" w:cs="Arial" w:eastAsia="Arial" w:hAnsi="Arial"/>
                <w:sz w:val="18"/>
                <w:szCs w:val="18"/>
                <w:color w:val="auto"/>
              </w:rPr>
              <w:t>Nine months ended September 30, 2018 and 2017</w:t>
            </w:r>
          </w:p>
        </w:tc>
        <w:tc>
          <w:tcPr>
            <w:tcW w:w="2500" w:type="dxa"/>
            <w:vAlign w:val="bottom"/>
          </w:tcPr>
          <w:p>
            <w:pPr>
              <w:spacing w:after="0"/>
              <w:rPr>
                <w:sz w:val="20"/>
                <w:szCs w:val="20"/>
                <w:color w:val="auto"/>
              </w:rPr>
            </w:pPr>
          </w:p>
        </w:tc>
      </w:tr>
      <w:tr>
        <w:trPr>
          <w:trHeight w:val="418"/>
        </w:trPr>
        <w:tc>
          <w:tcPr>
            <w:tcW w:w="8940" w:type="dxa"/>
            <w:vAlign w:val="bottom"/>
            <w:gridSpan w:val="2"/>
          </w:tcPr>
          <w:p>
            <w:pPr>
              <w:ind w:left="340"/>
              <w:spacing w:after="0"/>
              <w:rPr>
                <w:sz w:val="20"/>
                <w:szCs w:val="20"/>
                <w:color w:val="auto"/>
              </w:rPr>
            </w:pPr>
            <w:r>
              <w:rPr>
                <w:rFonts w:ascii="Arial" w:cs="Arial" w:eastAsia="Arial" w:hAnsi="Arial"/>
                <w:sz w:val="18"/>
                <w:szCs w:val="18"/>
                <w:color w:val="auto"/>
              </w:rPr>
              <w:t>Condensed Consolidated Statement of Changes in Equity</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7</w:t>
            </w:r>
          </w:p>
        </w:tc>
      </w:tr>
      <w:tr>
        <w:trPr>
          <w:trHeight w:val="230"/>
        </w:trPr>
        <w:tc>
          <w:tcPr>
            <w:tcW w:w="8940" w:type="dxa"/>
            <w:vAlign w:val="bottom"/>
            <w:gridSpan w:val="2"/>
          </w:tcPr>
          <w:p>
            <w:pPr>
              <w:ind w:left="560"/>
              <w:spacing w:after="0"/>
              <w:rPr>
                <w:sz w:val="20"/>
                <w:szCs w:val="20"/>
                <w:color w:val="auto"/>
              </w:rPr>
            </w:pPr>
            <w:r>
              <w:rPr>
                <w:rFonts w:ascii="Arial" w:cs="Arial" w:eastAsia="Arial" w:hAnsi="Arial"/>
                <w:sz w:val="18"/>
                <w:szCs w:val="18"/>
                <w:color w:val="auto"/>
              </w:rPr>
              <w:t>Nine months ended September 30, 2018 and 2017</w:t>
            </w:r>
          </w:p>
        </w:tc>
        <w:tc>
          <w:tcPr>
            <w:tcW w:w="2500" w:type="dxa"/>
            <w:vAlign w:val="bottom"/>
          </w:tcPr>
          <w:p>
            <w:pPr>
              <w:spacing w:after="0"/>
              <w:rPr>
                <w:sz w:val="20"/>
                <w:szCs w:val="20"/>
                <w:color w:val="auto"/>
              </w:rPr>
            </w:pPr>
          </w:p>
        </w:tc>
      </w:tr>
      <w:tr>
        <w:trPr>
          <w:trHeight w:val="432"/>
        </w:trPr>
        <w:tc>
          <w:tcPr>
            <w:tcW w:w="8940" w:type="dxa"/>
            <w:vAlign w:val="bottom"/>
            <w:gridSpan w:val="2"/>
          </w:tcPr>
          <w:p>
            <w:pPr>
              <w:ind w:left="340"/>
              <w:spacing w:after="0"/>
              <w:rPr>
                <w:sz w:val="20"/>
                <w:szCs w:val="20"/>
                <w:color w:val="auto"/>
              </w:rPr>
            </w:pPr>
            <w:r>
              <w:rPr>
                <w:rFonts w:ascii="Arial" w:cs="Arial" w:eastAsia="Arial" w:hAnsi="Arial"/>
                <w:sz w:val="18"/>
                <w:szCs w:val="18"/>
                <w:color w:val="auto"/>
              </w:rPr>
              <w:t>Notes to Condensed Consolidated Financial Statements</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8</w:t>
            </w:r>
          </w:p>
        </w:tc>
      </w:tr>
      <w:tr>
        <w:trPr>
          <w:trHeight w:val="414"/>
        </w:trPr>
        <w:tc>
          <w:tcPr>
            <w:tcW w:w="900" w:type="dxa"/>
            <w:vAlign w:val="bottom"/>
          </w:tcPr>
          <w:p>
            <w:pPr>
              <w:ind w:left="100"/>
              <w:spacing w:after="0"/>
              <w:rPr>
                <w:sz w:val="20"/>
                <w:szCs w:val="20"/>
                <w:color w:val="auto"/>
              </w:rPr>
            </w:pPr>
            <w:r>
              <w:rPr>
                <w:rFonts w:ascii="Arial" w:cs="Arial" w:eastAsia="Arial" w:hAnsi="Arial"/>
                <w:sz w:val="18"/>
                <w:szCs w:val="18"/>
                <w:b w:val="1"/>
                <w:bCs w:val="1"/>
                <w:color w:val="auto"/>
              </w:rPr>
              <w:t>Item 2.</w:t>
            </w: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Management's Discussion and Analysis of Financial</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16</w:t>
            </w:r>
          </w:p>
        </w:tc>
      </w:tr>
      <w:tr>
        <w:trPr>
          <w:trHeight w:val="234"/>
        </w:trPr>
        <w:tc>
          <w:tcPr>
            <w:tcW w:w="900" w:type="dxa"/>
            <w:vAlign w:val="bottom"/>
          </w:tcPr>
          <w:p>
            <w:pPr>
              <w:spacing w:after="0"/>
              <w:rPr>
                <w:sz w:val="20"/>
                <w:szCs w:val="20"/>
                <w:color w:val="auto"/>
              </w:rPr>
            </w:pPr>
          </w:p>
        </w:tc>
        <w:tc>
          <w:tcPr>
            <w:tcW w:w="8040" w:type="dxa"/>
            <w:vAlign w:val="bottom"/>
          </w:tcPr>
          <w:p>
            <w:pPr>
              <w:ind w:left="160"/>
              <w:spacing w:after="0"/>
              <w:rPr>
                <w:sz w:val="20"/>
                <w:szCs w:val="20"/>
                <w:color w:val="auto"/>
              </w:rPr>
            </w:pPr>
            <w:r>
              <w:rPr>
                <w:rFonts w:ascii="Arial" w:cs="Arial" w:eastAsia="Arial" w:hAnsi="Arial"/>
                <w:sz w:val="18"/>
                <w:szCs w:val="18"/>
                <w:b w:val="1"/>
                <w:bCs w:val="1"/>
                <w:color w:val="auto"/>
              </w:rPr>
              <w:t>Condition and Results of Operations</w:t>
            </w:r>
          </w:p>
        </w:tc>
        <w:tc>
          <w:tcPr>
            <w:tcW w:w="2500" w:type="dxa"/>
            <w:vAlign w:val="bottom"/>
          </w:tcPr>
          <w:p>
            <w:pPr>
              <w:spacing w:after="0"/>
              <w:rPr>
                <w:sz w:val="20"/>
                <w:szCs w:val="20"/>
                <w:color w:val="auto"/>
              </w:rPr>
            </w:pPr>
          </w:p>
        </w:tc>
      </w:tr>
      <w:tr>
        <w:trPr>
          <w:trHeight w:val="432"/>
        </w:trPr>
        <w:tc>
          <w:tcPr>
            <w:tcW w:w="900" w:type="dxa"/>
            <w:vAlign w:val="bottom"/>
          </w:tcPr>
          <w:p>
            <w:pPr>
              <w:ind w:left="100"/>
              <w:spacing w:after="0"/>
              <w:rPr>
                <w:sz w:val="20"/>
                <w:szCs w:val="20"/>
                <w:color w:val="auto"/>
              </w:rPr>
            </w:pPr>
            <w:r>
              <w:rPr>
                <w:rFonts w:ascii="Arial" w:cs="Arial" w:eastAsia="Arial" w:hAnsi="Arial"/>
                <w:sz w:val="18"/>
                <w:szCs w:val="18"/>
                <w:b w:val="1"/>
                <w:bCs w:val="1"/>
                <w:color w:val="auto"/>
              </w:rPr>
              <w:t>Item 3.</w:t>
            </w: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24</w:t>
            </w:r>
          </w:p>
        </w:tc>
      </w:tr>
      <w:tr>
        <w:trPr>
          <w:trHeight w:val="432"/>
        </w:trPr>
        <w:tc>
          <w:tcPr>
            <w:tcW w:w="900" w:type="dxa"/>
            <w:vAlign w:val="bottom"/>
          </w:tcPr>
          <w:p>
            <w:pPr>
              <w:ind w:left="100"/>
              <w:spacing w:after="0"/>
              <w:rPr>
                <w:sz w:val="20"/>
                <w:szCs w:val="20"/>
                <w:color w:val="auto"/>
              </w:rPr>
            </w:pPr>
            <w:r>
              <w:rPr>
                <w:rFonts w:ascii="Arial" w:cs="Arial" w:eastAsia="Arial" w:hAnsi="Arial"/>
                <w:sz w:val="18"/>
                <w:szCs w:val="18"/>
                <w:b w:val="1"/>
                <w:bCs w:val="1"/>
                <w:color w:val="auto"/>
              </w:rPr>
              <w:t>Item 4.</w:t>
            </w: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Controls and Procedures</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24</w:t>
            </w:r>
          </w:p>
        </w:tc>
      </w:tr>
      <w:tr>
        <w:trPr>
          <w:trHeight w:val="648"/>
        </w:trPr>
        <w:tc>
          <w:tcPr>
            <w:tcW w:w="900" w:type="dxa"/>
            <w:vAlign w:val="bottom"/>
          </w:tcPr>
          <w:p>
            <w:pPr>
              <w:spacing w:after="0"/>
              <w:rPr>
                <w:sz w:val="24"/>
                <w:szCs w:val="24"/>
                <w:color w:val="auto"/>
              </w:rPr>
            </w:pPr>
          </w:p>
        </w:tc>
        <w:tc>
          <w:tcPr>
            <w:tcW w:w="8040" w:type="dxa"/>
            <w:vAlign w:val="bottom"/>
          </w:tcPr>
          <w:p>
            <w:pPr>
              <w:jc w:val="center"/>
              <w:ind w:left="1490"/>
              <w:spacing w:after="0"/>
              <w:rPr>
                <w:sz w:val="20"/>
                <w:szCs w:val="20"/>
                <w:color w:val="auto"/>
              </w:rPr>
            </w:pPr>
            <w:r>
              <w:rPr>
                <w:rFonts w:ascii="Arial" w:cs="Arial" w:eastAsia="Arial" w:hAnsi="Arial"/>
                <w:sz w:val="18"/>
                <w:szCs w:val="18"/>
                <w:b w:val="1"/>
                <w:bCs w:val="1"/>
                <w:color w:val="auto"/>
              </w:rPr>
              <w:t>PART II. OTHER INFORMATION</w:t>
            </w:r>
          </w:p>
        </w:tc>
        <w:tc>
          <w:tcPr>
            <w:tcW w:w="2500" w:type="dxa"/>
            <w:vAlign w:val="bottom"/>
          </w:tcPr>
          <w:p>
            <w:pPr>
              <w:spacing w:after="0"/>
              <w:rPr>
                <w:sz w:val="24"/>
                <w:szCs w:val="24"/>
                <w:color w:val="auto"/>
              </w:rPr>
            </w:pPr>
          </w:p>
        </w:tc>
      </w:tr>
      <w:tr>
        <w:trPr>
          <w:trHeight w:val="432"/>
        </w:trPr>
        <w:tc>
          <w:tcPr>
            <w:tcW w:w="900" w:type="dxa"/>
            <w:vAlign w:val="bottom"/>
          </w:tcPr>
          <w:p>
            <w:pPr>
              <w:ind w:left="100"/>
              <w:spacing w:after="0"/>
              <w:rPr>
                <w:sz w:val="20"/>
                <w:szCs w:val="20"/>
                <w:color w:val="auto"/>
              </w:rPr>
            </w:pPr>
            <w:r>
              <w:rPr>
                <w:rFonts w:ascii="Arial" w:cs="Arial" w:eastAsia="Arial" w:hAnsi="Arial"/>
                <w:sz w:val="18"/>
                <w:szCs w:val="18"/>
                <w:b w:val="1"/>
                <w:bCs w:val="1"/>
                <w:color w:val="auto"/>
              </w:rPr>
              <w:t>Item 1.</w:t>
            </w: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Legal Proceedings</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25</w:t>
            </w:r>
          </w:p>
        </w:tc>
      </w:tr>
      <w:tr>
        <w:trPr>
          <w:trHeight w:val="432"/>
        </w:trPr>
        <w:tc>
          <w:tcPr>
            <w:tcW w:w="900" w:type="dxa"/>
            <w:vAlign w:val="bottom"/>
          </w:tcPr>
          <w:p>
            <w:pPr>
              <w:ind w:left="100"/>
              <w:spacing w:after="0"/>
              <w:rPr>
                <w:sz w:val="20"/>
                <w:szCs w:val="20"/>
                <w:color w:val="auto"/>
              </w:rPr>
            </w:pPr>
            <w:r>
              <w:rPr>
                <w:rFonts w:ascii="Arial" w:cs="Arial" w:eastAsia="Arial" w:hAnsi="Arial"/>
                <w:sz w:val="18"/>
                <w:szCs w:val="18"/>
                <w:b w:val="1"/>
                <w:bCs w:val="1"/>
                <w:color w:val="auto"/>
              </w:rPr>
              <w:t>Item 2.</w:t>
            </w: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26</w:t>
            </w:r>
          </w:p>
        </w:tc>
      </w:tr>
      <w:tr>
        <w:trPr>
          <w:trHeight w:val="432"/>
        </w:trPr>
        <w:tc>
          <w:tcPr>
            <w:tcW w:w="900" w:type="dxa"/>
            <w:vAlign w:val="bottom"/>
          </w:tcPr>
          <w:p>
            <w:pPr>
              <w:ind w:left="100"/>
              <w:spacing w:after="0"/>
              <w:rPr>
                <w:sz w:val="20"/>
                <w:szCs w:val="20"/>
                <w:color w:val="auto"/>
              </w:rPr>
            </w:pPr>
            <w:r>
              <w:rPr>
                <w:rFonts w:ascii="Arial" w:cs="Arial" w:eastAsia="Arial" w:hAnsi="Arial"/>
                <w:sz w:val="18"/>
                <w:szCs w:val="18"/>
                <w:b w:val="1"/>
                <w:bCs w:val="1"/>
                <w:color w:val="auto"/>
              </w:rPr>
              <w:t>Item 6.</w:t>
            </w:r>
          </w:p>
        </w:tc>
        <w:tc>
          <w:tcPr>
            <w:tcW w:w="804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26</w:t>
            </w:r>
          </w:p>
        </w:tc>
      </w:tr>
      <w:tr>
        <w:trPr>
          <w:trHeight w:val="432"/>
        </w:trPr>
        <w:tc>
          <w:tcPr>
            <w:tcW w:w="89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Index to Exhibits</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27</w:t>
            </w:r>
          </w:p>
        </w:tc>
      </w:tr>
      <w:tr>
        <w:trPr>
          <w:trHeight w:val="432"/>
        </w:trPr>
        <w:tc>
          <w:tcPr>
            <w:tcW w:w="900" w:type="dxa"/>
            <w:vAlign w:val="bottom"/>
          </w:tcPr>
          <w:p>
            <w:pPr>
              <w:ind w:left="100"/>
              <w:spacing w:after="0"/>
              <w:rPr>
                <w:sz w:val="20"/>
                <w:szCs w:val="20"/>
                <w:color w:val="auto"/>
              </w:rPr>
            </w:pPr>
            <w:r>
              <w:rPr>
                <w:rFonts w:ascii="Arial" w:cs="Arial" w:eastAsia="Arial" w:hAnsi="Arial"/>
                <w:sz w:val="18"/>
                <w:szCs w:val="18"/>
                <w:b w:val="1"/>
                <w:bCs w:val="1"/>
                <w:color w:val="auto"/>
                <w:w w:val="93"/>
              </w:rPr>
              <w:t>Signature</w:t>
            </w:r>
          </w:p>
        </w:tc>
        <w:tc>
          <w:tcPr>
            <w:tcW w:w="8040" w:type="dxa"/>
            <w:vAlign w:val="bottom"/>
          </w:tcPr>
          <w:p>
            <w:pPr>
              <w:spacing w:after="0"/>
              <w:rPr>
                <w:sz w:val="24"/>
                <w:szCs w:val="24"/>
                <w:color w:val="auto"/>
              </w:rPr>
            </w:pP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28</w:t>
            </w:r>
          </w:p>
        </w:tc>
      </w:tr>
      <w:tr>
        <w:trPr>
          <w:trHeight w:val="635"/>
        </w:trPr>
        <w:tc>
          <w:tcPr>
            <w:tcW w:w="900" w:type="dxa"/>
            <w:vAlign w:val="bottom"/>
          </w:tcPr>
          <w:p>
            <w:pPr>
              <w:spacing w:after="0"/>
              <w:rPr>
                <w:sz w:val="24"/>
                <w:szCs w:val="24"/>
                <w:color w:val="auto"/>
              </w:rPr>
            </w:pPr>
          </w:p>
        </w:tc>
        <w:tc>
          <w:tcPr>
            <w:tcW w:w="8040" w:type="dxa"/>
            <w:vAlign w:val="bottom"/>
          </w:tcPr>
          <w:p>
            <w:pPr>
              <w:jc w:val="center"/>
              <w:ind w:left="1490"/>
              <w:spacing w:after="0"/>
              <w:rPr>
                <w:sz w:val="20"/>
                <w:szCs w:val="20"/>
                <w:color w:val="auto"/>
              </w:rPr>
            </w:pPr>
            <w:r>
              <w:rPr>
                <w:rFonts w:ascii="Arial" w:cs="Arial" w:eastAsia="Arial" w:hAnsi="Arial"/>
                <w:sz w:val="18"/>
                <w:szCs w:val="18"/>
                <w:color w:val="auto"/>
                <w:w w:val="99"/>
              </w:rPr>
              <w:t>2</w:t>
            </w:r>
          </w:p>
        </w:tc>
        <w:tc>
          <w:tcPr>
            <w:tcW w:w="2500" w:type="dxa"/>
            <w:vAlign w:val="bottom"/>
          </w:tcPr>
          <w:p>
            <w:pPr>
              <w:spacing w:after="0"/>
              <w:rPr>
                <w:sz w:val="24"/>
                <w:szCs w:val="24"/>
                <w:color w:val="auto"/>
              </w:rPr>
            </w:pPr>
          </w:p>
        </w:tc>
      </w:tr>
      <w:tr>
        <w:trPr>
          <w:trHeight w:val="172"/>
        </w:trPr>
        <w:tc>
          <w:tcPr>
            <w:tcW w:w="900" w:type="dxa"/>
            <w:vAlign w:val="bottom"/>
            <w:tcBorders>
              <w:bottom w:val="single" w:sz="8" w:color="808080"/>
            </w:tcBorders>
          </w:tcPr>
          <w:p>
            <w:pPr>
              <w:spacing w:after="0"/>
              <w:rPr>
                <w:sz w:val="14"/>
                <w:szCs w:val="14"/>
                <w:color w:val="auto"/>
              </w:rPr>
            </w:pPr>
          </w:p>
        </w:tc>
        <w:tc>
          <w:tcPr>
            <w:tcW w:w="8040" w:type="dxa"/>
            <w:vAlign w:val="bottom"/>
            <w:tcBorders>
              <w:bottom w:val="single" w:sz="8" w:color="808080"/>
            </w:tcBorders>
          </w:tcPr>
          <w:p>
            <w:pPr>
              <w:spacing w:after="0"/>
              <w:rPr>
                <w:sz w:val="14"/>
                <w:szCs w:val="14"/>
                <w:color w:val="auto"/>
              </w:rPr>
            </w:pPr>
          </w:p>
        </w:tc>
        <w:tc>
          <w:tcPr>
            <w:tcW w:w="25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75"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EXXON MOBIL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(millions of dollars)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0" w:type="dxa"/>
            <w:vAlign w:val="bottom"/>
            <w:gridSpan w:val="2"/>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980" w:type="dxa"/>
            <w:vAlign w:val="bottom"/>
          </w:tcPr>
          <w:p>
            <w:pPr>
              <w:jc w:val="right"/>
              <w:ind w:right="132"/>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vMerge w:val="restart"/>
          </w:tcPr>
          <w:p>
            <w:pPr>
              <w:spacing w:after="0"/>
              <w:rPr>
                <w:sz w:val="20"/>
                <w:szCs w:val="20"/>
                <w:color w:val="auto"/>
              </w:rPr>
            </w:pPr>
            <w:r>
              <w:rPr>
                <w:rFonts w:ascii="Arial" w:cs="Arial" w:eastAsia="Arial" w:hAnsi="Arial"/>
                <w:sz w:val="18"/>
                <w:szCs w:val="18"/>
                <w:color w:val="auto"/>
              </w:rPr>
              <w:t>Revenues and other income</w:t>
            </w:r>
          </w:p>
        </w:tc>
        <w:tc>
          <w:tcPr>
            <w:tcW w:w="198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3"/>
              </w:rPr>
              <w:t>2017</w:t>
            </w:r>
          </w:p>
        </w:tc>
        <w:tc>
          <w:tcPr>
            <w:tcW w:w="440" w:type="dxa"/>
            <w:vAlign w:val="bottom"/>
          </w:tcPr>
          <w:p>
            <w:pPr>
              <w:spacing w:after="0"/>
              <w:rPr>
                <w:sz w:val="16"/>
                <w:szCs w:val="16"/>
                <w:color w:val="auto"/>
              </w:rPr>
            </w:pPr>
          </w:p>
        </w:tc>
        <w:tc>
          <w:tcPr>
            <w:tcW w:w="1820" w:type="dxa"/>
            <w:vAlign w:val="bottom"/>
            <w:tcBorders>
              <w:bottom w:val="single" w:sz="8" w:color="auto"/>
            </w:tcBorders>
          </w:tcPr>
          <w:p>
            <w:pPr>
              <w:jc w:val="right"/>
              <w:ind w:right="1072"/>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1"/>
        </w:trPr>
        <w:tc>
          <w:tcPr>
            <w:tcW w:w="570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60"/>
              <w:spacing w:after="0"/>
              <w:rPr>
                <w:sz w:val="20"/>
                <w:szCs w:val="20"/>
                <w:color w:val="auto"/>
              </w:rPr>
            </w:pPr>
            <w:r>
              <w:rPr>
                <w:rFonts w:ascii="Arial" w:cs="Arial" w:eastAsia="Arial" w:hAnsi="Arial"/>
                <w:sz w:val="18"/>
                <w:szCs w:val="18"/>
                <w:color w:val="auto"/>
              </w:rPr>
              <w:t>Sales and other operating revenue</w:t>
            </w:r>
          </w:p>
        </w:tc>
        <w:tc>
          <w:tcPr>
            <w:tcW w:w="1980" w:type="dxa"/>
            <w:vAlign w:val="bottom"/>
          </w:tcPr>
          <w:p>
            <w:pPr>
              <w:jc w:val="right"/>
              <w:ind w:right="832"/>
              <w:spacing w:after="0"/>
              <w:rPr>
                <w:sz w:val="20"/>
                <w:szCs w:val="20"/>
                <w:color w:val="auto"/>
              </w:rPr>
            </w:pPr>
            <w:r>
              <w:rPr>
                <w:rFonts w:ascii="Arial" w:cs="Arial" w:eastAsia="Arial" w:hAnsi="Arial"/>
                <w:sz w:val="18"/>
                <w:szCs w:val="18"/>
                <w:color w:val="auto"/>
              </w:rPr>
              <w:t>74,187</w:t>
            </w:r>
          </w:p>
        </w:tc>
        <w:tc>
          <w:tcPr>
            <w:tcW w:w="660" w:type="dxa"/>
            <w:vAlign w:val="bottom"/>
          </w:tcPr>
          <w:p>
            <w:pPr>
              <w:jc w:val="right"/>
              <w:spacing w:after="0"/>
              <w:rPr>
                <w:sz w:val="20"/>
                <w:szCs w:val="20"/>
                <w:color w:val="auto"/>
              </w:rPr>
            </w:pPr>
            <w:r>
              <w:rPr>
                <w:rFonts w:ascii="Arial" w:cs="Arial" w:eastAsia="Arial" w:hAnsi="Arial"/>
                <w:sz w:val="18"/>
                <w:szCs w:val="18"/>
                <w:color w:val="auto"/>
              </w:rPr>
              <w:t>59,350</w:t>
            </w:r>
          </w:p>
        </w:tc>
        <w:tc>
          <w:tcPr>
            <w:tcW w:w="440" w:type="dxa"/>
            <w:vAlign w:val="bottom"/>
          </w:tcPr>
          <w:p>
            <w:pPr>
              <w:spacing w:after="0"/>
              <w:rPr>
                <w:sz w:val="19"/>
                <w:szCs w:val="19"/>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rPr>
              <w:t>211,079</w:t>
            </w:r>
          </w:p>
        </w:tc>
        <w:tc>
          <w:tcPr>
            <w:tcW w:w="780" w:type="dxa"/>
            <w:vAlign w:val="bottom"/>
          </w:tcPr>
          <w:p>
            <w:pPr>
              <w:jc w:val="right"/>
              <w:spacing w:after="0"/>
              <w:rPr>
                <w:sz w:val="20"/>
                <w:szCs w:val="20"/>
                <w:color w:val="auto"/>
              </w:rPr>
            </w:pPr>
            <w:r>
              <w:rPr>
                <w:rFonts w:ascii="Arial" w:cs="Arial" w:eastAsia="Arial" w:hAnsi="Arial"/>
                <w:sz w:val="18"/>
                <w:szCs w:val="18"/>
                <w:color w:val="auto"/>
              </w:rPr>
              <w:t>171,850</w:t>
            </w:r>
          </w:p>
        </w:tc>
        <w:tc>
          <w:tcPr>
            <w:tcW w:w="0" w:type="dxa"/>
            <w:vAlign w:val="bottom"/>
          </w:tcPr>
          <w:p>
            <w:pPr>
              <w:spacing w:after="0"/>
              <w:rPr>
                <w:sz w:val="1"/>
                <w:szCs w:val="1"/>
                <w:color w:val="auto"/>
              </w:rPr>
            </w:pPr>
          </w:p>
        </w:tc>
      </w:tr>
      <w:tr>
        <w:trPr>
          <w:trHeight w:val="230"/>
        </w:trPr>
        <w:tc>
          <w:tcPr>
            <w:tcW w:w="5700" w:type="dxa"/>
            <w:vAlign w:val="bottom"/>
          </w:tcPr>
          <w:p>
            <w:pPr>
              <w:ind w:left="460"/>
              <w:spacing w:after="0"/>
              <w:rPr>
                <w:sz w:val="20"/>
                <w:szCs w:val="20"/>
                <w:color w:val="auto"/>
              </w:rPr>
            </w:pPr>
            <w:r>
              <w:rPr>
                <w:rFonts w:ascii="Arial" w:cs="Arial" w:eastAsia="Arial" w:hAnsi="Arial"/>
                <w:sz w:val="18"/>
                <w:szCs w:val="18"/>
                <w:color w:val="auto"/>
              </w:rPr>
              <w:t>Income from equity affiliates</w:t>
            </w:r>
          </w:p>
        </w:tc>
        <w:tc>
          <w:tcPr>
            <w:tcW w:w="1980" w:type="dxa"/>
            <w:vAlign w:val="bottom"/>
          </w:tcPr>
          <w:p>
            <w:pPr>
              <w:jc w:val="right"/>
              <w:ind w:right="832"/>
              <w:spacing w:after="0"/>
              <w:rPr>
                <w:sz w:val="20"/>
                <w:szCs w:val="20"/>
                <w:color w:val="auto"/>
              </w:rPr>
            </w:pPr>
            <w:r>
              <w:rPr>
                <w:rFonts w:ascii="Arial" w:cs="Arial" w:eastAsia="Arial" w:hAnsi="Arial"/>
                <w:sz w:val="18"/>
                <w:szCs w:val="18"/>
                <w:color w:val="auto"/>
              </w:rPr>
              <w:t>1,960</w:t>
            </w:r>
          </w:p>
        </w:tc>
        <w:tc>
          <w:tcPr>
            <w:tcW w:w="660" w:type="dxa"/>
            <w:vAlign w:val="bottom"/>
          </w:tcPr>
          <w:p>
            <w:pPr>
              <w:jc w:val="right"/>
              <w:spacing w:after="0"/>
              <w:rPr>
                <w:sz w:val="20"/>
                <w:szCs w:val="20"/>
                <w:color w:val="auto"/>
              </w:rPr>
            </w:pPr>
            <w:r>
              <w:rPr>
                <w:rFonts w:ascii="Arial" w:cs="Arial" w:eastAsia="Arial" w:hAnsi="Arial"/>
                <w:sz w:val="18"/>
                <w:szCs w:val="18"/>
                <w:color w:val="auto"/>
              </w:rPr>
              <w:t>1,472</w:t>
            </w:r>
          </w:p>
        </w:tc>
        <w:tc>
          <w:tcPr>
            <w:tcW w:w="440" w:type="dxa"/>
            <w:vAlign w:val="bottom"/>
          </w:tcPr>
          <w:p>
            <w:pPr>
              <w:spacing w:after="0"/>
              <w:rPr>
                <w:sz w:val="19"/>
                <w:szCs w:val="19"/>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rPr>
              <w:t>5,599</w:t>
            </w:r>
          </w:p>
        </w:tc>
        <w:tc>
          <w:tcPr>
            <w:tcW w:w="780" w:type="dxa"/>
            <w:vAlign w:val="bottom"/>
          </w:tcPr>
          <w:p>
            <w:pPr>
              <w:jc w:val="right"/>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37"/>
        </w:trPr>
        <w:tc>
          <w:tcPr>
            <w:tcW w:w="5700" w:type="dxa"/>
            <w:vAlign w:val="bottom"/>
          </w:tcPr>
          <w:p>
            <w:pPr>
              <w:ind w:left="460"/>
              <w:spacing w:after="0"/>
              <w:rPr>
                <w:sz w:val="20"/>
                <w:szCs w:val="20"/>
                <w:color w:val="auto"/>
              </w:rPr>
            </w:pPr>
            <w:r>
              <w:rPr>
                <w:rFonts w:ascii="Arial" w:cs="Arial" w:eastAsia="Arial" w:hAnsi="Arial"/>
                <w:sz w:val="18"/>
                <w:szCs w:val="18"/>
                <w:color w:val="auto"/>
              </w:rPr>
              <w:t>Other income</w:t>
            </w:r>
          </w:p>
        </w:tc>
        <w:tc>
          <w:tcPr>
            <w:tcW w:w="198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rPr>
              <w:t>458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440" w:type="dxa"/>
            <w:vAlign w:val="bottom"/>
          </w:tcPr>
          <w:p>
            <w:pPr>
              <w:spacing w:after="0"/>
              <w:rPr>
                <w:sz w:val="20"/>
                <w:szCs w:val="20"/>
                <w:color w:val="auto"/>
              </w:rPr>
            </w:pPr>
          </w:p>
        </w:tc>
        <w:tc>
          <w:tcPr>
            <w:tcW w:w="182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rPr>
              <w:t>1,639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5700" w:type="dxa"/>
            <w:vAlign w:val="bottom"/>
          </w:tcPr>
          <w:p>
            <w:pPr>
              <w:ind w:left="920"/>
              <w:spacing w:after="0" w:line="203" w:lineRule="exact"/>
              <w:rPr>
                <w:sz w:val="20"/>
                <w:szCs w:val="20"/>
                <w:color w:val="auto"/>
              </w:rPr>
            </w:pPr>
            <w:r>
              <w:rPr>
                <w:rFonts w:ascii="Arial" w:cs="Arial" w:eastAsia="Arial" w:hAnsi="Arial"/>
                <w:sz w:val="18"/>
                <w:szCs w:val="18"/>
                <w:color w:val="auto"/>
              </w:rPr>
              <w:t>Total revenues and other income</w:t>
            </w:r>
          </w:p>
        </w:tc>
        <w:tc>
          <w:tcPr>
            <w:tcW w:w="198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rPr>
              <w:t>76,605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61,100</w:t>
            </w:r>
          </w:p>
        </w:tc>
        <w:tc>
          <w:tcPr>
            <w:tcW w:w="440" w:type="dxa"/>
            <w:vAlign w:val="bottom"/>
          </w:tcPr>
          <w:p>
            <w:pPr>
              <w:spacing w:after="0"/>
              <w:rPr>
                <w:sz w:val="18"/>
                <w:szCs w:val="18"/>
                <w:color w:val="auto"/>
              </w:rPr>
            </w:pPr>
          </w:p>
        </w:tc>
        <w:tc>
          <w:tcPr>
            <w:tcW w:w="182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rPr>
              <w:t>218,317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177,848</w:t>
            </w:r>
          </w:p>
        </w:tc>
        <w:tc>
          <w:tcPr>
            <w:tcW w:w="0" w:type="dxa"/>
            <w:vAlign w:val="bottom"/>
          </w:tcPr>
          <w:p>
            <w:pPr>
              <w:spacing w:after="0"/>
              <w:rPr>
                <w:sz w:val="1"/>
                <w:szCs w:val="1"/>
                <w:color w:val="auto"/>
              </w:rPr>
            </w:pPr>
          </w:p>
        </w:tc>
      </w:tr>
      <w:tr>
        <w:trPr>
          <w:trHeight w:val="195"/>
        </w:trPr>
        <w:tc>
          <w:tcPr>
            <w:tcW w:w="5700" w:type="dxa"/>
            <w:vAlign w:val="bottom"/>
          </w:tcPr>
          <w:p>
            <w:pPr>
              <w:spacing w:after="0" w:line="195" w:lineRule="exact"/>
              <w:rPr>
                <w:sz w:val="20"/>
                <w:szCs w:val="20"/>
                <w:color w:val="auto"/>
              </w:rPr>
            </w:pPr>
            <w:r>
              <w:rPr>
                <w:rFonts w:ascii="Arial" w:cs="Arial" w:eastAsia="Arial" w:hAnsi="Arial"/>
                <w:sz w:val="18"/>
                <w:szCs w:val="18"/>
                <w:color w:val="auto"/>
              </w:rPr>
              <w:t>Costs and other deductions</w:t>
            </w:r>
          </w:p>
        </w:tc>
        <w:tc>
          <w:tcPr>
            <w:tcW w:w="1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60"/>
              <w:spacing w:after="0"/>
              <w:rPr>
                <w:sz w:val="20"/>
                <w:szCs w:val="20"/>
                <w:color w:val="auto"/>
              </w:rPr>
            </w:pPr>
            <w:r>
              <w:rPr>
                <w:rFonts w:ascii="Arial" w:cs="Arial" w:eastAsia="Arial" w:hAnsi="Arial"/>
                <w:sz w:val="18"/>
                <w:szCs w:val="18"/>
                <w:color w:val="auto"/>
              </w:rPr>
              <w:t>Crude oil and product purchases</w:t>
            </w:r>
          </w:p>
        </w:tc>
        <w:tc>
          <w:tcPr>
            <w:tcW w:w="1980" w:type="dxa"/>
            <w:vAlign w:val="bottom"/>
          </w:tcPr>
          <w:p>
            <w:pPr>
              <w:jc w:val="right"/>
              <w:ind w:right="832"/>
              <w:spacing w:after="0"/>
              <w:rPr>
                <w:sz w:val="20"/>
                <w:szCs w:val="20"/>
                <w:color w:val="auto"/>
              </w:rPr>
            </w:pPr>
            <w:r>
              <w:rPr>
                <w:rFonts w:ascii="Arial" w:cs="Arial" w:eastAsia="Arial" w:hAnsi="Arial"/>
                <w:sz w:val="18"/>
                <w:szCs w:val="18"/>
                <w:color w:val="auto"/>
              </w:rPr>
              <w:t>41,776</w:t>
            </w:r>
          </w:p>
        </w:tc>
        <w:tc>
          <w:tcPr>
            <w:tcW w:w="660" w:type="dxa"/>
            <w:vAlign w:val="bottom"/>
          </w:tcPr>
          <w:p>
            <w:pPr>
              <w:jc w:val="right"/>
              <w:spacing w:after="0"/>
              <w:rPr>
                <w:sz w:val="20"/>
                <w:szCs w:val="20"/>
                <w:color w:val="auto"/>
              </w:rPr>
            </w:pPr>
            <w:r>
              <w:rPr>
                <w:rFonts w:ascii="Arial" w:cs="Arial" w:eastAsia="Arial" w:hAnsi="Arial"/>
                <w:sz w:val="18"/>
                <w:szCs w:val="18"/>
                <w:color w:val="auto"/>
              </w:rPr>
              <w:t>31,432</w:t>
            </w:r>
          </w:p>
        </w:tc>
        <w:tc>
          <w:tcPr>
            <w:tcW w:w="440" w:type="dxa"/>
            <w:vAlign w:val="bottom"/>
          </w:tcPr>
          <w:p>
            <w:pPr>
              <w:spacing w:after="0"/>
              <w:rPr>
                <w:sz w:val="19"/>
                <w:szCs w:val="19"/>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rPr>
              <w:t>119,391</w:t>
            </w:r>
          </w:p>
        </w:tc>
        <w:tc>
          <w:tcPr>
            <w:tcW w:w="780" w:type="dxa"/>
            <w:vAlign w:val="bottom"/>
          </w:tcPr>
          <w:p>
            <w:pPr>
              <w:jc w:val="right"/>
              <w:spacing w:after="0"/>
              <w:rPr>
                <w:sz w:val="20"/>
                <w:szCs w:val="20"/>
                <w:color w:val="auto"/>
              </w:rPr>
            </w:pPr>
            <w:r>
              <w:rPr>
                <w:rFonts w:ascii="Arial" w:cs="Arial" w:eastAsia="Arial" w:hAnsi="Arial"/>
                <w:sz w:val="18"/>
                <w:szCs w:val="18"/>
                <w:color w:val="auto"/>
              </w:rPr>
              <w:t>91,985</w:t>
            </w:r>
          </w:p>
        </w:tc>
        <w:tc>
          <w:tcPr>
            <w:tcW w:w="0" w:type="dxa"/>
            <w:vAlign w:val="bottom"/>
          </w:tcPr>
          <w:p>
            <w:pPr>
              <w:spacing w:after="0"/>
              <w:rPr>
                <w:sz w:val="1"/>
                <w:szCs w:val="1"/>
                <w:color w:val="auto"/>
              </w:rPr>
            </w:pPr>
          </w:p>
        </w:tc>
      </w:tr>
      <w:tr>
        <w:trPr>
          <w:trHeight w:val="230"/>
        </w:trPr>
        <w:tc>
          <w:tcPr>
            <w:tcW w:w="5700" w:type="dxa"/>
            <w:vAlign w:val="bottom"/>
          </w:tcPr>
          <w:p>
            <w:pPr>
              <w:ind w:left="460"/>
              <w:spacing w:after="0"/>
              <w:rPr>
                <w:sz w:val="20"/>
                <w:szCs w:val="20"/>
                <w:color w:val="auto"/>
              </w:rPr>
            </w:pPr>
            <w:r>
              <w:rPr>
                <w:rFonts w:ascii="Arial" w:cs="Arial" w:eastAsia="Arial" w:hAnsi="Arial"/>
                <w:sz w:val="18"/>
                <w:szCs w:val="18"/>
                <w:color w:val="auto"/>
              </w:rPr>
              <w:t>Production and manufacturing expenses</w:t>
            </w:r>
          </w:p>
        </w:tc>
        <w:tc>
          <w:tcPr>
            <w:tcW w:w="1980" w:type="dxa"/>
            <w:vAlign w:val="bottom"/>
          </w:tcPr>
          <w:p>
            <w:pPr>
              <w:jc w:val="right"/>
              <w:ind w:right="832"/>
              <w:spacing w:after="0"/>
              <w:rPr>
                <w:sz w:val="20"/>
                <w:szCs w:val="20"/>
                <w:color w:val="auto"/>
              </w:rPr>
            </w:pPr>
            <w:r>
              <w:rPr>
                <w:rFonts w:ascii="Arial" w:cs="Arial" w:eastAsia="Arial" w:hAnsi="Arial"/>
                <w:sz w:val="18"/>
                <w:szCs w:val="18"/>
                <w:color w:val="auto"/>
              </w:rPr>
              <w:t>9,097</w:t>
            </w:r>
          </w:p>
        </w:tc>
        <w:tc>
          <w:tcPr>
            <w:tcW w:w="660" w:type="dxa"/>
            <w:vAlign w:val="bottom"/>
          </w:tcPr>
          <w:p>
            <w:pPr>
              <w:jc w:val="right"/>
              <w:spacing w:after="0"/>
              <w:rPr>
                <w:sz w:val="20"/>
                <w:szCs w:val="20"/>
                <w:color w:val="auto"/>
              </w:rPr>
            </w:pPr>
            <w:r>
              <w:rPr>
                <w:rFonts w:ascii="Arial" w:cs="Arial" w:eastAsia="Arial" w:hAnsi="Arial"/>
                <w:sz w:val="18"/>
                <w:szCs w:val="18"/>
                <w:color w:val="auto"/>
              </w:rPr>
              <w:t>7,952</w:t>
            </w:r>
          </w:p>
        </w:tc>
        <w:tc>
          <w:tcPr>
            <w:tcW w:w="440" w:type="dxa"/>
            <w:vAlign w:val="bottom"/>
          </w:tcPr>
          <w:p>
            <w:pPr>
              <w:spacing w:after="0"/>
              <w:rPr>
                <w:sz w:val="19"/>
                <w:szCs w:val="19"/>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rPr>
              <w:t>26,506</w:t>
            </w:r>
          </w:p>
        </w:tc>
        <w:tc>
          <w:tcPr>
            <w:tcW w:w="780" w:type="dxa"/>
            <w:vAlign w:val="bottom"/>
          </w:tcPr>
          <w:p>
            <w:pPr>
              <w:jc w:val="right"/>
              <w:spacing w:after="0"/>
              <w:rPr>
                <w:sz w:val="20"/>
                <w:szCs w:val="20"/>
                <w:color w:val="auto"/>
              </w:rPr>
            </w:pPr>
            <w:r>
              <w:rPr>
                <w:rFonts w:ascii="Arial" w:cs="Arial" w:eastAsia="Arial" w:hAnsi="Arial"/>
                <w:sz w:val="18"/>
                <w:szCs w:val="18"/>
                <w:color w:val="auto"/>
              </w:rPr>
              <w:t>23,578</w:t>
            </w:r>
          </w:p>
        </w:tc>
        <w:tc>
          <w:tcPr>
            <w:tcW w:w="0" w:type="dxa"/>
            <w:vAlign w:val="bottom"/>
          </w:tcPr>
          <w:p>
            <w:pPr>
              <w:spacing w:after="0"/>
              <w:rPr>
                <w:sz w:val="1"/>
                <w:szCs w:val="1"/>
                <w:color w:val="auto"/>
              </w:rPr>
            </w:pPr>
          </w:p>
        </w:tc>
      </w:tr>
      <w:tr>
        <w:trPr>
          <w:trHeight w:val="230"/>
        </w:trPr>
        <w:tc>
          <w:tcPr>
            <w:tcW w:w="5700" w:type="dxa"/>
            <w:vAlign w:val="bottom"/>
          </w:tcPr>
          <w:p>
            <w:pPr>
              <w:ind w:left="460"/>
              <w:spacing w:after="0"/>
              <w:rPr>
                <w:sz w:val="20"/>
                <w:szCs w:val="20"/>
                <w:color w:val="auto"/>
              </w:rPr>
            </w:pPr>
            <w:r>
              <w:rPr>
                <w:rFonts w:ascii="Arial" w:cs="Arial" w:eastAsia="Arial" w:hAnsi="Arial"/>
                <w:sz w:val="18"/>
                <w:szCs w:val="18"/>
                <w:color w:val="auto"/>
              </w:rPr>
              <w:t>Selling, general and administrative expenses</w:t>
            </w:r>
          </w:p>
        </w:tc>
        <w:tc>
          <w:tcPr>
            <w:tcW w:w="1980" w:type="dxa"/>
            <w:vAlign w:val="bottom"/>
          </w:tcPr>
          <w:p>
            <w:pPr>
              <w:jc w:val="right"/>
              <w:ind w:right="832"/>
              <w:spacing w:after="0"/>
              <w:rPr>
                <w:sz w:val="20"/>
                <w:szCs w:val="20"/>
                <w:color w:val="auto"/>
              </w:rPr>
            </w:pPr>
            <w:r>
              <w:rPr>
                <w:rFonts w:ascii="Arial" w:cs="Arial" w:eastAsia="Arial" w:hAnsi="Arial"/>
                <w:sz w:val="18"/>
                <w:szCs w:val="18"/>
                <w:color w:val="auto"/>
              </w:rPr>
              <w:t>2,892</w:t>
            </w:r>
          </w:p>
        </w:tc>
        <w:tc>
          <w:tcPr>
            <w:tcW w:w="660" w:type="dxa"/>
            <w:vAlign w:val="bottom"/>
          </w:tcPr>
          <w:p>
            <w:pPr>
              <w:jc w:val="right"/>
              <w:spacing w:after="0"/>
              <w:rPr>
                <w:sz w:val="20"/>
                <w:szCs w:val="20"/>
                <w:color w:val="auto"/>
              </w:rPr>
            </w:pPr>
            <w:r>
              <w:rPr>
                <w:rFonts w:ascii="Arial" w:cs="Arial" w:eastAsia="Arial" w:hAnsi="Arial"/>
                <w:sz w:val="18"/>
                <w:szCs w:val="18"/>
                <w:color w:val="auto"/>
              </w:rPr>
              <w:t>2,632</w:t>
            </w:r>
          </w:p>
        </w:tc>
        <w:tc>
          <w:tcPr>
            <w:tcW w:w="440" w:type="dxa"/>
            <w:vAlign w:val="bottom"/>
          </w:tcPr>
          <w:p>
            <w:pPr>
              <w:spacing w:after="0"/>
              <w:rPr>
                <w:sz w:val="19"/>
                <w:szCs w:val="19"/>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rPr>
              <w:t>8,632</w:t>
            </w:r>
          </w:p>
        </w:tc>
        <w:tc>
          <w:tcPr>
            <w:tcW w:w="780" w:type="dxa"/>
            <w:vAlign w:val="bottom"/>
          </w:tcPr>
          <w:p>
            <w:pPr>
              <w:jc w:val="right"/>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230"/>
        </w:trPr>
        <w:tc>
          <w:tcPr>
            <w:tcW w:w="5700" w:type="dxa"/>
            <w:vAlign w:val="bottom"/>
          </w:tcPr>
          <w:p>
            <w:pPr>
              <w:ind w:left="460"/>
              <w:spacing w:after="0"/>
              <w:rPr>
                <w:sz w:val="20"/>
                <w:szCs w:val="20"/>
                <w:color w:val="auto"/>
              </w:rPr>
            </w:pPr>
            <w:r>
              <w:rPr>
                <w:rFonts w:ascii="Arial" w:cs="Arial" w:eastAsia="Arial" w:hAnsi="Arial"/>
                <w:sz w:val="18"/>
                <w:szCs w:val="18"/>
                <w:color w:val="auto"/>
              </w:rPr>
              <w:t>Depreciation and depletion</w:t>
            </w:r>
          </w:p>
        </w:tc>
        <w:tc>
          <w:tcPr>
            <w:tcW w:w="1980" w:type="dxa"/>
            <w:vAlign w:val="bottom"/>
          </w:tcPr>
          <w:p>
            <w:pPr>
              <w:jc w:val="right"/>
              <w:ind w:right="832"/>
              <w:spacing w:after="0"/>
              <w:rPr>
                <w:sz w:val="20"/>
                <w:szCs w:val="20"/>
                <w:color w:val="auto"/>
              </w:rPr>
            </w:pPr>
            <w:r>
              <w:rPr>
                <w:rFonts w:ascii="Arial" w:cs="Arial" w:eastAsia="Arial" w:hAnsi="Arial"/>
                <w:sz w:val="18"/>
                <w:szCs w:val="18"/>
                <w:color w:val="auto"/>
              </w:rPr>
              <w:t>4,658</w:t>
            </w:r>
          </w:p>
        </w:tc>
        <w:tc>
          <w:tcPr>
            <w:tcW w:w="660" w:type="dxa"/>
            <w:vAlign w:val="bottom"/>
          </w:tcPr>
          <w:p>
            <w:pPr>
              <w:jc w:val="right"/>
              <w:spacing w:after="0"/>
              <w:rPr>
                <w:sz w:val="20"/>
                <w:szCs w:val="20"/>
                <w:color w:val="auto"/>
              </w:rPr>
            </w:pPr>
            <w:r>
              <w:rPr>
                <w:rFonts w:ascii="Arial" w:cs="Arial" w:eastAsia="Arial" w:hAnsi="Arial"/>
                <w:sz w:val="18"/>
                <w:szCs w:val="18"/>
                <w:color w:val="auto"/>
              </w:rPr>
              <w:t>4,880</w:t>
            </w:r>
          </w:p>
        </w:tc>
        <w:tc>
          <w:tcPr>
            <w:tcW w:w="440" w:type="dxa"/>
            <w:vAlign w:val="bottom"/>
          </w:tcPr>
          <w:p>
            <w:pPr>
              <w:spacing w:after="0"/>
              <w:rPr>
                <w:sz w:val="19"/>
                <w:szCs w:val="19"/>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rPr>
              <w:t>13,717</w:t>
            </w:r>
          </w:p>
        </w:tc>
        <w:tc>
          <w:tcPr>
            <w:tcW w:w="780" w:type="dxa"/>
            <w:vAlign w:val="bottom"/>
          </w:tcPr>
          <w:p>
            <w:pPr>
              <w:jc w:val="right"/>
              <w:spacing w:after="0"/>
              <w:rPr>
                <w:sz w:val="20"/>
                <w:szCs w:val="20"/>
                <w:color w:val="auto"/>
              </w:rPr>
            </w:pPr>
            <w:r>
              <w:rPr>
                <w:rFonts w:ascii="Arial" w:cs="Arial" w:eastAsia="Arial" w:hAnsi="Arial"/>
                <w:sz w:val="18"/>
                <w:szCs w:val="18"/>
                <w:color w:val="auto"/>
              </w:rPr>
              <w:t>14,051</w:t>
            </w:r>
          </w:p>
        </w:tc>
        <w:tc>
          <w:tcPr>
            <w:tcW w:w="0" w:type="dxa"/>
            <w:vAlign w:val="bottom"/>
          </w:tcPr>
          <w:p>
            <w:pPr>
              <w:spacing w:after="0"/>
              <w:rPr>
                <w:sz w:val="1"/>
                <w:szCs w:val="1"/>
                <w:color w:val="auto"/>
              </w:rPr>
            </w:pPr>
          </w:p>
        </w:tc>
      </w:tr>
      <w:tr>
        <w:trPr>
          <w:trHeight w:val="230"/>
        </w:trPr>
        <w:tc>
          <w:tcPr>
            <w:tcW w:w="5700" w:type="dxa"/>
            <w:vAlign w:val="bottom"/>
          </w:tcPr>
          <w:p>
            <w:pPr>
              <w:ind w:left="460"/>
              <w:spacing w:after="0"/>
              <w:rPr>
                <w:sz w:val="20"/>
                <w:szCs w:val="20"/>
                <w:color w:val="auto"/>
              </w:rPr>
            </w:pPr>
            <w:r>
              <w:rPr>
                <w:rFonts w:ascii="Arial" w:cs="Arial" w:eastAsia="Arial" w:hAnsi="Arial"/>
                <w:sz w:val="18"/>
                <w:szCs w:val="18"/>
                <w:color w:val="auto"/>
              </w:rPr>
              <w:t>Exploration expenses, including dry holes</w:t>
            </w:r>
          </w:p>
        </w:tc>
        <w:tc>
          <w:tcPr>
            <w:tcW w:w="1980" w:type="dxa"/>
            <w:vAlign w:val="bottom"/>
          </w:tcPr>
          <w:p>
            <w:pPr>
              <w:jc w:val="right"/>
              <w:ind w:right="832"/>
              <w:spacing w:after="0"/>
              <w:rPr>
                <w:sz w:val="20"/>
                <w:szCs w:val="20"/>
                <w:color w:val="auto"/>
              </w:rPr>
            </w:pPr>
            <w:r>
              <w:rPr>
                <w:rFonts w:ascii="Arial" w:cs="Arial" w:eastAsia="Arial" w:hAnsi="Arial"/>
                <w:sz w:val="18"/>
                <w:szCs w:val="18"/>
                <w:color w:val="auto"/>
              </w:rPr>
              <w:t>292</w:t>
            </w:r>
          </w:p>
        </w:tc>
        <w:tc>
          <w:tcPr>
            <w:tcW w:w="660" w:type="dxa"/>
            <w:vAlign w:val="bottom"/>
          </w:tcPr>
          <w:p>
            <w:pPr>
              <w:jc w:val="right"/>
              <w:spacing w:after="0"/>
              <w:rPr>
                <w:sz w:val="20"/>
                <w:szCs w:val="20"/>
                <w:color w:val="auto"/>
              </w:rPr>
            </w:pPr>
            <w:r>
              <w:rPr>
                <w:rFonts w:ascii="Arial" w:cs="Arial" w:eastAsia="Arial" w:hAnsi="Arial"/>
                <w:sz w:val="18"/>
                <w:szCs w:val="18"/>
                <w:color w:val="auto"/>
              </w:rPr>
              <w:t>284</w:t>
            </w:r>
          </w:p>
        </w:tc>
        <w:tc>
          <w:tcPr>
            <w:tcW w:w="440" w:type="dxa"/>
            <w:vAlign w:val="bottom"/>
          </w:tcPr>
          <w:p>
            <w:pPr>
              <w:spacing w:after="0"/>
              <w:rPr>
                <w:sz w:val="19"/>
                <w:szCs w:val="19"/>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rPr>
              <w:t>911</w:t>
            </w:r>
          </w:p>
        </w:tc>
        <w:tc>
          <w:tcPr>
            <w:tcW w:w="780" w:type="dxa"/>
            <w:vAlign w:val="bottom"/>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30"/>
        </w:trPr>
        <w:tc>
          <w:tcPr>
            <w:tcW w:w="5700" w:type="dxa"/>
            <w:vAlign w:val="bottom"/>
          </w:tcPr>
          <w:p>
            <w:pPr>
              <w:ind w:left="460"/>
              <w:spacing w:after="0"/>
              <w:rPr>
                <w:sz w:val="20"/>
                <w:szCs w:val="20"/>
                <w:color w:val="auto"/>
              </w:rPr>
            </w:pPr>
            <w:r>
              <w:rPr>
                <w:rFonts w:ascii="Arial" w:cs="Arial" w:eastAsia="Arial" w:hAnsi="Arial"/>
                <w:sz w:val="18"/>
                <w:szCs w:val="18"/>
                <w:color w:val="auto"/>
              </w:rPr>
              <w:t>Non-service pension and postretirement benefit expense</w:t>
            </w:r>
          </w:p>
        </w:tc>
        <w:tc>
          <w:tcPr>
            <w:tcW w:w="1980" w:type="dxa"/>
            <w:vAlign w:val="bottom"/>
          </w:tcPr>
          <w:p>
            <w:pPr>
              <w:jc w:val="right"/>
              <w:ind w:right="832"/>
              <w:spacing w:after="0"/>
              <w:rPr>
                <w:sz w:val="20"/>
                <w:szCs w:val="20"/>
                <w:color w:val="auto"/>
              </w:rPr>
            </w:pPr>
            <w:r>
              <w:rPr>
                <w:rFonts w:ascii="Arial" w:cs="Arial" w:eastAsia="Arial" w:hAnsi="Arial"/>
                <w:sz w:val="18"/>
                <w:szCs w:val="18"/>
                <w:color w:val="auto"/>
              </w:rPr>
              <w:t>307</w:t>
            </w:r>
          </w:p>
        </w:tc>
        <w:tc>
          <w:tcPr>
            <w:tcW w:w="660" w:type="dxa"/>
            <w:vAlign w:val="bottom"/>
          </w:tcPr>
          <w:p>
            <w:pPr>
              <w:jc w:val="right"/>
              <w:spacing w:after="0"/>
              <w:rPr>
                <w:sz w:val="20"/>
                <w:szCs w:val="20"/>
                <w:color w:val="auto"/>
              </w:rPr>
            </w:pPr>
            <w:r>
              <w:rPr>
                <w:rFonts w:ascii="Arial" w:cs="Arial" w:eastAsia="Arial" w:hAnsi="Arial"/>
                <w:sz w:val="18"/>
                <w:szCs w:val="18"/>
                <w:color w:val="auto"/>
              </w:rPr>
              <w:t>475</w:t>
            </w:r>
          </w:p>
        </w:tc>
        <w:tc>
          <w:tcPr>
            <w:tcW w:w="440" w:type="dxa"/>
            <w:vAlign w:val="bottom"/>
          </w:tcPr>
          <w:p>
            <w:pPr>
              <w:spacing w:after="0"/>
              <w:rPr>
                <w:sz w:val="19"/>
                <w:szCs w:val="19"/>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rPr>
              <w:t>952</w:t>
            </w:r>
          </w:p>
        </w:tc>
        <w:tc>
          <w:tcPr>
            <w:tcW w:w="780" w:type="dxa"/>
            <w:vAlign w:val="bottom"/>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30"/>
        </w:trPr>
        <w:tc>
          <w:tcPr>
            <w:tcW w:w="570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1980" w:type="dxa"/>
            <w:vAlign w:val="bottom"/>
          </w:tcPr>
          <w:p>
            <w:pPr>
              <w:jc w:val="right"/>
              <w:ind w:right="832"/>
              <w:spacing w:after="0"/>
              <w:rPr>
                <w:sz w:val="20"/>
                <w:szCs w:val="20"/>
                <w:color w:val="auto"/>
              </w:rPr>
            </w:pPr>
            <w:r>
              <w:rPr>
                <w:rFonts w:ascii="Arial" w:cs="Arial" w:eastAsia="Arial" w:hAnsi="Arial"/>
                <w:sz w:val="18"/>
                <w:szCs w:val="18"/>
                <w:color w:val="auto"/>
              </w:rPr>
              <w:t>200</w:t>
            </w: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19"/>
                <w:szCs w:val="19"/>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rPr>
              <w:t>551</w:t>
            </w:r>
          </w:p>
        </w:tc>
        <w:tc>
          <w:tcPr>
            <w:tcW w:w="78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7"/>
        </w:trPr>
        <w:tc>
          <w:tcPr>
            <w:tcW w:w="5700" w:type="dxa"/>
            <w:vAlign w:val="bottom"/>
          </w:tcPr>
          <w:p>
            <w:pPr>
              <w:ind w:left="460"/>
              <w:spacing w:after="0"/>
              <w:rPr>
                <w:sz w:val="20"/>
                <w:szCs w:val="20"/>
                <w:color w:val="auto"/>
              </w:rPr>
            </w:pPr>
            <w:r>
              <w:rPr>
                <w:rFonts w:ascii="Arial" w:cs="Arial" w:eastAsia="Arial" w:hAnsi="Arial"/>
                <w:sz w:val="18"/>
                <w:szCs w:val="18"/>
                <w:color w:val="auto"/>
              </w:rPr>
              <w:t>Other taxes and duties</w:t>
            </w:r>
          </w:p>
        </w:tc>
        <w:tc>
          <w:tcPr>
            <w:tcW w:w="198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rPr>
              <w:t>8,303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7,751</w:t>
            </w:r>
          </w:p>
        </w:tc>
        <w:tc>
          <w:tcPr>
            <w:tcW w:w="440" w:type="dxa"/>
            <w:vAlign w:val="bottom"/>
          </w:tcPr>
          <w:p>
            <w:pPr>
              <w:spacing w:after="0"/>
              <w:rPr>
                <w:sz w:val="20"/>
                <w:szCs w:val="20"/>
                <w:color w:val="auto"/>
              </w:rPr>
            </w:pPr>
          </w:p>
        </w:tc>
        <w:tc>
          <w:tcPr>
            <w:tcW w:w="182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rPr>
              <w:t>24,825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22,115</w:t>
            </w:r>
          </w:p>
        </w:tc>
        <w:tc>
          <w:tcPr>
            <w:tcW w:w="0" w:type="dxa"/>
            <w:vAlign w:val="bottom"/>
          </w:tcPr>
          <w:p>
            <w:pPr>
              <w:spacing w:after="0"/>
              <w:rPr>
                <w:sz w:val="1"/>
                <w:szCs w:val="1"/>
                <w:color w:val="auto"/>
              </w:rPr>
            </w:pPr>
          </w:p>
        </w:tc>
      </w:tr>
      <w:tr>
        <w:trPr>
          <w:trHeight w:val="216"/>
        </w:trPr>
        <w:tc>
          <w:tcPr>
            <w:tcW w:w="5700" w:type="dxa"/>
            <w:vAlign w:val="bottom"/>
          </w:tcPr>
          <w:p>
            <w:pPr>
              <w:ind w:left="920"/>
              <w:spacing w:after="0" w:line="203" w:lineRule="exact"/>
              <w:rPr>
                <w:sz w:val="20"/>
                <w:szCs w:val="20"/>
                <w:color w:val="auto"/>
              </w:rPr>
            </w:pPr>
            <w:r>
              <w:rPr>
                <w:rFonts w:ascii="Arial" w:cs="Arial" w:eastAsia="Arial" w:hAnsi="Arial"/>
                <w:sz w:val="18"/>
                <w:szCs w:val="18"/>
                <w:color w:val="auto"/>
              </w:rPr>
              <w:t>Total costs and other deductions</w:t>
            </w:r>
          </w:p>
        </w:tc>
        <w:tc>
          <w:tcPr>
            <w:tcW w:w="198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rPr>
              <w:t>67,525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55,517</w:t>
            </w:r>
          </w:p>
        </w:tc>
        <w:tc>
          <w:tcPr>
            <w:tcW w:w="440" w:type="dxa"/>
            <w:vAlign w:val="bottom"/>
          </w:tcPr>
          <w:p>
            <w:pPr>
              <w:spacing w:after="0"/>
              <w:rPr>
                <w:sz w:val="18"/>
                <w:szCs w:val="18"/>
                <w:color w:val="auto"/>
              </w:rPr>
            </w:pPr>
          </w:p>
        </w:tc>
        <w:tc>
          <w:tcPr>
            <w:tcW w:w="182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rPr>
              <w:t>195,485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162,191</w:t>
            </w:r>
          </w:p>
        </w:tc>
        <w:tc>
          <w:tcPr>
            <w:tcW w:w="0" w:type="dxa"/>
            <w:vAlign w:val="bottom"/>
          </w:tcPr>
          <w:p>
            <w:pPr>
              <w:spacing w:after="0"/>
              <w:rPr>
                <w:sz w:val="1"/>
                <w:szCs w:val="1"/>
                <w:color w:val="auto"/>
              </w:rPr>
            </w:pPr>
          </w:p>
        </w:tc>
      </w:tr>
      <w:tr>
        <w:trPr>
          <w:trHeight w:val="195"/>
        </w:trPr>
        <w:tc>
          <w:tcPr>
            <w:tcW w:w="5700" w:type="dxa"/>
            <w:vAlign w:val="bottom"/>
          </w:tcPr>
          <w:p>
            <w:pPr>
              <w:spacing w:after="0" w:line="195" w:lineRule="exact"/>
              <w:rPr>
                <w:sz w:val="20"/>
                <w:szCs w:val="20"/>
                <w:color w:val="auto"/>
              </w:rPr>
            </w:pPr>
            <w:r>
              <w:rPr>
                <w:rFonts w:ascii="Arial" w:cs="Arial" w:eastAsia="Arial" w:hAnsi="Arial"/>
                <w:sz w:val="18"/>
                <w:szCs w:val="18"/>
                <w:color w:val="auto"/>
              </w:rPr>
              <w:t>Income before income taxes</w:t>
            </w:r>
          </w:p>
        </w:tc>
        <w:tc>
          <w:tcPr>
            <w:tcW w:w="1980" w:type="dxa"/>
            <w:vAlign w:val="bottom"/>
          </w:tcPr>
          <w:p>
            <w:pPr>
              <w:jc w:val="right"/>
              <w:ind w:right="832"/>
              <w:spacing w:after="0" w:line="195" w:lineRule="exact"/>
              <w:rPr>
                <w:sz w:val="20"/>
                <w:szCs w:val="20"/>
                <w:color w:val="auto"/>
              </w:rPr>
            </w:pPr>
            <w:r>
              <w:rPr>
                <w:rFonts w:ascii="Arial" w:cs="Arial" w:eastAsia="Arial" w:hAnsi="Arial"/>
                <w:sz w:val="18"/>
                <w:szCs w:val="18"/>
                <w:color w:val="auto"/>
              </w:rPr>
              <w:t>9,080</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5,583</w:t>
            </w:r>
          </w:p>
        </w:tc>
        <w:tc>
          <w:tcPr>
            <w:tcW w:w="440" w:type="dxa"/>
            <w:vAlign w:val="bottom"/>
          </w:tcPr>
          <w:p>
            <w:pPr>
              <w:spacing w:after="0"/>
              <w:rPr>
                <w:sz w:val="16"/>
                <w:szCs w:val="16"/>
                <w:color w:val="auto"/>
              </w:rPr>
            </w:pPr>
          </w:p>
        </w:tc>
        <w:tc>
          <w:tcPr>
            <w:tcW w:w="1820" w:type="dxa"/>
            <w:vAlign w:val="bottom"/>
          </w:tcPr>
          <w:p>
            <w:pPr>
              <w:jc w:val="right"/>
              <w:ind w:right="792"/>
              <w:spacing w:after="0" w:line="195" w:lineRule="exact"/>
              <w:rPr>
                <w:sz w:val="20"/>
                <w:szCs w:val="20"/>
                <w:color w:val="auto"/>
              </w:rPr>
            </w:pPr>
            <w:r>
              <w:rPr>
                <w:rFonts w:ascii="Arial" w:cs="Arial" w:eastAsia="Arial" w:hAnsi="Arial"/>
                <w:sz w:val="18"/>
                <w:szCs w:val="18"/>
                <w:color w:val="auto"/>
              </w:rPr>
              <w:t>22,832</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15,657</w:t>
            </w:r>
          </w:p>
        </w:tc>
        <w:tc>
          <w:tcPr>
            <w:tcW w:w="0" w:type="dxa"/>
            <w:vAlign w:val="bottom"/>
          </w:tcPr>
          <w:p>
            <w:pPr>
              <w:spacing w:after="0"/>
              <w:rPr>
                <w:sz w:val="1"/>
                <w:szCs w:val="1"/>
                <w:color w:val="auto"/>
              </w:rPr>
            </w:pPr>
          </w:p>
        </w:tc>
      </w:tr>
      <w:tr>
        <w:trPr>
          <w:trHeight w:val="237"/>
        </w:trPr>
        <w:tc>
          <w:tcPr>
            <w:tcW w:w="5700" w:type="dxa"/>
            <w:vAlign w:val="bottom"/>
          </w:tcPr>
          <w:p>
            <w:pPr>
              <w:ind w:left="460"/>
              <w:spacing w:after="0"/>
              <w:rPr>
                <w:sz w:val="20"/>
                <w:szCs w:val="20"/>
                <w:color w:val="auto"/>
              </w:rPr>
            </w:pPr>
            <w:r>
              <w:rPr>
                <w:rFonts w:ascii="Arial" w:cs="Arial" w:eastAsia="Arial" w:hAnsi="Arial"/>
                <w:sz w:val="18"/>
                <w:szCs w:val="18"/>
                <w:color w:val="auto"/>
              </w:rPr>
              <w:t>Income taxes</w:t>
            </w:r>
          </w:p>
        </w:tc>
        <w:tc>
          <w:tcPr>
            <w:tcW w:w="198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rPr>
              <w:t>2,634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440" w:type="dxa"/>
            <w:vAlign w:val="bottom"/>
          </w:tcPr>
          <w:p>
            <w:pPr>
              <w:spacing w:after="0"/>
              <w:rPr>
                <w:sz w:val="20"/>
                <w:szCs w:val="20"/>
                <w:color w:val="auto"/>
              </w:rPr>
            </w:pPr>
          </w:p>
        </w:tc>
        <w:tc>
          <w:tcPr>
            <w:tcW w:w="182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rPr>
              <w:t>7,617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rPr>
              <w:t>Net income including noncontrolling interests</w:t>
            </w:r>
          </w:p>
        </w:tc>
        <w:tc>
          <w:tcPr>
            <w:tcW w:w="1980" w:type="dxa"/>
            <w:vAlign w:val="bottom"/>
          </w:tcPr>
          <w:p>
            <w:pPr>
              <w:jc w:val="right"/>
              <w:ind w:right="832"/>
              <w:spacing w:after="0" w:line="201" w:lineRule="exact"/>
              <w:rPr>
                <w:sz w:val="20"/>
                <w:szCs w:val="20"/>
                <w:color w:val="auto"/>
              </w:rPr>
            </w:pPr>
            <w:r>
              <w:rPr>
                <w:rFonts w:ascii="Arial" w:cs="Arial" w:eastAsia="Arial" w:hAnsi="Arial"/>
                <w:sz w:val="18"/>
                <w:szCs w:val="18"/>
                <w:color w:val="auto"/>
              </w:rPr>
              <w:t>6,446</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4,085</w:t>
            </w:r>
          </w:p>
        </w:tc>
        <w:tc>
          <w:tcPr>
            <w:tcW w:w="440" w:type="dxa"/>
            <w:vAlign w:val="bottom"/>
          </w:tcPr>
          <w:p>
            <w:pPr>
              <w:spacing w:after="0"/>
              <w:rPr>
                <w:sz w:val="17"/>
                <w:szCs w:val="17"/>
                <w:color w:val="auto"/>
              </w:rPr>
            </w:pPr>
          </w:p>
        </w:tc>
        <w:tc>
          <w:tcPr>
            <w:tcW w:w="1820" w:type="dxa"/>
            <w:vAlign w:val="bottom"/>
          </w:tcPr>
          <w:p>
            <w:pPr>
              <w:jc w:val="right"/>
              <w:ind w:right="792"/>
              <w:spacing w:after="0" w:line="201" w:lineRule="exact"/>
              <w:rPr>
                <w:sz w:val="20"/>
                <w:szCs w:val="20"/>
                <w:color w:val="auto"/>
              </w:rPr>
            </w:pPr>
            <w:r>
              <w:rPr>
                <w:rFonts w:ascii="Arial" w:cs="Arial" w:eastAsia="Arial" w:hAnsi="Arial"/>
                <w:sz w:val="18"/>
                <w:szCs w:val="18"/>
                <w:color w:val="auto"/>
              </w:rPr>
              <w:t>15,215</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11,439</w:t>
            </w:r>
          </w:p>
        </w:tc>
        <w:tc>
          <w:tcPr>
            <w:tcW w:w="0" w:type="dxa"/>
            <w:vAlign w:val="bottom"/>
          </w:tcPr>
          <w:p>
            <w:pPr>
              <w:spacing w:after="0"/>
              <w:rPr>
                <w:sz w:val="1"/>
                <w:szCs w:val="1"/>
                <w:color w:val="auto"/>
              </w:rPr>
            </w:pPr>
          </w:p>
        </w:tc>
      </w:tr>
      <w:tr>
        <w:trPr>
          <w:trHeight w:val="237"/>
        </w:trPr>
        <w:tc>
          <w:tcPr>
            <w:tcW w:w="5700" w:type="dxa"/>
            <w:vAlign w:val="bottom"/>
          </w:tcPr>
          <w:p>
            <w:pPr>
              <w:ind w:left="460"/>
              <w:spacing w:after="0"/>
              <w:rPr>
                <w:sz w:val="20"/>
                <w:szCs w:val="20"/>
                <w:color w:val="auto"/>
              </w:rPr>
            </w:pPr>
            <w:r>
              <w:rPr>
                <w:rFonts w:ascii="Arial" w:cs="Arial" w:eastAsia="Arial" w:hAnsi="Arial"/>
                <w:sz w:val="18"/>
                <w:szCs w:val="18"/>
                <w:color w:val="auto"/>
              </w:rPr>
              <w:t>Net income attributable to noncontrolling interests</w:t>
            </w:r>
          </w:p>
        </w:tc>
        <w:tc>
          <w:tcPr>
            <w:tcW w:w="198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rPr>
              <w:t>206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20"/>
                <w:szCs w:val="20"/>
                <w:color w:val="auto"/>
              </w:rPr>
            </w:pPr>
          </w:p>
        </w:tc>
        <w:tc>
          <w:tcPr>
            <w:tcW w:w="182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rPr>
              <w:t>375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700" w:type="dxa"/>
            <w:vAlign w:val="bottom"/>
          </w:tcPr>
          <w:p>
            <w:pPr>
              <w:spacing w:after="0" w:line="203" w:lineRule="exact"/>
              <w:rPr>
                <w:sz w:val="20"/>
                <w:szCs w:val="20"/>
                <w:color w:val="auto"/>
              </w:rPr>
            </w:pPr>
            <w:r>
              <w:rPr>
                <w:rFonts w:ascii="Arial" w:cs="Arial" w:eastAsia="Arial" w:hAnsi="Arial"/>
                <w:sz w:val="18"/>
                <w:szCs w:val="18"/>
                <w:color w:val="auto"/>
              </w:rPr>
              <w:t>Net income attributable to ExxonMobil</w:t>
            </w:r>
          </w:p>
        </w:tc>
        <w:tc>
          <w:tcPr>
            <w:tcW w:w="198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rPr>
              <w:t>6,240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440" w:type="dxa"/>
            <w:vAlign w:val="bottom"/>
          </w:tcPr>
          <w:p>
            <w:pPr>
              <w:spacing w:after="0"/>
              <w:rPr>
                <w:sz w:val="18"/>
                <w:szCs w:val="18"/>
                <w:color w:val="auto"/>
              </w:rPr>
            </w:pPr>
          </w:p>
        </w:tc>
        <w:tc>
          <w:tcPr>
            <w:tcW w:w="182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rPr>
              <w:t>14,840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655"/>
        </w:trPr>
        <w:tc>
          <w:tcPr>
            <w:tcW w:w="5700" w:type="dxa"/>
            <w:vAlign w:val="bottom"/>
          </w:tcPr>
          <w:p>
            <w:pPr>
              <w:spacing w:after="0"/>
              <w:rPr>
                <w:sz w:val="20"/>
                <w:szCs w:val="20"/>
                <w:color w:val="auto"/>
              </w:rPr>
            </w:pPr>
            <w:r>
              <w:rPr>
                <w:rFonts w:ascii="Arial" w:cs="Arial" w:eastAsia="Arial" w:hAnsi="Arial"/>
                <w:sz w:val="18"/>
                <w:szCs w:val="18"/>
                <w:color w:val="auto"/>
              </w:rPr>
              <w:t xml:space="preserve">Earnings per common share </w:t>
            </w:r>
            <w:r>
              <w:rPr>
                <w:rFonts w:ascii="Arial" w:cs="Arial" w:eastAsia="Arial" w:hAnsi="Arial"/>
                <w:sz w:val="18"/>
                <w:szCs w:val="18"/>
                <w:i w:val="1"/>
                <w:iCs w:val="1"/>
                <w:color w:val="auto"/>
              </w:rPr>
              <w:t>(dollars)</w:t>
            </w:r>
          </w:p>
        </w:tc>
        <w:tc>
          <w:tcPr>
            <w:tcW w:w="1980" w:type="dxa"/>
            <w:vAlign w:val="bottom"/>
          </w:tcPr>
          <w:p>
            <w:pPr>
              <w:jc w:val="right"/>
              <w:ind w:right="832"/>
              <w:spacing w:after="0"/>
              <w:rPr>
                <w:sz w:val="20"/>
                <w:szCs w:val="20"/>
                <w:color w:val="auto"/>
              </w:rPr>
            </w:pPr>
            <w:r>
              <w:rPr>
                <w:rFonts w:ascii="Arial" w:cs="Arial" w:eastAsia="Arial" w:hAnsi="Arial"/>
                <w:sz w:val="18"/>
                <w:szCs w:val="18"/>
                <w:color w:val="auto"/>
              </w:rPr>
              <w:t>1.46</w:t>
            </w:r>
          </w:p>
        </w:tc>
        <w:tc>
          <w:tcPr>
            <w:tcW w:w="660" w:type="dxa"/>
            <w:vAlign w:val="bottom"/>
          </w:tcPr>
          <w:p>
            <w:pPr>
              <w:jc w:val="right"/>
              <w:spacing w:after="0"/>
              <w:rPr>
                <w:sz w:val="20"/>
                <w:szCs w:val="20"/>
                <w:color w:val="auto"/>
              </w:rPr>
            </w:pPr>
            <w:r>
              <w:rPr>
                <w:rFonts w:ascii="Arial" w:cs="Arial" w:eastAsia="Arial" w:hAnsi="Arial"/>
                <w:sz w:val="18"/>
                <w:szCs w:val="18"/>
                <w:color w:val="auto"/>
              </w:rPr>
              <w:t>0.93</w:t>
            </w:r>
          </w:p>
        </w:tc>
        <w:tc>
          <w:tcPr>
            <w:tcW w:w="440" w:type="dxa"/>
            <w:vAlign w:val="bottom"/>
          </w:tcPr>
          <w:p>
            <w:pPr>
              <w:spacing w:after="0"/>
              <w:rPr>
                <w:sz w:val="24"/>
                <w:szCs w:val="24"/>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rPr>
              <w:t>3.47</w:t>
            </w:r>
          </w:p>
        </w:tc>
        <w:tc>
          <w:tcPr>
            <w:tcW w:w="78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18"/>
                <w:szCs w:val="18"/>
                <w:color w:val="auto"/>
              </w:rPr>
              <w:t xml:space="preserve">Earnings per common share - assuming dilution </w:t>
            </w:r>
            <w:r>
              <w:rPr>
                <w:rFonts w:ascii="Arial" w:cs="Arial" w:eastAsia="Arial" w:hAnsi="Arial"/>
                <w:sz w:val="18"/>
                <w:szCs w:val="18"/>
                <w:i w:val="1"/>
                <w:iCs w:val="1"/>
                <w:color w:val="auto"/>
              </w:rPr>
              <w:t>(dollars)</w:t>
            </w:r>
          </w:p>
        </w:tc>
        <w:tc>
          <w:tcPr>
            <w:tcW w:w="1980" w:type="dxa"/>
            <w:vAlign w:val="bottom"/>
          </w:tcPr>
          <w:p>
            <w:pPr>
              <w:jc w:val="right"/>
              <w:ind w:right="832"/>
              <w:spacing w:after="0"/>
              <w:rPr>
                <w:sz w:val="20"/>
                <w:szCs w:val="20"/>
                <w:color w:val="auto"/>
              </w:rPr>
            </w:pPr>
            <w:r>
              <w:rPr>
                <w:rFonts w:ascii="Arial" w:cs="Arial" w:eastAsia="Arial" w:hAnsi="Arial"/>
                <w:sz w:val="18"/>
                <w:szCs w:val="18"/>
                <w:color w:val="auto"/>
              </w:rPr>
              <w:t>1.46</w:t>
            </w:r>
          </w:p>
        </w:tc>
        <w:tc>
          <w:tcPr>
            <w:tcW w:w="660" w:type="dxa"/>
            <w:vAlign w:val="bottom"/>
          </w:tcPr>
          <w:p>
            <w:pPr>
              <w:jc w:val="right"/>
              <w:spacing w:after="0"/>
              <w:rPr>
                <w:sz w:val="20"/>
                <w:szCs w:val="20"/>
                <w:color w:val="auto"/>
              </w:rPr>
            </w:pPr>
            <w:r>
              <w:rPr>
                <w:rFonts w:ascii="Arial" w:cs="Arial" w:eastAsia="Arial" w:hAnsi="Arial"/>
                <w:sz w:val="18"/>
                <w:szCs w:val="18"/>
                <w:color w:val="auto"/>
              </w:rPr>
              <w:t>0.93</w:t>
            </w:r>
          </w:p>
        </w:tc>
        <w:tc>
          <w:tcPr>
            <w:tcW w:w="440" w:type="dxa"/>
            <w:vAlign w:val="bottom"/>
          </w:tcPr>
          <w:p>
            <w:pPr>
              <w:spacing w:after="0"/>
              <w:rPr>
                <w:sz w:val="24"/>
                <w:szCs w:val="24"/>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rPr>
              <w:t>3.47</w:t>
            </w:r>
          </w:p>
        </w:tc>
        <w:tc>
          <w:tcPr>
            <w:tcW w:w="78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Condensed Consolidated Financial Statements is an integral part of these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EXXON MOBIL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(millions of dollars)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98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48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216"/>
        </w:trPr>
        <w:tc>
          <w:tcPr>
            <w:tcW w:w="59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8"/>
                <w:szCs w:val="18"/>
                <w:color w:val="auto"/>
              </w:rPr>
            </w:pPr>
          </w:p>
        </w:tc>
      </w:tr>
      <w:tr>
        <w:trPr>
          <w:trHeight w:val="53"/>
        </w:trPr>
        <w:tc>
          <w:tcPr>
            <w:tcW w:w="5960" w:type="dxa"/>
            <w:vAlign w:val="bottom"/>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90"/>
        </w:trPr>
        <w:tc>
          <w:tcPr>
            <w:tcW w:w="5960" w:type="dxa"/>
            <w:vAlign w:val="bottom"/>
          </w:tcPr>
          <w:p>
            <w:pPr>
              <w:spacing w:after="0"/>
              <w:rPr>
                <w:sz w:val="16"/>
                <w:szCs w:val="16"/>
                <w:color w:val="auto"/>
              </w:rPr>
            </w:pPr>
          </w:p>
        </w:tc>
        <w:tc>
          <w:tcPr>
            <w:tcW w:w="1800" w:type="dxa"/>
            <w:vAlign w:val="bottom"/>
            <w:tcBorders>
              <w:bottom w:val="single" w:sz="8" w:color="auto"/>
            </w:tcBorders>
          </w:tcPr>
          <w:p>
            <w:pPr>
              <w:jc w:val="right"/>
              <w:ind w:right="1054"/>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6"/>
                <w:szCs w:val="16"/>
                <w:color w:val="auto"/>
              </w:rPr>
            </w:pPr>
          </w:p>
        </w:tc>
        <w:tc>
          <w:tcPr>
            <w:tcW w:w="174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r>
      <w:tr>
        <w:trPr>
          <w:trHeight w:val="431"/>
        </w:trPr>
        <w:tc>
          <w:tcPr>
            <w:tcW w:w="596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800" w:type="dxa"/>
            <w:vAlign w:val="bottom"/>
          </w:tcPr>
          <w:p>
            <w:pPr>
              <w:jc w:val="right"/>
              <w:ind w:right="734"/>
              <w:spacing w:after="0"/>
              <w:rPr>
                <w:sz w:val="20"/>
                <w:szCs w:val="20"/>
                <w:color w:val="auto"/>
              </w:rPr>
            </w:pPr>
            <w:r>
              <w:rPr>
                <w:rFonts w:ascii="Arial" w:cs="Arial" w:eastAsia="Arial" w:hAnsi="Arial"/>
                <w:sz w:val="18"/>
                <w:szCs w:val="18"/>
                <w:color w:val="auto"/>
              </w:rPr>
              <w:t>6,446</w:t>
            </w:r>
          </w:p>
        </w:tc>
        <w:tc>
          <w:tcPr>
            <w:tcW w:w="740" w:type="dxa"/>
            <w:vAlign w:val="bottom"/>
          </w:tcPr>
          <w:p>
            <w:pPr>
              <w:jc w:val="right"/>
              <w:spacing w:after="0"/>
              <w:rPr>
                <w:sz w:val="20"/>
                <w:szCs w:val="20"/>
                <w:color w:val="auto"/>
              </w:rPr>
            </w:pPr>
            <w:r>
              <w:rPr>
                <w:rFonts w:ascii="Arial" w:cs="Arial" w:eastAsia="Arial" w:hAnsi="Arial"/>
                <w:sz w:val="18"/>
                <w:szCs w:val="18"/>
                <w:color w:val="auto"/>
              </w:rPr>
              <w:t>4,085</w:t>
            </w:r>
          </w:p>
        </w:tc>
        <w:tc>
          <w:tcPr>
            <w:tcW w:w="440" w:type="dxa"/>
            <w:vAlign w:val="bottom"/>
          </w:tcPr>
          <w:p>
            <w:pPr>
              <w:spacing w:after="0"/>
              <w:rPr>
                <w:sz w:val="24"/>
                <w:szCs w:val="24"/>
                <w:color w:val="auto"/>
              </w:rPr>
            </w:pPr>
          </w:p>
        </w:tc>
        <w:tc>
          <w:tcPr>
            <w:tcW w:w="1740" w:type="dxa"/>
            <w:vAlign w:val="bottom"/>
          </w:tcPr>
          <w:p>
            <w:pPr>
              <w:jc w:val="right"/>
              <w:ind w:right="694"/>
              <w:spacing w:after="0"/>
              <w:rPr>
                <w:sz w:val="20"/>
                <w:szCs w:val="20"/>
                <w:color w:val="auto"/>
              </w:rPr>
            </w:pPr>
            <w:r>
              <w:rPr>
                <w:rFonts w:ascii="Arial" w:cs="Arial" w:eastAsia="Arial" w:hAnsi="Arial"/>
                <w:sz w:val="18"/>
                <w:szCs w:val="18"/>
                <w:color w:val="auto"/>
              </w:rPr>
              <w:t>15,215</w:t>
            </w:r>
          </w:p>
        </w:tc>
        <w:tc>
          <w:tcPr>
            <w:tcW w:w="740" w:type="dxa"/>
            <w:vAlign w:val="bottom"/>
          </w:tcPr>
          <w:p>
            <w:pPr>
              <w:jc w:val="right"/>
              <w:spacing w:after="0"/>
              <w:rPr>
                <w:sz w:val="20"/>
                <w:szCs w:val="20"/>
                <w:color w:val="auto"/>
              </w:rPr>
            </w:pPr>
            <w:r>
              <w:rPr>
                <w:rFonts w:ascii="Arial" w:cs="Arial" w:eastAsia="Arial" w:hAnsi="Arial"/>
                <w:sz w:val="18"/>
                <w:szCs w:val="18"/>
                <w:color w:val="auto"/>
              </w:rPr>
              <w:t>11,439</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 (net of income taxes)</w:t>
            </w:r>
          </w:p>
        </w:tc>
        <w:tc>
          <w:tcPr>
            <w:tcW w:w="1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Foreign exchange translation adjustment</w:t>
            </w:r>
          </w:p>
        </w:tc>
        <w:tc>
          <w:tcPr>
            <w:tcW w:w="1800" w:type="dxa"/>
            <w:vAlign w:val="bottom"/>
          </w:tcPr>
          <w:p>
            <w:pPr>
              <w:jc w:val="right"/>
              <w:ind w:right="734"/>
              <w:spacing w:after="0"/>
              <w:rPr>
                <w:sz w:val="20"/>
                <w:szCs w:val="20"/>
                <w:color w:val="auto"/>
              </w:rPr>
            </w:pPr>
            <w:r>
              <w:rPr>
                <w:rFonts w:ascii="Arial" w:cs="Arial" w:eastAsia="Arial" w:hAnsi="Arial"/>
                <w:sz w:val="18"/>
                <w:szCs w:val="18"/>
                <w:color w:val="auto"/>
              </w:rPr>
              <w:t>124</w:t>
            </w:r>
          </w:p>
        </w:tc>
        <w:tc>
          <w:tcPr>
            <w:tcW w:w="740" w:type="dxa"/>
            <w:vAlign w:val="bottom"/>
          </w:tcPr>
          <w:p>
            <w:pPr>
              <w:jc w:val="right"/>
              <w:spacing w:after="0"/>
              <w:rPr>
                <w:sz w:val="20"/>
                <w:szCs w:val="20"/>
                <w:color w:val="auto"/>
              </w:rPr>
            </w:pPr>
            <w:r>
              <w:rPr>
                <w:rFonts w:ascii="Arial" w:cs="Arial" w:eastAsia="Arial" w:hAnsi="Arial"/>
                <w:sz w:val="18"/>
                <w:szCs w:val="18"/>
                <w:color w:val="auto"/>
              </w:rPr>
              <w:t>2,342</w:t>
            </w:r>
          </w:p>
        </w:tc>
        <w:tc>
          <w:tcPr>
            <w:tcW w:w="440" w:type="dxa"/>
            <w:vAlign w:val="bottom"/>
          </w:tcPr>
          <w:p>
            <w:pPr>
              <w:spacing w:after="0"/>
              <w:rPr>
                <w:sz w:val="19"/>
                <w:szCs w:val="19"/>
                <w:color w:val="auto"/>
              </w:rPr>
            </w:pPr>
          </w:p>
        </w:tc>
        <w:tc>
          <w:tcPr>
            <w:tcW w:w="1740" w:type="dxa"/>
            <w:vAlign w:val="bottom"/>
          </w:tcPr>
          <w:p>
            <w:pPr>
              <w:jc w:val="right"/>
              <w:ind w:right="634"/>
              <w:spacing w:after="0"/>
              <w:rPr>
                <w:sz w:val="20"/>
                <w:szCs w:val="20"/>
                <w:color w:val="auto"/>
              </w:rPr>
            </w:pPr>
            <w:r>
              <w:rPr>
                <w:rFonts w:ascii="Arial" w:cs="Arial" w:eastAsia="Arial" w:hAnsi="Arial"/>
                <w:sz w:val="18"/>
                <w:szCs w:val="18"/>
                <w:color w:val="auto"/>
              </w:rPr>
              <w:t>(2,720)</w:t>
            </w:r>
          </w:p>
        </w:tc>
        <w:tc>
          <w:tcPr>
            <w:tcW w:w="740" w:type="dxa"/>
            <w:vAlign w:val="bottom"/>
          </w:tcPr>
          <w:p>
            <w:pPr>
              <w:jc w:val="right"/>
              <w:spacing w:after="0"/>
              <w:rPr>
                <w:sz w:val="20"/>
                <w:szCs w:val="20"/>
                <w:color w:val="auto"/>
              </w:rPr>
            </w:pPr>
            <w:r>
              <w:rPr>
                <w:rFonts w:ascii="Arial" w:cs="Arial" w:eastAsia="Arial" w:hAnsi="Arial"/>
                <w:sz w:val="18"/>
                <w:szCs w:val="18"/>
                <w:color w:val="auto"/>
              </w:rPr>
              <w:t>5,424</w:t>
            </w: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Adjustment for foreign exchange translation (gain)/loss</w:t>
            </w:r>
          </w:p>
        </w:tc>
        <w:tc>
          <w:tcPr>
            <w:tcW w:w="1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960" w:type="dxa"/>
            <w:vAlign w:val="bottom"/>
          </w:tcPr>
          <w:p>
            <w:pPr>
              <w:ind w:left="740"/>
              <w:spacing w:after="0"/>
              <w:rPr>
                <w:sz w:val="20"/>
                <w:szCs w:val="20"/>
                <w:color w:val="auto"/>
              </w:rPr>
            </w:pPr>
            <w:r>
              <w:rPr>
                <w:rFonts w:ascii="Arial" w:cs="Arial" w:eastAsia="Arial" w:hAnsi="Arial"/>
                <w:sz w:val="18"/>
                <w:szCs w:val="18"/>
                <w:color w:val="auto"/>
              </w:rPr>
              <w:t>included in net income</w:t>
            </w:r>
          </w:p>
        </w:tc>
        <w:tc>
          <w:tcPr>
            <w:tcW w:w="1800" w:type="dxa"/>
            <w:vAlign w:val="bottom"/>
          </w:tcPr>
          <w:p>
            <w:pPr>
              <w:jc w:val="right"/>
              <w:ind w:right="734"/>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740" w:type="dxa"/>
            <w:vAlign w:val="bottom"/>
          </w:tcPr>
          <w:p>
            <w:pPr>
              <w:jc w:val="right"/>
              <w:ind w:right="694"/>
              <w:spacing w:after="0"/>
              <w:rPr>
                <w:sz w:val="20"/>
                <w:szCs w:val="20"/>
                <w:color w:val="auto"/>
              </w:rPr>
            </w:pPr>
            <w:r>
              <w:rPr>
                <w:rFonts w:ascii="Arial" w:cs="Arial" w:eastAsia="Arial" w:hAnsi="Arial"/>
                <w:sz w:val="18"/>
                <w:szCs w:val="18"/>
                <w:color w:val="auto"/>
              </w:rPr>
              <w:t>186</w:t>
            </w:r>
          </w:p>
        </w:tc>
        <w:tc>
          <w:tcPr>
            <w:tcW w:w="7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Postretirement benefits reserves adjustment</w:t>
            </w:r>
          </w:p>
        </w:tc>
        <w:tc>
          <w:tcPr>
            <w:tcW w:w="1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960" w:type="dxa"/>
            <w:vAlign w:val="bottom"/>
          </w:tcPr>
          <w:p>
            <w:pPr>
              <w:ind w:left="700"/>
              <w:spacing w:after="0"/>
              <w:rPr>
                <w:sz w:val="20"/>
                <w:szCs w:val="20"/>
                <w:color w:val="auto"/>
              </w:rPr>
            </w:pPr>
            <w:r>
              <w:rPr>
                <w:rFonts w:ascii="Arial" w:cs="Arial" w:eastAsia="Arial" w:hAnsi="Arial"/>
                <w:sz w:val="18"/>
                <w:szCs w:val="18"/>
                <w:color w:val="auto"/>
              </w:rPr>
              <w:t>(excluding amortization)</w:t>
            </w:r>
          </w:p>
        </w:tc>
        <w:tc>
          <w:tcPr>
            <w:tcW w:w="1800" w:type="dxa"/>
            <w:vAlign w:val="bottom"/>
          </w:tcPr>
          <w:p>
            <w:pPr>
              <w:jc w:val="right"/>
              <w:ind w:right="674"/>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(145)</w:t>
            </w:r>
          </w:p>
        </w:tc>
        <w:tc>
          <w:tcPr>
            <w:tcW w:w="1740" w:type="dxa"/>
            <w:vAlign w:val="bottom"/>
          </w:tcPr>
          <w:p>
            <w:pPr>
              <w:jc w:val="right"/>
              <w:ind w:right="634"/>
              <w:spacing w:after="0"/>
              <w:rPr>
                <w:sz w:val="20"/>
                <w:szCs w:val="20"/>
                <w:color w:val="auto"/>
              </w:rPr>
            </w:pPr>
            <w:r>
              <w:rPr>
                <w:rFonts w:ascii="Arial" w:cs="Arial" w:eastAsia="Arial" w:hAnsi="Arial"/>
                <w:sz w:val="18"/>
                <w:szCs w:val="18"/>
                <w:color w:val="auto"/>
              </w:rPr>
              <w:t>(394)</w:t>
            </w:r>
          </w:p>
        </w:tc>
        <w:tc>
          <w:tcPr>
            <w:tcW w:w="74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Amortization and settlement of postretirement benefits reserves</w:t>
            </w:r>
          </w:p>
        </w:tc>
        <w:tc>
          <w:tcPr>
            <w:tcW w:w="1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7"/>
        </w:trPr>
        <w:tc>
          <w:tcPr>
            <w:tcW w:w="5960" w:type="dxa"/>
            <w:vAlign w:val="bottom"/>
          </w:tcPr>
          <w:p>
            <w:pPr>
              <w:ind w:left="700"/>
              <w:spacing w:after="0"/>
              <w:rPr>
                <w:sz w:val="20"/>
                <w:szCs w:val="20"/>
                <w:color w:val="auto"/>
              </w:rPr>
            </w:pPr>
            <w:r>
              <w:rPr>
                <w:rFonts w:ascii="Arial" w:cs="Arial" w:eastAsia="Arial" w:hAnsi="Arial"/>
                <w:sz w:val="18"/>
                <w:szCs w:val="18"/>
                <w:color w:val="auto"/>
              </w:rPr>
              <w:t>adjustment included in net periodic benefit costs</w:t>
            </w:r>
          </w:p>
        </w:tc>
        <w:tc>
          <w:tcPr>
            <w:tcW w:w="18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rPr>
              <w:t>223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0"/>
                <w:szCs w:val="20"/>
                <w:color w:val="auto"/>
              </w:rPr>
            </w:pPr>
          </w:p>
        </w:tc>
        <w:tc>
          <w:tcPr>
            <w:tcW w:w="174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rPr>
              <w:t>689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r>
      <w:tr>
        <w:trPr>
          <w:trHeight w:val="216"/>
        </w:trPr>
        <w:tc>
          <w:tcPr>
            <w:tcW w:w="5960" w:type="dxa"/>
            <w:vAlign w:val="bottom"/>
          </w:tcPr>
          <w:p>
            <w:pPr>
              <w:ind w:left="460"/>
              <w:spacing w:after="0" w:line="203" w:lineRule="exact"/>
              <w:rPr>
                <w:sz w:val="20"/>
                <w:szCs w:val="20"/>
                <w:color w:val="auto"/>
              </w:rPr>
            </w:pPr>
            <w:r>
              <w:rPr>
                <w:rFonts w:ascii="Arial" w:cs="Arial" w:eastAsia="Arial" w:hAnsi="Arial"/>
                <w:sz w:val="18"/>
                <w:szCs w:val="18"/>
                <w:color w:val="auto"/>
              </w:rPr>
              <w:t>Total other comprehensive income</w:t>
            </w:r>
          </w:p>
        </w:tc>
        <w:tc>
          <w:tcPr>
            <w:tcW w:w="18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rPr>
              <w:t>344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440" w:type="dxa"/>
            <w:vAlign w:val="bottom"/>
          </w:tcPr>
          <w:p>
            <w:pPr>
              <w:spacing w:after="0"/>
              <w:rPr>
                <w:sz w:val="18"/>
                <w:szCs w:val="18"/>
                <w:color w:val="auto"/>
              </w:rPr>
            </w:pPr>
          </w:p>
        </w:tc>
        <w:tc>
          <w:tcPr>
            <w:tcW w:w="174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color w:val="auto"/>
              </w:rPr>
              <w:t>(2,239)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w:t>
            </w:r>
          </w:p>
        </w:tc>
      </w:tr>
      <w:tr>
        <w:trPr>
          <w:trHeight w:val="195"/>
        </w:trPr>
        <w:tc>
          <w:tcPr>
            <w:tcW w:w="5960" w:type="dxa"/>
            <w:vAlign w:val="bottom"/>
          </w:tcPr>
          <w:p>
            <w:pPr>
              <w:spacing w:after="0" w:line="195" w:lineRule="exact"/>
              <w:rPr>
                <w:sz w:val="20"/>
                <w:szCs w:val="20"/>
                <w:color w:val="auto"/>
              </w:rPr>
            </w:pPr>
            <w:r>
              <w:rPr>
                <w:rFonts w:ascii="Arial" w:cs="Arial" w:eastAsia="Arial" w:hAnsi="Arial"/>
                <w:sz w:val="18"/>
                <w:szCs w:val="18"/>
                <w:color w:val="auto"/>
              </w:rPr>
              <w:t>Comprehensive income including noncontrolling interests</w:t>
            </w:r>
          </w:p>
        </w:tc>
        <w:tc>
          <w:tcPr>
            <w:tcW w:w="1800" w:type="dxa"/>
            <w:vAlign w:val="bottom"/>
          </w:tcPr>
          <w:p>
            <w:pPr>
              <w:jc w:val="right"/>
              <w:ind w:right="734"/>
              <w:spacing w:after="0" w:line="195" w:lineRule="exact"/>
              <w:rPr>
                <w:sz w:val="20"/>
                <w:szCs w:val="20"/>
                <w:color w:val="auto"/>
              </w:rPr>
            </w:pPr>
            <w:r>
              <w:rPr>
                <w:rFonts w:ascii="Arial" w:cs="Arial" w:eastAsia="Arial" w:hAnsi="Arial"/>
                <w:sz w:val="18"/>
                <w:szCs w:val="18"/>
                <w:color w:val="auto"/>
              </w:rPr>
              <w:t>6,790</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6,593</w:t>
            </w:r>
          </w:p>
        </w:tc>
        <w:tc>
          <w:tcPr>
            <w:tcW w:w="440" w:type="dxa"/>
            <w:vAlign w:val="bottom"/>
          </w:tcPr>
          <w:p>
            <w:pPr>
              <w:spacing w:after="0"/>
              <w:rPr>
                <w:sz w:val="16"/>
                <w:szCs w:val="16"/>
                <w:color w:val="auto"/>
              </w:rPr>
            </w:pPr>
          </w:p>
        </w:tc>
        <w:tc>
          <w:tcPr>
            <w:tcW w:w="1740" w:type="dxa"/>
            <w:vAlign w:val="bottom"/>
          </w:tcPr>
          <w:p>
            <w:pPr>
              <w:jc w:val="right"/>
              <w:ind w:right="694"/>
              <w:spacing w:after="0" w:line="195" w:lineRule="exact"/>
              <w:rPr>
                <w:sz w:val="20"/>
                <w:szCs w:val="20"/>
                <w:color w:val="auto"/>
              </w:rPr>
            </w:pPr>
            <w:r>
              <w:rPr>
                <w:rFonts w:ascii="Arial" w:cs="Arial" w:eastAsia="Arial" w:hAnsi="Arial"/>
                <w:sz w:val="18"/>
                <w:szCs w:val="18"/>
                <w:color w:val="auto"/>
              </w:rPr>
              <w:t>12,976</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17,618</w:t>
            </w: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Comprehensive income attributable to</w:t>
            </w:r>
          </w:p>
        </w:tc>
        <w:tc>
          <w:tcPr>
            <w:tcW w:w="1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7"/>
        </w:trPr>
        <w:tc>
          <w:tcPr>
            <w:tcW w:w="5960" w:type="dxa"/>
            <w:vAlign w:val="bottom"/>
          </w:tcPr>
          <w:p>
            <w:pPr>
              <w:ind w:left="700"/>
              <w:spacing w:after="0"/>
              <w:rPr>
                <w:sz w:val="20"/>
                <w:szCs w:val="20"/>
                <w:color w:val="auto"/>
              </w:rPr>
            </w:pPr>
            <w:r>
              <w:rPr>
                <w:rFonts w:ascii="Arial" w:cs="Arial" w:eastAsia="Arial" w:hAnsi="Arial"/>
                <w:sz w:val="18"/>
                <w:szCs w:val="18"/>
                <w:color w:val="auto"/>
              </w:rPr>
              <w:t>noncontrolling interests</w:t>
            </w:r>
          </w:p>
        </w:tc>
        <w:tc>
          <w:tcPr>
            <w:tcW w:w="180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rPr>
              <w:t>311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440" w:type="dxa"/>
            <w:vAlign w:val="bottom"/>
          </w:tcPr>
          <w:p>
            <w:pPr>
              <w:spacing w:after="0"/>
              <w:rPr>
                <w:sz w:val="20"/>
                <w:szCs w:val="20"/>
                <w:color w:val="auto"/>
              </w:rPr>
            </w:pPr>
          </w:p>
        </w:tc>
        <w:tc>
          <w:tcPr>
            <w:tcW w:w="174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rPr>
              <w:t>205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5960" w:type="dxa"/>
            <w:vAlign w:val="bottom"/>
          </w:tcPr>
          <w:p>
            <w:pPr>
              <w:spacing w:after="0" w:line="203" w:lineRule="exact"/>
              <w:rPr>
                <w:sz w:val="20"/>
                <w:szCs w:val="20"/>
                <w:color w:val="auto"/>
              </w:rPr>
            </w:pPr>
            <w:r>
              <w:rPr>
                <w:rFonts w:ascii="Arial" w:cs="Arial" w:eastAsia="Arial" w:hAnsi="Arial"/>
                <w:sz w:val="18"/>
                <w:szCs w:val="18"/>
                <w:color w:val="auto"/>
              </w:rPr>
              <w:t>Comprehensive income attributable to ExxonMobil</w:t>
            </w:r>
          </w:p>
        </w:tc>
        <w:tc>
          <w:tcPr>
            <w:tcW w:w="18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rPr>
              <w:t>6,479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6,221</w:t>
            </w:r>
          </w:p>
        </w:tc>
        <w:tc>
          <w:tcPr>
            <w:tcW w:w="440" w:type="dxa"/>
            <w:vAlign w:val="bottom"/>
          </w:tcPr>
          <w:p>
            <w:pPr>
              <w:spacing w:after="0"/>
              <w:rPr>
                <w:sz w:val="18"/>
                <w:szCs w:val="18"/>
                <w:color w:val="auto"/>
              </w:rPr>
            </w:pPr>
          </w:p>
        </w:tc>
        <w:tc>
          <w:tcPr>
            <w:tcW w:w="174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rPr>
              <w:t>12,771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Condensed Consolidated Financial Statements is an integral part of these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EXXON MOBIL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(millions of dollars)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640" w:type="dxa"/>
            <w:vAlign w:val="bottom"/>
          </w:tcPr>
          <w:p>
            <w:pPr>
              <w:jc w:val="right"/>
              <w:ind w:right="731"/>
              <w:spacing w:after="0"/>
              <w:rPr>
                <w:sz w:val="20"/>
                <w:szCs w:val="20"/>
                <w:color w:val="auto"/>
              </w:rPr>
            </w:pPr>
            <w:r>
              <w:rPr>
                <w:rFonts w:ascii="Arial" w:cs="Arial" w:eastAsia="Arial" w:hAnsi="Arial"/>
                <w:sz w:val="14"/>
                <w:szCs w:val="14"/>
                <w:b w:val="1"/>
                <w:bCs w:val="1"/>
                <w:color w:val="auto"/>
              </w:rPr>
              <w:t>Sept. 30,</w:t>
            </w:r>
          </w:p>
        </w:tc>
        <w:tc>
          <w:tcPr>
            <w:tcW w:w="1300" w:type="dxa"/>
            <w:vAlign w:val="bottom"/>
          </w:tcPr>
          <w:p>
            <w:pPr>
              <w:jc w:val="right"/>
              <w:ind w:right="231"/>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230"/>
        </w:trPr>
        <w:tc>
          <w:tcPr>
            <w:tcW w:w="7680" w:type="dxa"/>
            <w:vAlign w:val="bottom"/>
          </w:tcPr>
          <w:p>
            <w:pPr>
              <w:spacing w:after="0"/>
              <w:rPr>
                <w:sz w:val="19"/>
                <w:szCs w:val="19"/>
                <w:color w:val="auto"/>
              </w:rPr>
            </w:pPr>
          </w:p>
        </w:tc>
        <w:tc>
          <w:tcPr>
            <w:tcW w:w="1640" w:type="dxa"/>
            <w:vAlign w:val="bottom"/>
          </w:tcPr>
          <w:p>
            <w:pPr>
              <w:jc w:val="right"/>
              <w:ind w:right="831"/>
              <w:spacing w:after="0"/>
              <w:rPr>
                <w:sz w:val="20"/>
                <w:szCs w:val="20"/>
                <w:color w:val="auto"/>
              </w:rPr>
            </w:pPr>
            <w:r>
              <w:rPr>
                <w:rFonts w:ascii="Arial" w:cs="Arial" w:eastAsia="Arial" w:hAnsi="Arial"/>
                <w:sz w:val="14"/>
                <w:szCs w:val="14"/>
                <w:b w:val="1"/>
                <w:bCs w:val="1"/>
                <w:color w:val="auto"/>
              </w:rPr>
              <w:t>2018</w:t>
            </w:r>
          </w:p>
        </w:tc>
        <w:tc>
          <w:tcPr>
            <w:tcW w:w="130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76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68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Current assets</w:t>
            </w:r>
          </w:p>
        </w:tc>
        <w:tc>
          <w:tcPr>
            <w:tcW w:w="1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920"/>
              <w:spacing w:after="0"/>
              <w:rPr>
                <w:sz w:val="20"/>
                <w:szCs w:val="20"/>
                <w:color w:val="auto"/>
              </w:rPr>
            </w:pPr>
            <w:r>
              <w:rPr>
                <w:rFonts w:ascii="Arial" w:cs="Arial" w:eastAsia="Arial" w:hAnsi="Arial"/>
                <w:sz w:val="18"/>
                <w:szCs w:val="18"/>
                <w:color w:val="auto"/>
              </w:rPr>
              <w:t>Cash and cash equivalents</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5,669</w:t>
            </w:r>
          </w:p>
        </w:tc>
        <w:tc>
          <w:tcPr>
            <w:tcW w:w="1300" w:type="dxa"/>
            <w:vAlign w:val="bottom"/>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30"/>
        </w:trPr>
        <w:tc>
          <w:tcPr>
            <w:tcW w:w="7680" w:type="dxa"/>
            <w:vAlign w:val="bottom"/>
          </w:tcPr>
          <w:p>
            <w:pPr>
              <w:ind w:left="920"/>
              <w:spacing w:after="0"/>
              <w:rPr>
                <w:sz w:val="20"/>
                <w:szCs w:val="20"/>
                <w:color w:val="auto"/>
              </w:rPr>
            </w:pPr>
            <w:r>
              <w:rPr>
                <w:rFonts w:ascii="Arial" w:cs="Arial" w:eastAsia="Arial" w:hAnsi="Arial"/>
                <w:sz w:val="18"/>
                <w:szCs w:val="18"/>
                <w:color w:val="auto"/>
              </w:rPr>
              <w:t>Notes and accounts receivable – net</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27,880</w:t>
            </w:r>
          </w:p>
        </w:tc>
        <w:tc>
          <w:tcPr>
            <w:tcW w:w="1300" w:type="dxa"/>
            <w:vAlign w:val="bottom"/>
          </w:tcPr>
          <w:p>
            <w:pPr>
              <w:jc w:val="right"/>
              <w:spacing w:after="0"/>
              <w:rPr>
                <w:sz w:val="20"/>
                <w:szCs w:val="20"/>
                <w:color w:val="auto"/>
              </w:rPr>
            </w:pPr>
            <w:r>
              <w:rPr>
                <w:rFonts w:ascii="Arial" w:cs="Arial" w:eastAsia="Arial" w:hAnsi="Arial"/>
                <w:sz w:val="18"/>
                <w:szCs w:val="18"/>
                <w:color w:val="auto"/>
              </w:rPr>
              <w:t>25,597</w:t>
            </w:r>
          </w:p>
        </w:tc>
        <w:tc>
          <w:tcPr>
            <w:tcW w:w="0" w:type="dxa"/>
            <w:vAlign w:val="bottom"/>
          </w:tcPr>
          <w:p>
            <w:pPr>
              <w:spacing w:after="0"/>
              <w:rPr>
                <w:sz w:val="1"/>
                <w:szCs w:val="1"/>
                <w:color w:val="auto"/>
              </w:rPr>
            </w:pPr>
          </w:p>
        </w:tc>
      </w:tr>
      <w:tr>
        <w:trPr>
          <w:trHeight w:val="230"/>
        </w:trPr>
        <w:tc>
          <w:tcPr>
            <w:tcW w:w="7680" w:type="dxa"/>
            <w:vAlign w:val="bottom"/>
          </w:tcPr>
          <w:p>
            <w:pPr>
              <w:ind w:left="920"/>
              <w:spacing w:after="0"/>
              <w:rPr>
                <w:sz w:val="20"/>
                <w:szCs w:val="20"/>
                <w:color w:val="auto"/>
              </w:rPr>
            </w:pPr>
            <w:r>
              <w:rPr>
                <w:rFonts w:ascii="Arial" w:cs="Arial" w:eastAsia="Arial" w:hAnsi="Arial"/>
                <w:sz w:val="18"/>
                <w:szCs w:val="18"/>
                <w:color w:val="auto"/>
              </w:rPr>
              <w:t>Inventories</w:t>
            </w:r>
          </w:p>
        </w:tc>
        <w:tc>
          <w:tcPr>
            <w:tcW w:w="1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1380"/>
              <w:spacing w:after="0"/>
              <w:rPr>
                <w:sz w:val="20"/>
                <w:szCs w:val="20"/>
                <w:color w:val="auto"/>
              </w:rPr>
            </w:pPr>
            <w:r>
              <w:rPr>
                <w:rFonts w:ascii="Arial" w:cs="Arial" w:eastAsia="Arial" w:hAnsi="Arial"/>
                <w:sz w:val="18"/>
                <w:szCs w:val="18"/>
                <w:color w:val="auto"/>
              </w:rPr>
              <w:t>Crude oil, products and merchandise</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14,617</w:t>
            </w:r>
          </w:p>
        </w:tc>
        <w:tc>
          <w:tcPr>
            <w:tcW w:w="1300" w:type="dxa"/>
            <w:vAlign w:val="bottom"/>
          </w:tcPr>
          <w:p>
            <w:pPr>
              <w:jc w:val="right"/>
              <w:spacing w:after="0"/>
              <w:rPr>
                <w:sz w:val="20"/>
                <w:szCs w:val="20"/>
                <w:color w:val="auto"/>
              </w:rPr>
            </w:pPr>
            <w:r>
              <w:rPr>
                <w:rFonts w:ascii="Arial" w:cs="Arial" w:eastAsia="Arial" w:hAnsi="Arial"/>
                <w:sz w:val="18"/>
                <w:szCs w:val="18"/>
                <w:color w:val="auto"/>
              </w:rPr>
              <w:t>12,871</w:t>
            </w:r>
          </w:p>
        </w:tc>
        <w:tc>
          <w:tcPr>
            <w:tcW w:w="0" w:type="dxa"/>
            <w:vAlign w:val="bottom"/>
          </w:tcPr>
          <w:p>
            <w:pPr>
              <w:spacing w:after="0"/>
              <w:rPr>
                <w:sz w:val="1"/>
                <w:szCs w:val="1"/>
                <w:color w:val="auto"/>
              </w:rPr>
            </w:pPr>
          </w:p>
        </w:tc>
      </w:tr>
      <w:tr>
        <w:trPr>
          <w:trHeight w:val="230"/>
        </w:trPr>
        <w:tc>
          <w:tcPr>
            <w:tcW w:w="7680" w:type="dxa"/>
            <w:vAlign w:val="bottom"/>
          </w:tcPr>
          <w:p>
            <w:pPr>
              <w:ind w:left="1380"/>
              <w:spacing w:after="0"/>
              <w:rPr>
                <w:sz w:val="20"/>
                <w:szCs w:val="20"/>
                <w:color w:val="auto"/>
              </w:rPr>
            </w:pPr>
            <w:r>
              <w:rPr>
                <w:rFonts w:ascii="Arial" w:cs="Arial" w:eastAsia="Arial" w:hAnsi="Arial"/>
                <w:sz w:val="18"/>
                <w:szCs w:val="18"/>
                <w:color w:val="auto"/>
              </w:rPr>
              <w:t>Materials and supplies</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4,144</w:t>
            </w:r>
          </w:p>
        </w:tc>
        <w:tc>
          <w:tcPr>
            <w:tcW w:w="1300" w:type="dxa"/>
            <w:vAlign w:val="bottom"/>
          </w:tcPr>
          <w:p>
            <w:pPr>
              <w:jc w:val="right"/>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37"/>
        </w:trPr>
        <w:tc>
          <w:tcPr>
            <w:tcW w:w="7680" w:type="dxa"/>
            <w:vAlign w:val="bottom"/>
          </w:tcPr>
          <w:p>
            <w:pPr>
              <w:ind w:left="920"/>
              <w:spacing w:after="0"/>
              <w:rPr>
                <w:sz w:val="20"/>
                <w:szCs w:val="20"/>
                <w:color w:val="auto"/>
              </w:rPr>
            </w:pPr>
            <w:r>
              <w:rPr>
                <w:rFonts w:ascii="Arial" w:cs="Arial" w:eastAsia="Arial" w:hAnsi="Arial"/>
                <w:sz w:val="18"/>
                <w:szCs w:val="18"/>
                <w:color w:val="auto"/>
              </w:rPr>
              <w:t>Other current assets</w:t>
            </w:r>
          </w:p>
        </w:tc>
        <w:tc>
          <w:tcPr>
            <w:tcW w:w="16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1,665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2"/>
        </w:trPr>
        <w:tc>
          <w:tcPr>
            <w:tcW w:w="7680" w:type="dxa"/>
            <w:vAlign w:val="bottom"/>
          </w:tcPr>
          <w:p>
            <w:pPr>
              <w:ind w:left="1380"/>
              <w:spacing w:after="0" w:line="201" w:lineRule="exact"/>
              <w:rPr>
                <w:sz w:val="20"/>
                <w:szCs w:val="20"/>
                <w:color w:val="auto"/>
              </w:rPr>
            </w:pPr>
            <w:r>
              <w:rPr>
                <w:rFonts w:ascii="Arial" w:cs="Arial" w:eastAsia="Arial" w:hAnsi="Arial"/>
                <w:sz w:val="18"/>
                <w:szCs w:val="18"/>
                <w:color w:val="auto"/>
              </w:rPr>
              <w:t>Total current assets</w:t>
            </w:r>
          </w:p>
        </w:tc>
        <w:tc>
          <w:tcPr>
            <w:tcW w:w="1640" w:type="dxa"/>
            <w:vAlign w:val="bottom"/>
          </w:tcPr>
          <w:p>
            <w:pPr>
              <w:jc w:val="right"/>
              <w:ind w:right="471"/>
              <w:spacing w:after="0" w:line="201" w:lineRule="exact"/>
              <w:rPr>
                <w:sz w:val="20"/>
                <w:szCs w:val="20"/>
                <w:color w:val="auto"/>
              </w:rPr>
            </w:pPr>
            <w:r>
              <w:rPr>
                <w:rFonts w:ascii="Arial" w:cs="Arial" w:eastAsia="Arial" w:hAnsi="Arial"/>
                <w:sz w:val="18"/>
                <w:szCs w:val="18"/>
                <w:color w:val="auto"/>
              </w:rPr>
              <w:t>53,975</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47,134</w:t>
            </w:r>
          </w:p>
        </w:tc>
        <w:tc>
          <w:tcPr>
            <w:tcW w:w="0" w:type="dxa"/>
            <w:vAlign w:val="bottom"/>
          </w:tcPr>
          <w:p>
            <w:pPr>
              <w:spacing w:after="0"/>
              <w:rPr>
                <w:sz w:val="1"/>
                <w:szCs w:val="1"/>
                <w:color w:val="auto"/>
              </w:rPr>
            </w:pP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Investments, advances and long-term receivables</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40,427</w:t>
            </w:r>
          </w:p>
        </w:tc>
        <w:tc>
          <w:tcPr>
            <w:tcW w:w="1300" w:type="dxa"/>
            <w:vAlign w:val="bottom"/>
          </w:tcPr>
          <w:p>
            <w:pPr>
              <w:jc w:val="right"/>
              <w:spacing w:after="0"/>
              <w:rPr>
                <w:sz w:val="20"/>
                <w:szCs w:val="20"/>
                <w:color w:val="auto"/>
              </w:rPr>
            </w:pPr>
            <w:r>
              <w:rPr>
                <w:rFonts w:ascii="Arial" w:cs="Arial" w:eastAsia="Arial" w:hAnsi="Arial"/>
                <w:sz w:val="18"/>
                <w:szCs w:val="18"/>
                <w:color w:val="auto"/>
              </w:rPr>
              <w:t>39,160</w:t>
            </w:r>
          </w:p>
        </w:tc>
        <w:tc>
          <w:tcPr>
            <w:tcW w:w="0" w:type="dxa"/>
            <w:vAlign w:val="bottom"/>
          </w:tcPr>
          <w:p>
            <w:pPr>
              <w:spacing w:after="0"/>
              <w:rPr>
                <w:sz w:val="1"/>
                <w:szCs w:val="1"/>
                <w:color w:val="auto"/>
              </w:rPr>
            </w:pP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Property, plant and equipment – net</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249,153</w:t>
            </w:r>
          </w:p>
        </w:tc>
        <w:tc>
          <w:tcPr>
            <w:tcW w:w="1300" w:type="dxa"/>
            <w:vAlign w:val="bottom"/>
          </w:tcPr>
          <w:p>
            <w:pPr>
              <w:jc w:val="right"/>
              <w:spacing w:after="0"/>
              <w:rPr>
                <w:sz w:val="20"/>
                <w:szCs w:val="20"/>
                <w:color w:val="auto"/>
              </w:rPr>
            </w:pPr>
            <w:r>
              <w:rPr>
                <w:rFonts w:ascii="Arial" w:cs="Arial" w:eastAsia="Arial" w:hAnsi="Arial"/>
                <w:sz w:val="18"/>
                <w:szCs w:val="18"/>
                <w:color w:val="auto"/>
              </w:rPr>
              <w:t>252,630</w:t>
            </w:r>
          </w:p>
        </w:tc>
        <w:tc>
          <w:tcPr>
            <w:tcW w:w="0" w:type="dxa"/>
            <w:vAlign w:val="bottom"/>
          </w:tcPr>
          <w:p>
            <w:pPr>
              <w:spacing w:after="0"/>
              <w:rPr>
                <w:sz w:val="1"/>
                <w:szCs w:val="1"/>
                <w:color w:val="auto"/>
              </w:rPr>
            </w:pPr>
          </w:p>
        </w:tc>
      </w:tr>
      <w:tr>
        <w:trPr>
          <w:trHeight w:val="237"/>
        </w:trPr>
        <w:tc>
          <w:tcPr>
            <w:tcW w:w="7680" w:type="dxa"/>
            <w:vAlign w:val="bottom"/>
          </w:tcPr>
          <w:p>
            <w:pPr>
              <w:ind w:left="460"/>
              <w:spacing w:after="0"/>
              <w:rPr>
                <w:sz w:val="20"/>
                <w:szCs w:val="20"/>
                <w:color w:val="auto"/>
              </w:rPr>
            </w:pPr>
            <w:r>
              <w:rPr>
                <w:rFonts w:ascii="Arial" w:cs="Arial" w:eastAsia="Arial" w:hAnsi="Arial"/>
                <w:sz w:val="18"/>
                <w:szCs w:val="18"/>
                <w:color w:val="auto"/>
              </w:rPr>
              <w:t>Other assets, including intangibles – net</w:t>
            </w:r>
          </w:p>
        </w:tc>
        <w:tc>
          <w:tcPr>
            <w:tcW w:w="16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11,073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16"/>
        </w:trPr>
        <w:tc>
          <w:tcPr>
            <w:tcW w:w="7680" w:type="dxa"/>
            <w:vAlign w:val="bottom"/>
          </w:tcPr>
          <w:p>
            <w:pPr>
              <w:ind w:left="1380"/>
              <w:spacing w:after="0" w:line="203" w:lineRule="exact"/>
              <w:rPr>
                <w:sz w:val="20"/>
                <w:szCs w:val="20"/>
                <w:color w:val="auto"/>
              </w:rPr>
            </w:pPr>
            <w:r>
              <w:rPr>
                <w:rFonts w:ascii="Arial" w:cs="Arial" w:eastAsia="Arial" w:hAnsi="Arial"/>
                <w:sz w:val="18"/>
                <w:szCs w:val="18"/>
                <w:color w:val="auto"/>
              </w:rPr>
              <w:t>Total assets</w:t>
            </w:r>
          </w:p>
        </w:tc>
        <w:tc>
          <w:tcPr>
            <w:tcW w:w="16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354,628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348,691</w:t>
            </w:r>
          </w:p>
        </w:tc>
        <w:tc>
          <w:tcPr>
            <w:tcW w:w="0" w:type="dxa"/>
            <w:vAlign w:val="bottom"/>
          </w:tcPr>
          <w:p>
            <w:pPr>
              <w:spacing w:after="0"/>
              <w:rPr>
                <w:sz w:val="1"/>
                <w:szCs w:val="1"/>
                <w:color w:val="auto"/>
              </w:rPr>
            </w:pPr>
          </w:p>
        </w:tc>
      </w:tr>
      <w:tr>
        <w:trPr>
          <w:trHeight w:val="425"/>
        </w:trPr>
        <w:tc>
          <w:tcPr>
            <w:tcW w:w="7680" w:type="dxa"/>
            <w:vAlign w:val="bottom"/>
          </w:tcPr>
          <w:p>
            <w:pPr>
              <w:spacing w:after="0"/>
              <w:rPr>
                <w:sz w:val="20"/>
                <w:szCs w:val="20"/>
                <w:color w:val="auto"/>
              </w:rPr>
            </w:pPr>
            <w:r>
              <w:rPr>
                <w:rFonts w:ascii="Arial" w:cs="Arial" w:eastAsia="Arial" w:hAnsi="Arial"/>
                <w:sz w:val="18"/>
                <w:szCs w:val="18"/>
                <w:color w:val="auto"/>
              </w:rPr>
              <w:t>Liabilities</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Current liabilities</w:t>
            </w:r>
          </w:p>
        </w:tc>
        <w:tc>
          <w:tcPr>
            <w:tcW w:w="1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920"/>
              <w:spacing w:after="0"/>
              <w:rPr>
                <w:sz w:val="20"/>
                <w:szCs w:val="20"/>
                <w:color w:val="auto"/>
              </w:rPr>
            </w:pPr>
            <w:r>
              <w:rPr>
                <w:rFonts w:ascii="Arial" w:cs="Arial" w:eastAsia="Arial" w:hAnsi="Arial"/>
                <w:sz w:val="18"/>
                <w:szCs w:val="18"/>
                <w:color w:val="auto"/>
              </w:rPr>
              <w:t>Notes and loans payable</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19,413</w:t>
            </w:r>
          </w:p>
        </w:tc>
        <w:tc>
          <w:tcPr>
            <w:tcW w:w="1300" w:type="dxa"/>
            <w:vAlign w:val="bottom"/>
          </w:tcPr>
          <w:p>
            <w:pPr>
              <w:jc w:val="right"/>
              <w:spacing w:after="0"/>
              <w:rPr>
                <w:sz w:val="20"/>
                <w:szCs w:val="20"/>
                <w:color w:val="auto"/>
              </w:rPr>
            </w:pPr>
            <w:r>
              <w:rPr>
                <w:rFonts w:ascii="Arial" w:cs="Arial" w:eastAsia="Arial" w:hAnsi="Arial"/>
                <w:sz w:val="18"/>
                <w:szCs w:val="18"/>
                <w:color w:val="auto"/>
              </w:rPr>
              <w:t>17,930</w:t>
            </w:r>
          </w:p>
        </w:tc>
        <w:tc>
          <w:tcPr>
            <w:tcW w:w="0" w:type="dxa"/>
            <w:vAlign w:val="bottom"/>
          </w:tcPr>
          <w:p>
            <w:pPr>
              <w:spacing w:after="0"/>
              <w:rPr>
                <w:sz w:val="1"/>
                <w:szCs w:val="1"/>
                <w:color w:val="auto"/>
              </w:rPr>
            </w:pPr>
          </w:p>
        </w:tc>
      </w:tr>
      <w:tr>
        <w:trPr>
          <w:trHeight w:val="230"/>
        </w:trPr>
        <w:tc>
          <w:tcPr>
            <w:tcW w:w="7680" w:type="dxa"/>
            <w:vAlign w:val="bottom"/>
          </w:tcPr>
          <w:p>
            <w:pPr>
              <w:ind w:left="920"/>
              <w:spacing w:after="0"/>
              <w:rPr>
                <w:sz w:val="20"/>
                <w:szCs w:val="20"/>
                <w:color w:val="auto"/>
              </w:rPr>
            </w:pPr>
            <w:r>
              <w:rPr>
                <w:rFonts w:ascii="Arial" w:cs="Arial" w:eastAsia="Arial" w:hAnsi="Arial"/>
                <w:sz w:val="18"/>
                <w:szCs w:val="18"/>
                <w:color w:val="auto"/>
              </w:rPr>
              <w:t>Accounts payable and accrued liabilities</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41,714</w:t>
            </w:r>
          </w:p>
        </w:tc>
        <w:tc>
          <w:tcPr>
            <w:tcW w:w="1300" w:type="dxa"/>
            <w:vAlign w:val="bottom"/>
          </w:tcPr>
          <w:p>
            <w:pPr>
              <w:jc w:val="right"/>
              <w:spacing w:after="0"/>
              <w:rPr>
                <w:sz w:val="20"/>
                <w:szCs w:val="20"/>
                <w:color w:val="auto"/>
              </w:rPr>
            </w:pPr>
            <w:r>
              <w:rPr>
                <w:rFonts w:ascii="Arial" w:cs="Arial" w:eastAsia="Arial" w:hAnsi="Arial"/>
                <w:sz w:val="18"/>
                <w:szCs w:val="18"/>
                <w:color w:val="auto"/>
              </w:rPr>
              <w:t>36,796</w:t>
            </w:r>
          </w:p>
        </w:tc>
        <w:tc>
          <w:tcPr>
            <w:tcW w:w="0" w:type="dxa"/>
            <w:vAlign w:val="bottom"/>
          </w:tcPr>
          <w:p>
            <w:pPr>
              <w:spacing w:after="0"/>
              <w:rPr>
                <w:sz w:val="1"/>
                <w:szCs w:val="1"/>
                <w:color w:val="auto"/>
              </w:rPr>
            </w:pPr>
          </w:p>
        </w:tc>
      </w:tr>
      <w:tr>
        <w:trPr>
          <w:trHeight w:val="237"/>
        </w:trPr>
        <w:tc>
          <w:tcPr>
            <w:tcW w:w="7680" w:type="dxa"/>
            <w:vAlign w:val="bottom"/>
          </w:tcPr>
          <w:p>
            <w:pPr>
              <w:ind w:left="920"/>
              <w:spacing w:after="0"/>
              <w:rPr>
                <w:sz w:val="20"/>
                <w:szCs w:val="20"/>
                <w:color w:val="auto"/>
              </w:rPr>
            </w:pPr>
            <w:r>
              <w:rPr>
                <w:rFonts w:ascii="Arial" w:cs="Arial" w:eastAsia="Arial" w:hAnsi="Arial"/>
                <w:sz w:val="18"/>
                <w:szCs w:val="18"/>
                <w:color w:val="auto"/>
              </w:rPr>
              <w:t>Income taxes payable</w:t>
            </w:r>
          </w:p>
        </w:tc>
        <w:tc>
          <w:tcPr>
            <w:tcW w:w="16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4,161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02"/>
        </w:trPr>
        <w:tc>
          <w:tcPr>
            <w:tcW w:w="7680" w:type="dxa"/>
            <w:vAlign w:val="bottom"/>
          </w:tcPr>
          <w:p>
            <w:pPr>
              <w:ind w:left="1380"/>
              <w:spacing w:after="0" w:line="201" w:lineRule="exact"/>
              <w:rPr>
                <w:sz w:val="20"/>
                <w:szCs w:val="20"/>
                <w:color w:val="auto"/>
              </w:rPr>
            </w:pPr>
            <w:r>
              <w:rPr>
                <w:rFonts w:ascii="Arial" w:cs="Arial" w:eastAsia="Arial" w:hAnsi="Arial"/>
                <w:sz w:val="18"/>
                <w:szCs w:val="18"/>
                <w:color w:val="auto"/>
              </w:rPr>
              <w:t>Total current liabilities</w:t>
            </w:r>
          </w:p>
        </w:tc>
        <w:tc>
          <w:tcPr>
            <w:tcW w:w="1640" w:type="dxa"/>
            <w:vAlign w:val="bottom"/>
          </w:tcPr>
          <w:p>
            <w:pPr>
              <w:jc w:val="right"/>
              <w:ind w:right="471"/>
              <w:spacing w:after="0" w:line="201" w:lineRule="exact"/>
              <w:rPr>
                <w:sz w:val="20"/>
                <w:szCs w:val="20"/>
                <w:color w:val="auto"/>
              </w:rPr>
            </w:pPr>
            <w:r>
              <w:rPr>
                <w:rFonts w:ascii="Arial" w:cs="Arial" w:eastAsia="Arial" w:hAnsi="Arial"/>
                <w:sz w:val="18"/>
                <w:szCs w:val="18"/>
                <w:color w:val="auto"/>
              </w:rPr>
              <w:t>65,288</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57,771</w:t>
            </w:r>
          </w:p>
        </w:tc>
        <w:tc>
          <w:tcPr>
            <w:tcW w:w="0" w:type="dxa"/>
            <w:vAlign w:val="bottom"/>
          </w:tcPr>
          <w:p>
            <w:pPr>
              <w:spacing w:after="0"/>
              <w:rPr>
                <w:sz w:val="1"/>
                <w:szCs w:val="1"/>
                <w:color w:val="auto"/>
              </w:rPr>
            </w:pP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Long-term debt</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20,624</w:t>
            </w:r>
          </w:p>
        </w:tc>
        <w:tc>
          <w:tcPr>
            <w:tcW w:w="1300" w:type="dxa"/>
            <w:vAlign w:val="bottom"/>
          </w:tcPr>
          <w:p>
            <w:pPr>
              <w:jc w:val="right"/>
              <w:spacing w:after="0"/>
              <w:rPr>
                <w:sz w:val="20"/>
                <w:szCs w:val="20"/>
                <w:color w:val="auto"/>
              </w:rPr>
            </w:pPr>
            <w:r>
              <w:rPr>
                <w:rFonts w:ascii="Arial" w:cs="Arial" w:eastAsia="Arial" w:hAnsi="Arial"/>
                <w:sz w:val="18"/>
                <w:szCs w:val="18"/>
                <w:color w:val="auto"/>
              </w:rPr>
              <w:t>24,406</w:t>
            </w:r>
          </w:p>
        </w:tc>
        <w:tc>
          <w:tcPr>
            <w:tcW w:w="0" w:type="dxa"/>
            <w:vAlign w:val="bottom"/>
          </w:tcPr>
          <w:p>
            <w:pPr>
              <w:spacing w:after="0"/>
              <w:rPr>
                <w:sz w:val="1"/>
                <w:szCs w:val="1"/>
                <w:color w:val="auto"/>
              </w:rPr>
            </w:pP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Postretirement benefits reserves</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21,448</w:t>
            </w:r>
          </w:p>
        </w:tc>
        <w:tc>
          <w:tcPr>
            <w:tcW w:w="1300" w:type="dxa"/>
            <w:vAlign w:val="bottom"/>
          </w:tcPr>
          <w:p>
            <w:pPr>
              <w:jc w:val="right"/>
              <w:spacing w:after="0"/>
              <w:rPr>
                <w:sz w:val="20"/>
                <w:szCs w:val="20"/>
                <w:color w:val="auto"/>
              </w:rPr>
            </w:pPr>
            <w:r>
              <w:rPr>
                <w:rFonts w:ascii="Arial" w:cs="Arial" w:eastAsia="Arial" w:hAnsi="Arial"/>
                <w:sz w:val="18"/>
                <w:szCs w:val="18"/>
                <w:color w:val="auto"/>
              </w:rPr>
              <w:t>21,132</w:t>
            </w:r>
          </w:p>
        </w:tc>
        <w:tc>
          <w:tcPr>
            <w:tcW w:w="0" w:type="dxa"/>
            <w:vAlign w:val="bottom"/>
          </w:tcPr>
          <w:p>
            <w:pPr>
              <w:spacing w:after="0"/>
              <w:rPr>
                <w:sz w:val="1"/>
                <w:szCs w:val="1"/>
                <w:color w:val="auto"/>
              </w:rPr>
            </w:pP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Deferred income tax liabilities</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27,084</w:t>
            </w:r>
          </w:p>
        </w:tc>
        <w:tc>
          <w:tcPr>
            <w:tcW w:w="1300" w:type="dxa"/>
            <w:vAlign w:val="bottom"/>
          </w:tcPr>
          <w:p>
            <w:pPr>
              <w:jc w:val="right"/>
              <w:spacing w:after="0"/>
              <w:rPr>
                <w:sz w:val="20"/>
                <w:szCs w:val="20"/>
                <w:color w:val="auto"/>
              </w:rPr>
            </w:pPr>
            <w:r>
              <w:rPr>
                <w:rFonts w:ascii="Arial" w:cs="Arial" w:eastAsia="Arial" w:hAnsi="Arial"/>
                <w:sz w:val="18"/>
                <w:szCs w:val="18"/>
                <w:color w:val="auto"/>
              </w:rPr>
              <w:t>26,893</w:t>
            </w:r>
          </w:p>
        </w:tc>
        <w:tc>
          <w:tcPr>
            <w:tcW w:w="0" w:type="dxa"/>
            <w:vAlign w:val="bottom"/>
          </w:tcPr>
          <w:p>
            <w:pPr>
              <w:spacing w:after="0"/>
              <w:rPr>
                <w:sz w:val="1"/>
                <w:szCs w:val="1"/>
                <w:color w:val="auto"/>
              </w:rPr>
            </w:pP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Long-term obligations to equity companies</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4,625</w:t>
            </w:r>
          </w:p>
        </w:tc>
        <w:tc>
          <w:tcPr>
            <w:tcW w:w="1300" w:type="dxa"/>
            <w:vAlign w:val="bottom"/>
          </w:tcPr>
          <w:p>
            <w:pPr>
              <w:jc w:val="right"/>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37"/>
        </w:trPr>
        <w:tc>
          <w:tcPr>
            <w:tcW w:w="7680" w:type="dxa"/>
            <w:vAlign w:val="bottom"/>
          </w:tcPr>
          <w:p>
            <w:pPr>
              <w:ind w:left="460"/>
              <w:spacing w:after="0"/>
              <w:rPr>
                <w:sz w:val="20"/>
                <w:szCs w:val="20"/>
                <w:color w:val="auto"/>
              </w:rPr>
            </w:pPr>
            <w:r>
              <w:rPr>
                <w:rFonts w:ascii="Arial" w:cs="Arial" w:eastAsia="Arial" w:hAnsi="Arial"/>
                <w:sz w:val="18"/>
                <w:szCs w:val="18"/>
                <w:color w:val="auto"/>
              </w:rPr>
              <w:t>Other long-term obligations</w:t>
            </w:r>
          </w:p>
        </w:tc>
        <w:tc>
          <w:tcPr>
            <w:tcW w:w="16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18,728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19,215</w:t>
            </w:r>
          </w:p>
        </w:tc>
        <w:tc>
          <w:tcPr>
            <w:tcW w:w="0" w:type="dxa"/>
            <w:vAlign w:val="bottom"/>
          </w:tcPr>
          <w:p>
            <w:pPr>
              <w:spacing w:after="0"/>
              <w:rPr>
                <w:sz w:val="1"/>
                <w:szCs w:val="1"/>
                <w:color w:val="auto"/>
              </w:rPr>
            </w:pPr>
          </w:p>
        </w:tc>
      </w:tr>
      <w:tr>
        <w:trPr>
          <w:trHeight w:val="216"/>
        </w:trPr>
        <w:tc>
          <w:tcPr>
            <w:tcW w:w="7680" w:type="dxa"/>
            <w:vAlign w:val="bottom"/>
          </w:tcPr>
          <w:p>
            <w:pPr>
              <w:ind w:left="1380"/>
              <w:spacing w:after="0" w:line="203" w:lineRule="exact"/>
              <w:rPr>
                <w:sz w:val="20"/>
                <w:szCs w:val="20"/>
                <w:color w:val="auto"/>
              </w:rPr>
            </w:pPr>
            <w:r>
              <w:rPr>
                <w:rFonts w:ascii="Arial" w:cs="Arial" w:eastAsia="Arial" w:hAnsi="Arial"/>
                <w:sz w:val="18"/>
                <w:szCs w:val="18"/>
                <w:color w:val="auto"/>
              </w:rPr>
              <w:t>Total liabilities</w:t>
            </w:r>
          </w:p>
        </w:tc>
        <w:tc>
          <w:tcPr>
            <w:tcW w:w="16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157,797</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154,191</w:t>
            </w:r>
          </w:p>
        </w:tc>
        <w:tc>
          <w:tcPr>
            <w:tcW w:w="0" w:type="dxa"/>
            <w:vAlign w:val="bottom"/>
          </w:tcPr>
          <w:p>
            <w:pPr>
              <w:spacing w:after="0"/>
              <w:rPr>
                <w:sz w:val="1"/>
                <w:szCs w:val="1"/>
                <w:color w:val="auto"/>
              </w:rPr>
            </w:pPr>
          </w:p>
        </w:tc>
      </w:tr>
      <w:tr>
        <w:trPr>
          <w:trHeight w:val="426"/>
        </w:trPr>
        <w:tc>
          <w:tcPr>
            <w:tcW w:w="7680" w:type="dxa"/>
            <w:vAlign w:val="bottom"/>
          </w:tcPr>
          <w:p>
            <w:pPr>
              <w:spacing w:after="0"/>
              <w:rPr>
                <w:sz w:val="20"/>
                <w:szCs w:val="20"/>
                <w:color w:val="auto"/>
              </w:rPr>
            </w:pPr>
            <w:r>
              <w:rPr>
                <w:rFonts w:ascii="Arial" w:cs="Arial" w:eastAsia="Arial" w:hAnsi="Arial"/>
                <w:sz w:val="18"/>
                <w:szCs w:val="18"/>
                <w:color w:val="auto"/>
              </w:rPr>
              <w:t>Commitments and contingencies (Note 3)</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680" w:type="dxa"/>
            <w:vAlign w:val="bottom"/>
          </w:tcPr>
          <w:p>
            <w:pPr>
              <w:spacing w:after="0"/>
              <w:rPr>
                <w:sz w:val="20"/>
                <w:szCs w:val="20"/>
                <w:color w:val="auto"/>
              </w:rPr>
            </w:pPr>
            <w:r>
              <w:rPr>
                <w:rFonts w:ascii="Arial" w:cs="Arial" w:eastAsia="Arial" w:hAnsi="Arial"/>
                <w:sz w:val="18"/>
                <w:szCs w:val="18"/>
                <w:color w:val="auto"/>
              </w:rPr>
              <w:t>Equity</w:t>
            </w: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Common stock without par value</w:t>
            </w:r>
          </w:p>
        </w:tc>
        <w:tc>
          <w:tcPr>
            <w:tcW w:w="1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920"/>
              <w:spacing w:after="0"/>
              <w:rPr>
                <w:sz w:val="20"/>
                <w:szCs w:val="20"/>
                <w:color w:val="auto"/>
              </w:rPr>
            </w:pPr>
            <w:r>
              <w:rPr>
                <w:rFonts w:ascii="Arial" w:cs="Arial" w:eastAsia="Arial" w:hAnsi="Arial"/>
                <w:sz w:val="18"/>
                <w:szCs w:val="18"/>
                <w:color w:val="auto"/>
              </w:rPr>
              <w:t>(9,000 million shares authorized, 8,019 million shares issued)</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15,254</w:t>
            </w:r>
          </w:p>
        </w:tc>
        <w:tc>
          <w:tcPr>
            <w:tcW w:w="1300" w:type="dxa"/>
            <w:vAlign w:val="bottom"/>
          </w:tcPr>
          <w:p>
            <w:pPr>
              <w:jc w:val="right"/>
              <w:spacing w:after="0"/>
              <w:rPr>
                <w:sz w:val="20"/>
                <w:szCs w:val="20"/>
                <w:color w:val="auto"/>
              </w:rPr>
            </w:pPr>
            <w:r>
              <w:rPr>
                <w:rFonts w:ascii="Arial" w:cs="Arial" w:eastAsia="Arial" w:hAnsi="Arial"/>
                <w:sz w:val="18"/>
                <w:szCs w:val="18"/>
                <w:color w:val="auto"/>
              </w:rPr>
              <w:t>14,656</w:t>
            </w:r>
          </w:p>
        </w:tc>
        <w:tc>
          <w:tcPr>
            <w:tcW w:w="0" w:type="dxa"/>
            <w:vAlign w:val="bottom"/>
          </w:tcPr>
          <w:p>
            <w:pPr>
              <w:spacing w:after="0"/>
              <w:rPr>
                <w:sz w:val="1"/>
                <w:szCs w:val="1"/>
                <w:color w:val="auto"/>
              </w:rPr>
            </w:pP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Earnings reinvested</w:t>
            </w:r>
          </w:p>
        </w:tc>
        <w:tc>
          <w:tcPr>
            <w:tcW w:w="1640" w:type="dxa"/>
            <w:vAlign w:val="bottom"/>
          </w:tcPr>
          <w:p>
            <w:pPr>
              <w:jc w:val="right"/>
              <w:ind w:right="471"/>
              <w:spacing w:after="0"/>
              <w:rPr>
                <w:sz w:val="20"/>
                <w:szCs w:val="20"/>
                <w:color w:val="auto"/>
              </w:rPr>
            </w:pPr>
            <w:r>
              <w:rPr>
                <w:rFonts w:ascii="Arial" w:cs="Arial" w:eastAsia="Arial" w:hAnsi="Arial"/>
                <w:sz w:val="18"/>
                <w:szCs w:val="18"/>
                <w:color w:val="auto"/>
              </w:rPr>
              <w:t>419,155</w:t>
            </w:r>
          </w:p>
        </w:tc>
        <w:tc>
          <w:tcPr>
            <w:tcW w:w="1300" w:type="dxa"/>
            <w:vAlign w:val="bottom"/>
          </w:tcPr>
          <w:p>
            <w:pPr>
              <w:jc w:val="right"/>
              <w:spacing w:after="0"/>
              <w:rPr>
                <w:sz w:val="20"/>
                <w:szCs w:val="20"/>
                <w:color w:val="auto"/>
              </w:rPr>
            </w:pPr>
            <w:r>
              <w:rPr>
                <w:rFonts w:ascii="Arial" w:cs="Arial" w:eastAsia="Arial" w:hAnsi="Arial"/>
                <w:sz w:val="18"/>
                <w:szCs w:val="18"/>
                <w:color w:val="auto"/>
              </w:rPr>
              <w:t>414,540</w:t>
            </w:r>
          </w:p>
        </w:tc>
        <w:tc>
          <w:tcPr>
            <w:tcW w:w="0" w:type="dxa"/>
            <w:vAlign w:val="bottom"/>
          </w:tcPr>
          <w:p>
            <w:pPr>
              <w:spacing w:after="0"/>
              <w:rPr>
                <w:sz w:val="1"/>
                <w:szCs w:val="1"/>
                <w:color w:val="auto"/>
              </w:rPr>
            </w:pP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Accumulated other comprehensive income</w:t>
            </w:r>
          </w:p>
        </w:tc>
        <w:tc>
          <w:tcPr>
            <w:tcW w:w="1640" w:type="dxa"/>
            <w:vAlign w:val="bottom"/>
          </w:tcPr>
          <w:p>
            <w:pPr>
              <w:jc w:val="right"/>
              <w:ind w:right="411"/>
              <w:spacing w:after="0"/>
              <w:rPr>
                <w:sz w:val="20"/>
                <w:szCs w:val="20"/>
                <w:color w:val="auto"/>
              </w:rPr>
            </w:pPr>
            <w:r>
              <w:rPr>
                <w:rFonts w:ascii="Arial" w:cs="Arial" w:eastAsia="Arial" w:hAnsi="Arial"/>
                <w:sz w:val="18"/>
                <w:szCs w:val="18"/>
                <w:color w:val="auto"/>
              </w:rPr>
              <w:t>(18,370)</w:t>
            </w:r>
          </w:p>
        </w:tc>
        <w:tc>
          <w:tcPr>
            <w:tcW w:w="1300" w:type="dxa"/>
            <w:vAlign w:val="bottom"/>
          </w:tcPr>
          <w:p>
            <w:pPr>
              <w:jc w:val="right"/>
              <w:spacing w:after="0"/>
              <w:rPr>
                <w:sz w:val="20"/>
                <w:szCs w:val="20"/>
                <w:color w:val="auto"/>
              </w:rPr>
            </w:pPr>
            <w:r>
              <w:rPr>
                <w:rFonts w:ascii="Arial" w:cs="Arial" w:eastAsia="Arial" w:hAnsi="Arial"/>
                <w:sz w:val="18"/>
                <w:szCs w:val="18"/>
                <w:color w:val="auto"/>
              </w:rPr>
              <w:t>(16,262)</w:t>
            </w:r>
          </w:p>
        </w:tc>
        <w:tc>
          <w:tcPr>
            <w:tcW w:w="0" w:type="dxa"/>
            <w:vAlign w:val="bottom"/>
          </w:tcPr>
          <w:p>
            <w:pPr>
              <w:spacing w:after="0"/>
              <w:rPr>
                <w:sz w:val="1"/>
                <w:szCs w:val="1"/>
                <w:color w:val="auto"/>
              </w:rPr>
            </w:pPr>
          </w:p>
        </w:tc>
      </w:tr>
      <w:tr>
        <w:trPr>
          <w:trHeight w:val="230"/>
        </w:trPr>
        <w:tc>
          <w:tcPr>
            <w:tcW w:w="7680" w:type="dxa"/>
            <w:vAlign w:val="bottom"/>
          </w:tcPr>
          <w:p>
            <w:pPr>
              <w:ind w:left="460"/>
              <w:spacing w:after="0"/>
              <w:rPr>
                <w:sz w:val="20"/>
                <w:szCs w:val="20"/>
                <w:color w:val="auto"/>
              </w:rPr>
            </w:pPr>
            <w:r>
              <w:rPr>
                <w:rFonts w:ascii="Arial" w:cs="Arial" w:eastAsia="Arial" w:hAnsi="Arial"/>
                <w:sz w:val="18"/>
                <w:szCs w:val="18"/>
                <w:color w:val="auto"/>
              </w:rPr>
              <w:t>Common stock held in treasury</w:t>
            </w:r>
          </w:p>
        </w:tc>
        <w:tc>
          <w:tcPr>
            <w:tcW w:w="1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920"/>
              <w:spacing w:after="0"/>
              <w:rPr>
                <w:sz w:val="20"/>
                <w:szCs w:val="20"/>
                <w:color w:val="auto"/>
              </w:rPr>
            </w:pPr>
            <w:r>
              <w:rPr>
                <w:rFonts w:ascii="Arial" w:cs="Arial" w:eastAsia="Arial" w:hAnsi="Arial"/>
                <w:sz w:val="18"/>
                <w:szCs w:val="18"/>
                <w:color w:val="auto"/>
              </w:rPr>
              <w:t>(3,785 million shares at September 30, 2018 and</w:t>
            </w:r>
          </w:p>
        </w:tc>
        <w:tc>
          <w:tcPr>
            <w:tcW w:w="1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80" w:type="dxa"/>
            <w:vAlign w:val="bottom"/>
          </w:tcPr>
          <w:p>
            <w:pPr>
              <w:ind w:left="1060"/>
              <w:spacing w:after="0"/>
              <w:rPr>
                <w:sz w:val="20"/>
                <w:szCs w:val="20"/>
                <w:color w:val="auto"/>
              </w:rPr>
            </w:pPr>
            <w:r>
              <w:rPr>
                <w:rFonts w:ascii="Arial" w:cs="Arial" w:eastAsia="Arial" w:hAnsi="Arial"/>
                <w:sz w:val="18"/>
                <w:szCs w:val="18"/>
                <w:color w:val="auto"/>
              </w:rPr>
              <w:t>3,780 million shares at December 31, 2017)</w:t>
            </w:r>
          </w:p>
        </w:tc>
        <w:tc>
          <w:tcPr>
            <w:tcW w:w="16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(225,674)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(225,246)</w:t>
            </w:r>
          </w:p>
        </w:tc>
        <w:tc>
          <w:tcPr>
            <w:tcW w:w="0" w:type="dxa"/>
            <w:vAlign w:val="bottom"/>
          </w:tcPr>
          <w:p>
            <w:pPr>
              <w:spacing w:after="0"/>
              <w:rPr>
                <w:sz w:val="1"/>
                <w:szCs w:val="1"/>
                <w:color w:val="auto"/>
              </w:rPr>
            </w:pPr>
          </w:p>
        </w:tc>
      </w:tr>
      <w:tr>
        <w:trPr>
          <w:trHeight w:val="202"/>
        </w:trPr>
        <w:tc>
          <w:tcPr>
            <w:tcW w:w="7680" w:type="dxa"/>
            <w:vAlign w:val="bottom"/>
          </w:tcPr>
          <w:p>
            <w:pPr>
              <w:ind w:left="1380"/>
              <w:spacing w:after="0" w:line="201" w:lineRule="exact"/>
              <w:rPr>
                <w:sz w:val="20"/>
                <w:szCs w:val="20"/>
                <w:color w:val="auto"/>
              </w:rPr>
            </w:pPr>
            <w:r>
              <w:rPr>
                <w:rFonts w:ascii="Arial" w:cs="Arial" w:eastAsia="Arial" w:hAnsi="Arial"/>
                <w:sz w:val="18"/>
                <w:szCs w:val="18"/>
                <w:color w:val="auto"/>
              </w:rPr>
              <w:t>ExxonMobil share of equity</w:t>
            </w:r>
          </w:p>
        </w:tc>
        <w:tc>
          <w:tcPr>
            <w:tcW w:w="1640" w:type="dxa"/>
            <w:vAlign w:val="bottom"/>
          </w:tcPr>
          <w:p>
            <w:pPr>
              <w:jc w:val="right"/>
              <w:ind w:right="471"/>
              <w:spacing w:after="0" w:line="201" w:lineRule="exact"/>
              <w:rPr>
                <w:sz w:val="20"/>
                <w:szCs w:val="20"/>
                <w:color w:val="auto"/>
              </w:rPr>
            </w:pPr>
            <w:r>
              <w:rPr>
                <w:rFonts w:ascii="Arial" w:cs="Arial" w:eastAsia="Arial" w:hAnsi="Arial"/>
                <w:sz w:val="18"/>
                <w:szCs w:val="18"/>
                <w:color w:val="auto"/>
              </w:rPr>
              <w:t>190,365</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187,688</w:t>
            </w:r>
          </w:p>
        </w:tc>
        <w:tc>
          <w:tcPr>
            <w:tcW w:w="0" w:type="dxa"/>
            <w:vAlign w:val="bottom"/>
          </w:tcPr>
          <w:p>
            <w:pPr>
              <w:spacing w:after="0"/>
              <w:rPr>
                <w:sz w:val="1"/>
                <w:szCs w:val="1"/>
                <w:color w:val="auto"/>
              </w:rPr>
            </w:pPr>
          </w:p>
        </w:tc>
      </w:tr>
      <w:tr>
        <w:trPr>
          <w:trHeight w:val="237"/>
        </w:trPr>
        <w:tc>
          <w:tcPr>
            <w:tcW w:w="7680" w:type="dxa"/>
            <w:vAlign w:val="bottom"/>
          </w:tcPr>
          <w:p>
            <w:pPr>
              <w:ind w:left="460"/>
              <w:spacing w:after="0"/>
              <w:rPr>
                <w:sz w:val="20"/>
                <w:szCs w:val="20"/>
                <w:color w:val="auto"/>
              </w:rPr>
            </w:pPr>
            <w:r>
              <w:rPr>
                <w:rFonts w:ascii="Arial" w:cs="Arial" w:eastAsia="Arial" w:hAnsi="Arial"/>
                <w:sz w:val="18"/>
                <w:szCs w:val="18"/>
                <w:color w:val="auto"/>
              </w:rPr>
              <w:t>Noncontrolling interests</w:t>
            </w:r>
          </w:p>
        </w:tc>
        <w:tc>
          <w:tcPr>
            <w:tcW w:w="16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6,466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w:t>
            </w:r>
          </w:p>
        </w:tc>
        <w:tc>
          <w:tcPr>
            <w:tcW w:w="0" w:type="dxa"/>
            <w:vAlign w:val="bottom"/>
          </w:tcPr>
          <w:p>
            <w:pPr>
              <w:spacing w:after="0"/>
              <w:rPr>
                <w:sz w:val="1"/>
                <w:szCs w:val="1"/>
                <w:color w:val="auto"/>
              </w:rPr>
            </w:pPr>
          </w:p>
        </w:tc>
      </w:tr>
      <w:tr>
        <w:trPr>
          <w:trHeight w:val="216"/>
        </w:trPr>
        <w:tc>
          <w:tcPr>
            <w:tcW w:w="7680" w:type="dxa"/>
            <w:vAlign w:val="bottom"/>
          </w:tcPr>
          <w:p>
            <w:pPr>
              <w:ind w:left="1380"/>
              <w:spacing w:after="0" w:line="203" w:lineRule="exact"/>
              <w:rPr>
                <w:sz w:val="20"/>
                <w:szCs w:val="20"/>
                <w:color w:val="auto"/>
              </w:rPr>
            </w:pPr>
            <w:r>
              <w:rPr>
                <w:rFonts w:ascii="Arial" w:cs="Arial" w:eastAsia="Arial" w:hAnsi="Arial"/>
                <w:sz w:val="18"/>
                <w:szCs w:val="18"/>
                <w:color w:val="auto"/>
              </w:rPr>
              <w:t>Total equity</w:t>
            </w:r>
          </w:p>
        </w:tc>
        <w:tc>
          <w:tcPr>
            <w:tcW w:w="16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196,831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194,500</w:t>
            </w:r>
          </w:p>
        </w:tc>
        <w:tc>
          <w:tcPr>
            <w:tcW w:w="0" w:type="dxa"/>
            <w:vAlign w:val="bottom"/>
          </w:tcPr>
          <w:p>
            <w:pPr>
              <w:spacing w:after="0"/>
              <w:rPr>
                <w:sz w:val="1"/>
                <w:szCs w:val="1"/>
                <w:color w:val="auto"/>
              </w:rPr>
            </w:pPr>
          </w:p>
        </w:tc>
      </w:tr>
      <w:tr>
        <w:trPr>
          <w:trHeight w:val="210"/>
        </w:trPr>
        <w:tc>
          <w:tcPr>
            <w:tcW w:w="7680" w:type="dxa"/>
            <w:vAlign w:val="bottom"/>
          </w:tcPr>
          <w:p>
            <w:pPr>
              <w:ind w:left="1380"/>
              <w:spacing w:after="0"/>
              <w:rPr>
                <w:sz w:val="20"/>
                <w:szCs w:val="20"/>
                <w:color w:val="auto"/>
              </w:rPr>
            </w:pPr>
            <w:r>
              <w:rPr>
                <w:rFonts w:ascii="Arial" w:cs="Arial" w:eastAsia="Arial" w:hAnsi="Arial"/>
                <w:sz w:val="18"/>
                <w:szCs w:val="18"/>
                <w:color w:val="auto"/>
              </w:rPr>
              <w:t>Total liabilities and equity</w:t>
            </w:r>
          </w:p>
        </w:tc>
        <w:tc>
          <w:tcPr>
            <w:tcW w:w="16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354,628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348,691</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Condensed Consolidated Financial Statements is an integral part of these statements.</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20"/>
          </w:cols>
          <w:pgMar w:left="240" w:top="175" w:right="1039" w:bottom="1440" w:gutter="0" w:footer="0" w:header="0"/>
        </w:sectPr>
      </w:pPr>
    </w:p>
    <w:bookmarkStart w:id="5" w:name="page6"/>
    <w:bookmarkEnd w:id="5"/>
    <w:p>
      <w:pPr>
        <w:jc w:val="center"/>
        <w:ind w:right="1020"/>
        <w:spacing w:after="0"/>
        <w:rPr>
          <w:sz w:val="20"/>
          <w:szCs w:val="20"/>
          <w:color w:val="auto"/>
        </w:rPr>
      </w:pPr>
      <w:r>
        <w:rPr>
          <w:rFonts w:ascii="Arial" w:cs="Arial" w:eastAsia="Arial" w:hAnsi="Arial"/>
          <w:sz w:val="18"/>
          <w:szCs w:val="18"/>
          <w:b w:val="1"/>
          <w:bCs w:val="1"/>
          <w:color w:val="auto"/>
        </w:rPr>
        <w:t>EXXON MOBIL CORPORATION</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58" w:lineRule="exact"/>
        <w:rPr>
          <w:sz w:val="20"/>
          <w:szCs w:val="20"/>
          <w:color w:val="auto"/>
        </w:rPr>
      </w:pPr>
    </w:p>
    <w:p>
      <w:pPr>
        <w:ind w:left="4620"/>
        <w:spacing w:after="0"/>
        <w:rPr>
          <w:sz w:val="20"/>
          <w:szCs w:val="20"/>
          <w:color w:val="auto"/>
        </w:rPr>
      </w:pPr>
      <w:r>
        <w:rPr>
          <w:rFonts w:ascii="Arial" w:cs="Arial" w:eastAsia="Arial" w:hAnsi="Arial"/>
          <w:sz w:val="14"/>
          <w:szCs w:val="14"/>
          <w:i w:val="1"/>
          <w:iCs w:val="1"/>
          <w:color w:val="auto"/>
        </w:rPr>
        <w:t>(millions of dollars)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19"/>
                <w:szCs w:val="19"/>
                <w:color w:val="auto"/>
              </w:rPr>
            </w:pPr>
          </w:p>
        </w:tc>
        <w:tc>
          <w:tcPr>
            <w:tcW w:w="1980" w:type="dxa"/>
            <w:vAlign w:val="bottom"/>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7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00" w:type="dxa"/>
            <w:vAlign w:val="bottom"/>
          </w:tcPr>
          <w:p>
            <w:pPr>
              <w:spacing w:after="0"/>
              <w:rPr>
                <w:sz w:val="16"/>
                <w:szCs w:val="16"/>
                <w:color w:val="auto"/>
              </w:rPr>
            </w:pPr>
          </w:p>
        </w:tc>
        <w:tc>
          <w:tcPr>
            <w:tcW w:w="1980" w:type="dxa"/>
            <w:vAlign w:val="bottom"/>
          </w:tcPr>
          <w:p>
            <w:pPr>
              <w:jc w:val="right"/>
              <w:ind w:right="1192"/>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jc w:val="right"/>
              <w:ind w:right="331"/>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700" w:type="dxa"/>
            <w:vAlign w:val="bottom"/>
            <w:vMerge w:val="continue"/>
          </w:tcPr>
          <w:p>
            <w:pPr>
              <w:spacing w:after="0"/>
              <w:rPr>
                <w:sz w:val="16"/>
                <w:szCs w:val="16"/>
                <w:color w:val="auto"/>
              </w:rPr>
            </w:pPr>
          </w:p>
        </w:tc>
        <w:tc>
          <w:tcPr>
            <w:tcW w:w="1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Net income including noncontrolling interests</w:t>
            </w:r>
          </w:p>
        </w:tc>
        <w:tc>
          <w:tcPr>
            <w:tcW w:w="1980" w:type="dxa"/>
            <w:vAlign w:val="bottom"/>
          </w:tcPr>
          <w:p>
            <w:pPr>
              <w:jc w:val="right"/>
              <w:ind w:right="812"/>
              <w:spacing w:after="0"/>
              <w:rPr>
                <w:sz w:val="20"/>
                <w:szCs w:val="20"/>
                <w:color w:val="auto"/>
              </w:rPr>
            </w:pPr>
            <w:r>
              <w:rPr>
                <w:rFonts w:ascii="Arial" w:cs="Arial" w:eastAsia="Arial" w:hAnsi="Arial"/>
                <w:sz w:val="18"/>
                <w:szCs w:val="18"/>
                <w:color w:val="auto"/>
              </w:rPr>
              <w:t>15,215</w:t>
            </w:r>
          </w:p>
        </w:tc>
        <w:tc>
          <w:tcPr>
            <w:tcW w:w="720" w:type="dxa"/>
            <w:vAlign w:val="bottom"/>
          </w:tcPr>
          <w:p>
            <w:pPr>
              <w:jc w:val="right"/>
              <w:spacing w:after="0"/>
              <w:rPr>
                <w:sz w:val="20"/>
                <w:szCs w:val="20"/>
                <w:color w:val="auto"/>
              </w:rPr>
            </w:pPr>
            <w:r>
              <w:rPr>
                <w:rFonts w:ascii="Arial" w:cs="Arial" w:eastAsia="Arial" w:hAnsi="Arial"/>
                <w:sz w:val="18"/>
                <w:szCs w:val="18"/>
                <w:color w:val="auto"/>
              </w:rPr>
              <w:t>11,439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Depreciation and depletion</w:t>
            </w:r>
          </w:p>
        </w:tc>
        <w:tc>
          <w:tcPr>
            <w:tcW w:w="1980" w:type="dxa"/>
            <w:vAlign w:val="bottom"/>
          </w:tcPr>
          <w:p>
            <w:pPr>
              <w:jc w:val="right"/>
              <w:ind w:right="812"/>
              <w:spacing w:after="0"/>
              <w:rPr>
                <w:sz w:val="20"/>
                <w:szCs w:val="20"/>
                <w:color w:val="auto"/>
              </w:rPr>
            </w:pPr>
            <w:r>
              <w:rPr>
                <w:rFonts w:ascii="Arial" w:cs="Arial" w:eastAsia="Arial" w:hAnsi="Arial"/>
                <w:sz w:val="18"/>
                <w:szCs w:val="18"/>
                <w:color w:val="auto"/>
              </w:rPr>
              <w:t>13,717</w:t>
            </w:r>
          </w:p>
        </w:tc>
        <w:tc>
          <w:tcPr>
            <w:tcW w:w="720" w:type="dxa"/>
            <w:vAlign w:val="bottom"/>
          </w:tcPr>
          <w:p>
            <w:pPr>
              <w:jc w:val="right"/>
              <w:spacing w:after="0"/>
              <w:rPr>
                <w:sz w:val="20"/>
                <w:szCs w:val="20"/>
                <w:color w:val="auto"/>
              </w:rPr>
            </w:pPr>
            <w:r>
              <w:rPr>
                <w:rFonts w:ascii="Arial" w:cs="Arial" w:eastAsia="Arial" w:hAnsi="Arial"/>
                <w:sz w:val="18"/>
                <w:szCs w:val="18"/>
                <w:color w:val="auto"/>
              </w:rPr>
              <w:t>14,051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Changes in operational working capital, excluding cash and debt</w:t>
            </w:r>
          </w:p>
        </w:tc>
        <w:tc>
          <w:tcPr>
            <w:tcW w:w="1980" w:type="dxa"/>
            <w:vAlign w:val="bottom"/>
          </w:tcPr>
          <w:p>
            <w:pPr>
              <w:jc w:val="right"/>
              <w:ind w:right="772"/>
              <w:spacing w:after="0"/>
              <w:rPr>
                <w:sz w:val="20"/>
                <w:szCs w:val="20"/>
                <w:color w:val="auto"/>
              </w:rPr>
            </w:pPr>
            <w:r>
              <w:rPr>
                <w:rFonts w:ascii="Arial" w:cs="Arial" w:eastAsia="Arial" w:hAnsi="Arial"/>
                <w:sz w:val="18"/>
                <w:szCs w:val="18"/>
                <w:color w:val="auto"/>
              </w:rPr>
              <w:t>(25)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360"/>
              <w:spacing w:after="0"/>
              <w:rPr>
                <w:sz w:val="20"/>
                <w:szCs w:val="20"/>
                <w:color w:val="auto"/>
              </w:rPr>
            </w:pPr>
            <w:r>
              <w:rPr>
                <w:rFonts w:ascii="Arial" w:cs="Arial" w:eastAsia="Arial" w:hAnsi="Arial"/>
                <w:sz w:val="18"/>
                <w:szCs w:val="18"/>
                <w:color w:val="auto"/>
              </w:rPr>
              <w:t>All other items – net</w:t>
            </w:r>
          </w:p>
        </w:tc>
        <w:tc>
          <w:tcPr>
            <w:tcW w:w="1980" w:type="dxa"/>
            <w:vAlign w:val="bottom"/>
          </w:tcPr>
          <w:p>
            <w:pPr>
              <w:jc w:val="right"/>
              <w:ind w:right="772"/>
              <w:spacing w:after="0"/>
              <w:rPr>
                <w:sz w:val="20"/>
                <w:szCs w:val="20"/>
                <w:color w:val="auto"/>
              </w:rPr>
            </w:pPr>
            <w:r>
              <w:rPr>
                <w:rFonts w:ascii="Arial" w:cs="Arial" w:eastAsia="Arial" w:hAnsi="Arial"/>
                <w:sz w:val="18"/>
                <w:szCs w:val="18"/>
                <w:color w:val="auto"/>
              </w:rPr>
              <w:t>(1,500)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06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198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8"/>
                <w:szCs w:val="18"/>
                <w:color w:val="auto"/>
              </w:rPr>
              <w:t>27,407</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Additions to property, plant and equipment</w:t>
            </w:r>
          </w:p>
        </w:tc>
        <w:tc>
          <w:tcPr>
            <w:tcW w:w="1980" w:type="dxa"/>
            <w:vAlign w:val="bottom"/>
          </w:tcPr>
          <w:p>
            <w:pPr>
              <w:jc w:val="right"/>
              <w:ind w:right="772"/>
              <w:spacing w:after="0"/>
              <w:rPr>
                <w:sz w:val="20"/>
                <w:szCs w:val="20"/>
                <w:color w:val="auto"/>
              </w:rPr>
            </w:pPr>
            <w:r>
              <w:rPr>
                <w:rFonts w:ascii="Arial" w:cs="Arial" w:eastAsia="Arial" w:hAnsi="Arial"/>
                <w:sz w:val="18"/>
                <w:szCs w:val="18"/>
                <w:color w:val="auto"/>
              </w:rPr>
              <w:t>(13,480)</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Proceeds associated with sales of subsidiaries, property, plant and</w:t>
            </w:r>
          </w:p>
        </w:tc>
        <w:tc>
          <w:tcPr>
            <w:tcW w:w="1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720"/>
              <w:spacing w:after="0"/>
              <w:rPr>
                <w:sz w:val="20"/>
                <w:szCs w:val="20"/>
                <w:color w:val="auto"/>
              </w:rPr>
            </w:pPr>
            <w:r>
              <w:rPr>
                <w:rFonts w:ascii="Arial" w:cs="Arial" w:eastAsia="Arial" w:hAnsi="Arial"/>
                <w:sz w:val="18"/>
                <w:szCs w:val="18"/>
                <w:color w:val="auto"/>
              </w:rPr>
              <w:t>equipment, and sales and returns of investments</w:t>
            </w:r>
          </w:p>
        </w:tc>
        <w:tc>
          <w:tcPr>
            <w:tcW w:w="1980" w:type="dxa"/>
            <w:vAlign w:val="bottom"/>
          </w:tcPr>
          <w:p>
            <w:pPr>
              <w:jc w:val="right"/>
              <w:ind w:right="812"/>
              <w:spacing w:after="0"/>
              <w:rPr>
                <w:sz w:val="20"/>
                <w:szCs w:val="20"/>
                <w:color w:val="auto"/>
              </w:rPr>
            </w:pPr>
            <w:r>
              <w:rPr>
                <w:rFonts w:ascii="Arial" w:cs="Arial" w:eastAsia="Arial" w:hAnsi="Arial"/>
                <w:sz w:val="18"/>
                <w:szCs w:val="18"/>
                <w:color w:val="auto"/>
              </w:rPr>
              <w:t>3,239</w:t>
            </w:r>
          </w:p>
        </w:tc>
        <w:tc>
          <w:tcPr>
            <w:tcW w:w="720" w:type="dxa"/>
            <w:vAlign w:val="bottom"/>
          </w:tcPr>
          <w:p>
            <w:pPr>
              <w:jc w:val="right"/>
              <w:spacing w:after="0"/>
              <w:rPr>
                <w:sz w:val="20"/>
                <w:szCs w:val="20"/>
                <w:color w:val="auto"/>
              </w:rPr>
            </w:pPr>
            <w:r>
              <w:rPr>
                <w:rFonts w:ascii="Arial" w:cs="Arial" w:eastAsia="Arial" w:hAnsi="Arial"/>
                <w:sz w:val="18"/>
                <w:szCs w:val="18"/>
                <w:color w:val="auto"/>
              </w:rPr>
              <w:t>1,695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Additional investments and advances</w:t>
            </w:r>
          </w:p>
        </w:tc>
        <w:tc>
          <w:tcPr>
            <w:tcW w:w="1980" w:type="dxa"/>
            <w:vAlign w:val="bottom"/>
          </w:tcPr>
          <w:p>
            <w:pPr>
              <w:jc w:val="right"/>
              <w:ind w:right="772"/>
              <w:spacing w:after="0"/>
              <w:rPr>
                <w:sz w:val="20"/>
                <w:szCs w:val="20"/>
                <w:color w:val="auto"/>
              </w:rPr>
            </w:pPr>
            <w:r>
              <w:rPr>
                <w:rFonts w:ascii="Arial" w:cs="Arial" w:eastAsia="Arial" w:hAnsi="Arial"/>
                <w:sz w:val="18"/>
                <w:szCs w:val="18"/>
                <w:color w:val="auto"/>
              </w:rPr>
              <w:t>(1,113)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360"/>
              <w:spacing w:after="0"/>
              <w:rPr>
                <w:sz w:val="20"/>
                <w:szCs w:val="20"/>
                <w:color w:val="auto"/>
              </w:rPr>
            </w:pPr>
            <w:r>
              <w:rPr>
                <w:rFonts w:ascii="Arial" w:cs="Arial" w:eastAsia="Arial" w:hAnsi="Arial"/>
                <w:sz w:val="18"/>
                <w:szCs w:val="18"/>
                <w:color w:val="auto"/>
              </w:rPr>
              <w:t>Other investing activities including collection of advances</w:t>
            </w:r>
          </w:p>
        </w:tc>
        <w:tc>
          <w:tcPr>
            <w:tcW w:w="198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rPr>
              <w:t>492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060"/>
              <w:spacing w:after="0" w:line="203" w:lineRule="exact"/>
              <w:rPr>
                <w:sz w:val="20"/>
                <w:szCs w:val="20"/>
                <w:color w:val="auto"/>
              </w:rPr>
            </w:pPr>
            <w:r>
              <w:rPr>
                <w:rFonts w:ascii="Arial" w:cs="Arial" w:eastAsia="Arial" w:hAnsi="Arial"/>
                <w:sz w:val="18"/>
                <w:szCs w:val="18"/>
                <w:color w:val="auto"/>
              </w:rPr>
              <w:t>Net cash used in investing activities</w:t>
            </w:r>
          </w:p>
        </w:tc>
        <w:tc>
          <w:tcPr>
            <w:tcW w:w="198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rPr>
              <w:t>(10,862)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7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Additions to long-term debt</w:t>
            </w:r>
          </w:p>
        </w:tc>
        <w:tc>
          <w:tcPr>
            <w:tcW w:w="1980" w:type="dxa"/>
            <w:vAlign w:val="bottom"/>
          </w:tcPr>
          <w:p>
            <w:pPr>
              <w:jc w:val="right"/>
              <w:ind w:right="8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Additions to short-term debt</w:t>
            </w:r>
          </w:p>
        </w:tc>
        <w:tc>
          <w:tcPr>
            <w:tcW w:w="1980" w:type="dxa"/>
            <w:vAlign w:val="bottom"/>
          </w:tcPr>
          <w:p>
            <w:pPr>
              <w:jc w:val="right"/>
              <w:ind w:right="8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Reductions in short-term debt</w:t>
            </w:r>
          </w:p>
        </w:tc>
        <w:tc>
          <w:tcPr>
            <w:tcW w:w="1980" w:type="dxa"/>
            <w:vAlign w:val="bottom"/>
          </w:tcPr>
          <w:p>
            <w:pPr>
              <w:jc w:val="right"/>
              <w:ind w:right="772"/>
              <w:spacing w:after="0"/>
              <w:rPr>
                <w:sz w:val="20"/>
                <w:szCs w:val="20"/>
                <w:color w:val="auto"/>
              </w:rPr>
            </w:pPr>
            <w:r>
              <w:rPr>
                <w:rFonts w:ascii="Arial" w:cs="Arial" w:eastAsia="Arial" w:hAnsi="Arial"/>
                <w:sz w:val="18"/>
                <w:szCs w:val="18"/>
                <w:color w:val="auto"/>
              </w:rPr>
              <w:t>(4,279)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Additions/(reductions) in commercial paper, and debt with three</w:t>
            </w:r>
          </w:p>
        </w:tc>
        <w:tc>
          <w:tcPr>
            <w:tcW w:w="1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720"/>
              <w:spacing w:after="0"/>
              <w:rPr>
                <w:sz w:val="20"/>
                <w:szCs w:val="20"/>
                <w:color w:val="auto"/>
              </w:rPr>
            </w:pPr>
            <w:r>
              <w:rPr>
                <w:rFonts w:ascii="Arial" w:cs="Arial" w:eastAsia="Arial" w:hAnsi="Arial"/>
                <w:sz w:val="18"/>
                <w:szCs w:val="18"/>
                <w:color w:val="auto"/>
              </w:rPr>
              <w:t xml:space="preserve">months or less maturity </w:t>
            </w:r>
            <w:r>
              <w:rPr>
                <w:rFonts w:ascii="Arial" w:cs="Arial" w:eastAsia="Arial" w:hAnsi="Arial"/>
                <w:sz w:val="14"/>
                <w:szCs w:val="14"/>
                <w:i w:val="1"/>
                <w:iCs w:val="1"/>
                <w:color w:val="auto"/>
              </w:rPr>
              <w:t>(1)</w:t>
            </w:r>
          </w:p>
        </w:tc>
        <w:tc>
          <w:tcPr>
            <w:tcW w:w="1980" w:type="dxa"/>
            <w:vAlign w:val="bottom"/>
          </w:tcPr>
          <w:p>
            <w:pPr>
              <w:jc w:val="right"/>
              <w:ind w:right="812"/>
              <w:spacing w:after="0"/>
              <w:rPr>
                <w:sz w:val="20"/>
                <w:szCs w:val="20"/>
                <w:color w:val="auto"/>
              </w:rPr>
            </w:pPr>
            <w:r>
              <w:rPr>
                <w:rFonts w:ascii="Arial" w:cs="Arial" w:eastAsia="Arial" w:hAnsi="Arial"/>
                <w:sz w:val="18"/>
                <w:szCs w:val="18"/>
                <w:color w:val="auto"/>
              </w:rPr>
              <w:t>1,626</w:t>
            </w:r>
          </w:p>
        </w:tc>
        <w:tc>
          <w:tcPr>
            <w:tcW w:w="720" w:type="dxa"/>
            <w:vAlign w:val="bottom"/>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Cash dividends to ExxonMobil shareholders</w:t>
            </w:r>
          </w:p>
        </w:tc>
        <w:tc>
          <w:tcPr>
            <w:tcW w:w="1980" w:type="dxa"/>
            <w:vAlign w:val="bottom"/>
          </w:tcPr>
          <w:p>
            <w:pPr>
              <w:jc w:val="right"/>
              <w:ind w:right="772"/>
              <w:spacing w:after="0"/>
              <w:rPr>
                <w:sz w:val="20"/>
                <w:szCs w:val="20"/>
                <w:color w:val="auto"/>
              </w:rPr>
            </w:pPr>
            <w:r>
              <w:rPr>
                <w:rFonts w:ascii="Arial" w:cs="Arial" w:eastAsia="Arial" w:hAnsi="Arial"/>
                <w:sz w:val="18"/>
                <w:szCs w:val="18"/>
                <w:color w:val="auto"/>
              </w:rPr>
              <w:t>(10,296)</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(9,712)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Cash dividends to noncontrolling interests</w:t>
            </w:r>
          </w:p>
        </w:tc>
        <w:tc>
          <w:tcPr>
            <w:tcW w:w="1980" w:type="dxa"/>
            <w:vAlign w:val="bottom"/>
          </w:tcPr>
          <w:p>
            <w:pPr>
              <w:jc w:val="right"/>
              <w:ind w:right="772"/>
              <w:spacing w:after="0"/>
              <w:rPr>
                <w:sz w:val="20"/>
                <w:szCs w:val="20"/>
                <w:color w:val="auto"/>
              </w:rPr>
            </w:pPr>
            <w:r>
              <w:rPr>
                <w:rFonts w:ascii="Arial" w:cs="Arial" w:eastAsia="Arial" w:hAnsi="Arial"/>
                <w:sz w:val="18"/>
                <w:szCs w:val="18"/>
                <w:color w:val="auto"/>
              </w:rPr>
              <w:t>(192)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Changes in noncontrolling interests</w:t>
            </w:r>
          </w:p>
        </w:tc>
        <w:tc>
          <w:tcPr>
            <w:tcW w:w="1980" w:type="dxa"/>
            <w:vAlign w:val="bottom"/>
          </w:tcPr>
          <w:p>
            <w:pPr>
              <w:jc w:val="right"/>
              <w:ind w:right="772"/>
              <w:spacing w:after="0"/>
              <w:rPr>
                <w:sz w:val="20"/>
                <w:szCs w:val="20"/>
                <w:color w:val="auto"/>
              </w:rPr>
            </w:pPr>
            <w:r>
              <w:rPr>
                <w:rFonts w:ascii="Arial" w:cs="Arial" w:eastAsia="Arial" w:hAnsi="Arial"/>
                <w:sz w:val="18"/>
                <w:szCs w:val="18"/>
                <w:color w:val="auto"/>
              </w:rPr>
              <w:t>(374)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360"/>
              <w:spacing w:after="0"/>
              <w:rPr>
                <w:sz w:val="20"/>
                <w:szCs w:val="20"/>
                <w:color w:val="auto"/>
              </w:rPr>
            </w:pPr>
            <w:r>
              <w:rPr>
                <w:rFonts w:ascii="Arial" w:cs="Arial" w:eastAsia="Arial" w:hAnsi="Arial"/>
                <w:sz w:val="18"/>
                <w:szCs w:val="18"/>
                <w:color w:val="auto"/>
              </w:rPr>
              <w:t>Common stock acquired</w:t>
            </w:r>
          </w:p>
        </w:tc>
        <w:tc>
          <w:tcPr>
            <w:tcW w:w="198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rPr>
              <w:t>(430)</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060"/>
              <w:spacing w:after="0" w:line="203" w:lineRule="exact"/>
              <w:rPr>
                <w:sz w:val="20"/>
                <w:szCs w:val="20"/>
                <w:color w:val="auto"/>
              </w:rPr>
            </w:pPr>
            <w:r>
              <w:rPr>
                <w:rFonts w:ascii="Arial" w:cs="Arial" w:eastAsia="Arial" w:hAnsi="Arial"/>
                <w:sz w:val="18"/>
                <w:szCs w:val="18"/>
                <w:color w:val="auto"/>
              </w:rPr>
              <w:t>Net cash used in financing activities</w:t>
            </w:r>
          </w:p>
        </w:tc>
        <w:tc>
          <w:tcPr>
            <w:tcW w:w="1980" w:type="dxa"/>
            <w:vAlign w:val="bottom"/>
          </w:tcPr>
          <w:p>
            <w:pPr>
              <w:jc w:val="right"/>
              <w:ind w:right="772"/>
              <w:spacing w:after="0"/>
              <w:rPr>
                <w:sz w:val="20"/>
                <w:szCs w:val="20"/>
                <w:color w:val="auto"/>
              </w:rPr>
            </w:pPr>
            <w:r>
              <w:rPr>
                <w:rFonts w:ascii="Arial" w:cs="Arial" w:eastAsia="Arial" w:hAnsi="Arial"/>
                <w:sz w:val="18"/>
                <w:szCs w:val="18"/>
                <w:color w:val="auto"/>
              </w:rPr>
              <w:t>(13,945)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Effects of exchange rate changes on cash</w:t>
            </w:r>
          </w:p>
        </w:tc>
        <w:tc>
          <w:tcPr>
            <w:tcW w:w="1980" w:type="dxa"/>
            <w:vAlign w:val="bottom"/>
            <w:tcBorders>
              <w:top w:val="single" w:sz="8" w:color="auto"/>
              <w:bottom w:val="single" w:sz="8" w:color="auto"/>
            </w:tcBorders>
          </w:tcPr>
          <w:p>
            <w:pPr>
              <w:jc w:val="right"/>
              <w:ind w:right="772"/>
              <w:spacing w:after="0"/>
              <w:rPr>
                <w:sz w:val="20"/>
                <w:szCs w:val="20"/>
                <w:color w:val="auto"/>
              </w:rPr>
            </w:pPr>
            <w:r>
              <w:rPr>
                <w:rFonts w:ascii="Arial" w:cs="Arial" w:eastAsia="Arial" w:hAnsi="Arial"/>
                <w:sz w:val="18"/>
                <w:szCs w:val="18"/>
                <w:color w:val="auto"/>
              </w:rPr>
              <w:t>(108)</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00" w:type="dxa"/>
            <w:vAlign w:val="bottom"/>
          </w:tcPr>
          <w:p>
            <w:pPr>
              <w:spacing w:after="0" w:line="195" w:lineRule="exact"/>
              <w:rPr>
                <w:sz w:val="20"/>
                <w:szCs w:val="20"/>
                <w:color w:val="auto"/>
              </w:rPr>
            </w:pPr>
            <w:r>
              <w:rPr>
                <w:rFonts w:ascii="Arial" w:cs="Arial" w:eastAsia="Arial" w:hAnsi="Arial"/>
                <w:sz w:val="18"/>
                <w:szCs w:val="18"/>
                <w:color w:val="auto"/>
              </w:rPr>
              <w:t>Increase/(decrease) in cash and cash equivalents</w:t>
            </w:r>
          </w:p>
        </w:tc>
        <w:tc>
          <w:tcPr>
            <w:tcW w:w="1980" w:type="dxa"/>
            <w:vAlign w:val="bottom"/>
          </w:tcPr>
          <w:p>
            <w:pPr>
              <w:jc w:val="right"/>
              <w:ind w:right="812"/>
              <w:spacing w:after="0" w:line="195" w:lineRule="exact"/>
              <w:rPr>
                <w:sz w:val="20"/>
                <w:szCs w:val="20"/>
                <w:color w:val="auto"/>
              </w:rPr>
            </w:pPr>
            <w:r>
              <w:rPr>
                <w:rFonts w:ascii="Arial" w:cs="Arial" w:eastAsia="Arial" w:hAnsi="Arial"/>
                <w:sz w:val="18"/>
                <w:szCs w:val="18"/>
                <w:color w:val="auto"/>
              </w:rPr>
              <w:t>2,492</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609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98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rPr>
              <w:t>3,177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line="203" w:lineRule="exact"/>
              <w:rPr>
                <w:sz w:val="20"/>
                <w:szCs w:val="20"/>
                <w:color w:val="auto"/>
              </w:rPr>
            </w:pPr>
            <w:r>
              <w:rPr>
                <w:rFonts w:ascii="Arial" w:cs="Arial" w:eastAsia="Arial" w:hAnsi="Arial"/>
                <w:sz w:val="18"/>
                <w:szCs w:val="18"/>
                <w:color w:val="auto"/>
              </w:rPr>
              <w:t>Cash and cash equivalents at end of period</w:t>
            </w:r>
          </w:p>
        </w:tc>
        <w:tc>
          <w:tcPr>
            <w:tcW w:w="198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color w:val="auto"/>
              </w:rPr>
              <w:t>5,669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700" w:type="dxa"/>
            <w:vAlign w:val="bottom"/>
          </w:tcPr>
          <w:p>
            <w:pPr>
              <w:spacing w:after="0"/>
              <w:rPr>
                <w:sz w:val="20"/>
                <w:szCs w:val="20"/>
                <w:color w:val="auto"/>
              </w:rPr>
            </w:pPr>
            <w:r>
              <w:rPr>
                <w:rFonts w:ascii="Arial" w:cs="Arial" w:eastAsia="Arial" w:hAnsi="Arial"/>
                <w:sz w:val="18"/>
                <w:szCs w:val="18"/>
                <w:color w:val="auto"/>
              </w:rPr>
              <w:t>Supplemental Disclosures</w:t>
            </w:r>
          </w:p>
        </w:tc>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1980" w:type="dxa"/>
            <w:vAlign w:val="bottom"/>
          </w:tcPr>
          <w:p>
            <w:pPr>
              <w:jc w:val="right"/>
              <w:ind w:right="812"/>
              <w:spacing w:after="0"/>
              <w:rPr>
                <w:sz w:val="20"/>
                <w:szCs w:val="20"/>
                <w:color w:val="auto"/>
              </w:rPr>
            </w:pPr>
            <w:r>
              <w:rPr>
                <w:rFonts w:ascii="Arial" w:cs="Arial" w:eastAsia="Arial" w:hAnsi="Arial"/>
                <w:sz w:val="18"/>
                <w:szCs w:val="18"/>
                <w:color w:val="auto"/>
              </w:rPr>
              <w:t>6,740</w:t>
            </w:r>
          </w:p>
        </w:tc>
        <w:tc>
          <w:tcPr>
            <w:tcW w:w="720" w:type="dxa"/>
            <w:vAlign w:val="bottom"/>
          </w:tcPr>
          <w:p>
            <w:pPr>
              <w:jc w:val="right"/>
              <w:spacing w:after="0"/>
              <w:rPr>
                <w:sz w:val="20"/>
                <w:szCs w:val="20"/>
                <w:color w:val="auto"/>
              </w:rPr>
            </w:pPr>
            <w:r>
              <w:rPr>
                <w:rFonts w:ascii="Arial" w:cs="Arial" w:eastAsia="Arial" w:hAnsi="Arial"/>
                <w:sz w:val="18"/>
                <w:szCs w:val="18"/>
                <w:color w:val="auto"/>
              </w:rPr>
              <w:t>4,611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Cash interest paid</w:t>
            </w:r>
          </w:p>
        </w:tc>
        <w:tc>
          <w:tcPr>
            <w:tcW w:w="1980" w:type="dxa"/>
            <w:vAlign w:val="bottom"/>
          </w:tcPr>
          <w:p>
            <w:pPr>
              <w:jc w:val="right"/>
              <w:ind w:right="812"/>
              <w:spacing w:after="0"/>
              <w:rPr>
                <w:sz w:val="20"/>
                <w:szCs w:val="20"/>
                <w:color w:val="auto"/>
              </w:rPr>
            </w:pPr>
            <w:r>
              <w:rPr>
                <w:rFonts w:ascii="Arial" w:cs="Arial" w:eastAsia="Arial" w:hAnsi="Arial"/>
                <w:sz w:val="18"/>
                <w:szCs w:val="18"/>
                <w:color w:val="auto"/>
              </w:rPr>
              <w:t>839</w:t>
            </w:r>
          </w:p>
        </w:tc>
        <w:tc>
          <w:tcPr>
            <w:tcW w:w="720" w:type="dxa"/>
            <w:vAlign w:val="bottom"/>
          </w:tcPr>
          <w:p>
            <w:pPr>
              <w:jc w:val="right"/>
              <w:spacing w:after="0"/>
              <w:rPr>
                <w:sz w:val="20"/>
                <w:szCs w:val="20"/>
                <w:color w:val="auto"/>
              </w:rPr>
            </w:pPr>
            <w:r>
              <w:rPr>
                <w:rFonts w:ascii="Arial" w:cs="Arial" w:eastAsia="Arial" w:hAnsi="Arial"/>
                <w:sz w:val="18"/>
                <w:szCs w:val="18"/>
                <w:color w:val="auto"/>
              </w:rPr>
              <w:t>965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2017 Noncash Transactions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nine months of 2017, the Corporation completed the acquisitions of InterOil Corporation and of companies that own certain oil and gas properties in the Permian Basin and other assets. These transactions included a significant noncash component associated with the issuance of a combined 96 million shares of Exxon Mobil Corporation common stock in acquisition consideration.</w:t>
      </w:r>
    </w:p>
    <w:p>
      <w:pPr>
        <w:spacing w:after="0" w:line="204" w:lineRule="exact"/>
        <w:rPr>
          <w:sz w:val="20"/>
          <w:szCs w:val="20"/>
          <w:color w:val="auto"/>
        </w:rPr>
      </w:pPr>
    </w:p>
    <w:p>
      <w:pPr>
        <w:jc w:val="both"/>
        <w:ind w:left="260" w:hanging="207"/>
        <w:spacing w:after="0" w:line="264" w:lineRule="auto"/>
        <w:tabs>
          <w:tab w:leader="none" w:pos="317"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 net addition of commercial paper with a maturity of over three months of $0.3 billion in 2018 and a net reduction of $0.5 billion in 2017. The gross amount of commercial paper with a maturity of over three months issued was $3.1 billion in 2018 and $2.7 billion in 2017, while the gross amount repaid was $2.8 billion in 2018 and $3.2 billion in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Condensed Consolidated Financial Statements is an integral part of these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6" w:name="page7"/>
    <w:bookmarkEnd w:id="6"/>
    <w:p>
      <w:pPr>
        <w:jc w:val="center"/>
        <w:ind w:right="-239"/>
        <w:spacing w:after="0"/>
        <w:rPr>
          <w:sz w:val="20"/>
          <w:szCs w:val="20"/>
          <w:color w:val="auto"/>
        </w:rPr>
      </w:pPr>
      <w:r>
        <w:rPr>
          <w:rFonts w:ascii="Arial" w:cs="Arial" w:eastAsia="Arial" w:hAnsi="Arial"/>
          <w:sz w:val="18"/>
          <w:szCs w:val="18"/>
          <w:b w:val="1"/>
          <w:bCs w:val="1"/>
          <w:color w:val="auto"/>
        </w:rPr>
        <w:t>EXXON MOBIL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4"/>
          <w:szCs w:val="14"/>
          <w:i w:val="1"/>
          <w:iCs w:val="1"/>
          <w:color w:val="auto"/>
        </w:rPr>
        <w:t>(millions of dollars)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0" w:type="dxa"/>
            <w:vAlign w:val="bottom"/>
            <w:gridSpan w:val="3"/>
          </w:tcPr>
          <w:p>
            <w:pPr>
              <w:ind w:left="800"/>
              <w:spacing w:after="0"/>
              <w:rPr>
                <w:sz w:val="20"/>
                <w:szCs w:val="20"/>
                <w:color w:val="auto"/>
              </w:rPr>
            </w:pPr>
            <w:r>
              <w:rPr>
                <w:rFonts w:ascii="Arial" w:cs="Arial" w:eastAsia="Arial" w:hAnsi="Arial"/>
                <w:sz w:val="14"/>
                <w:szCs w:val="14"/>
                <w:b w:val="1"/>
                <w:bCs w:val="1"/>
                <w:color w:val="auto"/>
                <w:w w:val="96"/>
              </w:rPr>
              <w:t>ExxonMobil Share of Equity</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920" w:type="dxa"/>
            <w:vAlign w:val="bottom"/>
          </w:tcPr>
          <w:p>
            <w:pPr>
              <w:jc w:val="center"/>
              <w:ind w:right="213"/>
              <w:spacing w:after="0"/>
              <w:rPr>
                <w:sz w:val="20"/>
                <w:szCs w:val="20"/>
                <w:color w:val="auto"/>
              </w:rPr>
            </w:pPr>
            <w:r>
              <w:rPr>
                <w:rFonts w:ascii="Arial" w:cs="Arial" w:eastAsia="Arial" w:hAnsi="Arial"/>
                <w:sz w:val="14"/>
                <w:szCs w:val="14"/>
                <w:b w:val="1"/>
                <w:bCs w:val="1"/>
                <w:color w:val="auto"/>
                <w:w w:val="95"/>
              </w:rPr>
              <w:t>Common</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Compre-</w:t>
            </w:r>
          </w:p>
        </w:tc>
        <w:tc>
          <w:tcPr>
            <w:tcW w:w="920" w:type="dxa"/>
            <w:vAlign w:val="bottom"/>
          </w:tcPr>
          <w:p>
            <w:pPr>
              <w:jc w:val="center"/>
              <w:ind w:right="213"/>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ExxonMobil</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hensive</w:t>
            </w:r>
          </w:p>
        </w:tc>
        <w:tc>
          <w:tcPr>
            <w:tcW w:w="920" w:type="dxa"/>
            <w:vAlign w:val="bottom"/>
          </w:tcPr>
          <w:p>
            <w:pPr>
              <w:jc w:val="center"/>
              <w:ind w:right="213"/>
              <w:spacing w:after="0"/>
              <w:rPr>
                <w:sz w:val="20"/>
                <w:szCs w:val="20"/>
                <w:color w:val="auto"/>
              </w:rPr>
            </w:pPr>
            <w:r>
              <w:rPr>
                <w:rFonts w:ascii="Arial" w:cs="Arial" w:eastAsia="Arial" w:hAnsi="Arial"/>
                <w:sz w:val="14"/>
                <w:szCs w:val="14"/>
                <w:b w:val="1"/>
                <w:bCs w:val="1"/>
                <w:color w:val="auto"/>
                <w:w w:val="98"/>
              </w:rPr>
              <w:t>Held in</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Share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controlling</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Reinvested</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920" w:type="dxa"/>
            <w:vAlign w:val="bottom"/>
          </w:tcPr>
          <w:p>
            <w:pPr>
              <w:jc w:val="center"/>
              <w:ind w:right="213"/>
              <w:spacing w:after="0"/>
              <w:rPr>
                <w:sz w:val="20"/>
                <w:szCs w:val="20"/>
                <w:color w:val="auto"/>
              </w:rPr>
            </w:pPr>
            <w:r>
              <w:rPr>
                <w:rFonts w:ascii="Arial" w:cs="Arial" w:eastAsia="Arial" w:hAnsi="Arial"/>
                <w:sz w:val="14"/>
                <w:szCs w:val="14"/>
                <w:b w:val="1"/>
                <w:bCs w:val="1"/>
                <w:color w:val="auto"/>
                <w:w w:val="91"/>
              </w:rPr>
              <w:t>Treasury</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3340" w:type="dxa"/>
            <w:vAlign w:val="bottom"/>
            <w:gridSpan w:val="3"/>
          </w:tcPr>
          <w:p>
            <w:pPr>
              <w:spacing w:after="0"/>
              <w:rPr>
                <w:sz w:val="20"/>
                <w:szCs w:val="20"/>
                <w:color w:val="auto"/>
              </w:rPr>
            </w:pPr>
            <w:r>
              <w:rPr>
                <w:rFonts w:ascii="Arial" w:cs="Arial" w:eastAsia="Arial" w:hAnsi="Arial"/>
                <w:sz w:val="18"/>
                <w:szCs w:val="18"/>
                <w:color w:val="auto"/>
              </w:rPr>
              <w:t>Balance as of December 31, 2016</w:t>
            </w:r>
          </w:p>
        </w:tc>
        <w:tc>
          <w:tcPr>
            <w:tcW w:w="1180" w:type="dxa"/>
            <w:vAlign w:val="bottom"/>
          </w:tcPr>
          <w:p>
            <w:pPr>
              <w:jc w:val="right"/>
              <w:spacing w:after="0"/>
              <w:rPr>
                <w:sz w:val="20"/>
                <w:szCs w:val="20"/>
                <w:color w:val="auto"/>
              </w:rPr>
            </w:pPr>
            <w:r>
              <w:rPr>
                <w:rFonts w:ascii="Arial" w:cs="Arial" w:eastAsia="Arial" w:hAnsi="Arial"/>
                <w:sz w:val="18"/>
                <w:szCs w:val="18"/>
                <w:color w:val="auto"/>
              </w:rPr>
              <w:t>12,157</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407,831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(22,239)</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(230,424)</w:t>
            </w:r>
          </w:p>
        </w:tc>
        <w:tc>
          <w:tcPr>
            <w:tcW w:w="1020" w:type="dxa"/>
            <w:vAlign w:val="bottom"/>
          </w:tcPr>
          <w:p>
            <w:pPr>
              <w:jc w:val="right"/>
              <w:spacing w:after="0"/>
              <w:rPr>
                <w:sz w:val="20"/>
                <w:szCs w:val="20"/>
                <w:color w:val="auto"/>
              </w:rPr>
            </w:pPr>
            <w:r>
              <w:rPr>
                <w:rFonts w:ascii="Arial" w:cs="Arial" w:eastAsia="Arial" w:hAnsi="Arial"/>
                <w:sz w:val="18"/>
                <w:szCs w:val="18"/>
                <w:color w:val="auto"/>
              </w:rPr>
              <w:t>167,325</w:t>
            </w:r>
          </w:p>
        </w:tc>
        <w:tc>
          <w:tcPr>
            <w:tcW w:w="60" w:type="dxa"/>
            <w:vAlign w:val="bottom"/>
          </w:tcPr>
          <w:p>
            <w:pPr>
              <w:spacing w:after="0"/>
              <w:rPr>
                <w:sz w:val="24"/>
                <w:szCs w:val="24"/>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6,505</w:t>
            </w:r>
          </w:p>
        </w:tc>
        <w:tc>
          <w:tcPr>
            <w:tcW w:w="1000" w:type="dxa"/>
            <w:vAlign w:val="bottom"/>
          </w:tcPr>
          <w:p>
            <w:pPr>
              <w:jc w:val="right"/>
              <w:spacing w:after="0"/>
              <w:rPr>
                <w:sz w:val="20"/>
                <w:szCs w:val="20"/>
                <w:color w:val="auto"/>
              </w:rPr>
            </w:pPr>
            <w:r>
              <w:rPr>
                <w:rFonts w:ascii="Arial" w:cs="Arial" w:eastAsia="Arial" w:hAnsi="Arial"/>
                <w:sz w:val="18"/>
                <w:szCs w:val="18"/>
                <w:color w:val="auto"/>
              </w:rPr>
              <w:t>173,830</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Amortization of stock-based awards</w:t>
            </w:r>
          </w:p>
        </w:tc>
        <w:tc>
          <w:tcPr>
            <w:tcW w:w="1180" w:type="dxa"/>
            <w:vAlign w:val="bottom"/>
          </w:tcPr>
          <w:p>
            <w:pPr>
              <w:jc w:val="right"/>
              <w:spacing w:after="0"/>
              <w:rPr>
                <w:sz w:val="20"/>
                <w:szCs w:val="20"/>
                <w:color w:val="auto"/>
              </w:rPr>
            </w:pPr>
            <w:r>
              <w:rPr>
                <w:rFonts w:ascii="Arial" w:cs="Arial" w:eastAsia="Arial" w:hAnsi="Arial"/>
                <w:sz w:val="18"/>
                <w:szCs w:val="18"/>
                <w:color w:val="auto"/>
              </w:rPr>
              <w:t>635</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Other</w:t>
            </w: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(54)</w:t>
            </w:r>
          </w:p>
        </w:tc>
        <w:tc>
          <w:tcPr>
            <w:tcW w:w="10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Net income for the period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11,330</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11,330</w:t>
            </w:r>
          </w:p>
        </w:tc>
        <w:tc>
          <w:tcPr>
            <w:tcW w:w="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109</w:t>
            </w:r>
          </w:p>
        </w:tc>
        <w:tc>
          <w:tcPr>
            <w:tcW w:w="1000" w:type="dxa"/>
            <w:vAlign w:val="bottom"/>
          </w:tcPr>
          <w:p>
            <w:pPr>
              <w:jc w:val="right"/>
              <w:spacing w:after="0"/>
              <w:rPr>
                <w:sz w:val="20"/>
                <w:szCs w:val="20"/>
                <w:color w:val="auto"/>
              </w:rPr>
            </w:pPr>
            <w:r>
              <w:rPr>
                <w:rFonts w:ascii="Arial" w:cs="Arial" w:eastAsia="Arial" w:hAnsi="Arial"/>
                <w:sz w:val="18"/>
                <w:szCs w:val="18"/>
                <w:color w:val="auto"/>
              </w:rPr>
              <w:t>11,439</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Dividends - common shares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(9,712)</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(9,712)</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(139)</w:t>
            </w:r>
          </w:p>
        </w:tc>
        <w:tc>
          <w:tcPr>
            <w:tcW w:w="1000" w:type="dxa"/>
            <w:vAlign w:val="bottom"/>
          </w:tcPr>
          <w:p>
            <w:pPr>
              <w:jc w:val="right"/>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Other comprehensive income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5,588</w:t>
            </w:r>
          </w:p>
        </w:tc>
        <w:tc>
          <w:tcPr>
            <w:tcW w:w="30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5,588</w:t>
            </w:r>
          </w:p>
        </w:tc>
        <w:tc>
          <w:tcPr>
            <w:tcW w:w="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591</w:t>
            </w:r>
          </w:p>
        </w:tc>
        <w:tc>
          <w:tcPr>
            <w:tcW w:w="1000" w:type="dxa"/>
            <w:vAlign w:val="bottom"/>
          </w:tcPr>
          <w:p>
            <w:pPr>
              <w:jc w:val="right"/>
              <w:spacing w:after="0"/>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Acquisitions, at cost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(596)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(90)</w:t>
            </w:r>
          </w:p>
        </w:tc>
        <w:tc>
          <w:tcPr>
            <w:tcW w:w="1000" w:type="dxa"/>
            <w:vAlign w:val="bottom"/>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Issued for acquisitions</w:t>
            </w:r>
          </w:p>
        </w:tc>
        <w:tc>
          <w:tcPr>
            <w:tcW w:w="1180" w:type="dxa"/>
            <w:vAlign w:val="bottom"/>
          </w:tcPr>
          <w:p>
            <w:pPr>
              <w:jc w:val="right"/>
              <w:spacing w:after="0"/>
              <w:rPr>
                <w:sz w:val="20"/>
                <w:szCs w:val="20"/>
                <w:color w:val="auto"/>
              </w:rPr>
            </w:pPr>
            <w:r>
              <w:rPr>
                <w:rFonts w:ascii="Arial" w:cs="Arial" w:eastAsia="Arial" w:hAnsi="Arial"/>
                <w:sz w:val="18"/>
                <w:szCs w:val="18"/>
                <w:color w:val="auto"/>
              </w:rPr>
              <w:t>2,078</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5,711</w:t>
            </w:r>
          </w:p>
        </w:tc>
        <w:tc>
          <w:tcPr>
            <w:tcW w:w="1020" w:type="dxa"/>
            <w:vAlign w:val="bottom"/>
          </w:tcPr>
          <w:p>
            <w:pPr>
              <w:jc w:val="right"/>
              <w:spacing w:after="0"/>
              <w:rPr>
                <w:sz w:val="20"/>
                <w:szCs w:val="20"/>
                <w:color w:val="auto"/>
              </w:rPr>
            </w:pPr>
            <w:r>
              <w:rPr>
                <w:rFonts w:ascii="Arial" w:cs="Arial" w:eastAsia="Arial" w:hAnsi="Arial"/>
                <w:sz w:val="18"/>
                <w:szCs w:val="18"/>
                <w:color w:val="auto"/>
              </w:rPr>
              <w:t>7,789</w:t>
            </w:r>
          </w:p>
        </w:tc>
        <w:tc>
          <w:tcPr>
            <w:tcW w:w="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7,789</w:t>
            </w:r>
          </w:p>
        </w:tc>
        <w:tc>
          <w:tcPr>
            <w:tcW w:w="0" w:type="dxa"/>
            <w:vAlign w:val="bottom"/>
          </w:tcPr>
          <w:p>
            <w:pPr>
              <w:spacing w:after="0"/>
              <w:rPr>
                <w:sz w:val="1"/>
                <w:szCs w:val="1"/>
                <w:color w:val="auto"/>
              </w:rPr>
            </w:pPr>
          </w:p>
        </w:tc>
      </w:tr>
      <w:tr>
        <w:trPr>
          <w:trHeight w:val="230"/>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Dispositions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3340" w:type="dxa"/>
            <w:vAlign w:val="bottom"/>
            <w:gridSpan w:val="3"/>
          </w:tcPr>
          <w:p>
            <w:pPr>
              <w:spacing w:after="0"/>
              <w:rPr>
                <w:sz w:val="20"/>
                <w:szCs w:val="20"/>
                <w:color w:val="auto"/>
              </w:rPr>
            </w:pPr>
            <w:r>
              <w:rPr>
                <w:rFonts w:ascii="Arial" w:cs="Arial" w:eastAsia="Arial" w:hAnsi="Arial"/>
                <w:sz w:val="18"/>
                <w:szCs w:val="18"/>
                <w:color w:val="auto"/>
              </w:rPr>
              <w:t>Balance as of September 30, 2017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14,783</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409,449</w:t>
            </w:r>
          </w:p>
        </w:tc>
        <w:tc>
          <w:tcPr>
            <w:tcW w:w="13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(16,651)</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(225,305)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182,276</w:t>
            </w:r>
          </w:p>
        </w:tc>
        <w:tc>
          <w:tcPr>
            <w:tcW w:w="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6,922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189,198</w:t>
            </w:r>
          </w:p>
        </w:tc>
        <w:tc>
          <w:tcPr>
            <w:tcW w:w="0" w:type="dxa"/>
            <w:vAlign w:val="bottom"/>
          </w:tcPr>
          <w:p>
            <w:pPr>
              <w:spacing w:after="0"/>
              <w:rPr>
                <w:sz w:val="1"/>
                <w:szCs w:val="1"/>
                <w:color w:val="auto"/>
              </w:rPr>
            </w:pPr>
          </w:p>
        </w:tc>
      </w:tr>
      <w:tr>
        <w:trPr>
          <w:trHeight w:val="411"/>
        </w:trPr>
        <w:tc>
          <w:tcPr>
            <w:tcW w:w="3340" w:type="dxa"/>
            <w:vAlign w:val="bottom"/>
            <w:gridSpan w:val="3"/>
          </w:tcPr>
          <w:p>
            <w:pPr>
              <w:spacing w:after="0"/>
              <w:rPr>
                <w:sz w:val="20"/>
                <w:szCs w:val="20"/>
                <w:color w:val="auto"/>
              </w:rPr>
            </w:pPr>
            <w:r>
              <w:rPr>
                <w:rFonts w:ascii="Arial" w:cs="Arial" w:eastAsia="Arial" w:hAnsi="Arial"/>
                <w:sz w:val="18"/>
                <w:szCs w:val="18"/>
                <w:color w:val="auto"/>
              </w:rPr>
              <w:t>Balance as of December 31, 2017</w:t>
            </w:r>
          </w:p>
        </w:tc>
        <w:tc>
          <w:tcPr>
            <w:tcW w:w="1180" w:type="dxa"/>
            <w:vAlign w:val="bottom"/>
          </w:tcPr>
          <w:p>
            <w:pPr>
              <w:jc w:val="right"/>
              <w:spacing w:after="0"/>
              <w:rPr>
                <w:sz w:val="20"/>
                <w:szCs w:val="20"/>
                <w:color w:val="auto"/>
              </w:rPr>
            </w:pPr>
            <w:r>
              <w:rPr>
                <w:rFonts w:ascii="Arial" w:cs="Arial" w:eastAsia="Arial" w:hAnsi="Arial"/>
                <w:sz w:val="18"/>
                <w:szCs w:val="18"/>
                <w:color w:val="auto"/>
              </w:rPr>
              <w:t>14,656</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414,540</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(16,262)</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(225,246)</w:t>
            </w:r>
          </w:p>
        </w:tc>
        <w:tc>
          <w:tcPr>
            <w:tcW w:w="1020" w:type="dxa"/>
            <w:vAlign w:val="bottom"/>
          </w:tcPr>
          <w:p>
            <w:pPr>
              <w:jc w:val="right"/>
              <w:spacing w:after="0"/>
              <w:rPr>
                <w:sz w:val="20"/>
                <w:szCs w:val="20"/>
                <w:color w:val="auto"/>
              </w:rPr>
            </w:pPr>
            <w:r>
              <w:rPr>
                <w:rFonts w:ascii="Arial" w:cs="Arial" w:eastAsia="Arial" w:hAnsi="Arial"/>
                <w:sz w:val="18"/>
                <w:szCs w:val="18"/>
                <w:color w:val="auto"/>
              </w:rPr>
              <w:t>187,688</w:t>
            </w:r>
          </w:p>
        </w:tc>
        <w:tc>
          <w:tcPr>
            <w:tcW w:w="60" w:type="dxa"/>
            <w:vAlign w:val="bottom"/>
          </w:tcPr>
          <w:p>
            <w:pPr>
              <w:spacing w:after="0"/>
              <w:rPr>
                <w:sz w:val="24"/>
                <w:szCs w:val="24"/>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6,812</w:t>
            </w:r>
          </w:p>
        </w:tc>
        <w:tc>
          <w:tcPr>
            <w:tcW w:w="1000" w:type="dxa"/>
            <w:vAlign w:val="bottom"/>
          </w:tcPr>
          <w:p>
            <w:pPr>
              <w:jc w:val="right"/>
              <w:spacing w:after="0"/>
              <w:rPr>
                <w:sz w:val="20"/>
                <w:szCs w:val="20"/>
                <w:color w:val="auto"/>
              </w:rPr>
            </w:pPr>
            <w:r>
              <w:rPr>
                <w:rFonts w:ascii="Arial" w:cs="Arial" w:eastAsia="Arial" w:hAnsi="Arial"/>
                <w:sz w:val="18"/>
                <w:szCs w:val="18"/>
                <w:color w:val="auto"/>
              </w:rPr>
              <w:t>194,500</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Amortization of stock-based awards</w:t>
            </w:r>
          </w:p>
        </w:tc>
        <w:tc>
          <w:tcPr>
            <w:tcW w:w="1180" w:type="dxa"/>
            <w:vAlign w:val="bottom"/>
          </w:tcPr>
          <w:p>
            <w:pPr>
              <w:jc w:val="right"/>
              <w:spacing w:after="0"/>
              <w:rPr>
                <w:sz w:val="20"/>
                <w:szCs w:val="20"/>
                <w:color w:val="auto"/>
              </w:rPr>
            </w:pPr>
            <w:r>
              <w:rPr>
                <w:rFonts w:ascii="Arial" w:cs="Arial" w:eastAsia="Arial" w:hAnsi="Arial"/>
                <w:sz w:val="18"/>
                <w:szCs w:val="18"/>
                <w:color w:val="auto"/>
              </w:rPr>
              <w:t>605</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605</w:t>
            </w:r>
          </w:p>
        </w:tc>
        <w:tc>
          <w:tcPr>
            <w:tcW w:w="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Other</w:t>
            </w: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Net income for the period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14,840</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14,840</w:t>
            </w:r>
          </w:p>
        </w:tc>
        <w:tc>
          <w:tcPr>
            <w:tcW w:w="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375</w:t>
            </w:r>
          </w:p>
        </w:tc>
        <w:tc>
          <w:tcPr>
            <w:tcW w:w="1000" w:type="dxa"/>
            <w:vAlign w:val="bottom"/>
          </w:tcPr>
          <w:p>
            <w:pPr>
              <w:jc w:val="right"/>
              <w:spacing w:after="0"/>
              <w:rPr>
                <w:sz w:val="20"/>
                <w:szCs w:val="20"/>
                <w:color w:val="auto"/>
              </w:rPr>
            </w:pPr>
            <w:r>
              <w:rPr>
                <w:rFonts w:ascii="Arial" w:cs="Arial" w:eastAsia="Arial" w:hAnsi="Arial"/>
                <w:sz w:val="18"/>
                <w:szCs w:val="18"/>
                <w:color w:val="auto"/>
              </w:rPr>
              <w:t>15,215</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Dividends - common shares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(10,296)</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(10,296)</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(192)</w:t>
            </w:r>
          </w:p>
        </w:tc>
        <w:tc>
          <w:tcPr>
            <w:tcW w:w="1000" w:type="dxa"/>
            <w:vAlign w:val="bottom"/>
          </w:tcPr>
          <w:p>
            <w:pPr>
              <w:jc w:val="right"/>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Cumulative effect of accounting</w:t>
            </w: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100" w:type="dxa"/>
            <w:vAlign w:val="bottom"/>
            <w:gridSpan w:val="2"/>
          </w:tcPr>
          <w:p>
            <w:pPr>
              <w:ind w:left="340"/>
              <w:spacing w:after="0"/>
              <w:rPr>
                <w:sz w:val="20"/>
                <w:szCs w:val="20"/>
                <w:color w:val="auto"/>
              </w:rPr>
            </w:pPr>
            <w:r>
              <w:rPr>
                <w:rFonts w:ascii="Arial" w:cs="Arial" w:eastAsia="Arial" w:hAnsi="Arial"/>
                <w:sz w:val="18"/>
                <w:szCs w:val="18"/>
                <w:color w:val="auto"/>
              </w:rPr>
              <w:t>change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71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Other comprehensive income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(2,069)</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(2,069)</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(170)</w:t>
            </w:r>
          </w:p>
        </w:tc>
        <w:tc>
          <w:tcPr>
            <w:tcW w:w="1000" w:type="dxa"/>
            <w:vAlign w:val="bottom"/>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Acquisitions, at cost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(430)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(366)</w:t>
            </w:r>
          </w:p>
        </w:tc>
        <w:tc>
          <w:tcPr>
            <w:tcW w:w="1000" w:type="dxa"/>
            <w:vAlign w:val="bottom"/>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30"/>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Dispositions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3340" w:type="dxa"/>
            <w:vAlign w:val="bottom"/>
            <w:gridSpan w:val="3"/>
          </w:tcPr>
          <w:p>
            <w:pPr>
              <w:spacing w:after="0"/>
              <w:rPr>
                <w:sz w:val="20"/>
                <w:szCs w:val="20"/>
                <w:color w:val="auto"/>
              </w:rPr>
            </w:pPr>
            <w:r>
              <w:rPr>
                <w:rFonts w:ascii="Arial" w:cs="Arial" w:eastAsia="Arial" w:hAnsi="Arial"/>
                <w:sz w:val="18"/>
                <w:szCs w:val="18"/>
                <w:color w:val="auto"/>
              </w:rPr>
              <w:t>Balance as of September 30, 2018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15,254</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419,155</w:t>
            </w:r>
          </w:p>
        </w:tc>
        <w:tc>
          <w:tcPr>
            <w:tcW w:w="13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(18,370)</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(225,674)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190,365</w:t>
            </w:r>
          </w:p>
        </w:tc>
        <w:tc>
          <w:tcPr>
            <w:tcW w:w="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6,466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196,831</w:t>
            </w:r>
          </w:p>
        </w:tc>
        <w:tc>
          <w:tcPr>
            <w:tcW w:w="0" w:type="dxa"/>
            <w:vAlign w:val="bottom"/>
          </w:tcPr>
          <w:p>
            <w:pPr>
              <w:spacing w:after="0"/>
              <w:rPr>
                <w:sz w:val="1"/>
                <w:szCs w:val="1"/>
                <w:color w:val="auto"/>
              </w:rPr>
            </w:pPr>
          </w:p>
        </w:tc>
      </w:tr>
      <w:tr>
        <w:trPr>
          <w:trHeight w:val="832"/>
        </w:trPr>
        <w:tc>
          <w:tcPr>
            <w:tcW w:w="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80" w:type="dxa"/>
            <w:vAlign w:val="bottom"/>
            <w:gridSpan w:val="4"/>
          </w:tcPr>
          <w:p>
            <w:pPr>
              <w:ind w:left="500"/>
              <w:spacing w:after="0"/>
              <w:rPr>
                <w:sz w:val="20"/>
                <w:szCs w:val="20"/>
                <w:color w:val="auto"/>
              </w:rPr>
            </w:pPr>
            <w:r>
              <w:rPr>
                <w:rFonts w:ascii="Arial" w:cs="Arial" w:eastAsia="Arial" w:hAnsi="Arial"/>
                <w:sz w:val="14"/>
                <w:szCs w:val="14"/>
                <w:b w:val="1"/>
                <w:bCs w:val="1"/>
                <w:color w:val="auto"/>
              </w:rPr>
              <w:t>Nine Months Ended September 30, 2018</w:t>
            </w:r>
          </w:p>
        </w:tc>
        <w:tc>
          <w:tcPr>
            <w:tcW w:w="920" w:type="dxa"/>
            <w:vAlign w:val="bottom"/>
          </w:tcPr>
          <w:p>
            <w:pPr>
              <w:spacing w:after="0"/>
              <w:rPr>
                <w:sz w:val="24"/>
                <w:szCs w:val="24"/>
                <w:color w:val="auto"/>
              </w:rPr>
            </w:pPr>
          </w:p>
        </w:tc>
        <w:tc>
          <w:tcPr>
            <w:tcW w:w="3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Nine Months Ended September 30, 2017</w:t>
            </w: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4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Common Stock Share Activity</w:t>
            </w:r>
          </w:p>
        </w:tc>
        <w:tc>
          <w:tcPr>
            <w:tcW w:w="11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Held in</w:t>
            </w: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Held in</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40" w:type="dxa"/>
            <w:vAlign w:val="bottom"/>
            <w:gridSpan w:val="3"/>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920" w:type="dxa"/>
            <w:vAlign w:val="bottom"/>
          </w:tcPr>
          <w:p>
            <w:pPr>
              <w:spacing w:after="0"/>
              <w:rPr>
                <w:sz w:val="16"/>
                <w:szCs w:val="16"/>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Issued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jc w:val="right"/>
              <w:ind w:right="53"/>
              <w:spacing w:after="0"/>
              <w:rPr>
                <w:sz w:val="20"/>
                <w:szCs w:val="20"/>
                <w:color w:val="auto"/>
              </w:rPr>
            </w:pPr>
            <w:r>
              <w:rPr>
                <w:rFonts w:ascii="Arial" w:cs="Arial" w:eastAsia="Arial" w:hAnsi="Arial"/>
                <w:sz w:val="14"/>
                <w:szCs w:val="14"/>
                <w:i w:val="1"/>
                <w:iCs w:val="1"/>
                <w:color w:val="auto"/>
                <w:w w:val="93"/>
              </w:rPr>
              <w:t>(millions of shares)</w:t>
            </w: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i w:val="1"/>
                <w:iCs w:val="1"/>
                <w:color w:val="auto"/>
                <w:w w:val="93"/>
              </w:rPr>
              <w:t>(millions of shares)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Balance as of December 31</w:t>
            </w:r>
          </w:p>
        </w:tc>
        <w:tc>
          <w:tcPr>
            <w:tcW w:w="1180" w:type="dxa"/>
            <w:vAlign w:val="bottom"/>
          </w:tcPr>
          <w:p>
            <w:pPr>
              <w:jc w:val="right"/>
              <w:spacing w:after="0"/>
              <w:rPr>
                <w:sz w:val="20"/>
                <w:szCs w:val="20"/>
                <w:color w:val="auto"/>
              </w:rPr>
            </w:pPr>
            <w:r>
              <w:rPr>
                <w:rFonts w:ascii="Arial" w:cs="Arial" w:eastAsia="Arial" w:hAnsi="Arial"/>
                <w:sz w:val="18"/>
                <w:szCs w:val="18"/>
                <w:color w:val="auto"/>
              </w:rPr>
              <w:t>8,019</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(3,780)</w:t>
            </w:r>
          </w:p>
        </w:tc>
        <w:tc>
          <w:tcPr>
            <w:tcW w:w="1040" w:type="dxa"/>
            <w:vAlign w:val="bottom"/>
          </w:tcPr>
          <w:p>
            <w:pPr>
              <w:jc w:val="right"/>
              <w:spacing w:after="0"/>
              <w:rPr>
                <w:sz w:val="20"/>
                <w:szCs w:val="20"/>
                <w:color w:val="auto"/>
              </w:rPr>
            </w:pPr>
            <w:r>
              <w:rPr>
                <w:rFonts w:ascii="Arial" w:cs="Arial" w:eastAsia="Arial" w:hAnsi="Arial"/>
                <w:sz w:val="18"/>
                <w:szCs w:val="18"/>
                <w:color w:val="auto"/>
              </w:rPr>
              <w:t>4,239</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8,019</w:t>
            </w:r>
          </w:p>
        </w:tc>
        <w:tc>
          <w:tcPr>
            <w:tcW w:w="60" w:type="dxa"/>
            <w:vAlign w:val="bottom"/>
          </w:tcPr>
          <w:p>
            <w:pPr>
              <w:spacing w:after="0"/>
              <w:rPr>
                <w:sz w:val="24"/>
                <w:szCs w:val="24"/>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(3,871)</w:t>
            </w:r>
          </w:p>
        </w:tc>
        <w:tc>
          <w:tcPr>
            <w:tcW w:w="1000" w:type="dxa"/>
            <w:vAlign w:val="bottom"/>
          </w:tcPr>
          <w:p>
            <w:pPr>
              <w:jc w:val="right"/>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100" w:type="dxa"/>
            <w:vAlign w:val="bottom"/>
            <w:gridSpan w:val="2"/>
          </w:tcPr>
          <w:p>
            <w:pPr>
              <w:ind w:left="340"/>
              <w:spacing w:after="0"/>
              <w:rPr>
                <w:sz w:val="20"/>
                <w:szCs w:val="20"/>
                <w:color w:val="auto"/>
              </w:rPr>
            </w:pPr>
            <w:r>
              <w:rPr>
                <w:rFonts w:ascii="Arial" w:cs="Arial" w:eastAsia="Arial" w:hAnsi="Arial"/>
                <w:sz w:val="18"/>
                <w:szCs w:val="18"/>
                <w:color w:val="auto"/>
              </w:rPr>
              <w:t>Acquisitions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100" w:type="dxa"/>
            <w:vAlign w:val="bottom"/>
            <w:gridSpan w:val="2"/>
          </w:tcPr>
          <w:p>
            <w:pPr>
              <w:ind w:left="340"/>
              <w:spacing w:after="0"/>
              <w:rPr>
                <w:sz w:val="20"/>
                <w:szCs w:val="20"/>
                <w:color w:val="auto"/>
              </w:rPr>
            </w:pPr>
            <w:r>
              <w:rPr>
                <w:rFonts w:ascii="Arial" w:cs="Arial" w:eastAsia="Arial" w:hAnsi="Arial"/>
                <w:sz w:val="18"/>
                <w:szCs w:val="18"/>
                <w:color w:val="auto"/>
              </w:rPr>
              <w:t>Issued for acquisitions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96</w:t>
            </w: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3100" w:type="dxa"/>
            <w:vAlign w:val="bottom"/>
            <w:gridSpan w:val="2"/>
          </w:tcPr>
          <w:p>
            <w:pPr>
              <w:ind w:left="340"/>
              <w:spacing w:after="0"/>
              <w:rPr>
                <w:sz w:val="20"/>
                <w:szCs w:val="20"/>
                <w:color w:val="auto"/>
              </w:rPr>
            </w:pPr>
            <w:r>
              <w:rPr>
                <w:rFonts w:ascii="Arial" w:cs="Arial" w:eastAsia="Arial" w:hAnsi="Arial"/>
                <w:sz w:val="18"/>
                <w:szCs w:val="18"/>
                <w:color w:val="auto"/>
              </w:rPr>
              <w:t>Dispositions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40" w:type="dxa"/>
            <w:vAlign w:val="bottom"/>
            <w:gridSpan w:val="3"/>
          </w:tcPr>
          <w:p>
            <w:pPr>
              <w:ind w:left="240"/>
              <w:spacing w:after="0"/>
              <w:rPr>
                <w:sz w:val="20"/>
                <w:szCs w:val="20"/>
                <w:color w:val="auto"/>
              </w:rPr>
            </w:pPr>
            <w:r>
              <w:rPr>
                <w:rFonts w:ascii="Arial" w:cs="Arial" w:eastAsia="Arial" w:hAnsi="Arial"/>
                <w:sz w:val="18"/>
                <w:szCs w:val="18"/>
                <w:color w:val="auto"/>
              </w:rPr>
              <w:t>Balance as of September 30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(3,785)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w:t>
            </w:r>
          </w:p>
        </w:tc>
        <w:tc>
          <w:tcPr>
            <w:tcW w:w="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(3,782)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Condensed Consolidated Financial Statements is an integral part of these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7" w:name="page8"/>
    <w:bookmarkEnd w:id="7"/>
    <w:p>
      <w:pPr>
        <w:ind w:left="4360"/>
        <w:spacing w:after="0"/>
        <w:rPr>
          <w:sz w:val="20"/>
          <w:szCs w:val="20"/>
          <w:color w:val="auto"/>
        </w:rPr>
      </w:pPr>
      <w:r>
        <w:rPr>
          <w:rFonts w:ascii="Arial" w:cs="Arial" w:eastAsia="Arial" w:hAnsi="Arial"/>
          <w:sz w:val="18"/>
          <w:szCs w:val="18"/>
          <w:b w:val="1"/>
          <w:bCs w:val="1"/>
          <w:color w:val="auto"/>
        </w:rPr>
        <w:t>EXXON MOBIL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Financial Statement Preparation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unaudited condensed consolidated financial statements should be read in the context of the consolidated financial statements and notes thereto filed with the Securities and Exchange Commission in the Corporation's 2017 Annual Report on Form 10-K. In the opinion of the Corporation, the information furnished herein reflects all known accruals and adjustments necessary for a fair statement of the results for the periods reported herein. All such adjustments are of a normal recurring nature. Prior data has been reclassified in certain cases to conform to the current presentation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Corporation's exploration and production activities are accounted for under the "successful efforts" method.</w:t>
      </w:r>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Changes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Effective January 1, 2018, ExxonMobil adopted the Financial Accounting Standards Board’s standard,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 amended. The standard establishes a single revenue recognition model for all contracts with customers, eliminates industry and transaction specific requirements, and expands disclosure requirements. The standard was adopted using the Modified Retrospective method, under which prior year results are not restated, but supplemental information is provided for any material impacts of the standard on 2018 results. The adoption of the standard did not have a material impact on any of the lines reported in the Corporation’s financial statements. The cumulative effect of adoption of the standard was de minimis. The Corporation did not elect any practical expedients that require disclosure. See Note 9.</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Effective January 1, 2018, ExxonMobil adopted the Financial Accounting Standards Board’s Update,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The standard requires investments in equity securities other than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and equity method investments to be measured at fair value with changes in the fair value recognized through net income. The Corporation elected a modified approach for equity securities that do not have a readily determinable fair value. This modified approach measures investments at cost minus impairment, if any, plus or minus changes resulting from observable price changes in orderly transactions for the identical or a similar investment of the same issuer. The cumulative effect adjustment related to the adoption of this standard increased equity $47 million. The portion of unrealized gains and losses recognized during the reporting period on equity securities still held at September 30, 2018 and the carrying value of equity securities without readily determinable fair values at September 30, 2018 were not significant to the Corporation. The standard also expanded disclosures related to financial instruments. See Note 7.</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Effective January 1, 2018, ExxonMobil adopted the Financial Accounting Standards Board’s Update, </w:t>
      </w:r>
      <w:r>
        <w:rPr>
          <w:rFonts w:ascii="Arial" w:cs="Arial" w:eastAsia="Arial" w:hAnsi="Arial"/>
          <w:sz w:val="16"/>
          <w:szCs w:val="16"/>
          <w:i w:val="1"/>
          <w:iCs w:val="1"/>
          <w:color w:val="auto"/>
        </w:rPr>
        <w:t>Compensation – Retirement Benefits (Topic 715):</w:t>
      </w:r>
      <w:r>
        <w:rPr>
          <w:rFonts w:ascii="Arial" w:cs="Arial" w:eastAsia="Arial" w:hAnsi="Arial"/>
          <w:sz w:val="16"/>
          <w:szCs w:val="16"/>
          <w:color w:val="auto"/>
        </w:rPr>
        <w:t xml:space="preserve"> </w:t>
      </w:r>
      <w:r>
        <w:rPr>
          <w:rFonts w:ascii="Arial" w:cs="Arial" w:eastAsia="Arial" w:hAnsi="Arial"/>
          <w:sz w:val="16"/>
          <w:szCs w:val="16"/>
          <w:i w:val="1"/>
          <w:iCs w:val="1"/>
          <w:color w:val="auto"/>
        </w:rPr>
        <w:t>Improving the Presentation of Net Periodic Pension Cost and Net Periodic Postretirement Benefit Cost</w:t>
      </w:r>
      <w:r>
        <w:rPr>
          <w:rFonts w:ascii="Arial" w:cs="Arial" w:eastAsia="Arial" w:hAnsi="Arial"/>
          <w:sz w:val="16"/>
          <w:szCs w:val="16"/>
          <w:color w:val="auto"/>
        </w:rPr>
        <w:t>. The update requires separate presentation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cost component from other components of net benefit costs. The other components are reported in a new line on the Corporation’s Statement of Income, “Non-service pension and postretirement benefit expense.” The Corporation elected to use the practical expedient which uses the amounts disclosed in the pension and other postretirement benefit plan note for the prior comparative periods as the estimation basis for applying the retrospective presentation requirements, as it is impracticable to determine the amounts capitalized in those periods. Beginning in 2018, the other components of net benefit costs are included in the Corporate and financing segment. The estimated after-tax impact from the change in segmentation is an increase in Corporate and financing expenses of about $100 million for the third quarter and $300 million for the first nine months of 2018. The increase in the Corporate and financing expenses is offset by lower expenses across the operating segments. Additionally, only the service cost component of net benefit costs is eligible for capitalization in situations where it is otherwise appropriate to capitalize employee costs in connection with the construction or production of an asset.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8" w:name="page9"/>
    <w:bookmarkEnd w:id="8"/>
    <w:p>
      <w:pPr>
        <w:jc w:val="both"/>
        <w:spacing w:after="0" w:line="269" w:lineRule="auto"/>
        <w:rPr>
          <w:sz w:val="20"/>
          <w:szCs w:val="20"/>
          <w:color w:val="auto"/>
        </w:rPr>
      </w:pPr>
      <w:r>
        <w:rPr>
          <w:rFonts w:ascii="Arial" w:cs="Arial" w:eastAsia="Arial" w:hAnsi="Arial"/>
          <w:sz w:val="18"/>
          <w:szCs w:val="18"/>
          <w:color w:val="auto"/>
        </w:rPr>
        <w:t>The impact of the retrospective presentation change on ExxonMobil's Consolidated Statement of Income for the three months and nine months ended September 30, 2017, is shown below.</w:t>
      </w:r>
    </w:p>
    <w:tbl>
      <w:tblPr>
        <w:tblLayout w:type="fixed"/>
        <w:tblInd w:w="4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840" w:type="dxa"/>
            <w:vAlign w:val="bottom"/>
          </w:tcPr>
          <w:p>
            <w:pPr>
              <w:spacing w:after="0"/>
              <w:rPr>
                <w:sz w:val="16"/>
                <w:szCs w:val="16"/>
                <w:color w:val="auto"/>
              </w:rPr>
            </w:pPr>
          </w:p>
        </w:tc>
      </w:tr>
      <w:tr>
        <w:trPr>
          <w:trHeight w:val="230"/>
        </w:trPr>
        <w:tc>
          <w:tcPr>
            <w:tcW w:w="4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840" w:type="dxa"/>
            <w:vAlign w:val="bottom"/>
          </w:tcPr>
          <w:p>
            <w:pPr>
              <w:spacing w:after="0"/>
              <w:rPr>
                <w:sz w:val="19"/>
                <w:szCs w:val="19"/>
                <w:color w:val="auto"/>
              </w:rPr>
            </w:pPr>
          </w:p>
        </w:tc>
      </w:tr>
      <w:tr>
        <w:trPr>
          <w:trHeight w:val="26"/>
        </w:trPr>
        <w:tc>
          <w:tcPr>
            <w:tcW w:w="4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06"/>
        </w:trPr>
        <w:tc>
          <w:tcPr>
            <w:tcW w:w="48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As Reported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Adjusted</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8"/>
              </w:rPr>
              <w:t>As Reported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0"/>
              </w:rPr>
              <w:t>As Adjusted</w:t>
            </w:r>
          </w:p>
        </w:tc>
      </w:tr>
      <w:tr>
        <w:trPr>
          <w:trHeight w:val="134"/>
        </w:trPr>
        <w:tc>
          <w:tcPr>
            <w:tcW w:w="48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84"/>
        </w:trPr>
        <w:tc>
          <w:tcPr>
            <w:tcW w:w="4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20" w:type="dxa"/>
            <w:vAlign w:val="bottom"/>
            <w:gridSpan w:val="3"/>
          </w:tcPr>
          <w:p>
            <w:pPr>
              <w:jc w:val="right"/>
              <w:ind w:right="514"/>
              <w:spacing w:after="0"/>
              <w:rPr>
                <w:sz w:val="20"/>
                <w:szCs w:val="20"/>
                <w:color w:val="auto"/>
              </w:rPr>
            </w:pPr>
            <w:r>
              <w:rPr>
                <w:rFonts w:ascii="Arial" w:cs="Arial" w:eastAsia="Arial" w:hAnsi="Arial"/>
                <w:sz w:val="14"/>
                <w:szCs w:val="14"/>
                <w:i w:val="1"/>
                <w:iCs w:val="1"/>
                <w:color w:val="auto"/>
              </w:rPr>
              <w:t>(millions of dollars)</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84"/>
        </w:trPr>
        <w:tc>
          <w:tcPr>
            <w:tcW w:w="4880" w:type="dxa"/>
            <w:vAlign w:val="bottom"/>
          </w:tcPr>
          <w:p>
            <w:pPr>
              <w:spacing w:after="0"/>
              <w:rPr>
                <w:sz w:val="20"/>
                <w:szCs w:val="20"/>
                <w:color w:val="auto"/>
              </w:rPr>
            </w:pPr>
            <w:r>
              <w:rPr>
                <w:rFonts w:ascii="Arial" w:cs="Arial" w:eastAsia="Arial" w:hAnsi="Arial"/>
                <w:sz w:val="18"/>
                <w:szCs w:val="18"/>
                <w:color w:val="auto"/>
              </w:rPr>
              <w:t>Production and manufacturing expenses</w:t>
            </w:r>
          </w:p>
        </w:tc>
        <w:tc>
          <w:tcPr>
            <w:tcW w:w="980" w:type="dxa"/>
            <w:vAlign w:val="bottom"/>
          </w:tcPr>
          <w:p>
            <w:pPr>
              <w:jc w:val="right"/>
              <w:spacing w:after="0"/>
              <w:rPr>
                <w:sz w:val="20"/>
                <w:szCs w:val="20"/>
                <w:color w:val="auto"/>
              </w:rPr>
            </w:pPr>
            <w:r>
              <w:rPr>
                <w:rFonts w:ascii="Arial" w:cs="Arial" w:eastAsia="Arial" w:hAnsi="Arial"/>
                <w:sz w:val="18"/>
                <w:szCs w:val="18"/>
                <w:color w:val="auto"/>
              </w:rPr>
              <w:t>8,334</w:t>
            </w:r>
          </w:p>
        </w:tc>
        <w:tc>
          <w:tcPr>
            <w:tcW w:w="1420" w:type="dxa"/>
            <w:vAlign w:val="bottom"/>
          </w:tcPr>
          <w:p>
            <w:pPr>
              <w:jc w:val="right"/>
              <w:ind w:right="159"/>
              <w:spacing w:after="0"/>
              <w:rPr>
                <w:sz w:val="20"/>
                <w:szCs w:val="20"/>
                <w:color w:val="auto"/>
              </w:rPr>
            </w:pPr>
            <w:r>
              <w:rPr>
                <w:rFonts w:ascii="Arial" w:cs="Arial" w:eastAsia="Arial" w:hAnsi="Arial"/>
                <w:sz w:val="18"/>
                <w:szCs w:val="18"/>
                <w:color w:val="auto"/>
              </w:rPr>
              <w:t>(382)</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7,952</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24,586</w:t>
            </w:r>
          </w:p>
        </w:tc>
        <w:tc>
          <w:tcPr>
            <w:tcW w:w="1240" w:type="dxa"/>
            <w:vAlign w:val="bottom"/>
          </w:tcPr>
          <w:p>
            <w:pPr>
              <w:jc w:val="right"/>
              <w:ind w:right="119"/>
              <w:spacing w:after="0"/>
              <w:rPr>
                <w:sz w:val="20"/>
                <w:szCs w:val="20"/>
                <w:color w:val="auto"/>
              </w:rPr>
            </w:pPr>
            <w:r>
              <w:rPr>
                <w:rFonts w:ascii="Arial" w:cs="Arial" w:eastAsia="Arial" w:hAnsi="Arial"/>
                <w:sz w:val="18"/>
                <w:szCs w:val="18"/>
                <w:color w:val="auto"/>
              </w:rPr>
              <w:t>(1,008)</w:t>
            </w:r>
          </w:p>
        </w:tc>
        <w:tc>
          <w:tcPr>
            <w:tcW w:w="840" w:type="dxa"/>
            <w:vAlign w:val="bottom"/>
          </w:tcPr>
          <w:p>
            <w:pPr>
              <w:jc w:val="right"/>
              <w:spacing w:after="0"/>
              <w:rPr>
                <w:sz w:val="20"/>
                <w:szCs w:val="20"/>
                <w:color w:val="auto"/>
              </w:rPr>
            </w:pPr>
            <w:r>
              <w:rPr>
                <w:rFonts w:ascii="Arial" w:cs="Arial" w:eastAsia="Arial" w:hAnsi="Arial"/>
                <w:sz w:val="18"/>
                <w:szCs w:val="18"/>
                <w:color w:val="auto"/>
              </w:rPr>
              <w:t>23,578</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tcPr>
          <w:p>
            <w:pPr>
              <w:jc w:val="right"/>
              <w:spacing w:after="0"/>
              <w:rPr>
                <w:sz w:val="20"/>
                <w:szCs w:val="20"/>
                <w:color w:val="auto"/>
              </w:rPr>
            </w:pPr>
            <w:r>
              <w:rPr>
                <w:rFonts w:ascii="Arial" w:cs="Arial" w:eastAsia="Arial" w:hAnsi="Arial"/>
                <w:sz w:val="18"/>
                <w:szCs w:val="18"/>
                <w:color w:val="auto"/>
              </w:rPr>
              <w:t>2,725</w:t>
            </w:r>
          </w:p>
        </w:tc>
        <w:tc>
          <w:tcPr>
            <w:tcW w:w="1420" w:type="dxa"/>
            <w:vAlign w:val="bottom"/>
          </w:tcPr>
          <w:p>
            <w:pPr>
              <w:jc w:val="right"/>
              <w:ind w:right="159"/>
              <w:spacing w:after="0"/>
              <w:rPr>
                <w:sz w:val="20"/>
                <w:szCs w:val="20"/>
                <w:color w:val="auto"/>
              </w:rPr>
            </w:pPr>
            <w:r>
              <w:rPr>
                <w:rFonts w:ascii="Arial" w:cs="Arial" w:eastAsia="Arial" w:hAnsi="Arial"/>
                <w:sz w:val="18"/>
                <w:szCs w:val="18"/>
                <w:color w:val="auto"/>
              </w:rPr>
              <w:t>(93)</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2,632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7,952</w:t>
            </w:r>
          </w:p>
        </w:tc>
        <w:tc>
          <w:tcPr>
            <w:tcW w:w="1240" w:type="dxa"/>
            <w:vAlign w:val="bottom"/>
          </w:tcPr>
          <w:p>
            <w:pPr>
              <w:jc w:val="right"/>
              <w:ind w:right="119"/>
              <w:spacing w:after="0"/>
              <w:rPr>
                <w:sz w:val="20"/>
                <w:szCs w:val="20"/>
                <w:color w:val="auto"/>
              </w:rPr>
            </w:pPr>
            <w:r>
              <w:rPr>
                <w:rFonts w:ascii="Arial" w:cs="Arial" w:eastAsia="Arial" w:hAnsi="Arial"/>
                <w:sz w:val="18"/>
                <w:szCs w:val="18"/>
                <w:color w:val="auto"/>
              </w:rPr>
              <w:t>(259)</w:t>
            </w:r>
          </w:p>
        </w:tc>
        <w:tc>
          <w:tcPr>
            <w:tcW w:w="840" w:type="dxa"/>
            <w:vAlign w:val="bottom"/>
          </w:tcPr>
          <w:p>
            <w:pPr>
              <w:jc w:val="right"/>
              <w:spacing w:after="0"/>
              <w:rPr>
                <w:sz w:val="20"/>
                <w:szCs w:val="20"/>
                <w:color w:val="auto"/>
              </w:rPr>
            </w:pPr>
            <w:r>
              <w:rPr>
                <w:rFonts w:ascii="Arial" w:cs="Arial" w:eastAsia="Arial" w:hAnsi="Arial"/>
                <w:sz w:val="18"/>
                <w:szCs w:val="18"/>
                <w:color w:val="auto"/>
              </w:rPr>
              <w:t>7,693</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Non-service pension and postretirement benefit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99"/>
              <w:spacing w:after="0"/>
              <w:rPr>
                <w:sz w:val="20"/>
                <w:szCs w:val="20"/>
                <w:color w:val="auto"/>
              </w:rPr>
            </w:pPr>
            <w:r>
              <w:rPr>
                <w:rFonts w:ascii="Arial" w:cs="Arial" w:eastAsia="Arial" w:hAnsi="Arial"/>
                <w:sz w:val="18"/>
                <w:szCs w:val="18"/>
                <w:color w:val="auto"/>
              </w:rPr>
              <w:t>475</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9"/>
              <w:spacing w:after="0"/>
              <w:rPr>
                <w:sz w:val="20"/>
                <w:szCs w:val="20"/>
                <w:color w:val="auto"/>
              </w:rPr>
            </w:pPr>
            <w:r>
              <w:rPr>
                <w:rFonts w:ascii="Arial" w:cs="Arial" w:eastAsia="Arial" w:hAnsi="Arial"/>
                <w:sz w:val="18"/>
                <w:szCs w:val="18"/>
                <w:color w:val="auto"/>
              </w:rPr>
              <w:t>1,267</w:t>
            </w:r>
          </w:p>
        </w:tc>
        <w:tc>
          <w:tcPr>
            <w:tcW w:w="840" w:type="dxa"/>
            <w:vAlign w:val="bottom"/>
          </w:tcPr>
          <w:p>
            <w:pPr>
              <w:jc w:val="right"/>
              <w:spacing w:after="0"/>
              <w:rPr>
                <w:sz w:val="20"/>
                <w:szCs w:val="20"/>
                <w:color w:val="auto"/>
              </w:rPr>
            </w:pPr>
            <w:r>
              <w:rPr>
                <w:rFonts w:ascii="Arial" w:cs="Arial" w:eastAsia="Arial" w:hAnsi="Arial"/>
                <w:sz w:val="18"/>
                <w:szCs w:val="18"/>
                <w:color w:val="auto"/>
              </w:rPr>
              <w:t>1,267</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Effective January 1, 2019, ExxonMobil will adopt the Financial Accounting Standards Board’s standard, </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 The standard requires all leases with an initial term greater than one year to be recorded on the balance sheet as a right of use asset and a lease liability. We expect to use a transition method that applies the new lease standard at January 1, 2019, and recognizes any cumulative-effect adjustments to the opening balance of 2019 retained earnings.</w:t>
      </w:r>
    </w:p>
    <w:p>
      <w:pPr>
        <w:spacing w:after="0" w:line="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Corporation acquired lease accounting software to facilitate implementation, and is currently configuring and testing the software. Based on leases outstanding at the end of 2017, the Corporation estimates the operating lease right of use asset and lease liability would have been in the range of $4 billion to $5 billion at that time. The effect on the Corporation’s balance sheet as a result of implementing the standard on January 1, 2019, could differ considerably depending on operating leases commenced in 2018 as well as interest rates and other factors such as the expiry or renewal of leases during the year.</w:t>
      </w:r>
    </w:p>
    <w:p>
      <w:pPr>
        <w:spacing w:after="0" w:line="137"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and Other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variety of claims have been made against ExxonMobil and certain of its consolidated subsidiaries in a number of pending lawsuits. Management has regular litigation reviews, including updates from corporate and outside counsel, to assess the need for accounting recognition or disclosure of these contingencies. The Corporation accrues an undiscounted liability for those contingencies where the incurrence of a loss is probable and the amount can be reasonably estimated. If a range of amounts can be reasonably estimated and no amount within the range is a better estimate than any other amount, then the minimum of the range is accrued. The Corporation does not record liabilities when the likelihood that the liability has been incurred is probable but the amount cannot be reasonably estimated or when the liability is believed to be only reasonably possible or remote. For contingencies where an unfavorable outcome is reasonably possible and which are significant, the Corporation discloses the nature of the contingency and, where feasible, an estimate of the possible loss. For purposes of our contingency disclosures, “significant” includes material matters, as well as other matters which management believes should be disclosed. ExxonMobil will continue to defend itself vigorously in these matters. Based on a consideration of all relevant facts and circumstances, the Corporation does not believe the ultimate outcome of any currently pending lawsuit against ExxonMobil will have a material adverse effect upon the Corporation's operations, financial condition, or financial statements taken as a whole.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Corporation and certain of its consolidated subsidiaries were contingently liable at September 30, 2018, for guarantees relating to notes, loans and performance under contracts. Where guarantees for environmental remediation and other similar matters do not include a stated cap, the amounts reflect management’s estimate of the maximum potential exposure. These guarantees are not reasonably likely to have a material effect on the Corporation’s financial condition, changes in financial condition, revenues or expenses, results of operations, liquidity, capital expenditures or capital resources.</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80" w:type="dxa"/>
            <w:vAlign w:val="bottom"/>
          </w:tcPr>
          <w:p>
            <w:pPr>
              <w:jc w:val="right"/>
              <w:ind w:right="381"/>
              <w:spacing w:after="0"/>
              <w:rPr>
                <w:sz w:val="20"/>
                <w:szCs w:val="20"/>
                <w:color w:val="auto"/>
              </w:rPr>
            </w:pPr>
            <w:r>
              <w:rPr>
                <w:rFonts w:ascii="Arial" w:cs="Arial" w:eastAsia="Arial" w:hAnsi="Arial"/>
                <w:sz w:val="14"/>
                <w:szCs w:val="14"/>
                <w:b w:val="1"/>
                <w:bCs w:val="1"/>
                <w:color w:val="auto"/>
              </w:rPr>
              <w:t>As of September 30, 2018</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150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Equity</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50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Company</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Third Party</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 xml:space="preserve">Obligations </w:t>
            </w:r>
            <w:r>
              <w:rPr>
                <w:rFonts w:ascii="Arial" w:cs="Arial" w:eastAsia="Arial" w:hAnsi="Arial"/>
                <w:sz w:val="14"/>
                <w:szCs w:val="14"/>
                <w:b w:val="1"/>
                <w:bCs w:val="1"/>
                <w:i w:val="1"/>
                <w:iCs w:val="1"/>
                <w:color w:val="auto"/>
                <w:w w:val="93"/>
              </w:rPr>
              <w:t>(1)</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Obligations</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vMerge w:val="restart"/>
          </w:tcPr>
          <w:p>
            <w:pPr>
              <w:spacing w:after="0"/>
              <w:rPr>
                <w:sz w:val="20"/>
                <w:szCs w:val="20"/>
                <w:color w:val="auto"/>
              </w:rPr>
            </w:pPr>
            <w:r>
              <w:rPr>
                <w:rFonts w:ascii="Arial" w:cs="Arial" w:eastAsia="Arial" w:hAnsi="Arial"/>
                <w:sz w:val="18"/>
                <w:szCs w:val="18"/>
                <w:color w:val="auto"/>
              </w:rPr>
              <w:t>Guarantees</w:t>
            </w:r>
          </w:p>
        </w:tc>
        <w:tc>
          <w:tcPr>
            <w:tcW w:w="1500" w:type="dxa"/>
            <w:vAlign w:val="bottom"/>
          </w:tcPr>
          <w:p>
            <w:pPr>
              <w:spacing w:after="0"/>
              <w:rPr>
                <w:sz w:val="16"/>
                <w:szCs w:val="16"/>
                <w:color w:val="auto"/>
              </w:rPr>
            </w:pPr>
          </w:p>
        </w:tc>
        <w:tc>
          <w:tcPr>
            <w:tcW w:w="2180" w:type="dxa"/>
            <w:vAlign w:val="bottom"/>
          </w:tcPr>
          <w:p>
            <w:pPr>
              <w:jc w:val="right"/>
              <w:ind w:right="581"/>
              <w:spacing w:after="0"/>
              <w:rPr>
                <w:sz w:val="20"/>
                <w:szCs w:val="20"/>
                <w:color w:val="auto"/>
              </w:rPr>
            </w:pPr>
            <w:r>
              <w:rPr>
                <w:rFonts w:ascii="Arial" w:cs="Arial" w:eastAsia="Arial" w:hAnsi="Arial"/>
                <w:sz w:val="14"/>
                <w:szCs w:val="14"/>
                <w:i w:val="1"/>
                <w:iCs w:val="1"/>
                <w:color w:val="auto"/>
              </w:rPr>
              <w:t>(millions of dollars)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9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460"/>
              <w:spacing w:after="0"/>
              <w:rPr>
                <w:sz w:val="20"/>
                <w:szCs w:val="20"/>
                <w:color w:val="auto"/>
              </w:rPr>
            </w:pPr>
            <w:r>
              <w:rPr>
                <w:rFonts w:ascii="Arial" w:cs="Arial" w:eastAsia="Arial" w:hAnsi="Arial"/>
                <w:sz w:val="18"/>
                <w:szCs w:val="18"/>
                <w:color w:val="auto"/>
              </w:rPr>
              <w:t>Debt-related</w:t>
            </w:r>
          </w:p>
        </w:tc>
        <w:tc>
          <w:tcPr>
            <w:tcW w:w="1500" w:type="dxa"/>
            <w:vAlign w:val="bottom"/>
          </w:tcPr>
          <w:p>
            <w:pPr>
              <w:jc w:val="right"/>
              <w:ind w:right="99"/>
              <w:spacing w:after="0"/>
              <w:rPr>
                <w:sz w:val="20"/>
                <w:szCs w:val="20"/>
                <w:color w:val="auto"/>
              </w:rPr>
            </w:pPr>
            <w:r>
              <w:rPr>
                <w:rFonts w:ascii="Arial" w:cs="Arial" w:eastAsia="Arial" w:hAnsi="Arial"/>
                <w:sz w:val="18"/>
                <w:szCs w:val="18"/>
                <w:color w:val="auto"/>
              </w:rPr>
              <w:t>461</w:t>
            </w:r>
          </w:p>
        </w:tc>
        <w:tc>
          <w:tcPr>
            <w:tcW w:w="2180" w:type="dxa"/>
            <w:vAlign w:val="bottom"/>
          </w:tcPr>
          <w:p>
            <w:pPr>
              <w:jc w:val="right"/>
              <w:ind w:right="441"/>
              <w:spacing w:after="0"/>
              <w:rPr>
                <w:sz w:val="20"/>
                <w:szCs w:val="20"/>
                <w:color w:val="auto"/>
              </w:rPr>
            </w:pPr>
            <w:r>
              <w:rPr>
                <w:rFonts w:ascii="Arial" w:cs="Arial" w:eastAsia="Arial" w:hAnsi="Arial"/>
                <w:sz w:val="18"/>
                <w:szCs w:val="18"/>
                <w:color w:val="auto"/>
              </w:rPr>
              <w:t>63</w:t>
            </w:r>
          </w:p>
        </w:tc>
        <w:tc>
          <w:tcPr>
            <w:tcW w:w="122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7"/>
        </w:trPr>
        <w:tc>
          <w:tcPr>
            <w:tcW w:w="4940" w:type="dxa"/>
            <w:vAlign w:val="bottom"/>
          </w:tcPr>
          <w:p>
            <w:pPr>
              <w:ind w:left="46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1,008</w:t>
            </w:r>
          </w:p>
        </w:tc>
        <w:tc>
          <w:tcPr>
            <w:tcW w:w="2180" w:type="dxa"/>
            <w:vAlign w:val="bottom"/>
            <w:tcBorders>
              <w:bottom w:val="single" w:sz="8" w:color="auto"/>
            </w:tcBorders>
          </w:tcPr>
          <w:p>
            <w:pPr>
              <w:jc w:val="right"/>
              <w:ind w:right="441"/>
              <w:spacing w:after="0"/>
              <w:rPr>
                <w:sz w:val="20"/>
                <w:szCs w:val="20"/>
                <w:color w:val="auto"/>
              </w:rPr>
            </w:pPr>
            <w:r>
              <w:rPr>
                <w:rFonts w:ascii="Arial" w:cs="Arial" w:eastAsia="Arial" w:hAnsi="Arial"/>
                <w:sz w:val="18"/>
                <w:szCs w:val="18"/>
                <w:color w:val="auto"/>
              </w:rPr>
              <w:t>4,046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16"/>
        </w:trPr>
        <w:tc>
          <w:tcPr>
            <w:tcW w:w="4940" w:type="dxa"/>
            <w:vAlign w:val="bottom"/>
          </w:tcPr>
          <w:p>
            <w:pPr>
              <w:ind w:left="920"/>
              <w:spacing w:after="0" w:line="203" w:lineRule="exact"/>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1,469</w:t>
            </w:r>
          </w:p>
        </w:tc>
        <w:tc>
          <w:tcPr>
            <w:tcW w:w="2180" w:type="dxa"/>
            <w:vAlign w:val="bottom"/>
            <w:tcBorders>
              <w:bottom w:val="single" w:sz="8" w:color="auto"/>
            </w:tcBorders>
          </w:tcPr>
          <w:p>
            <w:pPr>
              <w:jc w:val="right"/>
              <w:ind w:right="441"/>
              <w:spacing w:after="0"/>
              <w:rPr>
                <w:sz w:val="20"/>
                <w:szCs w:val="20"/>
                <w:color w:val="auto"/>
              </w:rPr>
            </w:pPr>
            <w:r>
              <w:rPr>
                <w:rFonts w:ascii="Arial" w:cs="Arial" w:eastAsia="Arial" w:hAnsi="Arial"/>
                <w:sz w:val="18"/>
                <w:szCs w:val="18"/>
                <w:color w:val="auto"/>
              </w:rPr>
              <w:t>4,109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(1) ExxonMobil share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Additionally, the Corporation and its affiliates have numerous long-term sales and purchase commitments in their various business activities, all of which are expected to be fulfilled with no adverse consequences material to the Corporation’s operations or financial condition.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operations and earnings of the Corporation and its affiliates throughout the world have been, and may in the future be, affected from time to time in varying degree by political developments and laws and regulations, such as forced divestiture of assets; restrictions on production, imports and exports; price controls; tax increases and retroactive tax claims; expropriation of property; cancellation of contract rights and environmental regulations. Both the likelihood of such occurrences and their overall effect upon the Corporation vary greatly from country to country and are not predictable.</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 Venezuelan nationalization decree issued in February 2007, a subsidiary of the Venezuelan National Oil Company (PdVSA) assumed the operatorship of the Cerro Negro Heavy Oil Project. The decree also required conversion of the Cerro Negro Project into a “mixed enterprise” and an increase in PdVSA’s or one of its affiliate’s ownership interest in the Project. ExxonMobil refused to accede to the terms proffered by the government, and on June 27, 2007, the government expropriated ExxonMobil’s 41.67 percent interest in the Cerro Negro Project.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ExxonMobil collected awards of $908 million in an arbitration against PdVSA under the rules of the International Chamber of Commerce in respect of an indemnity related to the Cerro Negro Project and $260 million in an arbitration for compensation due for the La Ceiba Project and for export curtailments at the Cerro Negro Project under rules of International Centre for Settlement of Investment Disputes (ICSID). An ICSID arbitration award relating to the Cerro Negro Project’s expropriation ($1.4 billion) was annulled based on a determination that a prior Tribunal failed to adequately explain why the cap on damages in the indemnity owed by PdVSA did not affect or limit the amount owed for the expropriation of the Cerro Negro Project. ExxonMobil filed a new claim seeking to restore the original award of damages for the Cerro Negro Project with ICSID on September 26, 2018.</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impact of this matter on the Corporation’s consolidated financial results cannot be reasonably estimated. Regardless, the Corporation does not expect the resolution to have a material effect upon the Corporation’s operations or financial condition.</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 affiliate of ExxonMobil is one of the Contractors under a Production Sharing Contract (PSC) with the Nigerian National Petroleum Corporation (NNPC) covering the Erha block located in the offshore waters of Nigeria. ExxonMobil's affiliate is the operator of the block and owns a 56.25 percent interest under the PSC. The Contractors are in dispute with NNPC regarding NNPC's lifting of crude oil in excess of its entitlement under the terms of the PSC. In accordance with the terms of the PSC, the Contractors initiated arbitration in Abuja, Nigeria, under the Nigerian Arbitration and Conciliation Act. On October 24, 2011, a three-member arbitral Tribunal issued an award upholding the Contractors' position in all material respects and awarding damages to the Contractors jointly in an amount of approximately $1.8 billion plus $234 million in accrued interest. The Contractors petitioned a Nigerian federal court for enforcement of the award, and NNPC petitioned the same court to have the award set aside. On May 22, 2012, the court set aside the award. The Contractors appealed that judgment to the Court of Appeal, Abuja Judicial Division. On July 22, 2016, the Court of Appeal upheld the decision of the lower court setting aside the award. On October 21, 2016, the Contractors appealed the decision to the Supreme Court of Nigeria. In June 2013, the Contractors filed a lawsuit against NNPC in the Nigerian federal high court in order to preserve their ability to seek enforcement of the PSC in the courts if necessary. Following dismissal by this court, the Contractors appealed to the Nigerian Court of Appeal in June 2016. In October 2014, the Contractors filed suit in the United States District Court for the Southern District of New York to enforce, if necessary, the arbitration award against NNPC assets residing within that jurisdiction. NNPC has moved to dismiss the lawsuit. At this time, the net impact of this matter on the Corporation's consolidated financial results cannot be reasonably estimated. However, regardless of the outcome of enforcement proceedings, the Corporation does not expect the proceedings to have a material effect upon the Corporation's operations or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bookmarkStart w:id="10" w:name="page11"/>
    <w:bookmarkEnd w:id="10"/>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Information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0" w:right="2120"/>
        <w:spacing w:after="0" w:line="298" w:lineRule="auto"/>
        <w:rPr>
          <w:sz w:val="20"/>
          <w:szCs w:val="20"/>
          <w:color w:val="auto"/>
        </w:rPr>
      </w:pPr>
      <w:r>
        <w:rPr>
          <w:rFonts w:ascii="Arial" w:cs="Arial" w:eastAsia="Arial" w:hAnsi="Arial"/>
          <w:sz w:val="18"/>
          <w:szCs w:val="18"/>
          <w:b w:val="1"/>
          <w:bCs w:val="1"/>
          <w:color w:val="auto"/>
        </w:rPr>
        <w:t xml:space="preserve">ExxonMobil Share of Accumulated Other </w:t>
      </w:r>
      <w:r>
        <w:rPr>
          <w:rFonts w:ascii="Arial" w:cs="Arial" w:eastAsia="Arial" w:hAnsi="Arial"/>
          <w:sz w:val="18"/>
          <w:szCs w:val="18"/>
          <w:b w:val="1"/>
          <w:bCs w:val="1"/>
          <w:u w:val="single" w:color="auto"/>
          <w:color w:val="auto"/>
        </w:rPr>
        <w:t>Comprehensive Income</w:t>
      </w:r>
    </w:p>
    <w:p>
      <w:pPr>
        <w:spacing w:after="0" w:line="3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as of December 31, 2016</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period change excluding amounts reclassified</w:t>
      </w:r>
    </w:p>
    <w:p>
      <w:pPr>
        <w:spacing w:after="0" w:line="23" w:lineRule="exact"/>
        <w:rPr>
          <w:sz w:val="20"/>
          <w:szCs w:val="20"/>
          <w:color w:val="auto"/>
        </w:rPr>
      </w:pPr>
    </w:p>
    <w:p>
      <w:pPr>
        <w:ind w:left="460" w:right="1680" w:firstLine="230"/>
        <w:spacing w:after="0" w:line="299" w:lineRule="auto"/>
        <w:rPr>
          <w:sz w:val="20"/>
          <w:szCs w:val="20"/>
          <w:color w:val="auto"/>
        </w:rPr>
      </w:pPr>
      <w:r>
        <w:rPr>
          <w:rFonts w:ascii="Arial" w:cs="Arial" w:eastAsia="Arial" w:hAnsi="Arial"/>
          <w:sz w:val="16"/>
          <w:szCs w:val="16"/>
          <w:color w:val="auto"/>
        </w:rPr>
        <w:t>from accumulated other comprehensive income Amounts reclassified from accumulated other</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comprehensive income</w:t>
      </w:r>
    </w:p>
    <w:p>
      <w:pPr>
        <w:spacing w:after="0" w:line="23" w:lineRule="exact"/>
        <w:rPr>
          <w:sz w:val="20"/>
          <w:szCs w:val="20"/>
          <w:color w:val="auto"/>
        </w:rPr>
      </w:pPr>
    </w:p>
    <w:p>
      <w:pPr>
        <w:ind w:left="460" w:right="1140"/>
        <w:spacing w:after="0" w:line="292" w:lineRule="auto"/>
        <w:rPr>
          <w:sz w:val="20"/>
          <w:szCs w:val="20"/>
          <w:color w:val="auto"/>
        </w:rPr>
      </w:pPr>
      <w:r>
        <w:rPr>
          <w:rFonts w:ascii="Arial" w:cs="Arial" w:eastAsia="Arial" w:hAnsi="Arial"/>
          <w:sz w:val="18"/>
          <w:szCs w:val="18"/>
          <w:color w:val="auto"/>
        </w:rPr>
        <w:t>Total change in accumulated other comprehensive income Balance as of September 30, 2017</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as of December 31, 2017</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period change excluding amounts reclassified</w:t>
      </w:r>
    </w:p>
    <w:p>
      <w:pPr>
        <w:spacing w:after="0" w:line="23" w:lineRule="exact"/>
        <w:rPr>
          <w:sz w:val="20"/>
          <w:szCs w:val="20"/>
          <w:color w:val="auto"/>
        </w:rPr>
      </w:pPr>
    </w:p>
    <w:p>
      <w:pPr>
        <w:ind w:left="460" w:right="1680" w:firstLine="230"/>
        <w:spacing w:after="0" w:line="299" w:lineRule="auto"/>
        <w:rPr>
          <w:sz w:val="20"/>
          <w:szCs w:val="20"/>
          <w:color w:val="auto"/>
        </w:rPr>
      </w:pPr>
      <w:r>
        <w:rPr>
          <w:rFonts w:ascii="Arial" w:cs="Arial" w:eastAsia="Arial" w:hAnsi="Arial"/>
          <w:sz w:val="16"/>
          <w:szCs w:val="16"/>
          <w:color w:val="auto"/>
        </w:rPr>
        <w:t>from accumulated other comprehensive income Amounts reclassified from accumulated other</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comprehensive income</w:t>
      </w:r>
    </w:p>
    <w:p>
      <w:pPr>
        <w:spacing w:after="0" w:line="23" w:lineRule="exact"/>
        <w:rPr>
          <w:sz w:val="20"/>
          <w:szCs w:val="20"/>
          <w:color w:val="auto"/>
        </w:rPr>
      </w:pPr>
    </w:p>
    <w:p>
      <w:pPr>
        <w:ind w:left="460" w:right="1140"/>
        <w:spacing w:after="0" w:line="292" w:lineRule="auto"/>
        <w:rPr>
          <w:sz w:val="20"/>
          <w:szCs w:val="20"/>
          <w:color w:val="auto"/>
        </w:rPr>
      </w:pPr>
      <w:r>
        <w:rPr>
          <w:rFonts w:ascii="Arial" w:cs="Arial" w:eastAsia="Arial" w:hAnsi="Arial"/>
          <w:sz w:val="18"/>
          <w:szCs w:val="18"/>
          <w:color w:val="auto"/>
        </w:rPr>
        <w:t>Total change in accumulated other comprehensive income Balance as of September 30, 2018</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 w:right="1140"/>
        <w:spacing w:after="0" w:line="365" w:lineRule="auto"/>
        <w:rPr>
          <w:sz w:val="20"/>
          <w:szCs w:val="20"/>
          <w:color w:val="auto"/>
        </w:rPr>
      </w:pPr>
      <w:r>
        <w:rPr>
          <w:rFonts w:ascii="Arial" w:cs="Arial" w:eastAsia="Arial" w:hAnsi="Arial"/>
          <w:sz w:val="16"/>
          <w:szCs w:val="16"/>
          <w:b w:val="1"/>
          <w:bCs w:val="1"/>
          <w:color w:val="auto"/>
        </w:rPr>
        <w:t xml:space="preserve">Amounts Reclassified Out of Accumulated Other </w:t>
      </w:r>
      <w:r>
        <w:rPr>
          <w:rFonts w:ascii="Arial" w:cs="Arial" w:eastAsia="Arial" w:hAnsi="Arial"/>
          <w:sz w:val="16"/>
          <w:szCs w:val="16"/>
          <w:b w:val="1"/>
          <w:bCs w:val="1"/>
          <w:u w:val="single" w:color="auto"/>
          <w:color w:val="auto"/>
        </w:rPr>
        <w:t>Comprehensive Income - Before-tax Income/(Expense)</w:t>
      </w:r>
    </w:p>
    <w:p>
      <w:pPr>
        <w:spacing w:after="0" w:line="363" w:lineRule="exact"/>
        <w:rPr>
          <w:sz w:val="20"/>
          <w:szCs w:val="20"/>
          <w:color w:val="auto"/>
        </w:rPr>
      </w:pPr>
    </w:p>
    <w:p>
      <w:pPr>
        <w:ind w:left="700" w:right="740" w:hanging="229"/>
        <w:spacing w:after="0" w:line="266" w:lineRule="auto"/>
        <w:rPr>
          <w:sz w:val="20"/>
          <w:szCs w:val="20"/>
          <w:color w:val="auto"/>
        </w:rPr>
      </w:pPr>
      <w:r>
        <w:rPr>
          <w:rFonts w:ascii="Arial" w:cs="Arial" w:eastAsia="Arial" w:hAnsi="Arial"/>
          <w:sz w:val="18"/>
          <w:szCs w:val="18"/>
          <w:color w:val="auto"/>
        </w:rPr>
        <w:t>Foreign exchange translation gain/(loss) included in net income (Statement of Income line: Other income)</w:t>
      </w:r>
    </w:p>
    <w:p>
      <w:pPr>
        <w:spacing w:after="0" w:line="1" w:lineRule="exact"/>
        <w:rPr>
          <w:sz w:val="20"/>
          <w:szCs w:val="20"/>
          <w:color w:val="auto"/>
        </w:rPr>
      </w:pPr>
    </w:p>
    <w:p>
      <w:pPr>
        <w:ind w:left="700" w:right="760" w:hanging="229"/>
        <w:spacing w:after="0" w:line="280" w:lineRule="auto"/>
        <w:rPr>
          <w:sz w:val="20"/>
          <w:szCs w:val="20"/>
          <w:color w:val="auto"/>
        </w:rPr>
      </w:pPr>
      <w:r>
        <w:rPr>
          <w:rFonts w:ascii="Arial" w:cs="Arial" w:eastAsia="Arial" w:hAnsi="Arial"/>
          <w:sz w:val="18"/>
          <w:szCs w:val="18"/>
          <w:color w:val="auto"/>
        </w:rPr>
        <w:t>Amortization and settlement of postretirement benefits reserves adjustment included in net periodic benefit costs (Statement of Income Line: Non-service pension and postretirement benefit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0" w:right="1800"/>
        <w:spacing w:after="0" w:line="365" w:lineRule="auto"/>
        <w:rPr>
          <w:sz w:val="20"/>
          <w:szCs w:val="20"/>
          <w:color w:val="auto"/>
        </w:rPr>
      </w:pPr>
      <w:r>
        <w:rPr>
          <w:rFonts w:ascii="Arial" w:cs="Arial" w:eastAsia="Arial" w:hAnsi="Arial"/>
          <w:sz w:val="16"/>
          <w:szCs w:val="16"/>
          <w:b w:val="1"/>
          <w:bCs w:val="1"/>
          <w:color w:val="auto"/>
        </w:rPr>
        <w:t xml:space="preserve">Income Tax (Expense)/Credit For </w:t>
      </w:r>
      <w:r>
        <w:rPr>
          <w:rFonts w:ascii="Arial" w:cs="Arial" w:eastAsia="Arial" w:hAnsi="Arial"/>
          <w:sz w:val="16"/>
          <w:szCs w:val="16"/>
          <w:b w:val="1"/>
          <w:bCs w:val="1"/>
          <w:u w:val="single" w:color="auto"/>
          <w:color w:val="auto"/>
        </w:rPr>
        <w:t>Components of Other Comprehensive Income</w:t>
      </w:r>
    </w:p>
    <w:p>
      <w:pPr>
        <w:spacing w:after="0" w:line="3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translation adjustment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Postretirement benefits reserves adjustment</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(excluding amortization)</w:t>
      </w:r>
    </w:p>
    <w:p>
      <w:pPr>
        <w:spacing w:after="0" w:line="23" w:lineRule="exact"/>
        <w:rPr>
          <w:sz w:val="20"/>
          <w:szCs w:val="20"/>
          <w:color w:val="auto"/>
        </w:rPr>
      </w:pPr>
    </w:p>
    <w:p>
      <w:pPr>
        <w:ind w:left="820" w:right="760" w:hanging="350"/>
        <w:spacing w:after="0" w:line="299" w:lineRule="auto"/>
        <w:rPr>
          <w:sz w:val="20"/>
          <w:szCs w:val="20"/>
          <w:color w:val="auto"/>
        </w:rPr>
      </w:pPr>
      <w:r>
        <w:rPr>
          <w:rFonts w:ascii="Arial" w:cs="Arial" w:eastAsia="Arial" w:hAnsi="Arial"/>
          <w:sz w:val="16"/>
          <w:szCs w:val="16"/>
          <w:color w:val="auto"/>
        </w:rPr>
        <w:t>Amortization and settlement of postretirement benefits reserves adjustment included in net periodic benefit costs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gridSpan w:val="2"/>
          </w:tcPr>
          <w:p>
            <w:pPr>
              <w:jc w:val="center"/>
              <w:ind w:right="944"/>
              <w:spacing w:after="0"/>
              <w:rPr>
                <w:sz w:val="20"/>
                <w:szCs w:val="20"/>
                <w:color w:val="auto"/>
              </w:rPr>
            </w:pPr>
            <w:r>
              <w:rPr>
                <w:rFonts w:ascii="Arial" w:cs="Arial" w:eastAsia="Arial" w:hAnsi="Arial"/>
                <w:sz w:val="14"/>
                <w:szCs w:val="14"/>
                <w:b w:val="1"/>
                <w:bCs w:val="1"/>
                <w:color w:val="auto"/>
                <w:w w:val="91"/>
              </w:rPr>
              <w:t>Post-</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9"/>
                <w:szCs w:val="19"/>
                <w:color w:val="auto"/>
              </w:rPr>
            </w:pPr>
          </w:p>
        </w:tc>
        <w:tc>
          <w:tcPr>
            <w:tcW w:w="2040" w:type="dxa"/>
            <w:vAlign w:val="bottom"/>
            <w:gridSpan w:val="3"/>
          </w:tcPr>
          <w:p>
            <w:pPr>
              <w:jc w:val="center"/>
              <w:ind w:right="484"/>
              <w:spacing w:after="0"/>
              <w:rPr>
                <w:sz w:val="20"/>
                <w:szCs w:val="20"/>
                <w:color w:val="auto"/>
              </w:rPr>
            </w:pPr>
            <w:r>
              <w:rPr>
                <w:rFonts w:ascii="Arial" w:cs="Arial" w:eastAsia="Arial" w:hAnsi="Arial"/>
                <w:sz w:val="14"/>
                <w:szCs w:val="14"/>
                <w:b w:val="1"/>
                <w:bCs w:val="1"/>
                <w:color w:val="auto"/>
                <w:w w:val="93"/>
              </w:rPr>
              <w:t>retirement</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center"/>
              <w:ind w:right="964"/>
              <w:spacing w:after="0"/>
              <w:rPr>
                <w:sz w:val="20"/>
                <w:szCs w:val="20"/>
                <w:color w:val="auto"/>
              </w:rPr>
            </w:pPr>
            <w:r>
              <w:rPr>
                <w:rFonts w:ascii="Arial" w:cs="Arial" w:eastAsia="Arial" w:hAnsi="Arial"/>
                <w:sz w:val="14"/>
                <w:szCs w:val="14"/>
                <w:b w:val="1"/>
                <w:bCs w:val="1"/>
                <w:color w:val="auto"/>
                <w:w w:val="90"/>
              </w:rPr>
              <w:t>Benefits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center"/>
              <w:ind w:right="964"/>
              <w:spacing w:after="0"/>
              <w:rPr>
                <w:sz w:val="20"/>
                <w:szCs w:val="20"/>
                <w:color w:val="auto"/>
              </w:rPr>
            </w:pPr>
            <w:r>
              <w:rPr>
                <w:rFonts w:ascii="Arial" w:cs="Arial" w:eastAsia="Arial" w:hAnsi="Arial"/>
                <w:sz w:val="14"/>
                <w:szCs w:val="14"/>
                <w:b w:val="1"/>
                <w:bCs w:val="1"/>
                <w:color w:val="auto"/>
                <w:w w:val="86"/>
              </w:rPr>
              <w:t>Reserves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Pr>
          <w:p>
            <w:pPr>
              <w:spacing w:after="0"/>
              <w:rPr>
                <w:sz w:val="19"/>
                <w:szCs w:val="19"/>
                <w:color w:val="auto"/>
              </w:rPr>
            </w:pPr>
          </w:p>
        </w:tc>
        <w:tc>
          <w:tcPr>
            <w:tcW w:w="2040" w:type="dxa"/>
            <w:vAlign w:val="bottom"/>
            <w:gridSpan w:val="3"/>
          </w:tcPr>
          <w:p>
            <w:pPr>
              <w:jc w:val="center"/>
              <w:ind w:right="484"/>
              <w:spacing w:after="0"/>
              <w:rPr>
                <w:sz w:val="20"/>
                <w:szCs w:val="20"/>
                <w:color w:val="auto"/>
              </w:rPr>
            </w:pPr>
            <w:r>
              <w:rPr>
                <w:rFonts w:ascii="Arial" w:cs="Arial" w:eastAsia="Arial" w:hAnsi="Arial"/>
                <w:sz w:val="14"/>
                <w:szCs w:val="14"/>
                <w:b w:val="1"/>
                <w:bCs w:val="1"/>
                <w:color w:val="auto"/>
                <w:w w:val="93"/>
              </w:rPr>
              <w:t>Adjustment</w:t>
            </w: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w:t>
            </w:r>
          </w:p>
        </w:tc>
      </w:tr>
      <w:tr>
        <w:trPr>
          <w:trHeight w:val="26"/>
        </w:trPr>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3"/>
          </w:tcPr>
          <w:p>
            <w:pPr>
              <w:jc w:val="right"/>
              <w:ind w:right="724"/>
              <w:spacing w:after="0"/>
              <w:rPr>
                <w:sz w:val="20"/>
                <w:szCs w:val="20"/>
                <w:color w:val="auto"/>
              </w:rPr>
            </w:pPr>
            <w:r>
              <w:rPr>
                <w:rFonts w:ascii="Arial" w:cs="Arial" w:eastAsia="Arial" w:hAnsi="Arial"/>
                <w:sz w:val="14"/>
                <w:szCs w:val="14"/>
                <w:i w:val="1"/>
                <w:iCs w:val="1"/>
                <w:color w:val="auto"/>
              </w:rPr>
              <w:t>(millions of dollars)</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71"/>
        </w:trPr>
        <w:tc>
          <w:tcPr>
            <w:tcW w:w="1680" w:type="dxa"/>
            <w:vAlign w:val="bottom"/>
          </w:tcPr>
          <w:p>
            <w:pPr>
              <w:jc w:val="right"/>
              <w:spacing w:after="0"/>
              <w:rPr>
                <w:sz w:val="20"/>
                <w:szCs w:val="20"/>
                <w:color w:val="auto"/>
              </w:rPr>
            </w:pPr>
            <w:r>
              <w:rPr>
                <w:rFonts w:ascii="Arial" w:cs="Arial" w:eastAsia="Arial" w:hAnsi="Arial"/>
                <w:sz w:val="18"/>
                <w:szCs w:val="18"/>
                <w:color w:val="auto"/>
              </w:rPr>
              <w:t>(14,501)</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gridSpan w:val="2"/>
          </w:tcPr>
          <w:p>
            <w:pPr>
              <w:jc w:val="right"/>
              <w:ind w:right="484"/>
              <w:spacing w:after="0"/>
              <w:rPr>
                <w:sz w:val="20"/>
                <w:szCs w:val="20"/>
                <w:color w:val="auto"/>
              </w:rPr>
            </w:pPr>
            <w:r>
              <w:rPr>
                <w:rFonts w:ascii="Arial" w:cs="Arial" w:eastAsia="Arial" w:hAnsi="Arial"/>
                <w:sz w:val="18"/>
                <w:szCs w:val="18"/>
                <w:color w:val="auto"/>
              </w:rPr>
              <w:t>(7,738)</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(22,239)</w:t>
            </w:r>
          </w:p>
        </w:tc>
      </w:tr>
      <w:tr>
        <w:trPr>
          <w:trHeight w:val="459"/>
        </w:trPr>
        <w:tc>
          <w:tcPr>
            <w:tcW w:w="1680" w:type="dxa"/>
            <w:vAlign w:val="bottom"/>
          </w:tcPr>
          <w:p>
            <w:pPr>
              <w:jc w:val="right"/>
              <w:ind w:right="37"/>
              <w:spacing w:after="0"/>
              <w:rPr>
                <w:sz w:val="20"/>
                <w:szCs w:val="20"/>
                <w:color w:val="auto"/>
              </w:rPr>
            </w:pPr>
            <w:r>
              <w:rPr>
                <w:rFonts w:ascii="Arial" w:cs="Arial" w:eastAsia="Arial" w:hAnsi="Arial"/>
                <w:sz w:val="18"/>
                <w:szCs w:val="18"/>
                <w:color w:val="auto"/>
              </w:rPr>
              <w:t>4,925</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gridSpan w:val="2"/>
          </w:tcPr>
          <w:p>
            <w:pPr>
              <w:jc w:val="right"/>
              <w:ind w:right="484"/>
              <w:spacing w:after="0"/>
              <w:rPr>
                <w:sz w:val="20"/>
                <w:szCs w:val="20"/>
                <w:color w:val="auto"/>
              </w:rPr>
            </w:pPr>
            <w:r>
              <w:rPr>
                <w:rFonts w:ascii="Arial" w:cs="Arial" w:eastAsia="Arial" w:hAnsi="Arial"/>
                <w:sz w:val="18"/>
                <w:szCs w:val="18"/>
                <w:color w:val="auto"/>
              </w:rPr>
              <w:t>(300)</w:t>
            </w:r>
          </w:p>
        </w:tc>
        <w:tc>
          <w:tcPr>
            <w:tcW w:w="1120" w:type="dxa"/>
            <w:vAlign w:val="bottom"/>
          </w:tcPr>
          <w:p>
            <w:pPr>
              <w:jc w:val="right"/>
              <w:spacing w:after="0"/>
              <w:rPr>
                <w:sz w:val="20"/>
                <w:szCs w:val="20"/>
                <w:color w:val="auto"/>
              </w:rPr>
            </w:pPr>
            <w:r>
              <w:rPr>
                <w:rFonts w:ascii="Arial" w:cs="Arial" w:eastAsia="Arial" w:hAnsi="Arial"/>
                <w:sz w:val="18"/>
                <w:szCs w:val="18"/>
                <w:color w:val="auto"/>
              </w:rPr>
              <w:t>4,625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544"/>
              <w:spacing w:after="0"/>
              <w:rPr>
                <w:sz w:val="20"/>
                <w:szCs w:val="20"/>
                <w:color w:val="auto"/>
              </w:rPr>
            </w:pPr>
            <w:r>
              <w:rPr>
                <w:rFonts w:ascii="Arial" w:cs="Arial" w:eastAsia="Arial" w:hAnsi="Arial"/>
                <w:sz w:val="18"/>
                <w:szCs w:val="18"/>
                <w:color w:val="auto"/>
              </w:rPr>
              <w:t>823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5,065</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544"/>
              <w:spacing w:after="0"/>
              <w:rPr>
                <w:sz w:val="20"/>
                <w:szCs w:val="20"/>
                <w:color w:val="auto"/>
              </w:rPr>
            </w:pPr>
            <w:r>
              <w:rPr>
                <w:rFonts w:ascii="Arial" w:cs="Arial" w:eastAsia="Arial" w:hAnsi="Arial"/>
                <w:sz w:val="18"/>
                <w:szCs w:val="18"/>
                <w:color w:val="auto"/>
              </w:rPr>
              <w:t>523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484"/>
              <w:spacing w:after="0"/>
              <w:rPr>
                <w:sz w:val="20"/>
                <w:szCs w:val="20"/>
                <w:color w:val="auto"/>
              </w:rPr>
            </w:pPr>
            <w:r>
              <w:rPr>
                <w:rFonts w:ascii="Arial" w:cs="Arial" w:eastAsia="Arial" w:hAnsi="Arial"/>
                <w:sz w:val="18"/>
                <w:szCs w:val="18"/>
                <w:color w:val="auto"/>
              </w:rPr>
              <w:t>(7,215)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(16,651)</w:t>
            </w:r>
          </w:p>
        </w:tc>
        <w:tc>
          <w:tcPr>
            <w:tcW w:w="40" w:type="dxa"/>
            <w:vAlign w:val="bottom"/>
            <w:tcBorders>
              <w:bottom w:val="single" w:sz="8" w:color="auto"/>
            </w:tcBorders>
            <w:gridSpan w:val="2"/>
          </w:tcPr>
          <w:p>
            <w:pPr>
              <w:spacing w:after="0"/>
              <w:rPr>
                <w:sz w:val="18"/>
                <w:szCs w:val="18"/>
                <w:color w:val="auto"/>
              </w:rPr>
            </w:pPr>
          </w:p>
        </w:tc>
      </w:tr>
      <w:tr>
        <w:trPr>
          <w:trHeight w:val="426"/>
        </w:trPr>
        <w:tc>
          <w:tcPr>
            <w:tcW w:w="1680" w:type="dxa"/>
            <w:vAlign w:val="bottom"/>
          </w:tcPr>
          <w:p>
            <w:pPr>
              <w:jc w:val="right"/>
              <w:spacing w:after="0"/>
              <w:rPr>
                <w:sz w:val="20"/>
                <w:szCs w:val="20"/>
                <w:color w:val="auto"/>
              </w:rPr>
            </w:pPr>
            <w:r>
              <w:rPr>
                <w:rFonts w:ascii="Arial" w:cs="Arial" w:eastAsia="Arial" w:hAnsi="Arial"/>
                <w:sz w:val="18"/>
                <w:szCs w:val="18"/>
                <w:color w:val="auto"/>
              </w:rPr>
              <w:t>(9,482)</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gridSpan w:val="2"/>
          </w:tcPr>
          <w:p>
            <w:pPr>
              <w:jc w:val="right"/>
              <w:ind w:right="484"/>
              <w:spacing w:after="0"/>
              <w:rPr>
                <w:sz w:val="20"/>
                <w:szCs w:val="20"/>
                <w:color w:val="auto"/>
              </w:rPr>
            </w:pPr>
            <w:r>
              <w:rPr>
                <w:rFonts w:ascii="Arial" w:cs="Arial" w:eastAsia="Arial" w:hAnsi="Arial"/>
                <w:sz w:val="18"/>
                <w:szCs w:val="18"/>
                <w:color w:val="auto"/>
              </w:rPr>
              <w:t>(6,780)</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(16,262)</w:t>
            </w:r>
          </w:p>
        </w:tc>
      </w:tr>
      <w:tr>
        <w:trPr>
          <w:trHeight w:val="459"/>
        </w:trPr>
        <w:tc>
          <w:tcPr>
            <w:tcW w:w="1680" w:type="dxa"/>
            <w:vAlign w:val="bottom"/>
          </w:tcPr>
          <w:p>
            <w:pPr>
              <w:jc w:val="right"/>
              <w:spacing w:after="0"/>
              <w:rPr>
                <w:sz w:val="20"/>
                <w:szCs w:val="20"/>
                <w:color w:val="auto"/>
              </w:rPr>
            </w:pPr>
            <w:r>
              <w:rPr>
                <w:rFonts w:ascii="Arial" w:cs="Arial" w:eastAsia="Arial" w:hAnsi="Arial"/>
                <w:sz w:val="18"/>
                <w:szCs w:val="18"/>
                <w:color w:val="auto"/>
              </w:rPr>
              <w:t>(2,551)</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gridSpan w:val="2"/>
          </w:tcPr>
          <w:p>
            <w:pPr>
              <w:jc w:val="right"/>
              <w:ind w:right="484"/>
              <w:spacing w:after="0"/>
              <w:rPr>
                <w:sz w:val="20"/>
                <w:szCs w:val="20"/>
                <w:color w:val="auto"/>
              </w:rPr>
            </w:pPr>
            <w:r>
              <w:rPr>
                <w:rFonts w:ascii="Arial" w:cs="Arial" w:eastAsia="Arial" w:hAnsi="Arial"/>
                <w:sz w:val="18"/>
                <w:szCs w:val="18"/>
                <w:color w:val="auto"/>
              </w:rPr>
              <w:t>(406)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(2,957)</w:t>
            </w:r>
          </w:p>
        </w:tc>
        <w:tc>
          <w:tcPr>
            <w:tcW w:w="20" w:type="dxa"/>
            <w:vAlign w:val="bottom"/>
          </w:tcPr>
          <w:p>
            <w:pPr>
              <w:spacing w:after="0"/>
              <w:rPr>
                <w:sz w:val="24"/>
                <w:szCs w:val="24"/>
                <w:color w:val="auto"/>
              </w:rPr>
            </w:pPr>
          </w:p>
        </w:tc>
      </w:tr>
      <w:tr>
        <w:trPr>
          <w:trHeight w:val="466"/>
        </w:trPr>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186</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544"/>
              <w:spacing w:after="0"/>
              <w:rPr>
                <w:sz w:val="20"/>
                <w:szCs w:val="20"/>
                <w:color w:val="auto"/>
              </w:rPr>
            </w:pPr>
            <w:r>
              <w:rPr>
                <w:rFonts w:ascii="Arial" w:cs="Arial" w:eastAsia="Arial" w:hAnsi="Arial"/>
                <w:sz w:val="18"/>
                <w:szCs w:val="18"/>
                <w:color w:val="auto"/>
              </w:rPr>
              <w:t>663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544"/>
              <w:spacing w:after="0"/>
              <w:rPr>
                <w:sz w:val="20"/>
                <w:szCs w:val="20"/>
                <w:color w:val="auto"/>
              </w:rPr>
            </w:pPr>
            <w:r>
              <w:rPr>
                <w:rFonts w:ascii="Arial" w:cs="Arial" w:eastAsia="Arial" w:hAnsi="Arial"/>
                <w:sz w:val="18"/>
                <w:szCs w:val="18"/>
                <w:color w:val="auto"/>
              </w:rPr>
              <w:t>257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(11,847)</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484"/>
              <w:spacing w:after="0"/>
              <w:rPr>
                <w:sz w:val="20"/>
                <w:szCs w:val="20"/>
                <w:color w:val="auto"/>
              </w:rPr>
            </w:pPr>
            <w:r>
              <w:rPr>
                <w:rFonts w:ascii="Arial" w:cs="Arial" w:eastAsia="Arial" w:hAnsi="Arial"/>
                <w:sz w:val="18"/>
                <w:szCs w:val="18"/>
                <w:color w:val="auto"/>
              </w:rPr>
              <w:t>(6,523)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30"/>
        </w:trPr>
        <w:tc>
          <w:tcPr>
            <w:tcW w:w="1840" w:type="dxa"/>
            <w:vAlign w:val="bottom"/>
            <w:gridSpan w:val="2"/>
          </w:tcPr>
          <w:p>
            <w:pPr>
              <w:jc w:val="center"/>
              <w:ind w:left="377"/>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r>
      <w:tr>
        <w:trPr>
          <w:trHeight w:val="230"/>
        </w:trPr>
        <w:tc>
          <w:tcPr>
            <w:tcW w:w="1680" w:type="dxa"/>
            <w:vAlign w:val="bottom"/>
          </w:tcPr>
          <w:p>
            <w:pPr>
              <w:jc w:val="center"/>
              <w:ind w:left="537"/>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680" w:type="dxa"/>
            <w:vAlign w:val="bottom"/>
          </w:tcPr>
          <w:p>
            <w:pPr>
              <w:jc w:val="right"/>
              <w:ind w:right="997"/>
              <w:spacing w:after="0"/>
              <w:rPr>
                <w:sz w:val="20"/>
                <w:szCs w:val="20"/>
                <w:color w:val="auto"/>
              </w:rPr>
            </w:pPr>
            <w:r>
              <w:rPr>
                <w:rFonts w:ascii="Arial" w:cs="Arial" w:eastAsia="Arial" w:hAnsi="Arial"/>
                <w:sz w:val="14"/>
                <w:szCs w:val="14"/>
                <w:b w:val="1"/>
                <w:bCs w:val="1"/>
                <w:color w:val="auto"/>
              </w:rPr>
              <w:t>2018</w:t>
            </w:r>
          </w:p>
        </w:tc>
        <w:tc>
          <w:tcPr>
            <w:tcW w:w="620" w:type="dxa"/>
            <w:vAlign w:val="bottom"/>
            <w:gridSpan w:val="2"/>
          </w:tcPr>
          <w:p>
            <w:pPr>
              <w:jc w:val="right"/>
              <w:ind w:right="178"/>
              <w:spacing w:after="0"/>
              <w:rPr>
                <w:sz w:val="20"/>
                <w:szCs w:val="20"/>
                <w:color w:val="auto"/>
              </w:rPr>
            </w:pPr>
            <w:r>
              <w:rPr>
                <w:rFonts w:ascii="Arial" w:cs="Arial" w:eastAsia="Arial" w:hAnsi="Arial"/>
                <w:sz w:val="14"/>
                <w:szCs w:val="14"/>
                <w:b w:val="1"/>
                <w:bCs w:val="1"/>
                <w:color w:val="auto"/>
              </w:rPr>
              <w:t>2017</w:t>
            </w:r>
          </w:p>
        </w:tc>
        <w:tc>
          <w:tcPr>
            <w:tcW w:w="1580" w:type="dxa"/>
            <w:vAlign w:val="bottom"/>
            <w:gridSpan w:val="2"/>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1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3"/>
          </w:tcPr>
          <w:p>
            <w:pPr>
              <w:jc w:val="right"/>
              <w:ind w:right="784"/>
              <w:spacing w:after="0"/>
              <w:rPr>
                <w:sz w:val="20"/>
                <w:szCs w:val="20"/>
                <w:color w:val="auto"/>
              </w:rPr>
            </w:pPr>
            <w:r>
              <w:rPr>
                <w:rFonts w:ascii="Arial" w:cs="Arial" w:eastAsia="Arial" w:hAnsi="Arial"/>
                <w:sz w:val="14"/>
                <w:szCs w:val="14"/>
                <w:i w:val="1"/>
                <w:iCs w:val="1"/>
                <w:color w:val="auto"/>
                <w:w w:val="99"/>
              </w:rPr>
              <w:t>(millions of dollars)</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01"/>
        </w:trPr>
        <w:tc>
          <w:tcPr>
            <w:tcW w:w="1680" w:type="dxa"/>
            <w:vAlign w:val="bottom"/>
          </w:tcPr>
          <w:p>
            <w:pPr>
              <w:jc w:val="right"/>
              <w:ind w:right="73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4"/>
              <w:spacing w:after="0"/>
              <w:rPr>
                <w:sz w:val="20"/>
                <w:szCs w:val="20"/>
                <w:color w:val="auto"/>
              </w:rPr>
            </w:pPr>
            <w:r>
              <w:rPr>
                <w:rFonts w:ascii="Arial" w:cs="Arial" w:eastAsia="Arial" w:hAnsi="Arial"/>
                <w:sz w:val="18"/>
                <w:szCs w:val="18"/>
                <w:color w:val="auto"/>
              </w:rPr>
              <w:t>(186)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4"/>
                <w:szCs w:val="24"/>
                <w:color w:val="auto"/>
              </w:rPr>
            </w:pPr>
          </w:p>
        </w:tc>
      </w:tr>
      <w:tr>
        <w:trPr>
          <w:trHeight w:val="932"/>
        </w:trPr>
        <w:tc>
          <w:tcPr>
            <w:tcW w:w="1680" w:type="dxa"/>
            <w:vAlign w:val="bottom"/>
          </w:tcPr>
          <w:p>
            <w:pPr>
              <w:jc w:val="right"/>
              <w:ind w:right="677"/>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(450)</w:t>
            </w:r>
          </w:p>
        </w:tc>
        <w:tc>
          <w:tcPr>
            <w:tcW w:w="1580" w:type="dxa"/>
            <w:vAlign w:val="bottom"/>
            <w:gridSpan w:val="2"/>
          </w:tcPr>
          <w:p>
            <w:pPr>
              <w:jc w:val="right"/>
              <w:ind w:right="164"/>
              <w:spacing w:after="0"/>
              <w:rPr>
                <w:sz w:val="20"/>
                <w:szCs w:val="20"/>
                <w:color w:val="auto"/>
              </w:rPr>
            </w:pPr>
            <w:r>
              <w:rPr>
                <w:rFonts w:ascii="Arial" w:cs="Arial" w:eastAsia="Arial" w:hAnsi="Arial"/>
                <w:sz w:val="18"/>
                <w:szCs w:val="18"/>
                <w:color w:val="auto"/>
              </w:rPr>
              <w:t>(897)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24"/>
                <w:szCs w:val="24"/>
                <w:color w:val="auto"/>
              </w:rPr>
            </w:pPr>
          </w:p>
        </w:tc>
      </w:tr>
      <w:tr>
        <w:trPr>
          <w:trHeight w:val="852"/>
        </w:trPr>
        <w:tc>
          <w:tcPr>
            <w:tcW w:w="1840" w:type="dxa"/>
            <w:vAlign w:val="bottom"/>
            <w:gridSpan w:val="2"/>
          </w:tcPr>
          <w:p>
            <w:pPr>
              <w:jc w:val="center"/>
              <w:ind w:left="377"/>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r>
      <w:tr>
        <w:trPr>
          <w:trHeight w:val="230"/>
        </w:trPr>
        <w:tc>
          <w:tcPr>
            <w:tcW w:w="1680" w:type="dxa"/>
            <w:vAlign w:val="bottom"/>
          </w:tcPr>
          <w:p>
            <w:pPr>
              <w:jc w:val="center"/>
              <w:ind w:left="537"/>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680" w:type="dxa"/>
            <w:vAlign w:val="bottom"/>
          </w:tcPr>
          <w:p>
            <w:pPr>
              <w:jc w:val="right"/>
              <w:ind w:right="997"/>
              <w:spacing w:after="0"/>
              <w:rPr>
                <w:sz w:val="20"/>
                <w:szCs w:val="20"/>
                <w:color w:val="auto"/>
              </w:rPr>
            </w:pPr>
            <w:r>
              <w:rPr>
                <w:rFonts w:ascii="Arial" w:cs="Arial" w:eastAsia="Arial" w:hAnsi="Arial"/>
                <w:sz w:val="14"/>
                <w:szCs w:val="14"/>
                <w:b w:val="1"/>
                <w:bCs w:val="1"/>
                <w:color w:val="auto"/>
              </w:rPr>
              <w:t>2018</w:t>
            </w:r>
          </w:p>
        </w:tc>
        <w:tc>
          <w:tcPr>
            <w:tcW w:w="620" w:type="dxa"/>
            <w:vAlign w:val="bottom"/>
            <w:gridSpan w:val="2"/>
          </w:tcPr>
          <w:p>
            <w:pPr>
              <w:jc w:val="right"/>
              <w:ind w:right="178"/>
              <w:spacing w:after="0"/>
              <w:rPr>
                <w:sz w:val="20"/>
                <w:szCs w:val="20"/>
                <w:color w:val="auto"/>
              </w:rPr>
            </w:pPr>
            <w:r>
              <w:rPr>
                <w:rFonts w:ascii="Arial" w:cs="Arial" w:eastAsia="Arial" w:hAnsi="Arial"/>
                <w:sz w:val="14"/>
                <w:szCs w:val="14"/>
                <w:b w:val="1"/>
                <w:bCs w:val="1"/>
                <w:color w:val="auto"/>
              </w:rPr>
              <w:t>2017</w:t>
            </w:r>
          </w:p>
        </w:tc>
        <w:tc>
          <w:tcPr>
            <w:tcW w:w="1580" w:type="dxa"/>
            <w:vAlign w:val="bottom"/>
            <w:gridSpan w:val="2"/>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1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3"/>
          </w:tcPr>
          <w:p>
            <w:pPr>
              <w:jc w:val="right"/>
              <w:ind w:right="784"/>
              <w:spacing w:after="0"/>
              <w:rPr>
                <w:sz w:val="20"/>
                <w:szCs w:val="20"/>
                <w:color w:val="auto"/>
              </w:rPr>
            </w:pPr>
            <w:r>
              <w:rPr>
                <w:rFonts w:ascii="Arial" w:cs="Arial" w:eastAsia="Arial" w:hAnsi="Arial"/>
                <w:sz w:val="14"/>
                <w:szCs w:val="14"/>
                <w:i w:val="1"/>
                <w:iCs w:val="1"/>
                <w:color w:val="auto"/>
                <w:w w:val="99"/>
              </w:rPr>
              <w:t>(millions of dollars)</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71"/>
        </w:trPr>
        <w:tc>
          <w:tcPr>
            <w:tcW w:w="1680" w:type="dxa"/>
            <w:vAlign w:val="bottom"/>
          </w:tcPr>
          <w:p>
            <w:pPr>
              <w:jc w:val="right"/>
              <w:ind w:right="737"/>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580" w:type="dxa"/>
            <w:vAlign w:val="bottom"/>
            <w:gridSpan w:val="2"/>
          </w:tcPr>
          <w:p>
            <w:pPr>
              <w:jc w:val="right"/>
              <w:ind w:right="204"/>
              <w:spacing w:after="0"/>
              <w:rPr>
                <w:sz w:val="20"/>
                <w:szCs w:val="20"/>
                <w:color w:val="auto"/>
              </w:rPr>
            </w:pPr>
            <w:r>
              <w:rPr>
                <w:rFonts w:ascii="Arial" w:cs="Arial" w:eastAsia="Arial" w:hAnsi="Arial"/>
                <w:sz w:val="18"/>
                <w:szCs w:val="18"/>
                <w:color w:val="auto"/>
              </w:rPr>
              <w:t>13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r>
      <w:tr>
        <w:trPr>
          <w:trHeight w:val="459"/>
        </w:trPr>
        <w:tc>
          <w:tcPr>
            <w:tcW w:w="1680" w:type="dxa"/>
            <w:vAlign w:val="bottom"/>
          </w:tcPr>
          <w:p>
            <w:pPr>
              <w:jc w:val="right"/>
              <w:ind w:right="73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1580" w:type="dxa"/>
            <w:vAlign w:val="bottom"/>
            <w:gridSpan w:val="2"/>
          </w:tcPr>
          <w:p>
            <w:pPr>
              <w:jc w:val="right"/>
              <w:ind w:right="204"/>
              <w:spacing w:after="0"/>
              <w:rPr>
                <w:sz w:val="20"/>
                <w:szCs w:val="20"/>
                <w:color w:val="auto"/>
              </w:rPr>
            </w:pPr>
            <w:r>
              <w:rPr>
                <w:rFonts w:ascii="Arial" w:cs="Arial" w:eastAsia="Arial" w:hAnsi="Arial"/>
                <w:sz w:val="18"/>
                <w:szCs w:val="18"/>
                <w:color w:val="auto"/>
              </w:rPr>
              <w:t>66</w:t>
            </w: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6"/>
        </w:trPr>
        <w:tc>
          <w:tcPr>
            <w:tcW w:w="1680" w:type="dxa"/>
            <w:vAlign w:val="bottom"/>
          </w:tcPr>
          <w:p>
            <w:pPr>
              <w:jc w:val="right"/>
              <w:ind w:right="677"/>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(139)</w:t>
            </w:r>
          </w:p>
        </w:tc>
        <w:tc>
          <w:tcPr>
            <w:tcW w:w="1580" w:type="dxa"/>
            <w:vAlign w:val="bottom"/>
            <w:gridSpan w:val="2"/>
          </w:tcPr>
          <w:p>
            <w:pPr>
              <w:jc w:val="right"/>
              <w:ind w:right="164"/>
              <w:spacing w:after="0"/>
              <w:rPr>
                <w:sz w:val="20"/>
                <w:szCs w:val="20"/>
                <w:color w:val="auto"/>
              </w:rPr>
            </w:pPr>
            <w:r>
              <w:rPr>
                <w:rFonts w:ascii="Arial" w:cs="Arial" w:eastAsia="Arial" w:hAnsi="Arial"/>
                <w:sz w:val="18"/>
                <w:szCs w:val="18"/>
                <w:color w:val="auto"/>
              </w:rPr>
              <w:t>(208)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24"/>
                <w:szCs w:val="24"/>
                <w:color w:val="auto"/>
              </w:rPr>
            </w:pPr>
          </w:p>
        </w:tc>
      </w:tr>
      <w:tr>
        <w:trPr>
          <w:trHeight w:val="216"/>
        </w:trPr>
        <w:tc>
          <w:tcPr>
            <w:tcW w:w="1680" w:type="dxa"/>
            <w:vAlign w:val="bottom"/>
            <w:tcBorders>
              <w:top w:val="single" w:sz="8" w:color="auto"/>
              <w:bottom w:val="single" w:sz="8" w:color="auto"/>
            </w:tcBorders>
          </w:tcPr>
          <w:p>
            <w:pPr>
              <w:jc w:val="right"/>
              <w:ind w:right="677"/>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8"/>
                <w:szCs w:val="18"/>
                <w:color w:val="auto"/>
              </w:rPr>
              <w:t>(129)</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r>
    </w:tbl>
    <w:p>
      <w:pPr>
        <w:sectPr>
          <w:pgSz w:w="11900" w:h="16838" w:orient="portrait"/>
          <w:cols w:equalWidth="0" w:num="2">
            <w:col w:w="5800" w:space="620"/>
            <w:col w:w="5000"/>
          </w:cols>
          <w:pgMar w:left="240" w:top="175" w:right="239" w:bottom="1440" w:gutter="0" w:footer="0" w:header="0"/>
        </w:sectPr>
      </w:pPr>
    </w:p>
    <w:bookmarkStart w:id="11" w:name="page12"/>
    <w:bookmarkEnd w:id="11"/>
    <w:p>
      <w:pPr>
        <w:spacing w:after="0"/>
        <w:tabs>
          <w:tab w:leader="none" w:pos="340" w:val="left"/>
        </w:tabs>
        <w:rPr>
          <w:sz w:val="20"/>
          <w:szCs w:val="20"/>
          <w:color w:val="auto"/>
        </w:rPr>
      </w:pPr>
      <w:r>
        <w:rPr>
          <w:rFonts w:ascii="Arial" w:cs="Arial" w:eastAsia="Arial" w:hAnsi="Arial"/>
          <w:sz w:val="18"/>
          <w:szCs w:val="18"/>
          <w:b w:val="1"/>
          <w:bCs w:val="1"/>
          <w:color w:val="auto"/>
        </w:rPr>
        <w:t>5.</w:t>
        <w:tab/>
        <w:t>Earnings Per Share</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2880" w:type="dxa"/>
            <w:vAlign w:val="bottom"/>
            <w:gridSpan w:val="3"/>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240" w:type="dxa"/>
            <w:vAlign w:val="bottom"/>
            <w:gridSpan w:val="2"/>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40" w:type="dxa"/>
            <w:vAlign w:val="bottom"/>
          </w:tcPr>
          <w:p>
            <w:pPr>
              <w:spacing w:after="0"/>
              <w:rPr>
                <w:sz w:val="16"/>
                <w:szCs w:val="16"/>
                <w:color w:val="auto"/>
              </w:rPr>
            </w:pPr>
          </w:p>
        </w:tc>
        <w:tc>
          <w:tcPr>
            <w:tcW w:w="1640" w:type="dxa"/>
            <w:vAlign w:val="bottom"/>
          </w:tcPr>
          <w:p>
            <w:pPr>
              <w:jc w:val="right"/>
              <w:ind w:right="958"/>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6"/>
                <w:szCs w:val="16"/>
                <w:color w:val="auto"/>
              </w:rPr>
            </w:pPr>
          </w:p>
        </w:tc>
        <w:tc>
          <w:tcPr>
            <w:tcW w:w="1600" w:type="dxa"/>
            <w:vAlign w:val="bottom"/>
          </w:tcPr>
          <w:p>
            <w:pPr>
              <w:jc w:val="right"/>
              <w:ind w:right="918"/>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58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xml:space="preserve">Net income attributable to ExxonMobil </w:t>
            </w:r>
            <w:r>
              <w:rPr>
                <w:rFonts w:ascii="Arial" w:cs="Arial" w:eastAsia="Arial" w:hAnsi="Arial"/>
                <w:sz w:val="18"/>
                <w:szCs w:val="18"/>
                <w:i w:val="1"/>
                <w:iCs w:val="1"/>
                <w:color w:val="auto"/>
              </w:rPr>
              <w:t>(millions of dollars)</w:t>
            </w:r>
          </w:p>
        </w:tc>
        <w:tc>
          <w:tcPr>
            <w:tcW w:w="1640" w:type="dxa"/>
            <w:vAlign w:val="bottom"/>
          </w:tcPr>
          <w:p>
            <w:pPr>
              <w:jc w:val="right"/>
              <w:ind w:right="698"/>
              <w:spacing w:after="0"/>
              <w:rPr>
                <w:sz w:val="20"/>
                <w:szCs w:val="20"/>
                <w:color w:val="auto"/>
              </w:rPr>
            </w:pPr>
            <w:r>
              <w:rPr>
                <w:rFonts w:ascii="Arial" w:cs="Arial" w:eastAsia="Arial" w:hAnsi="Arial"/>
                <w:sz w:val="18"/>
                <w:szCs w:val="18"/>
                <w:color w:val="auto"/>
              </w:rPr>
              <w:t>6,240</w:t>
            </w:r>
          </w:p>
        </w:tc>
        <w:tc>
          <w:tcPr>
            <w:tcW w:w="660" w:type="dxa"/>
            <w:vAlign w:val="bottom"/>
          </w:tcPr>
          <w:p>
            <w:pPr>
              <w:jc w:val="right"/>
              <w:spacing w:after="0"/>
              <w:rPr>
                <w:sz w:val="20"/>
                <w:szCs w:val="20"/>
                <w:color w:val="auto"/>
              </w:rPr>
            </w:pPr>
            <w:r>
              <w:rPr>
                <w:rFonts w:ascii="Arial" w:cs="Arial" w:eastAsia="Arial" w:hAnsi="Arial"/>
                <w:sz w:val="18"/>
                <w:szCs w:val="18"/>
                <w:color w:val="auto"/>
              </w:rPr>
              <w:t>3,970</w:t>
            </w:r>
          </w:p>
        </w:tc>
        <w:tc>
          <w:tcPr>
            <w:tcW w:w="580" w:type="dxa"/>
            <w:vAlign w:val="bottom"/>
          </w:tcPr>
          <w:p>
            <w:pPr>
              <w:spacing w:after="0"/>
              <w:rPr>
                <w:sz w:val="20"/>
                <w:szCs w:val="20"/>
                <w:color w:val="auto"/>
              </w:rPr>
            </w:pPr>
          </w:p>
        </w:tc>
        <w:tc>
          <w:tcPr>
            <w:tcW w:w="1600" w:type="dxa"/>
            <w:vAlign w:val="bottom"/>
          </w:tcPr>
          <w:p>
            <w:pPr>
              <w:jc w:val="right"/>
              <w:ind w:right="678"/>
              <w:spacing w:after="0"/>
              <w:rPr>
                <w:sz w:val="20"/>
                <w:szCs w:val="20"/>
                <w:color w:val="auto"/>
              </w:rPr>
            </w:pPr>
            <w:r>
              <w:rPr>
                <w:rFonts w:ascii="Arial" w:cs="Arial" w:eastAsia="Arial" w:hAnsi="Arial"/>
                <w:sz w:val="18"/>
                <w:szCs w:val="18"/>
                <w:color w:val="auto"/>
              </w:rPr>
              <w:t>14,840</w:t>
            </w:r>
          </w:p>
        </w:tc>
        <w:tc>
          <w:tcPr>
            <w:tcW w:w="640" w:type="dxa"/>
            <w:vAlign w:val="bottom"/>
          </w:tcPr>
          <w:p>
            <w:pPr>
              <w:jc w:val="right"/>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458"/>
        </w:trPr>
        <w:tc>
          <w:tcPr>
            <w:tcW w:w="5840" w:type="dxa"/>
            <w:vAlign w:val="bottom"/>
          </w:tcPr>
          <w:p>
            <w:pPr>
              <w:spacing w:after="0"/>
              <w:rPr>
                <w:sz w:val="20"/>
                <w:szCs w:val="20"/>
                <w:color w:val="auto"/>
              </w:rPr>
            </w:pPr>
            <w:r>
              <w:rPr>
                <w:rFonts w:ascii="Arial" w:cs="Arial" w:eastAsia="Arial" w:hAnsi="Arial"/>
                <w:sz w:val="18"/>
                <w:szCs w:val="18"/>
                <w:color w:val="auto"/>
              </w:rPr>
              <w:t>Weighted average number of common shares</w:t>
            </w: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 xml:space="preserve">outstanding </w:t>
            </w:r>
            <w:r>
              <w:rPr>
                <w:rFonts w:ascii="Arial" w:cs="Arial" w:eastAsia="Arial" w:hAnsi="Arial"/>
                <w:sz w:val="18"/>
                <w:szCs w:val="18"/>
                <w:i w:val="1"/>
                <w:iCs w:val="1"/>
                <w:color w:val="auto"/>
              </w:rPr>
              <w:t>(millions of shares)</w:t>
            </w:r>
          </w:p>
        </w:tc>
        <w:tc>
          <w:tcPr>
            <w:tcW w:w="1640" w:type="dxa"/>
            <w:vAlign w:val="bottom"/>
          </w:tcPr>
          <w:p>
            <w:pPr>
              <w:jc w:val="right"/>
              <w:ind w:right="698"/>
              <w:spacing w:after="0"/>
              <w:rPr>
                <w:sz w:val="20"/>
                <w:szCs w:val="20"/>
                <w:color w:val="auto"/>
              </w:rPr>
            </w:pPr>
            <w:r>
              <w:rPr>
                <w:rFonts w:ascii="Arial" w:cs="Arial" w:eastAsia="Arial" w:hAnsi="Arial"/>
                <w:sz w:val="18"/>
                <w:szCs w:val="18"/>
                <w:color w:val="auto"/>
              </w:rPr>
              <w:t>4,271</w:t>
            </w:r>
          </w:p>
        </w:tc>
        <w:tc>
          <w:tcPr>
            <w:tcW w:w="660" w:type="dxa"/>
            <w:vAlign w:val="bottom"/>
          </w:tcPr>
          <w:p>
            <w:pPr>
              <w:jc w:val="right"/>
              <w:spacing w:after="0"/>
              <w:rPr>
                <w:sz w:val="20"/>
                <w:szCs w:val="20"/>
                <w:color w:val="auto"/>
              </w:rPr>
            </w:pPr>
            <w:r>
              <w:rPr>
                <w:rFonts w:ascii="Arial" w:cs="Arial" w:eastAsia="Arial" w:hAnsi="Arial"/>
                <w:sz w:val="18"/>
                <w:szCs w:val="18"/>
                <w:color w:val="auto"/>
              </w:rPr>
              <w:t>4,271</w:t>
            </w:r>
          </w:p>
        </w:tc>
        <w:tc>
          <w:tcPr>
            <w:tcW w:w="580" w:type="dxa"/>
            <w:vAlign w:val="bottom"/>
          </w:tcPr>
          <w:p>
            <w:pPr>
              <w:spacing w:after="0"/>
              <w:rPr>
                <w:sz w:val="20"/>
                <w:szCs w:val="20"/>
                <w:color w:val="auto"/>
              </w:rPr>
            </w:pPr>
          </w:p>
        </w:tc>
        <w:tc>
          <w:tcPr>
            <w:tcW w:w="1600" w:type="dxa"/>
            <w:vAlign w:val="bottom"/>
          </w:tcPr>
          <w:p>
            <w:pPr>
              <w:jc w:val="right"/>
              <w:ind w:right="678"/>
              <w:spacing w:after="0"/>
              <w:rPr>
                <w:sz w:val="20"/>
                <w:szCs w:val="20"/>
                <w:color w:val="auto"/>
              </w:rPr>
            </w:pPr>
            <w:r>
              <w:rPr>
                <w:rFonts w:ascii="Arial" w:cs="Arial" w:eastAsia="Arial" w:hAnsi="Arial"/>
                <w:sz w:val="18"/>
                <w:szCs w:val="18"/>
                <w:color w:val="auto"/>
              </w:rPr>
              <w:t>4,271</w:t>
            </w:r>
          </w:p>
        </w:tc>
        <w:tc>
          <w:tcPr>
            <w:tcW w:w="640" w:type="dxa"/>
            <w:vAlign w:val="bottom"/>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18"/>
                <w:szCs w:val="18"/>
                <w:color w:val="auto"/>
              </w:rPr>
              <w:t xml:space="preserve">Earnings per common share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4"/>
                <w:szCs w:val="14"/>
                <w:i w:val="1"/>
                <w:iCs w:val="1"/>
                <w:color w:val="auto"/>
              </w:rPr>
              <w:t>(1)</w:t>
            </w:r>
          </w:p>
        </w:tc>
        <w:tc>
          <w:tcPr>
            <w:tcW w:w="1640" w:type="dxa"/>
            <w:vAlign w:val="bottom"/>
          </w:tcPr>
          <w:p>
            <w:pPr>
              <w:jc w:val="right"/>
              <w:ind w:right="698"/>
              <w:spacing w:after="0"/>
              <w:rPr>
                <w:sz w:val="20"/>
                <w:szCs w:val="20"/>
                <w:color w:val="auto"/>
              </w:rPr>
            </w:pPr>
            <w:r>
              <w:rPr>
                <w:rFonts w:ascii="Arial" w:cs="Arial" w:eastAsia="Arial" w:hAnsi="Arial"/>
                <w:sz w:val="18"/>
                <w:szCs w:val="18"/>
                <w:color w:val="auto"/>
              </w:rPr>
              <w:t>1.46</w:t>
            </w:r>
          </w:p>
        </w:tc>
        <w:tc>
          <w:tcPr>
            <w:tcW w:w="660" w:type="dxa"/>
            <w:vAlign w:val="bottom"/>
          </w:tcPr>
          <w:p>
            <w:pPr>
              <w:jc w:val="right"/>
              <w:spacing w:after="0"/>
              <w:rPr>
                <w:sz w:val="20"/>
                <w:szCs w:val="20"/>
                <w:color w:val="auto"/>
              </w:rPr>
            </w:pPr>
            <w:r>
              <w:rPr>
                <w:rFonts w:ascii="Arial" w:cs="Arial" w:eastAsia="Arial" w:hAnsi="Arial"/>
                <w:sz w:val="18"/>
                <w:szCs w:val="18"/>
                <w:color w:val="auto"/>
              </w:rPr>
              <w:t>0.93</w:t>
            </w:r>
          </w:p>
        </w:tc>
        <w:tc>
          <w:tcPr>
            <w:tcW w:w="580" w:type="dxa"/>
            <w:vAlign w:val="bottom"/>
          </w:tcPr>
          <w:p>
            <w:pPr>
              <w:spacing w:after="0"/>
              <w:rPr>
                <w:sz w:val="24"/>
                <w:szCs w:val="24"/>
                <w:color w:val="auto"/>
              </w:rPr>
            </w:pPr>
          </w:p>
        </w:tc>
        <w:tc>
          <w:tcPr>
            <w:tcW w:w="1600" w:type="dxa"/>
            <w:vAlign w:val="bottom"/>
          </w:tcPr>
          <w:p>
            <w:pPr>
              <w:jc w:val="right"/>
              <w:ind w:right="678"/>
              <w:spacing w:after="0"/>
              <w:rPr>
                <w:sz w:val="20"/>
                <w:szCs w:val="20"/>
                <w:color w:val="auto"/>
              </w:rPr>
            </w:pPr>
            <w:r>
              <w:rPr>
                <w:rFonts w:ascii="Arial" w:cs="Arial" w:eastAsia="Arial" w:hAnsi="Arial"/>
                <w:sz w:val="18"/>
                <w:szCs w:val="18"/>
                <w:color w:val="auto"/>
              </w:rPr>
              <w:t>3.47</w:t>
            </w:r>
          </w:p>
        </w:tc>
        <w:tc>
          <w:tcPr>
            <w:tcW w:w="64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446"/>
        </w:trPr>
        <w:tc>
          <w:tcPr>
            <w:tcW w:w="5840" w:type="dxa"/>
            <w:vAlign w:val="bottom"/>
          </w:tcPr>
          <w:p>
            <w:pPr>
              <w:spacing w:after="0"/>
              <w:rPr>
                <w:sz w:val="20"/>
                <w:szCs w:val="20"/>
                <w:color w:val="auto"/>
              </w:rPr>
            </w:pPr>
            <w:r>
              <w:rPr>
                <w:rFonts w:ascii="Arial" w:cs="Arial" w:eastAsia="Arial" w:hAnsi="Arial"/>
                <w:sz w:val="18"/>
                <w:szCs w:val="18"/>
                <w:color w:val="auto"/>
              </w:rPr>
              <w:t xml:space="preserve">Dividends paid per common share </w:t>
            </w:r>
            <w:r>
              <w:rPr>
                <w:rFonts w:ascii="Arial" w:cs="Arial" w:eastAsia="Arial" w:hAnsi="Arial"/>
                <w:sz w:val="18"/>
                <w:szCs w:val="18"/>
                <w:i w:val="1"/>
                <w:iCs w:val="1"/>
                <w:color w:val="auto"/>
              </w:rPr>
              <w:t>(dollars)</w:t>
            </w:r>
          </w:p>
        </w:tc>
        <w:tc>
          <w:tcPr>
            <w:tcW w:w="1640" w:type="dxa"/>
            <w:vAlign w:val="bottom"/>
          </w:tcPr>
          <w:p>
            <w:pPr>
              <w:jc w:val="right"/>
              <w:ind w:right="698"/>
              <w:spacing w:after="0"/>
              <w:rPr>
                <w:sz w:val="20"/>
                <w:szCs w:val="20"/>
                <w:color w:val="auto"/>
              </w:rPr>
            </w:pPr>
            <w:r>
              <w:rPr>
                <w:rFonts w:ascii="Arial" w:cs="Arial" w:eastAsia="Arial" w:hAnsi="Arial"/>
                <w:sz w:val="18"/>
                <w:szCs w:val="18"/>
                <w:color w:val="auto"/>
              </w:rPr>
              <w:t>0.82</w:t>
            </w:r>
          </w:p>
        </w:tc>
        <w:tc>
          <w:tcPr>
            <w:tcW w:w="660" w:type="dxa"/>
            <w:vAlign w:val="bottom"/>
          </w:tcPr>
          <w:p>
            <w:pPr>
              <w:jc w:val="right"/>
              <w:spacing w:after="0"/>
              <w:rPr>
                <w:sz w:val="20"/>
                <w:szCs w:val="20"/>
                <w:color w:val="auto"/>
              </w:rPr>
            </w:pPr>
            <w:r>
              <w:rPr>
                <w:rFonts w:ascii="Arial" w:cs="Arial" w:eastAsia="Arial" w:hAnsi="Arial"/>
                <w:sz w:val="18"/>
                <w:szCs w:val="18"/>
                <w:color w:val="auto"/>
              </w:rPr>
              <w:t>0.77</w:t>
            </w:r>
          </w:p>
        </w:tc>
        <w:tc>
          <w:tcPr>
            <w:tcW w:w="580" w:type="dxa"/>
            <w:vAlign w:val="bottom"/>
          </w:tcPr>
          <w:p>
            <w:pPr>
              <w:spacing w:after="0"/>
              <w:rPr>
                <w:sz w:val="24"/>
                <w:szCs w:val="24"/>
                <w:color w:val="auto"/>
              </w:rPr>
            </w:pPr>
          </w:p>
        </w:tc>
        <w:tc>
          <w:tcPr>
            <w:tcW w:w="1600" w:type="dxa"/>
            <w:vAlign w:val="bottom"/>
          </w:tcPr>
          <w:p>
            <w:pPr>
              <w:jc w:val="right"/>
              <w:ind w:right="678"/>
              <w:spacing w:after="0"/>
              <w:rPr>
                <w:sz w:val="20"/>
                <w:szCs w:val="20"/>
                <w:color w:val="auto"/>
              </w:rPr>
            </w:pPr>
            <w:r>
              <w:rPr>
                <w:rFonts w:ascii="Arial" w:cs="Arial" w:eastAsia="Arial" w:hAnsi="Arial"/>
                <w:sz w:val="18"/>
                <w:szCs w:val="18"/>
                <w:color w:val="auto"/>
              </w:rPr>
              <w:t>2.41</w:t>
            </w: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251"/>
        <w:spacing w:after="0"/>
        <w:tabs>
          <w:tab w:leader="none" w:pos="340" w:val="left"/>
        </w:tabs>
        <w:numPr>
          <w:ilvl w:val="1"/>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calculation of earnings per common share and earnings per common share – assuming dilution are the same in each period shown.</w:t>
      </w:r>
    </w:p>
    <w:p>
      <w:pPr>
        <w:spacing w:after="0" w:line="369" w:lineRule="exact"/>
        <w:rPr>
          <w:rFonts w:ascii="Arial" w:cs="Arial" w:eastAsia="Arial" w:hAnsi="Arial"/>
          <w:sz w:val="18"/>
          <w:szCs w:val="18"/>
          <w:i w:val="1"/>
          <w:iCs w:val="1"/>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2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230"/>
        </w:trPr>
        <w:tc>
          <w:tcPr>
            <w:tcW w:w="5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6"/>
        </w:trPr>
        <w:tc>
          <w:tcPr>
            <w:tcW w:w="50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184"/>
        </w:trPr>
        <w:tc>
          <w:tcPr>
            <w:tcW w:w="5000" w:type="dxa"/>
            <w:vAlign w:val="bottom"/>
          </w:tcPr>
          <w:p>
            <w:pPr>
              <w:spacing w:after="0"/>
              <w:rPr>
                <w:sz w:val="16"/>
                <w:szCs w:val="16"/>
                <w:color w:val="auto"/>
              </w:rPr>
            </w:pPr>
          </w:p>
        </w:tc>
        <w:tc>
          <w:tcPr>
            <w:tcW w:w="3080" w:type="dxa"/>
            <w:vAlign w:val="bottom"/>
            <w:gridSpan w:val="2"/>
          </w:tcPr>
          <w:p>
            <w:pPr>
              <w:jc w:val="right"/>
              <w:ind w:right="957"/>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913"/>
              <w:spacing w:after="0"/>
              <w:rPr>
                <w:sz w:val="20"/>
                <w:szCs w:val="20"/>
                <w:color w:val="auto"/>
              </w:rPr>
            </w:pPr>
            <w:r>
              <w:rPr>
                <w:rFonts w:ascii="Arial" w:cs="Arial" w:eastAsia="Arial" w:hAnsi="Arial"/>
                <w:sz w:val="14"/>
                <w:szCs w:val="14"/>
                <w:b w:val="1"/>
                <w:bCs w:val="1"/>
                <w:color w:val="auto"/>
                <w:w w:val="96"/>
              </w:rPr>
              <w:t>2018</w:t>
            </w:r>
          </w:p>
        </w:tc>
        <w:tc>
          <w:tcPr>
            <w:tcW w:w="6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r>
      <w:tr>
        <w:trPr>
          <w:trHeight w:val="26"/>
        </w:trPr>
        <w:tc>
          <w:tcPr>
            <w:tcW w:w="5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60"/>
        </w:trPr>
        <w:tc>
          <w:tcPr>
            <w:tcW w:w="5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gridSpan w:val="3"/>
          </w:tcPr>
          <w:p>
            <w:pPr>
              <w:ind w:left="220"/>
              <w:spacing w:after="0"/>
              <w:rPr>
                <w:sz w:val="20"/>
                <w:szCs w:val="20"/>
                <w:color w:val="auto"/>
              </w:rPr>
            </w:pPr>
            <w:r>
              <w:rPr>
                <w:rFonts w:ascii="Arial" w:cs="Arial" w:eastAsia="Arial" w:hAnsi="Arial"/>
                <w:sz w:val="14"/>
                <w:szCs w:val="14"/>
                <w:i w:val="1"/>
                <w:iCs w:val="1"/>
                <w:color w:val="auto"/>
                <w:w w:val="97"/>
              </w:rPr>
              <w:t>(millions of dollars)</w:t>
            </w: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5000" w:type="dxa"/>
            <w:vAlign w:val="bottom"/>
          </w:tcPr>
          <w:p>
            <w:pPr>
              <w:ind w:left="460"/>
              <w:spacing w:after="0"/>
              <w:rPr>
                <w:sz w:val="20"/>
                <w:szCs w:val="20"/>
                <w:color w:val="auto"/>
              </w:rPr>
            </w:pPr>
            <w:r>
              <w:rPr>
                <w:rFonts w:ascii="Arial" w:cs="Arial" w:eastAsia="Arial" w:hAnsi="Arial"/>
                <w:sz w:val="18"/>
                <w:szCs w:val="18"/>
                <w:b w:val="1"/>
                <w:bCs w:val="1"/>
                <w:color w:val="auto"/>
              </w:rPr>
              <w:t>Components of net benefit cost</w:t>
            </w: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000" w:type="dxa"/>
            <w:vAlign w:val="bottom"/>
          </w:tcPr>
          <w:p>
            <w:pPr>
              <w:ind w:left="820"/>
              <w:spacing w:after="0"/>
              <w:rPr>
                <w:sz w:val="20"/>
                <w:szCs w:val="20"/>
                <w:color w:val="auto"/>
              </w:rPr>
            </w:pPr>
            <w:r>
              <w:rPr>
                <w:rFonts w:ascii="Arial" w:cs="Arial" w:eastAsia="Arial" w:hAnsi="Arial"/>
                <w:sz w:val="18"/>
                <w:szCs w:val="18"/>
                <w:color w:val="auto"/>
              </w:rPr>
              <w:t>Pension Benefits - U.S.</w:t>
            </w: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Service cost</w:t>
            </w:r>
          </w:p>
        </w:tc>
        <w:tc>
          <w:tcPr>
            <w:tcW w:w="3080" w:type="dxa"/>
            <w:vAlign w:val="bottom"/>
            <w:gridSpan w:val="2"/>
          </w:tcPr>
          <w:p>
            <w:pPr>
              <w:jc w:val="right"/>
              <w:ind w:right="697"/>
              <w:spacing w:after="0"/>
              <w:rPr>
                <w:sz w:val="20"/>
                <w:szCs w:val="20"/>
                <w:color w:val="auto"/>
              </w:rPr>
            </w:pPr>
            <w:r>
              <w:rPr>
                <w:rFonts w:ascii="Arial" w:cs="Arial" w:eastAsia="Arial" w:hAnsi="Arial"/>
                <w:sz w:val="18"/>
                <w:szCs w:val="18"/>
                <w:color w:val="auto"/>
              </w:rPr>
              <w:t>203</w:t>
            </w: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616</w:t>
            </w:r>
          </w:p>
        </w:tc>
        <w:tc>
          <w:tcPr>
            <w:tcW w:w="640" w:type="dxa"/>
            <w:vAlign w:val="bottom"/>
          </w:tcPr>
          <w:p>
            <w:pPr>
              <w:jc w:val="right"/>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9"/>
                <w:szCs w:val="19"/>
                <w:color w:val="auto"/>
              </w:rPr>
            </w:pP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Interest cost</w:t>
            </w:r>
          </w:p>
        </w:tc>
        <w:tc>
          <w:tcPr>
            <w:tcW w:w="3080" w:type="dxa"/>
            <w:vAlign w:val="bottom"/>
            <w:gridSpan w:val="2"/>
          </w:tcPr>
          <w:p>
            <w:pPr>
              <w:jc w:val="right"/>
              <w:ind w:right="697"/>
              <w:spacing w:after="0"/>
              <w:rPr>
                <w:sz w:val="20"/>
                <w:szCs w:val="20"/>
                <w:color w:val="auto"/>
              </w:rPr>
            </w:pPr>
            <w:r>
              <w:rPr>
                <w:rFonts w:ascii="Arial" w:cs="Arial" w:eastAsia="Arial" w:hAnsi="Arial"/>
                <w:sz w:val="18"/>
                <w:szCs w:val="18"/>
                <w:color w:val="auto"/>
              </w:rPr>
              <w:t>179</w:t>
            </w:r>
          </w:p>
        </w:tc>
        <w:tc>
          <w:tcPr>
            <w:tcW w:w="660" w:type="dxa"/>
            <w:vAlign w:val="bottom"/>
          </w:tcPr>
          <w:p>
            <w:pPr>
              <w:jc w:val="right"/>
              <w:spacing w:after="0"/>
              <w:rPr>
                <w:sz w:val="20"/>
                <w:szCs w:val="20"/>
                <w:color w:val="auto"/>
              </w:rPr>
            </w:pPr>
            <w:r>
              <w:rPr>
                <w:rFonts w:ascii="Arial" w:cs="Arial" w:eastAsia="Arial" w:hAnsi="Arial"/>
                <w:sz w:val="18"/>
                <w:szCs w:val="18"/>
                <w:color w:val="auto"/>
              </w:rPr>
              <w:t>199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540</w:t>
            </w:r>
          </w:p>
        </w:tc>
        <w:tc>
          <w:tcPr>
            <w:tcW w:w="640" w:type="dxa"/>
            <w:vAlign w:val="bottom"/>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9"/>
                <w:szCs w:val="19"/>
                <w:color w:val="auto"/>
              </w:rPr>
            </w:pP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Expected return on plan assets</w:t>
            </w:r>
          </w:p>
        </w:tc>
        <w:tc>
          <w:tcPr>
            <w:tcW w:w="3080" w:type="dxa"/>
            <w:vAlign w:val="bottom"/>
            <w:gridSpan w:val="2"/>
          </w:tcPr>
          <w:p>
            <w:pPr>
              <w:jc w:val="right"/>
              <w:ind w:right="637"/>
              <w:spacing w:after="0"/>
              <w:rPr>
                <w:sz w:val="20"/>
                <w:szCs w:val="20"/>
                <w:color w:val="auto"/>
              </w:rPr>
            </w:pPr>
            <w:r>
              <w:rPr>
                <w:rFonts w:ascii="Arial" w:cs="Arial" w:eastAsia="Arial" w:hAnsi="Arial"/>
                <w:sz w:val="18"/>
                <w:szCs w:val="18"/>
                <w:color w:val="auto"/>
              </w:rPr>
              <w:t>(182)</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9"/>
                <w:szCs w:val="19"/>
                <w:color w:val="auto"/>
              </w:rPr>
            </w:pPr>
          </w:p>
        </w:tc>
        <w:tc>
          <w:tcPr>
            <w:tcW w:w="1320" w:type="dxa"/>
            <w:vAlign w:val="bottom"/>
          </w:tcPr>
          <w:p>
            <w:pPr>
              <w:jc w:val="right"/>
              <w:ind w:right="613"/>
              <w:spacing w:after="0"/>
              <w:rPr>
                <w:sz w:val="20"/>
                <w:szCs w:val="20"/>
                <w:color w:val="auto"/>
              </w:rPr>
            </w:pPr>
            <w:r>
              <w:rPr>
                <w:rFonts w:ascii="Arial" w:cs="Arial" w:eastAsia="Arial" w:hAnsi="Arial"/>
                <w:sz w:val="18"/>
                <w:szCs w:val="18"/>
                <w:color w:val="auto"/>
              </w:rPr>
              <w:t>(545)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Amortization of actuarial loss/(gain) and prior</w:t>
            </w: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00" w:type="dxa"/>
            <w:vAlign w:val="bottom"/>
          </w:tcPr>
          <w:p>
            <w:pPr>
              <w:ind w:left="1280"/>
              <w:spacing w:after="0"/>
              <w:rPr>
                <w:sz w:val="20"/>
                <w:szCs w:val="20"/>
                <w:color w:val="auto"/>
              </w:rPr>
            </w:pPr>
            <w:r>
              <w:rPr>
                <w:rFonts w:ascii="Arial" w:cs="Arial" w:eastAsia="Arial" w:hAnsi="Arial"/>
                <w:sz w:val="18"/>
                <w:szCs w:val="18"/>
                <w:color w:val="auto"/>
              </w:rPr>
              <w:t>service cost</w:t>
            </w:r>
          </w:p>
        </w:tc>
        <w:tc>
          <w:tcPr>
            <w:tcW w:w="3080" w:type="dxa"/>
            <w:vAlign w:val="bottom"/>
            <w:gridSpan w:val="2"/>
          </w:tcPr>
          <w:p>
            <w:pPr>
              <w:jc w:val="right"/>
              <w:ind w:right="697"/>
              <w:spacing w:after="0"/>
              <w:rPr>
                <w:sz w:val="20"/>
                <w:szCs w:val="20"/>
                <w:color w:val="auto"/>
              </w:rPr>
            </w:pPr>
            <w:r>
              <w:rPr>
                <w:rFonts w:ascii="Arial" w:cs="Arial" w:eastAsia="Arial" w:hAnsi="Arial"/>
                <w:sz w:val="18"/>
                <w:szCs w:val="18"/>
                <w:color w:val="auto"/>
              </w:rPr>
              <w:t>93</w:t>
            </w: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276</w:t>
            </w:r>
          </w:p>
        </w:tc>
        <w:tc>
          <w:tcPr>
            <w:tcW w:w="640" w:type="dxa"/>
            <w:vAlign w:val="bottom"/>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Net pension enhancement and</w:t>
            </w: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5000" w:type="dxa"/>
            <w:vAlign w:val="bottom"/>
          </w:tcPr>
          <w:p>
            <w:pPr>
              <w:ind w:left="1280"/>
              <w:spacing w:after="0"/>
              <w:rPr>
                <w:sz w:val="20"/>
                <w:szCs w:val="20"/>
                <w:color w:val="auto"/>
              </w:rPr>
            </w:pPr>
            <w:r>
              <w:rPr>
                <w:rFonts w:ascii="Arial" w:cs="Arial" w:eastAsia="Arial" w:hAnsi="Arial"/>
                <w:sz w:val="18"/>
                <w:szCs w:val="18"/>
                <w:color w:val="auto"/>
              </w:rPr>
              <w:t>curtailment/settlement cost</w:t>
            </w:r>
          </w:p>
        </w:tc>
        <w:tc>
          <w:tcPr>
            <w:tcW w:w="3080" w:type="dxa"/>
            <w:vAlign w:val="bottom"/>
            <w:gridSpan w:val="2"/>
          </w:tcPr>
          <w:p>
            <w:pPr>
              <w:jc w:val="right"/>
              <w:ind w:right="697"/>
              <w:spacing w:after="0"/>
              <w:rPr>
                <w:sz w:val="20"/>
                <w:szCs w:val="20"/>
                <w:color w:val="auto"/>
              </w:rPr>
            </w:pPr>
            <w:r>
              <w:rPr>
                <w:rFonts w:ascii="Arial" w:cs="Arial" w:eastAsia="Arial" w:hAnsi="Arial"/>
                <w:sz w:val="18"/>
                <w:szCs w:val="18"/>
                <w:color w:val="auto"/>
              </w:rPr>
              <w:t>63</w:t>
            </w:r>
          </w:p>
        </w:tc>
        <w:tc>
          <w:tcPr>
            <w:tcW w:w="660" w:type="dxa"/>
            <w:vAlign w:val="bottom"/>
          </w:tcPr>
          <w:p>
            <w:pPr>
              <w:jc w:val="right"/>
              <w:spacing w:after="0"/>
              <w:rPr>
                <w:sz w:val="20"/>
                <w:szCs w:val="20"/>
                <w:color w:val="auto"/>
              </w:rPr>
            </w:pPr>
            <w:r>
              <w:rPr>
                <w:rFonts w:ascii="Arial" w:cs="Arial" w:eastAsia="Arial" w:hAnsi="Arial"/>
                <w:sz w:val="18"/>
                <w:szCs w:val="18"/>
                <w:color w:val="auto"/>
              </w:rPr>
              <w:t>187</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189</w:t>
            </w:r>
          </w:p>
        </w:tc>
        <w:tc>
          <w:tcPr>
            <w:tcW w:w="64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0"/>
                <w:szCs w:val="20"/>
                <w:color w:val="auto"/>
              </w:rPr>
            </w:pPr>
          </w:p>
        </w:tc>
      </w:tr>
      <w:tr>
        <w:trPr>
          <w:trHeight w:val="216"/>
        </w:trPr>
        <w:tc>
          <w:tcPr>
            <w:tcW w:w="5000" w:type="dxa"/>
            <w:vAlign w:val="bottom"/>
          </w:tcPr>
          <w:p>
            <w:pPr>
              <w:ind w:left="1040"/>
              <w:spacing w:after="0" w:line="203" w:lineRule="exact"/>
              <w:rPr>
                <w:sz w:val="20"/>
                <w:szCs w:val="20"/>
                <w:color w:val="auto"/>
              </w:rPr>
            </w:pPr>
            <w:r>
              <w:rPr>
                <w:rFonts w:ascii="Arial" w:cs="Arial" w:eastAsia="Arial" w:hAnsi="Arial"/>
                <w:sz w:val="18"/>
                <w:szCs w:val="18"/>
                <w:color w:val="auto"/>
              </w:rPr>
              <w:t>Net benefit cost</w:t>
            </w:r>
          </w:p>
        </w:tc>
        <w:tc>
          <w:tcPr>
            <w:tcW w:w="144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8"/>
                <w:szCs w:val="18"/>
                <w:color w:val="auto"/>
              </w:rPr>
              <w:t>356</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4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color w:val="auto"/>
              </w:rPr>
              <w:t>1,076</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Pr>
          <w:p>
            <w:pPr>
              <w:spacing w:after="0"/>
              <w:rPr>
                <w:sz w:val="18"/>
                <w:szCs w:val="18"/>
                <w:color w:val="auto"/>
              </w:rPr>
            </w:pPr>
          </w:p>
        </w:tc>
      </w:tr>
      <w:tr>
        <w:trPr>
          <w:trHeight w:val="425"/>
        </w:trPr>
        <w:tc>
          <w:tcPr>
            <w:tcW w:w="5000" w:type="dxa"/>
            <w:vAlign w:val="bottom"/>
          </w:tcPr>
          <w:p>
            <w:pPr>
              <w:ind w:left="820"/>
              <w:spacing w:after="0"/>
              <w:rPr>
                <w:sz w:val="20"/>
                <w:szCs w:val="20"/>
                <w:color w:val="auto"/>
              </w:rPr>
            </w:pPr>
            <w:r>
              <w:rPr>
                <w:rFonts w:ascii="Arial" w:cs="Arial" w:eastAsia="Arial" w:hAnsi="Arial"/>
                <w:sz w:val="18"/>
                <w:szCs w:val="18"/>
                <w:color w:val="auto"/>
              </w:rPr>
              <w:t>Pension Benefits - Non-U.S.</w:t>
            </w: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Service cost</w:t>
            </w:r>
          </w:p>
        </w:tc>
        <w:tc>
          <w:tcPr>
            <w:tcW w:w="3080" w:type="dxa"/>
            <w:vAlign w:val="bottom"/>
            <w:gridSpan w:val="2"/>
          </w:tcPr>
          <w:p>
            <w:pPr>
              <w:jc w:val="right"/>
              <w:ind w:right="697"/>
              <w:spacing w:after="0"/>
              <w:rPr>
                <w:sz w:val="20"/>
                <w:szCs w:val="20"/>
                <w:color w:val="auto"/>
              </w:rPr>
            </w:pPr>
            <w:r>
              <w:rPr>
                <w:rFonts w:ascii="Arial" w:cs="Arial" w:eastAsia="Arial" w:hAnsi="Arial"/>
                <w:sz w:val="18"/>
                <w:szCs w:val="18"/>
                <w:color w:val="auto"/>
              </w:rPr>
              <w:t>149</w:t>
            </w:r>
          </w:p>
        </w:tc>
        <w:tc>
          <w:tcPr>
            <w:tcW w:w="660" w:type="dxa"/>
            <w:vAlign w:val="bottom"/>
          </w:tcPr>
          <w:p>
            <w:pPr>
              <w:jc w:val="right"/>
              <w:spacing w:after="0"/>
              <w:rPr>
                <w:sz w:val="20"/>
                <w:szCs w:val="20"/>
                <w:color w:val="auto"/>
              </w:rPr>
            </w:pPr>
            <w:r>
              <w:rPr>
                <w:rFonts w:ascii="Arial" w:cs="Arial" w:eastAsia="Arial" w:hAnsi="Arial"/>
                <w:sz w:val="18"/>
                <w:szCs w:val="18"/>
                <w:color w:val="auto"/>
              </w:rPr>
              <w:t>155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461</w:t>
            </w:r>
          </w:p>
        </w:tc>
        <w:tc>
          <w:tcPr>
            <w:tcW w:w="640" w:type="dxa"/>
            <w:vAlign w:val="bottom"/>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9"/>
                <w:szCs w:val="19"/>
                <w:color w:val="auto"/>
              </w:rPr>
            </w:pP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Interest cost</w:t>
            </w:r>
          </w:p>
        </w:tc>
        <w:tc>
          <w:tcPr>
            <w:tcW w:w="3080" w:type="dxa"/>
            <w:vAlign w:val="bottom"/>
            <w:gridSpan w:val="2"/>
          </w:tcPr>
          <w:p>
            <w:pPr>
              <w:jc w:val="right"/>
              <w:ind w:right="697"/>
              <w:spacing w:after="0"/>
              <w:rPr>
                <w:sz w:val="20"/>
                <w:szCs w:val="20"/>
                <w:color w:val="auto"/>
              </w:rPr>
            </w:pPr>
            <w:r>
              <w:rPr>
                <w:rFonts w:ascii="Arial" w:cs="Arial" w:eastAsia="Arial" w:hAnsi="Arial"/>
                <w:sz w:val="18"/>
                <w:szCs w:val="18"/>
                <w:color w:val="auto"/>
              </w:rPr>
              <w:t>185</w:t>
            </w:r>
          </w:p>
        </w:tc>
        <w:tc>
          <w:tcPr>
            <w:tcW w:w="660" w:type="dxa"/>
            <w:vAlign w:val="bottom"/>
          </w:tcPr>
          <w:p>
            <w:pPr>
              <w:jc w:val="right"/>
              <w:spacing w:after="0"/>
              <w:rPr>
                <w:sz w:val="20"/>
                <w:szCs w:val="20"/>
                <w:color w:val="auto"/>
              </w:rPr>
            </w:pPr>
            <w:r>
              <w:rPr>
                <w:rFonts w:ascii="Arial" w:cs="Arial" w:eastAsia="Arial" w:hAnsi="Arial"/>
                <w:sz w:val="18"/>
                <w:szCs w:val="18"/>
                <w:color w:val="auto"/>
              </w:rPr>
              <w:t>198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571</w:t>
            </w:r>
          </w:p>
        </w:tc>
        <w:tc>
          <w:tcPr>
            <w:tcW w:w="640" w:type="dxa"/>
            <w:vAlign w:val="bottom"/>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9"/>
                <w:szCs w:val="19"/>
                <w:color w:val="auto"/>
              </w:rPr>
            </w:pP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Expected return on plan assets</w:t>
            </w:r>
          </w:p>
        </w:tc>
        <w:tc>
          <w:tcPr>
            <w:tcW w:w="3080" w:type="dxa"/>
            <w:vAlign w:val="bottom"/>
            <w:gridSpan w:val="2"/>
          </w:tcPr>
          <w:p>
            <w:pPr>
              <w:jc w:val="right"/>
              <w:ind w:right="637"/>
              <w:spacing w:after="0"/>
              <w:rPr>
                <w:sz w:val="20"/>
                <w:szCs w:val="20"/>
                <w:color w:val="auto"/>
              </w:rPr>
            </w:pPr>
            <w:r>
              <w:rPr>
                <w:rFonts w:ascii="Arial" w:cs="Arial" w:eastAsia="Arial" w:hAnsi="Arial"/>
                <w:sz w:val="18"/>
                <w:szCs w:val="18"/>
                <w:color w:val="auto"/>
              </w:rPr>
              <w:t>(233)</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19"/>
                <w:szCs w:val="19"/>
                <w:color w:val="auto"/>
              </w:rPr>
            </w:pPr>
          </w:p>
        </w:tc>
        <w:tc>
          <w:tcPr>
            <w:tcW w:w="1320" w:type="dxa"/>
            <w:vAlign w:val="bottom"/>
          </w:tcPr>
          <w:p>
            <w:pPr>
              <w:jc w:val="right"/>
              <w:ind w:right="613"/>
              <w:spacing w:after="0"/>
              <w:rPr>
                <w:sz w:val="20"/>
                <w:szCs w:val="20"/>
                <w:color w:val="auto"/>
              </w:rPr>
            </w:pPr>
            <w:r>
              <w:rPr>
                <w:rFonts w:ascii="Arial" w:cs="Arial" w:eastAsia="Arial" w:hAnsi="Arial"/>
                <w:sz w:val="18"/>
                <w:szCs w:val="18"/>
                <w:color w:val="auto"/>
              </w:rPr>
              <w:t>(722)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Amortization of actuarial loss/(gain) and prior</w:t>
            </w: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000" w:type="dxa"/>
            <w:vAlign w:val="bottom"/>
          </w:tcPr>
          <w:p>
            <w:pPr>
              <w:ind w:left="1280"/>
              <w:spacing w:after="0"/>
              <w:rPr>
                <w:sz w:val="20"/>
                <w:szCs w:val="20"/>
                <w:color w:val="auto"/>
              </w:rPr>
            </w:pPr>
            <w:r>
              <w:rPr>
                <w:rFonts w:ascii="Arial" w:cs="Arial" w:eastAsia="Arial" w:hAnsi="Arial"/>
                <w:sz w:val="18"/>
                <w:szCs w:val="18"/>
                <w:color w:val="auto"/>
              </w:rPr>
              <w:t>service cost</w:t>
            </w:r>
          </w:p>
        </w:tc>
        <w:tc>
          <w:tcPr>
            <w:tcW w:w="3080" w:type="dxa"/>
            <w:vAlign w:val="bottom"/>
            <w:gridSpan w:val="2"/>
          </w:tcPr>
          <w:p>
            <w:pPr>
              <w:jc w:val="right"/>
              <w:ind w:right="697"/>
              <w:spacing w:after="0"/>
              <w:rPr>
                <w:sz w:val="20"/>
                <w:szCs w:val="20"/>
                <w:color w:val="auto"/>
              </w:rPr>
            </w:pPr>
            <w:r>
              <w:rPr>
                <w:rFonts w:ascii="Arial" w:cs="Arial" w:eastAsia="Arial" w:hAnsi="Arial"/>
                <w:sz w:val="18"/>
                <w:szCs w:val="18"/>
                <w:color w:val="auto"/>
              </w:rPr>
              <w:t>113</w:t>
            </w: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344</w:t>
            </w:r>
          </w:p>
        </w:tc>
        <w:tc>
          <w:tcPr>
            <w:tcW w:w="64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Net pension enhancement and</w:t>
            </w: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5000" w:type="dxa"/>
            <w:vAlign w:val="bottom"/>
          </w:tcPr>
          <w:p>
            <w:pPr>
              <w:ind w:left="1280"/>
              <w:spacing w:after="0"/>
              <w:rPr>
                <w:sz w:val="20"/>
                <w:szCs w:val="20"/>
                <w:color w:val="auto"/>
              </w:rPr>
            </w:pPr>
            <w:r>
              <w:rPr>
                <w:rFonts w:ascii="Arial" w:cs="Arial" w:eastAsia="Arial" w:hAnsi="Arial"/>
                <w:sz w:val="18"/>
                <w:szCs w:val="18"/>
                <w:color w:val="auto"/>
              </w:rPr>
              <w:t>curtailment/settlement cost</w:t>
            </w:r>
          </w:p>
        </w:tc>
        <w:tc>
          <w:tcPr>
            <w:tcW w:w="3080" w:type="dxa"/>
            <w:vAlign w:val="bottom"/>
            <w:gridSpan w:val="2"/>
          </w:tcPr>
          <w:p>
            <w:pPr>
              <w:jc w:val="right"/>
              <w:ind w:right="69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33</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5000" w:type="dxa"/>
            <w:vAlign w:val="bottom"/>
          </w:tcPr>
          <w:p>
            <w:pPr>
              <w:ind w:left="1040"/>
              <w:spacing w:after="0" w:line="203" w:lineRule="exact"/>
              <w:rPr>
                <w:sz w:val="20"/>
                <w:szCs w:val="20"/>
                <w:color w:val="auto"/>
              </w:rPr>
            </w:pPr>
            <w:r>
              <w:rPr>
                <w:rFonts w:ascii="Arial" w:cs="Arial" w:eastAsia="Arial" w:hAnsi="Arial"/>
                <w:sz w:val="18"/>
                <w:szCs w:val="18"/>
                <w:color w:val="auto"/>
              </w:rPr>
              <w:t>Net benefit cost</w:t>
            </w:r>
          </w:p>
        </w:tc>
        <w:tc>
          <w:tcPr>
            <w:tcW w:w="144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8"/>
                <w:szCs w:val="18"/>
                <w:color w:val="auto"/>
              </w:rPr>
              <w:t>214</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4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color w:val="auto"/>
              </w:rPr>
              <w:t>687</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8"/>
                <w:szCs w:val="18"/>
                <w:color w:val="auto"/>
              </w:rPr>
            </w:pPr>
          </w:p>
        </w:tc>
      </w:tr>
      <w:tr>
        <w:trPr>
          <w:trHeight w:val="425"/>
        </w:trPr>
        <w:tc>
          <w:tcPr>
            <w:tcW w:w="5000" w:type="dxa"/>
            <w:vAlign w:val="bottom"/>
          </w:tcPr>
          <w:p>
            <w:pPr>
              <w:ind w:left="820"/>
              <w:spacing w:after="0"/>
              <w:rPr>
                <w:sz w:val="20"/>
                <w:szCs w:val="20"/>
                <w:color w:val="auto"/>
              </w:rPr>
            </w:pPr>
            <w:r>
              <w:rPr>
                <w:rFonts w:ascii="Arial" w:cs="Arial" w:eastAsia="Arial" w:hAnsi="Arial"/>
                <w:sz w:val="18"/>
                <w:szCs w:val="18"/>
                <w:color w:val="auto"/>
              </w:rPr>
              <w:t>Other Postretirement Benefits</w:t>
            </w: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Service cost</w:t>
            </w:r>
          </w:p>
        </w:tc>
        <w:tc>
          <w:tcPr>
            <w:tcW w:w="3080" w:type="dxa"/>
            <w:vAlign w:val="bottom"/>
            <w:gridSpan w:val="2"/>
          </w:tcPr>
          <w:p>
            <w:pPr>
              <w:jc w:val="right"/>
              <w:ind w:right="697"/>
              <w:spacing w:after="0"/>
              <w:rPr>
                <w:sz w:val="20"/>
                <w:szCs w:val="20"/>
                <w:color w:val="auto"/>
              </w:rPr>
            </w:pPr>
            <w:r>
              <w:rPr>
                <w:rFonts w:ascii="Arial" w:cs="Arial" w:eastAsia="Arial" w:hAnsi="Arial"/>
                <w:sz w:val="18"/>
                <w:szCs w:val="18"/>
                <w:color w:val="auto"/>
              </w:rPr>
              <w:t>40</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111</w:t>
            </w: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Interest cost</w:t>
            </w:r>
          </w:p>
        </w:tc>
        <w:tc>
          <w:tcPr>
            <w:tcW w:w="3080" w:type="dxa"/>
            <w:vAlign w:val="bottom"/>
            <w:gridSpan w:val="2"/>
          </w:tcPr>
          <w:p>
            <w:pPr>
              <w:jc w:val="right"/>
              <w:ind w:right="697"/>
              <w:spacing w:after="0"/>
              <w:rPr>
                <w:sz w:val="20"/>
                <w:szCs w:val="20"/>
                <w:color w:val="auto"/>
              </w:rPr>
            </w:pPr>
            <w:r>
              <w:rPr>
                <w:rFonts w:ascii="Arial" w:cs="Arial" w:eastAsia="Arial" w:hAnsi="Arial"/>
                <w:sz w:val="18"/>
                <w:szCs w:val="18"/>
                <w:color w:val="auto"/>
              </w:rPr>
              <w:t>75</w:t>
            </w: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226</w:t>
            </w:r>
          </w:p>
        </w:tc>
        <w:tc>
          <w:tcPr>
            <w:tcW w:w="64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9"/>
                <w:szCs w:val="19"/>
                <w:color w:val="auto"/>
              </w:rPr>
            </w:pP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Expected return on plan assets</w:t>
            </w:r>
          </w:p>
        </w:tc>
        <w:tc>
          <w:tcPr>
            <w:tcW w:w="3080" w:type="dxa"/>
            <w:vAlign w:val="bottom"/>
            <w:gridSpan w:val="2"/>
          </w:tcPr>
          <w:p>
            <w:pPr>
              <w:jc w:val="right"/>
              <w:ind w:right="637"/>
              <w:spacing w:after="0"/>
              <w:rPr>
                <w:sz w:val="20"/>
                <w:szCs w:val="20"/>
                <w:color w:val="auto"/>
              </w:rPr>
            </w:pPr>
            <w:r>
              <w:rPr>
                <w:rFonts w:ascii="Arial" w:cs="Arial" w:eastAsia="Arial" w:hAnsi="Arial"/>
                <w:sz w:val="18"/>
                <w:szCs w:val="18"/>
                <w:color w:val="auto"/>
              </w:rPr>
              <w:t>(5)</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320" w:type="dxa"/>
            <w:vAlign w:val="bottom"/>
          </w:tcPr>
          <w:p>
            <w:pPr>
              <w:jc w:val="right"/>
              <w:ind w:right="613"/>
              <w:spacing w:after="0"/>
              <w:rPr>
                <w:sz w:val="20"/>
                <w:szCs w:val="20"/>
                <w:color w:val="auto"/>
              </w:rPr>
            </w:pPr>
            <w:r>
              <w:rPr>
                <w:rFonts w:ascii="Arial" w:cs="Arial" w:eastAsia="Arial" w:hAnsi="Arial"/>
                <w:sz w:val="18"/>
                <w:szCs w:val="18"/>
                <w:color w:val="auto"/>
              </w:rPr>
              <w:t>(17)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5000" w:type="dxa"/>
            <w:vAlign w:val="bottom"/>
          </w:tcPr>
          <w:p>
            <w:pPr>
              <w:ind w:left="1040"/>
              <w:spacing w:after="0"/>
              <w:rPr>
                <w:sz w:val="20"/>
                <w:szCs w:val="20"/>
                <w:color w:val="auto"/>
              </w:rPr>
            </w:pPr>
            <w:r>
              <w:rPr>
                <w:rFonts w:ascii="Arial" w:cs="Arial" w:eastAsia="Arial" w:hAnsi="Arial"/>
                <w:sz w:val="18"/>
                <w:szCs w:val="18"/>
                <w:color w:val="auto"/>
              </w:rPr>
              <w:t>Amortization of actuarial loss/(gain) and prior</w:t>
            </w: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5000" w:type="dxa"/>
            <w:vAlign w:val="bottom"/>
          </w:tcPr>
          <w:p>
            <w:pPr>
              <w:ind w:left="1280"/>
              <w:spacing w:after="0"/>
              <w:rPr>
                <w:sz w:val="20"/>
                <w:szCs w:val="20"/>
                <w:color w:val="auto"/>
              </w:rPr>
            </w:pPr>
            <w:r>
              <w:rPr>
                <w:rFonts w:ascii="Arial" w:cs="Arial" w:eastAsia="Arial" w:hAnsi="Arial"/>
                <w:sz w:val="18"/>
                <w:szCs w:val="18"/>
                <w:color w:val="auto"/>
              </w:rPr>
              <w:t>service cost</w:t>
            </w:r>
          </w:p>
        </w:tc>
        <w:tc>
          <w:tcPr>
            <w:tcW w:w="3080" w:type="dxa"/>
            <w:vAlign w:val="bottom"/>
            <w:gridSpan w:val="2"/>
          </w:tcPr>
          <w:p>
            <w:pPr>
              <w:jc w:val="right"/>
              <w:ind w:right="697"/>
              <w:spacing w:after="0"/>
              <w:rPr>
                <w:sz w:val="20"/>
                <w:szCs w:val="20"/>
                <w:color w:val="auto"/>
              </w:rPr>
            </w:pPr>
            <w:r>
              <w:rPr>
                <w:rFonts w:ascii="Arial" w:cs="Arial" w:eastAsia="Arial" w:hAnsi="Arial"/>
                <w:sz w:val="18"/>
                <w:szCs w:val="18"/>
                <w:color w:val="auto"/>
              </w:rPr>
              <w:t>19</w:t>
            </w: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673"/>
              <w:spacing w:after="0"/>
              <w:rPr>
                <w:sz w:val="20"/>
                <w:szCs w:val="20"/>
                <w:color w:val="auto"/>
              </w:rPr>
            </w:pPr>
            <w:r>
              <w:rPr>
                <w:rFonts w:ascii="Arial" w:cs="Arial" w:eastAsia="Arial" w:hAnsi="Arial"/>
                <w:sz w:val="18"/>
                <w:szCs w:val="18"/>
                <w:color w:val="auto"/>
              </w:rPr>
              <w:t>57</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r>
      <w:tr>
        <w:trPr>
          <w:trHeight w:val="216"/>
        </w:trPr>
        <w:tc>
          <w:tcPr>
            <w:tcW w:w="5000" w:type="dxa"/>
            <w:vAlign w:val="bottom"/>
          </w:tcPr>
          <w:p>
            <w:pPr>
              <w:ind w:left="1040"/>
              <w:spacing w:after="0" w:line="203" w:lineRule="exact"/>
              <w:rPr>
                <w:sz w:val="20"/>
                <w:szCs w:val="20"/>
                <w:color w:val="auto"/>
              </w:rPr>
            </w:pPr>
            <w:r>
              <w:rPr>
                <w:rFonts w:ascii="Arial" w:cs="Arial" w:eastAsia="Arial" w:hAnsi="Arial"/>
                <w:sz w:val="18"/>
                <w:szCs w:val="18"/>
                <w:color w:val="auto"/>
              </w:rPr>
              <w:t>Net benefit cost</w:t>
            </w:r>
          </w:p>
        </w:tc>
        <w:tc>
          <w:tcPr>
            <w:tcW w:w="144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8"/>
                <w:szCs w:val="18"/>
                <w:color w:val="auto"/>
              </w:rPr>
              <w:t>129</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8"/>
                <w:szCs w:val="18"/>
                <w:color w:val="auto"/>
              </w:rPr>
              <w:t>377</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r>
      <w:tr>
        <w:trPr>
          <w:trHeight w:val="412"/>
        </w:trPr>
        <w:tc>
          <w:tcPr>
            <w:tcW w:w="5000" w:type="dxa"/>
            <w:vAlign w:val="bottom"/>
          </w:tcPr>
          <w:p>
            <w:pPr>
              <w:spacing w:after="0"/>
              <w:rPr>
                <w:sz w:val="24"/>
                <w:szCs w:val="24"/>
                <w:color w:val="auto"/>
              </w:rPr>
            </w:pPr>
          </w:p>
        </w:tc>
        <w:tc>
          <w:tcPr>
            <w:tcW w:w="1440" w:type="dxa"/>
            <w:vAlign w:val="bottom"/>
          </w:tcPr>
          <w:p>
            <w:pPr>
              <w:jc w:val="right"/>
              <w:ind w:right="551"/>
              <w:spacing w:after="0"/>
              <w:rPr>
                <w:sz w:val="20"/>
                <w:szCs w:val="20"/>
                <w:color w:val="auto"/>
              </w:rPr>
            </w:pPr>
            <w:r>
              <w:rPr>
                <w:rFonts w:ascii="Arial" w:cs="Arial" w:eastAsia="Arial" w:hAnsi="Arial"/>
                <w:sz w:val="18"/>
                <w:szCs w:val="18"/>
                <w:color w:val="auto"/>
              </w:rPr>
              <w:t>12</w:t>
            </w: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500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132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75" w:right="219" w:bottom="1440" w:gutter="0" w:footer="0" w:header="0"/>
        </w:sectPr>
      </w:pPr>
    </w:p>
    <w:bookmarkStart w:id="12" w:name="page13"/>
    <w:bookmarkEnd w:id="12"/>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Derivatives</w:t>
      </w:r>
    </w:p>
    <w:p>
      <w:pPr>
        <w:spacing w:after="0" w:line="18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color w:val="auto"/>
        </w:rPr>
        <w:t>Effective January 1, 2018, ExxonMobil adopted the Financial Accounting</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Overall (Subtopic 825-10): Recognition and Measurement of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2018, and the related hierarchy level for the fair value measurement is as follows: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right"/>
        <w:spacing w:after="0" w:line="377" w:lineRule="auto"/>
        <w:rPr>
          <w:sz w:val="20"/>
          <w:szCs w:val="20"/>
          <w:color w:val="auto"/>
        </w:rPr>
      </w:pPr>
      <w:r>
        <w:rPr>
          <w:rFonts w:ascii="Arial" w:cs="Arial" w:eastAsia="Arial" w:hAnsi="Arial"/>
          <w:sz w:val="16"/>
          <w:szCs w:val="16"/>
          <w:color w:val="auto"/>
        </w:rPr>
        <w:t xml:space="preserve">Standards Board’s Update,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The estimated fair value of financial instruments at</w:t>
      </w:r>
    </w:p>
    <w:p>
      <w:pPr>
        <w:spacing w:after="0" w:line="318" w:lineRule="exact"/>
        <w:rPr>
          <w:sz w:val="20"/>
          <w:szCs w:val="20"/>
          <w:color w:val="auto"/>
        </w:rPr>
      </w:pPr>
    </w:p>
    <w:p>
      <w:pPr>
        <w:sectPr>
          <w:pgSz w:w="11900" w:h="16838" w:orient="portrait"/>
          <w:cols w:equalWidth="0" w:num="2">
            <w:col w:w="7540" w:space="20"/>
            <w:col w:w="3860"/>
          </w:cols>
          <w:pgMar w:left="240" w:top="162" w:right="239" w:bottom="1440" w:gutter="0" w:footer="0" w:header="0"/>
        </w:sectPr>
      </w:pPr>
    </w:p>
    <w:tbl>
      <w:tblPr>
        <w:tblLayout w:type="fixed"/>
        <w:tblInd w:w="4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jc w:val="center"/>
              <w:ind w:left="454"/>
              <w:spacing w:after="0"/>
              <w:rPr>
                <w:sz w:val="20"/>
                <w:szCs w:val="20"/>
                <w:color w:val="auto"/>
              </w:rPr>
            </w:pPr>
            <w:r>
              <w:rPr>
                <w:rFonts w:ascii="Arial" w:cs="Arial" w:eastAsia="Arial" w:hAnsi="Arial"/>
                <w:sz w:val="14"/>
                <w:szCs w:val="14"/>
                <w:b w:val="1"/>
                <w:bCs w:val="1"/>
                <w:color w:val="auto"/>
                <w:w w:val="92"/>
              </w:rPr>
              <w:t>At September 30, 2018</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gridSpan w:val="4"/>
          </w:tcPr>
          <w:p>
            <w:pPr>
              <w:jc w:val="center"/>
              <w:ind w:right="400"/>
              <w:spacing w:after="0"/>
              <w:rPr>
                <w:sz w:val="20"/>
                <w:szCs w:val="20"/>
                <w:color w:val="auto"/>
              </w:rPr>
            </w:pPr>
            <w:r>
              <w:rPr>
                <w:rFonts w:ascii="Arial" w:cs="Arial" w:eastAsia="Arial" w:hAnsi="Arial"/>
                <w:sz w:val="14"/>
                <w:szCs w:val="14"/>
                <w:i w:val="1"/>
                <w:iCs w:val="1"/>
                <w:color w:val="auto"/>
                <w:w w:val="99"/>
              </w:rPr>
              <w:t>(millions of dollars)</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58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ind w:left="680"/>
              <w:spacing w:after="0"/>
              <w:rPr>
                <w:sz w:val="20"/>
                <w:szCs w:val="20"/>
                <w:color w:val="auto"/>
              </w:rPr>
            </w:pPr>
            <w:r>
              <w:rPr>
                <w:rFonts w:ascii="Arial" w:cs="Arial" w:eastAsia="Arial" w:hAnsi="Arial"/>
                <w:sz w:val="14"/>
                <w:szCs w:val="14"/>
                <w:b w:val="1"/>
                <w:bCs w:val="1"/>
                <w:color w:val="auto"/>
                <w:w w:val="95"/>
              </w:rPr>
              <w:t>Fair Value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gridSpan w:val="2"/>
            <w:vMerge w:val="continue"/>
          </w:tcPr>
          <w:p>
            <w:pPr>
              <w:spacing w:after="0"/>
              <w:rPr>
                <w:sz w:val="16"/>
                <w:szCs w:val="16"/>
                <w:color w:val="auto"/>
              </w:rPr>
            </w:pPr>
          </w:p>
        </w:tc>
        <w:tc>
          <w:tcPr>
            <w:tcW w:w="920" w:type="dxa"/>
            <w:vAlign w:val="bottom"/>
          </w:tcPr>
          <w:p>
            <w:pPr>
              <w:jc w:val="right"/>
              <w:ind w:right="15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1340" w:type="dxa"/>
            <w:vAlign w:val="bottom"/>
            <w:gridSpan w:val="3"/>
          </w:tcPr>
          <w:p>
            <w:pPr>
              <w:ind w:left="220"/>
              <w:spacing w:after="0"/>
              <w:rPr>
                <w:sz w:val="20"/>
                <w:szCs w:val="20"/>
                <w:color w:val="auto"/>
              </w:rPr>
            </w:pPr>
            <w:r>
              <w:rPr>
                <w:rFonts w:ascii="Arial" w:cs="Arial" w:eastAsia="Arial" w:hAnsi="Arial"/>
                <w:sz w:val="14"/>
                <w:szCs w:val="14"/>
                <w:b w:val="1"/>
                <w:bCs w:val="1"/>
                <w:color w:val="auto"/>
              </w:rPr>
              <w:t>Level 2</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5820" w:type="dxa"/>
            <w:vAlign w:val="bottom"/>
            <w:vMerge w:val="continue"/>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Derivative assets (included in the Balance Sheet line: Other</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700"/>
              <w:spacing w:after="0"/>
              <w:rPr>
                <w:sz w:val="20"/>
                <w:szCs w:val="20"/>
                <w:color w:val="auto"/>
              </w:rPr>
            </w:pPr>
            <w:r>
              <w:rPr>
                <w:rFonts w:ascii="Arial" w:cs="Arial" w:eastAsia="Arial" w:hAnsi="Arial"/>
                <w:sz w:val="18"/>
                <w:szCs w:val="18"/>
                <w:color w:val="auto"/>
              </w:rPr>
              <w:t>current assets)</w:t>
            </w: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104</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Advances to/receivables from equity companies (included in</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700"/>
              <w:spacing w:after="0"/>
              <w:rPr>
                <w:sz w:val="20"/>
                <w:szCs w:val="20"/>
                <w:color w:val="auto"/>
              </w:rPr>
            </w:pPr>
            <w:r>
              <w:rPr>
                <w:rFonts w:ascii="Arial" w:cs="Arial" w:eastAsia="Arial" w:hAnsi="Arial"/>
                <w:sz w:val="18"/>
                <w:szCs w:val="18"/>
                <w:color w:val="auto"/>
              </w:rPr>
              <w:t>the Balance Sheet line: Investments, advances and</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700"/>
              <w:spacing w:after="0"/>
              <w:rPr>
                <w:sz w:val="20"/>
                <w:szCs w:val="20"/>
                <w:color w:val="auto"/>
              </w:rPr>
            </w:pPr>
            <w:r>
              <w:rPr>
                <w:rFonts w:ascii="Arial" w:cs="Arial" w:eastAsia="Arial" w:hAnsi="Arial"/>
                <w:sz w:val="18"/>
                <w:szCs w:val="18"/>
                <w:color w:val="auto"/>
              </w:rPr>
              <w:t>long-term receivables)</w:t>
            </w:r>
          </w:p>
        </w:tc>
        <w:tc>
          <w:tcPr>
            <w:tcW w:w="1040" w:type="dxa"/>
            <w:vAlign w:val="bottom"/>
          </w:tcPr>
          <w:p>
            <w:pPr>
              <w:jc w:val="right"/>
              <w:spacing w:after="0"/>
              <w:rPr>
                <w:sz w:val="20"/>
                <w:szCs w:val="20"/>
                <w:color w:val="auto"/>
              </w:rPr>
            </w:pPr>
            <w:r>
              <w:rPr>
                <w:rFonts w:ascii="Arial" w:cs="Arial" w:eastAsia="Arial" w:hAnsi="Arial"/>
                <w:sz w:val="18"/>
                <w:szCs w:val="18"/>
                <w:color w:val="auto"/>
              </w:rPr>
              <w:t>8,969</w:t>
            </w:r>
          </w:p>
        </w:tc>
        <w:tc>
          <w:tcPr>
            <w:tcW w:w="24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1,763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7,072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Other long-term financial assets (included in the Balance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700"/>
              <w:spacing w:after="0"/>
              <w:rPr>
                <w:sz w:val="20"/>
                <w:szCs w:val="20"/>
                <w:color w:val="auto"/>
              </w:rPr>
            </w:pPr>
            <w:r>
              <w:rPr>
                <w:rFonts w:ascii="Arial" w:cs="Arial" w:eastAsia="Arial" w:hAnsi="Arial"/>
                <w:sz w:val="18"/>
                <w:szCs w:val="18"/>
                <w:color w:val="auto"/>
              </w:rPr>
              <w:t>Sheet lines: Investments, advances and long-term receivables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700"/>
              <w:spacing w:after="0"/>
              <w:rPr>
                <w:sz w:val="20"/>
                <w:szCs w:val="20"/>
                <w:color w:val="auto"/>
              </w:rPr>
            </w:pPr>
            <w:r>
              <w:rPr>
                <w:rFonts w:ascii="Arial" w:cs="Arial" w:eastAsia="Arial" w:hAnsi="Arial"/>
                <w:sz w:val="18"/>
                <w:szCs w:val="18"/>
                <w:color w:val="auto"/>
              </w:rPr>
              <w:t>and Other assets, including intangibles – net)</w:t>
            </w:r>
          </w:p>
        </w:tc>
        <w:tc>
          <w:tcPr>
            <w:tcW w:w="1040" w:type="dxa"/>
            <w:vAlign w:val="bottom"/>
          </w:tcPr>
          <w:p>
            <w:pPr>
              <w:jc w:val="right"/>
              <w:spacing w:after="0"/>
              <w:rPr>
                <w:sz w:val="20"/>
                <w:szCs w:val="20"/>
                <w:color w:val="auto"/>
              </w:rPr>
            </w:pPr>
            <w:r>
              <w:rPr>
                <w:rFonts w:ascii="Arial" w:cs="Arial" w:eastAsia="Arial" w:hAnsi="Arial"/>
                <w:sz w:val="18"/>
                <w:szCs w:val="18"/>
                <w:color w:val="auto"/>
              </w:rPr>
              <w:t>1,748</w:t>
            </w:r>
          </w:p>
        </w:tc>
        <w:tc>
          <w:tcPr>
            <w:tcW w:w="2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764</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418"/>
        </w:trPr>
        <w:tc>
          <w:tcPr>
            <w:tcW w:w="58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Derivative liabilities (included in the Balance Sheet line: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700"/>
              <w:spacing w:after="0"/>
              <w:rPr>
                <w:sz w:val="20"/>
                <w:szCs w:val="20"/>
                <w:color w:val="auto"/>
              </w:rPr>
            </w:pPr>
            <w:r>
              <w:rPr>
                <w:rFonts w:ascii="Arial" w:cs="Arial" w:eastAsia="Arial" w:hAnsi="Arial"/>
                <w:sz w:val="18"/>
                <w:szCs w:val="18"/>
                <w:color w:val="auto"/>
              </w:rPr>
              <w:t>Accounts payable and accrued liabilities)</w:t>
            </w:r>
          </w:p>
        </w:tc>
        <w:tc>
          <w:tcPr>
            <w:tcW w:w="1040" w:type="dxa"/>
            <w:vAlign w:val="bottom"/>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248</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Long-term debt (excluding capitalized lease obligations)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19,275</w:t>
            </w:r>
          </w:p>
        </w:tc>
        <w:tc>
          <w:tcPr>
            <w:tcW w:w="2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19,020</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19,134</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Long-term obligations to equity companies</w:t>
            </w:r>
          </w:p>
        </w:tc>
        <w:tc>
          <w:tcPr>
            <w:tcW w:w="1040" w:type="dxa"/>
            <w:vAlign w:val="bottom"/>
          </w:tcPr>
          <w:p>
            <w:pPr>
              <w:jc w:val="right"/>
              <w:spacing w:after="0"/>
              <w:rPr>
                <w:sz w:val="20"/>
                <w:szCs w:val="20"/>
                <w:color w:val="auto"/>
              </w:rPr>
            </w:pPr>
            <w:r>
              <w:rPr>
                <w:rFonts w:ascii="Arial" w:cs="Arial" w:eastAsia="Arial" w:hAnsi="Arial"/>
                <w:sz w:val="18"/>
                <w:szCs w:val="18"/>
                <w:color w:val="auto"/>
              </w:rPr>
              <w:t>4,625</w:t>
            </w:r>
          </w:p>
        </w:tc>
        <w:tc>
          <w:tcPr>
            <w:tcW w:w="2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4,728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Other long-term financial liabilities (included in the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700"/>
              <w:spacing w:after="0"/>
              <w:rPr>
                <w:sz w:val="20"/>
                <w:szCs w:val="20"/>
                <w:color w:val="auto"/>
              </w:rPr>
            </w:pPr>
            <w:r>
              <w:rPr>
                <w:rFonts w:ascii="Arial" w:cs="Arial" w:eastAsia="Arial" w:hAnsi="Arial"/>
                <w:sz w:val="18"/>
                <w:szCs w:val="18"/>
                <w:color w:val="auto"/>
              </w:rPr>
              <w:t>Balance Sheet line: Other long-term obligations)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1,121</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Derivative Instruments. </w:t>
      </w:r>
      <w:r>
        <w:rPr>
          <w:rFonts w:ascii="Arial" w:cs="Arial" w:eastAsia="Arial" w:hAnsi="Arial"/>
          <w:sz w:val="16"/>
          <w:szCs w:val="16"/>
          <w:color w:val="auto"/>
        </w:rPr>
        <w:t>The Corporation’s size, strong capital structure, geographic diversity and the complementary nature of the Upstream, Downstream</w:t>
      </w:r>
      <w:r>
        <w:rPr>
          <w:rFonts w:ascii="Arial" w:cs="Arial" w:eastAsia="Arial" w:hAnsi="Arial"/>
          <w:sz w:val="16"/>
          <w:szCs w:val="16"/>
          <w:b w:val="1"/>
          <w:bCs w:val="1"/>
          <w:color w:val="auto"/>
        </w:rPr>
        <w:t xml:space="preserve"> </w:t>
      </w:r>
      <w:r>
        <w:rPr>
          <w:rFonts w:ascii="Arial" w:cs="Arial" w:eastAsia="Arial" w:hAnsi="Arial"/>
          <w:sz w:val="16"/>
          <w:szCs w:val="16"/>
          <w:color w:val="auto"/>
        </w:rPr>
        <w:t>and Chemical businesses reduce the Corporation’s enterprise-wide risk from changes in interest rates, currency rates and commodity prices. In addition, the Corporation uses commodity-based contracts, including derivatives, to manage commodity price risk and for trading purposes. Credit risk associated with the Corporation’s derivative position is mitigated by several factors, including the use of derivative clearing exchanges and the quality of and financial limits placed on derivative counterparties. The Corporation believes that there are no material market or credit risks to the Corporation’s financial position, results of operations or liquidity as a result of the derivatives. The Corporation maintains a system of controls that includes the authorization, reporting and monitoring of derivative activity. Derivative instruments are currently not subject to a master netting agreement, and the Corporation has not offset collateral against the carrying value. The carrying value of derivative instruments, none of which are designated as hedging instruments, is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220" w:type="dxa"/>
            <w:vAlign w:val="bottom"/>
          </w:tcPr>
          <w:p>
            <w:pPr>
              <w:jc w:val="right"/>
              <w:ind w:right="1258"/>
              <w:spacing w:after="0"/>
              <w:rPr>
                <w:sz w:val="20"/>
                <w:szCs w:val="20"/>
                <w:color w:val="auto"/>
              </w:rPr>
            </w:pPr>
            <w:r>
              <w:rPr>
                <w:rFonts w:ascii="Arial" w:cs="Arial" w:eastAsia="Arial" w:hAnsi="Arial"/>
                <w:sz w:val="14"/>
                <w:szCs w:val="14"/>
                <w:b w:val="1"/>
                <w:bCs w:val="1"/>
                <w:color w:val="auto"/>
              </w:rPr>
              <w:t>Sept. 30,</w:t>
            </w:r>
          </w:p>
        </w:tc>
        <w:tc>
          <w:tcPr>
            <w:tcW w:w="940" w:type="dxa"/>
            <w:vAlign w:val="bottom"/>
          </w:tcPr>
          <w:p>
            <w:pPr>
              <w:jc w:val="right"/>
              <w:ind w:right="296"/>
              <w:spacing w:after="0"/>
              <w:rPr>
                <w:sz w:val="20"/>
                <w:szCs w:val="20"/>
                <w:color w:val="auto"/>
              </w:rPr>
            </w:pPr>
            <w:r>
              <w:rPr>
                <w:rFonts w:ascii="Arial" w:cs="Arial" w:eastAsia="Arial" w:hAnsi="Arial"/>
                <w:sz w:val="14"/>
                <w:szCs w:val="14"/>
                <w:b w:val="1"/>
                <w:bCs w:val="1"/>
                <w:color w:val="auto"/>
              </w:rPr>
              <w:t>Dec. 31,</w:t>
            </w:r>
          </w:p>
        </w:tc>
      </w:tr>
      <w:tr>
        <w:trPr>
          <w:trHeight w:val="216"/>
        </w:trPr>
        <w:tc>
          <w:tcPr>
            <w:tcW w:w="8220" w:type="dxa"/>
            <w:vAlign w:val="bottom"/>
          </w:tcPr>
          <w:p>
            <w:pPr>
              <w:spacing w:after="0"/>
              <w:rPr>
                <w:sz w:val="18"/>
                <w:szCs w:val="18"/>
                <w:color w:val="auto"/>
              </w:rPr>
            </w:pPr>
          </w:p>
        </w:tc>
        <w:tc>
          <w:tcPr>
            <w:tcW w:w="2220" w:type="dxa"/>
            <w:vAlign w:val="bottom"/>
          </w:tcPr>
          <w:p>
            <w:pPr>
              <w:jc w:val="right"/>
              <w:ind w:right="1378"/>
              <w:spacing w:after="0"/>
              <w:rPr>
                <w:sz w:val="20"/>
                <w:szCs w:val="20"/>
                <w:color w:val="auto"/>
              </w:rPr>
            </w:pPr>
            <w:r>
              <w:rPr>
                <w:rFonts w:ascii="Arial" w:cs="Arial" w:eastAsia="Arial" w:hAnsi="Arial"/>
                <w:sz w:val="14"/>
                <w:szCs w:val="14"/>
                <w:b w:val="1"/>
                <w:bCs w:val="1"/>
                <w:color w:val="auto"/>
              </w:rPr>
              <w:t>2018</w:t>
            </w: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2017</w:t>
            </w:r>
          </w:p>
        </w:tc>
      </w:tr>
      <w:tr>
        <w:trPr>
          <w:trHeight w:val="26"/>
        </w:trPr>
        <w:tc>
          <w:tcPr>
            <w:tcW w:w="82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2220" w:type="dxa"/>
            <w:vAlign w:val="bottom"/>
          </w:tcPr>
          <w:p>
            <w:pPr>
              <w:jc w:val="right"/>
              <w:spacing w:after="0"/>
              <w:rPr>
                <w:sz w:val="20"/>
                <w:szCs w:val="20"/>
                <w:color w:val="auto"/>
              </w:rPr>
            </w:pPr>
            <w:r>
              <w:rPr>
                <w:rFonts w:ascii="Arial" w:cs="Arial" w:eastAsia="Arial" w:hAnsi="Arial"/>
                <w:sz w:val="14"/>
                <w:szCs w:val="14"/>
                <w:i w:val="1"/>
                <w:iCs w:val="1"/>
                <w:color w:val="auto"/>
              </w:rPr>
              <w:t>(millions of dollars)</w:t>
            </w:r>
          </w:p>
        </w:tc>
        <w:tc>
          <w:tcPr>
            <w:tcW w:w="940" w:type="dxa"/>
            <w:vAlign w:val="bottom"/>
          </w:tcPr>
          <w:p>
            <w:pPr>
              <w:spacing w:after="0"/>
              <w:rPr>
                <w:sz w:val="16"/>
                <w:szCs w:val="16"/>
                <w:color w:val="auto"/>
              </w:rPr>
            </w:pPr>
          </w:p>
        </w:tc>
      </w:tr>
      <w:tr>
        <w:trPr>
          <w:trHeight w:val="227"/>
        </w:trPr>
        <w:tc>
          <w:tcPr>
            <w:tcW w:w="8220" w:type="dxa"/>
            <w:vAlign w:val="bottom"/>
          </w:tcPr>
          <w:p>
            <w:pPr>
              <w:spacing w:after="0"/>
              <w:rPr>
                <w:sz w:val="20"/>
                <w:szCs w:val="20"/>
                <w:color w:val="auto"/>
              </w:rPr>
            </w:pPr>
            <w:r>
              <w:rPr>
                <w:rFonts w:ascii="Arial" w:cs="Arial" w:eastAsia="Arial" w:hAnsi="Arial"/>
                <w:sz w:val="18"/>
                <w:szCs w:val="18"/>
                <w:b w:val="1"/>
                <w:bCs w:val="1"/>
                <w:color w:val="auto"/>
              </w:rPr>
              <w:t>Exchange Traded Futures and Swaps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8220" w:type="dxa"/>
            <w:vAlign w:val="bottom"/>
          </w:tcPr>
          <w:p>
            <w:pPr>
              <w:ind w:left="360"/>
              <w:spacing w:after="0"/>
              <w:rPr>
                <w:sz w:val="20"/>
                <w:szCs w:val="20"/>
                <w:color w:val="auto"/>
              </w:rPr>
            </w:pPr>
            <w:r>
              <w:rPr>
                <w:rFonts w:ascii="Arial" w:cs="Arial" w:eastAsia="Arial" w:hAnsi="Arial"/>
                <w:sz w:val="18"/>
                <w:szCs w:val="18"/>
                <w:color w:val="auto"/>
              </w:rPr>
              <w:t>Assets</w:t>
            </w:r>
          </w:p>
        </w:tc>
        <w:tc>
          <w:tcPr>
            <w:tcW w:w="2220" w:type="dxa"/>
            <w:vAlign w:val="bottom"/>
          </w:tcPr>
          <w:p>
            <w:pPr>
              <w:jc w:val="right"/>
              <w:ind w:right="978"/>
              <w:spacing w:after="0"/>
              <w:rPr>
                <w:sz w:val="20"/>
                <w:szCs w:val="20"/>
                <w:color w:val="auto"/>
              </w:rPr>
            </w:pPr>
            <w:r>
              <w:rPr>
                <w:rFonts w:ascii="Arial" w:cs="Arial" w:eastAsia="Arial" w:hAnsi="Arial"/>
                <w:sz w:val="18"/>
                <w:szCs w:val="18"/>
                <w:color w:val="auto"/>
              </w:rPr>
              <w:t>104</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220" w:type="dxa"/>
            <w:vAlign w:val="bottom"/>
          </w:tcPr>
          <w:p>
            <w:pPr>
              <w:ind w:left="360"/>
              <w:spacing w:after="0"/>
              <w:rPr>
                <w:sz w:val="20"/>
                <w:szCs w:val="20"/>
                <w:color w:val="auto"/>
              </w:rPr>
            </w:pPr>
            <w:r>
              <w:rPr>
                <w:rFonts w:ascii="Arial" w:cs="Arial" w:eastAsia="Arial" w:hAnsi="Arial"/>
                <w:sz w:val="18"/>
                <w:szCs w:val="18"/>
                <w:color w:val="auto"/>
              </w:rPr>
              <w:t>Liabilities</w:t>
            </w:r>
          </w:p>
        </w:tc>
        <w:tc>
          <w:tcPr>
            <w:tcW w:w="2220" w:type="dxa"/>
            <w:vAlign w:val="bottom"/>
          </w:tcPr>
          <w:p>
            <w:pPr>
              <w:jc w:val="right"/>
              <w:ind w:right="938"/>
              <w:spacing w:after="0"/>
              <w:rPr>
                <w:sz w:val="20"/>
                <w:szCs w:val="20"/>
                <w:color w:val="auto"/>
              </w:rPr>
            </w:pPr>
            <w:r>
              <w:rPr>
                <w:rFonts w:ascii="Arial" w:cs="Arial" w:eastAsia="Arial" w:hAnsi="Arial"/>
                <w:sz w:val="18"/>
                <w:szCs w:val="18"/>
                <w:color w:val="auto"/>
              </w:rPr>
              <w:t>(248)</w:t>
            </w: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Collateral receivable/(payable)</w:t>
            </w:r>
          </w:p>
        </w:tc>
        <w:tc>
          <w:tcPr>
            <w:tcW w:w="2220" w:type="dxa"/>
            <w:vAlign w:val="bottom"/>
            <w:tcBorders>
              <w:bottom w:val="single" w:sz="8" w:color="auto"/>
            </w:tcBorders>
          </w:tcPr>
          <w:p>
            <w:pPr>
              <w:jc w:val="right"/>
              <w:ind w:right="978"/>
              <w:spacing w:after="0"/>
              <w:rPr>
                <w:sz w:val="20"/>
                <w:szCs w:val="20"/>
                <w:color w:val="auto"/>
              </w:rPr>
            </w:pPr>
            <w:r>
              <w:rPr>
                <w:rFonts w:ascii="Arial" w:cs="Arial" w:eastAsia="Arial" w:hAnsi="Arial"/>
                <w:sz w:val="18"/>
                <w:szCs w:val="18"/>
                <w:color w:val="auto"/>
              </w:rPr>
              <w:t>272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10"/>
        </w:trPr>
        <w:tc>
          <w:tcPr>
            <w:tcW w:w="8220" w:type="dxa"/>
            <w:vAlign w:val="bottom"/>
          </w:tcPr>
          <w:p>
            <w:pPr>
              <w:ind w:left="700"/>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tcPr>
          <w:p>
            <w:pPr>
              <w:jc w:val="right"/>
              <w:ind w:right="978"/>
              <w:spacing w:after="0"/>
              <w:rPr>
                <w:sz w:val="20"/>
                <w:szCs w:val="20"/>
                <w:color w:val="auto"/>
              </w:rPr>
            </w:pPr>
            <w:r>
              <w:rPr>
                <w:rFonts w:ascii="Arial" w:cs="Arial" w:eastAsia="Arial" w:hAnsi="Arial"/>
                <w:sz w:val="18"/>
                <w:szCs w:val="18"/>
                <w:color w:val="auto"/>
              </w:rPr>
              <w:t>128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2018, the net notional long/(short) position of derivative instruments was (16) million barrels for crude oil and was (11) million barrels for products.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type w:val="continuous"/>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Realized and unrealized gains/(losses) on derivative instruments that were recognized in the Consolidated Statement of Income are included in the following lines on a before-tax basis: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300" w:type="dxa"/>
            <w:vAlign w:val="bottom"/>
            <w:gridSpan w:val="4"/>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12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Nine Months Ended</w:t>
            </w:r>
          </w:p>
        </w:tc>
      </w:tr>
      <w:tr>
        <w:trPr>
          <w:trHeight w:val="216"/>
        </w:trPr>
        <w:tc>
          <w:tcPr>
            <w:tcW w:w="59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8"/>
                <w:szCs w:val="18"/>
                <w:color w:val="auto"/>
              </w:rPr>
            </w:pPr>
          </w:p>
        </w:tc>
      </w:tr>
      <w:tr>
        <w:trPr>
          <w:trHeight w:val="26"/>
        </w:trPr>
        <w:tc>
          <w:tcPr>
            <w:tcW w:w="59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5960" w:type="dxa"/>
            <w:vAlign w:val="bottom"/>
          </w:tcPr>
          <w:p>
            <w:pPr>
              <w:spacing w:after="0"/>
              <w:rPr>
                <w:sz w:val="16"/>
                <w:szCs w:val="16"/>
                <w:color w:val="auto"/>
              </w:rPr>
            </w:pPr>
          </w:p>
        </w:tc>
        <w:tc>
          <w:tcPr>
            <w:tcW w:w="1760" w:type="dxa"/>
            <w:vAlign w:val="bottom"/>
            <w:tcBorders>
              <w:bottom w:val="single" w:sz="8" w:color="auto"/>
            </w:tcBorders>
          </w:tcPr>
          <w:p>
            <w:pPr>
              <w:jc w:val="right"/>
              <w:ind w:right="1019"/>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019"/>
              <w:spacing w:after="0"/>
              <w:rPr>
                <w:sz w:val="20"/>
                <w:szCs w:val="20"/>
                <w:color w:val="auto"/>
              </w:rPr>
            </w:pPr>
            <w:r>
              <w:rPr>
                <w:rFonts w:ascii="Arial" w:cs="Arial" w:eastAsia="Arial" w:hAnsi="Arial"/>
                <w:sz w:val="14"/>
                <w:szCs w:val="14"/>
                <w:b w:val="1"/>
                <w:bCs w:val="1"/>
                <w:color w:val="auto"/>
                <w:w w:val="89"/>
              </w:rPr>
              <w:t>2018</w:t>
            </w: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190"/>
        </w:trPr>
        <w:tc>
          <w:tcPr>
            <w:tcW w:w="5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40" w:type="dxa"/>
            <w:vAlign w:val="bottom"/>
            <w:gridSpan w:val="3"/>
          </w:tcPr>
          <w:p>
            <w:pPr>
              <w:ind w:left="360"/>
              <w:spacing w:after="0"/>
              <w:rPr>
                <w:sz w:val="20"/>
                <w:szCs w:val="20"/>
                <w:color w:val="auto"/>
              </w:rPr>
            </w:pPr>
            <w:r>
              <w:rPr>
                <w:rFonts w:ascii="Arial" w:cs="Arial" w:eastAsia="Arial" w:hAnsi="Arial"/>
                <w:sz w:val="14"/>
                <w:szCs w:val="14"/>
                <w:i w:val="1"/>
                <w:iCs w:val="1"/>
                <w:color w:val="auto"/>
                <w:w w:val="99"/>
              </w:rPr>
              <w:t>(millions of dollars)</w:t>
            </w:r>
          </w:p>
        </w:tc>
        <w:tc>
          <w:tcPr>
            <w:tcW w:w="14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430"/>
        </w:trPr>
        <w:tc>
          <w:tcPr>
            <w:tcW w:w="5960" w:type="dxa"/>
            <w:vAlign w:val="bottom"/>
          </w:tcPr>
          <w:p>
            <w:pPr>
              <w:spacing w:after="0"/>
              <w:rPr>
                <w:sz w:val="20"/>
                <w:szCs w:val="20"/>
                <w:color w:val="auto"/>
              </w:rPr>
            </w:pPr>
            <w:r>
              <w:rPr>
                <w:rFonts w:ascii="Arial" w:cs="Arial" w:eastAsia="Arial" w:hAnsi="Arial"/>
                <w:sz w:val="18"/>
                <w:szCs w:val="18"/>
                <w:color w:val="auto"/>
              </w:rPr>
              <w:t>Sales and other operating revenue</w:t>
            </w:r>
          </w:p>
        </w:tc>
        <w:tc>
          <w:tcPr>
            <w:tcW w:w="1760" w:type="dxa"/>
            <w:vAlign w:val="bottom"/>
          </w:tcPr>
          <w:p>
            <w:pPr>
              <w:jc w:val="right"/>
              <w:ind w:right="679"/>
              <w:spacing w:after="0"/>
              <w:rPr>
                <w:sz w:val="20"/>
                <w:szCs w:val="20"/>
                <w:color w:val="auto"/>
              </w:rPr>
            </w:pPr>
            <w:r>
              <w:rPr>
                <w:rFonts w:ascii="Arial" w:cs="Arial" w:eastAsia="Arial" w:hAnsi="Arial"/>
                <w:sz w:val="18"/>
                <w:szCs w:val="18"/>
                <w:color w:val="auto"/>
              </w:rPr>
              <w:t>(68)</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ind w:right="699"/>
              <w:spacing w:after="0"/>
              <w:rPr>
                <w:sz w:val="20"/>
                <w:szCs w:val="20"/>
                <w:color w:val="auto"/>
              </w:rPr>
            </w:pPr>
            <w:r>
              <w:rPr>
                <w:rFonts w:ascii="Arial" w:cs="Arial" w:eastAsia="Arial" w:hAnsi="Arial"/>
                <w:sz w:val="18"/>
                <w:szCs w:val="18"/>
                <w:color w:val="auto"/>
              </w:rPr>
              <w:t>(72)</w:t>
            </w: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Crude oil and product purchases</w:t>
            </w:r>
          </w:p>
        </w:tc>
        <w:tc>
          <w:tcPr>
            <w:tcW w:w="17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rPr>
              <w:t>(107)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rPr>
              <w:t>(380)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960" w:type="dxa"/>
            <w:vAlign w:val="bottom"/>
          </w:tcPr>
          <w:p>
            <w:pPr>
              <w:ind w:left="58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rPr>
              <w:t>(175)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rPr>
              <w:t>(452)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bl>
    <w:p>
      <w:pPr>
        <w:spacing w:after="0" w:line="23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Disclosures about Segments and Related Information</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80" w:type="dxa"/>
            <w:vAlign w:val="bottom"/>
            <w:gridSpan w:val="4"/>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2"/>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0"/>
        </w:trPr>
        <w:tc>
          <w:tcPr>
            <w:tcW w:w="56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620" w:type="dxa"/>
            <w:vAlign w:val="bottom"/>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Earnings After Income Tax</w:t>
            </w:r>
          </w:p>
        </w:tc>
        <w:tc>
          <w:tcPr>
            <w:tcW w:w="1780" w:type="dxa"/>
            <w:vAlign w:val="bottom"/>
            <w:tcBorders>
              <w:bottom w:val="single" w:sz="8" w:color="auto"/>
            </w:tcBorders>
          </w:tcPr>
          <w:p>
            <w:pPr>
              <w:jc w:val="right"/>
              <w:ind w:right="1032"/>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92"/>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8"/>
        </w:trPr>
        <w:tc>
          <w:tcPr>
            <w:tcW w:w="5620" w:type="dxa"/>
            <w:vAlign w:val="bottom"/>
            <w:vMerge w:val="continue"/>
          </w:tcPr>
          <w:p>
            <w:pPr>
              <w:spacing w:after="0"/>
              <w:rPr>
                <w:sz w:val="16"/>
                <w:szCs w:val="16"/>
                <w:color w:val="auto"/>
              </w:rPr>
            </w:pPr>
          </w:p>
        </w:tc>
        <w:tc>
          <w:tcPr>
            <w:tcW w:w="1780" w:type="dxa"/>
            <w:vAlign w:val="bottom"/>
          </w:tcPr>
          <w:p>
            <w:pPr>
              <w:spacing w:after="0"/>
              <w:rPr>
                <w:sz w:val="16"/>
                <w:szCs w:val="16"/>
                <w:color w:val="auto"/>
              </w:rPr>
            </w:pPr>
          </w:p>
        </w:tc>
        <w:tc>
          <w:tcPr>
            <w:tcW w:w="1500" w:type="dxa"/>
            <w:vAlign w:val="bottom"/>
            <w:gridSpan w:val="3"/>
          </w:tcPr>
          <w:p>
            <w:pPr>
              <w:ind w:left="300"/>
              <w:spacing w:after="0"/>
              <w:rPr>
                <w:sz w:val="20"/>
                <w:szCs w:val="20"/>
                <w:color w:val="auto"/>
              </w:rPr>
            </w:pPr>
            <w:r>
              <w:rPr>
                <w:rFonts w:ascii="Arial" w:cs="Arial" w:eastAsia="Arial" w:hAnsi="Arial"/>
                <w:sz w:val="14"/>
                <w:szCs w:val="14"/>
                <w:i w:val="1"/>
                <w:iCs w:val="1"/>
                <w:color w:val="auto"/>
              </w:rPr>
              <w:t>(millions of dollars)</w:t>
            </w:r>
          </w:p>
        </w:tc>
        <w:tc>
          <w:tcPr>
            <w:tcW w:w="1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8"/>
                <w:szCs w:val="18"/>
                <w:color w:val="auto"/>
              </w:rPr>
              <w:t>Upstream</w:t>
            </w: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United States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606</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1,474</w:t>
            </w:r>
          </w:p>
        </w:tc>
        <w:tc>
          <w:tcPr>
            <w:tcW w:w="74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Non-U.S.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3,623</w:t>
            </w:r>
          </w:p>
        </w:tc>
        <w:tc>
          <w:tcPr>
            <w:tcW w:w="740" w:type="dxa"/>
            <w:vAlign w:val="bottom"/>
          </w:tcPr>
          <w:p>
            <w:pPr>
              <w:jc w:val="right"/>
              <w:spacing w:after="0"/>
              <w:rPr>
                <w:sz w:val="20"/>
                <w:szCs w:val="20"/>
                <w:color w:val="auto"/>
              </w:rPr>
            </w:pPr>
            <w:r>
              <w:rPr>
                <w:rFonts w:ascii="Arial" w:cs="Arial" w:eastAsia="Arial" w:hAnsi="Arial"/>
                <w:sz w:val="18"/>
                <w:szCs w:val="18"/>
                <w:color w:val="auto"/>
              </w:rPr>
              <w:t>1,805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9,292</w:t>
            </w:r>
          </w:p>
        </w:tc>
        <w:tc>
          <w:tcPr>
            <w:tcW w:w="740" w:type="dxa"/>
            <w:vAlign w:val="bottom"/>
          </w:tcPr>
          <w:p>
            <w:pPr>
              <w:jc w:val="right"/>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8"/>
                <w:szCs w:val="18"/>
                <w:color w:val="auto"/>
              </w:rPr>
              <w:t>Downstream</w:t>
            </w: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United States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961</w:t>
            </w:r>
          </w:p>
        </w:tc>
        <w:tc>
          <w:tcPr>
            <w:tcW w:w="740" w:type="dxa"/>
            <w:vAlign w:val="bottom"/>
          </w:tcPr>
          <w:p>
            <w:pPr>
              <w:jc w:val="right"/>
              <w:spacing w:after="0"/>
              <w:rPr>
                <w:sz w:val="20"/>
                <w:szCs w:val="20"/>
                <w:color w:val="auto"/>
              </w:rPr>
            </w:pPr>
            <w:r>
              <w:rPr>
                <w:rFonts w:ascii="Arial" w:cs="Arial" w:eastAsia="Arial" w:hAnsi="Arial"/>
                <w:sz w:val="18"/>
                <w:szCs w:val="18"/>
                <w:color w:val="auto"/>
              </w:rPr>
              <w:t>391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1,975</w:t>
            </w:r>
          </w:p>
        </w:tc>
        <w:tc>
          <w:tcPr>
            <w:tcW w:w="74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Non-U.S.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681</w:t>
            </w:r>
          </w:p>
        </w:tc>
        <w:tc>
          <w:tcPr>
            <w:tcW w:w="740" w:type="dxa"/>
            <w:vAlign w:val="bottom"/>
          </w:tcPr>
          <w:p>
            <w:pPr>
              <w:jc w:val="right"/>
              <w:spacing w:after="0"/>
              <w:rPr>
                <w:sz w:val="20"/>
                <w:szCs w:val="20"/>
                <w:color w:val="auto"/>
              </w:rPr>
            </w:pPr>
            <w:r>
              <w:rPr>
                <w:rFonts w:ascii="Arial" w:cs="Arial" w:eastAsia="Arial" w:hAnsi="Arial"/>
                <w:sz w:val="18"/>
                <w:szCs w:val="18"/>
                <w:color w:val="auto"/>
              </w:rPr>
              <w:t>1,141</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1,331</w:t>
            </w:r>
          </w:p>
        </w:tc>
        <w:tc>
          <w:tcPr>
            <w:tcW w:w="740" w:type="dxa"/>
            <w:vAlign w:val="bottom"/>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8"/>
                <w:szCs w:val="18"/>
                <w:color w:val="auto"/>
              </w:rPr>
              <w:t>Chemical</w:t>
            </w: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United States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404</w:t>
            </w:r>
          </w:p>
        </w:tc>
        <w:tc>
          <w:tcPr>
            <w:tcW w:w="740" w:type="dxa"/>
            <w:vAlign w:val="bottom"/>
          </w:tcPr>
          <w:p>
            <w:pPr>
              <w:jc w:val="right"/>
              <w:spacing w:after="0"/>
              <w:rPr>
                <w:sz w:val="20"/>
                <w:szCs w:val="20"/>
                <w:color w:val="auto"/>
              </w:rPr>
            </w:pPr>
            <w:r>
              <w:rPr>
                <w:rFonts w:ascii="Arial" w:cs="Arial" w:eastAsia="Arial" w:hAnsi="Arial"/>
                <w:sz w:val="18"/>
                <w:szCs w:val="18"/>
                <w:color w:val="auto"/>
              </w:rPr>
              <w:t>403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1,360</w:t>
            </w:r>
          </w:p>
        </w:tc>
        <w:tc>
          <w:tcPr>
            <w:tcW w:w="740" w:type="dxa"/>
            <w:vAlign w:val="bottom"/>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Non-U.S.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309</w:t>
            </w:r>
          </w:p>
        </w:tc>
        <w:tc>
          <w:tcPr>
            <w:tcW w:w="740" w:type="dxa"/>
            <w:vAlign w:val="bottom"/>
          </w:tcPr>
          <w:p>
            <w:pPr>
              <w:jc w:val="right"/>
              <w:spacing w:after="0"/>
              <w:rPr>
                <w:sz w:val="20"/>
                <w:szCs w:val="20"/>
                <w:color w:val="auto"/>
              </w:rPr>
            </w:pPr>
            <w:r>
              <w:rPr>
                <w:rFonts w:ascii="Arial" w:cs="Arial" w:eastAsia="Arial" w:hAnsi="Arial"/>
                <w:sz w:val="18"/>
                <w:szCs w:val="18"/>
                <w:color w:val="auto"/>
              </w:rPr>
              <w:t>689</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1,254</w:t>
            </w:r>
          </w:p>
        </w:tc>
        <w:tc>
          <w:tcPr>
            <w:tcW w:w="740" w:type="dxa"/>
            <w:vAlign w:val="bottom"/>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30"/>
        </w:trPr>
        <w:tc>
          <w:tcPr>
            <w:tcW w:w="5620" w:type="dxa"/>
            <w:vAlign w:val="bottom"/>
          </w:tcPr>
          <w:p>
            <w:pPr>
              <w:ind w:left="460"/>
              <w:spacing w:after="0"/>
              <w:rPr>
                <w:sz w:val="20"/>
                <w:szCs w:val="20"/>
                <w:color w:val="auto"/>
              </w:rPr>
            </w:pPr>
            <w:r>
              <w:rPr>
                <w:rFonts w:ascii="Arial" w:cs="Arial" w:eastAsia="Arial" w:hAnsi="Arial"/>
                <w:sz w:val="18"/>
                <w:szCs w:val="18"/>
                <w:color w:val="auto"/>
              </w:rPr>
              <w:t xml:space="preserve">Corporate and financing </w:t>
            </w:r>
            <w:r>
              <w:rPr>
                <w:rFonts w:ascii="Arial" w:cs="Arial" w:eastAsia="Arial" w:hAnsi="Arial"/>
                <w:sz w:val="14"/>
                <w:szCs w:val="14"/>
                <w:i w:val="1"/>
                <w:iCs w:val="1"/>
                <w:color w:val="auto"/>
              </w:rPr>
              <w:t>(1)</w:t>
            </w:r>
          </w:p>
        </w:tc>
        <w:tc>
          <w:tcPr>
            <w:tcW w:w="1780" w:type="dxa"/>
            <w:vAlign w:val="bottom"/>
          </w:tcPr>
          <w:p>
            <w:pPr>
              <w:jc w:val="right"/>
              <w:ind w:right="652"/>
              <w:spacing w:after="0"/>
              <w:rPr>
                <w:sz w:val="20"/>
                <w:szCs w:val="20"/>
                <w:color w:val="auto"/>
              </w:rPr>
            </w:pPr>
            <w:r>
              <w:rPr>
                <w:rFonts w:ascii="Arial" w:cs="Arial" w:eastAsia="Arial" w:hAnsi="Arial"/>
                <w:sz w:val="18"/>
                <w:szCs w:val="18"/>
                <w:color w:val="auto"/>
              </w:rPr>
              <w:t>(344)</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20"/>
                <w:szCs w:val="20"/>
                <w:color w:val="auto"/>
              </w:rPr>
            </w:pPr>
          </w:p>
        </w:tc>
        <w:tc>
          <w:tcPr>
            <w:tcW w:w="1420" w:type="dxa"/>
            <w:vAlign w:val="bottom"/>
          </w:tcPr>
          <w:p>
            <w:pPr>
              <w:jc w:val="right"/>
              <w:ind w:right="632"/>
              <w:spacing w:after="0"/>
              <w:rPr>
                <w:sz w:val="20"/>
                <w:szCs w:val="20"/>
                <w:color w:val="auto"/>
              </w:rPr>
            </w:pPr>
            <w:r>
              <w:rPr>
                <w:rFonts w:ascii="Arial" w:cs="Arial" w:eastAsia="Arial" w:hAnsi="Arial"/>
                <w:sz w:val="18"/>
                <w:szCs w:val="18"/>
                <w:color w:val="auto"/>
              </w:rPr>
              <w:t>(1,846)</w:t>
            </w:r>
          </w:p>
        </w:tc>
        <w:tc>
          <w:tcPr>
            <w:tcW w:w="740" w:type="dxa"/>
            <w:vAlign w:val="bottom"/>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0"/>
        </w:trPr>
        <w:tc>
          <w:tcPr>
            <w:tcW w:w="5620" w:type="dxa"/>
            <w:vAlign w:val="bottom"/>
          </w:tcPr>
          <w:p>
            <w:pPr>
              <w:ind w:left="460"/>
              <w:spacing w:after="0"/>
              <w:rPr>
                <w:sz w:val="20"/>
                <w:szCs w:val="20"/>
                <w:color w:val="auto"/>
              </w:rPr>
            </w:pPr>
            <w:r>
              <w:rPr>
                <w:rFonts w:ascii="Arial" w:cs="Arial" w:eastAsia="Arial" w:hAnsi="Arial"/>
                <w:sz w:val="18"/>
                <w:szCs w:val="18"/>
                <w:color w:val="auto"/>
              </w:rPr>
              <w:t>Corporate total</w:t>
            </w:r>
          </w:p>
        </w:tc>
        <w:tc>
          <w:tcPr>
            <w:tcW w:w="178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8"/>
                <w:szCs w:val="18"/>
                <w:color w:val="auto"/>
              </w:rPr>
              <w:t>6,240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4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8"/>
                <w:szCs w:val="18"/>
                <w:color w:val="auto"/>
              </w:rPr>
              <w:t>14,840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411"/>
        </w:trPr>
        <w:tc>
          <w:tcPr>
            <w:tcW w:w="5620" w:type="dxa"/>
            <w:vAlign w:val="bottom"/>
          </w:tcPr>
          <w:p>
            <w:pPr>
              <w:spacing w:after="0"/>
              <w:rPr>
                <w:sz w:val="20"/>
                <w:szCs w:val="20"/>
                <w:color w:val="auto"/>
              </w:rPr>
            </w:pPr>
            <w:r>
              <w:rPr>
                <w:rFonts w:ascii="Arial" w:cs="Arial" w:eastAsia="Arial" w:hAnsi="Arial"/>
                <w:sz w:val="18"/>
                <w:szCs w:val="18"/>
                <w:b w:val="1"/>
                <w:bCs w:val="1"/>
                <w:color w:val="auto"/>
              </w:rPr>
              <w:t>Sales and Other Operating Revenue</w:t>
            </w: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8"/>
                <w:szCs w:val="18"/>
                <w:color w:val="auto"/>
              </w:rPr>
              <w:t>Upstream</w:t>
            </w: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United States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2,728</w:t>
            </w:r>
          </w:p>
        </w:tc>
        <w:tc>
          <w:tcPr>
            <w:tcW w:w="740" w:type="dxa"/>
            <w:vAlign w:val="bottom"/>
          </w:tcPr>
          <w:p>
            <w:pPr>
              <w:jc w:val="right"/>
              <w:spacing w:after="0"/>
              <w:rPr>
                <w:sz w:val="20"/>
                <w:szCs w:val="20"/>
                <w:color w:val="auto"/>
              </w:rPr>
            </w:pPr>
            <w:r>
              <w:rPr>
                <w:rFonts w:ascii="Arial" w:cs="Arial" w:eastAsia="Arial" w:hAnsi="Arial"/>
                <w:sz w:val="18"/>
                <w:szCs w:val="18"/>
                <w:color w:val="auto"/>
              </w:rPr>
              <w:t>2,282</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7,637</w:t>
            </w:r>
          </w:p>
        </w:tc>
        <w:tc>
          <w:tcPr>
            <w:tcW w:w="740" w:type="dxa"/>
            <w:vAlign w:val="bottom"/>
          </w:tcPr>
          <w:p>
            <w:pPr>
              <w:jc w:val="right"/>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Non-U.S.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4,129</w:t>
            </w:r>
          </w:p>
        </w:tc>
        <w:tc>
          <w:tcPr>
            <w:tcW w:w="740" w:type="dxa"/>
            <w:vAlign w:val="bottom"/>
          </w:tcPr>
          <w:p>
            <w:pPr>
              <w:jc w:val="right"/>
              <w:spacing w:after="0"/>
              <w:rPr>
                <w:sz w:val="20"/>
                <w:szCs w:val="20"/>
                <w:color w:val="auto"/>
              </w:rPr>
            </w:pPr>
            <w:r>
              <w:rPr>
                <w:rFonts w:ascii="Arial" w:cs="Arial" w:eastAsia="Arial" w:hAnsi="Arial"/>
                <w:sz w:val="18"/>
                <w:szCs w:val="18"/>
                <w:color w:val="auto"/>
              </w:rPr>
              <w:t>3,633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11,344</w:t>
            </w:r>
          </w:p>
        </w:tc>
        <w:tc>
          <w:tcPr>
            <w:tcW w:w="740" w:type="dxa"/>
            <w:vAlign w:val="bottom"/>
          </w:tcPr>
          <w:p>
            <w:pPr>
              <w:jc w:val="right"/>
              <w:spacing w:after="0"/>
              <w:rPr>
                <w:sz w:val="20"/>
                <w:szCs w:val="20"/>
                <w:color w:val="auto"/>
              </w:rPr>
            </w:pPr>
            <w:r>
              <w:rPr>
                <w:rFonts w:ascii="Arial" w:cs="Arial" w:eastAsia="Arial" w:hAnsi="Arial"/>
                <w:sz w:val="18"/>
                <w:szCs w:val="18"/>
                <w:color w:val="auto"/>
              </w:rPr>
              <w:t>10,586</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8"/>
                <w:szCs w:val="18"/>
                <w:color w:val="auto"/>
              </w:rPr>
              <w:t>Downstream</w:t>
            </w: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United States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19,963</w:t>
            </w:r>
          </w:p>
        </w:tc>
        <w:tc>
          <w:tcPr>
            <w:tcW w:w="740" w:type="dxa"/>
            <w:vAlign w:val="bottom"/>
          </w:tcPr>
          <w:p>
            <w:pPr>
              <w:jc w:val="right"/>
              <w:spacing w:after="0"/>
              <w:rPr>
                <w:sz w:val="20"/>
                <w:szCs w:val="20"/>
                <w:color w:val="auto"/>
              </w:rPr>
            </w:pPr>
            <w:r>
              <w:rPr>
                <w:rFonts w:ascii="Arial" w:cs="Arial" w:eastAsia="Arial" w:hAnsi="Arial"/>
                <w:sz w:val="18"/>
                <w:szCs w:val="18"/>
                <w:color w:val="auto"/>
              </w:rPr>
              <w:t>15,423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56,616</w:t>
            </w:r>
          </w:p>
        </w:tc>
        <w:tc>
          <w:tcPr>
            <w:tcW w:w="740" w:type="dxa"/>
            <w:vAlign w:val="bottom"/>
          </w:tcPr>
          <w:p>
            <w:pPr>
              <w:jc w:val="right"/>
              <w:spacing w:after="0"/>
              <w:rPr>
                <w:sz w:val="20"/>
                <w:szCs w:val="20"/>
                <w:color w:val="auto"/>
              </w:rPr>
            </w:pPr>
            <w:r>
              <w:rPr>
                <w:rFonts w:ascii="Arial" w:cs="Arial" w:eastAsia="Arial" w:hAnsi="Arial"/>
                <w:sz w:val="18"/>
                <w:szCs w:val="18"/>
                <w:color w:val="auto"/>
              </w:rPr>
              <w:t>44,533</w:t>
            </w: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Non-U.S.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39,077</w:t>
            </w:r>
          </w:p>
        </w:tc>
        <w:tc>
          <w:tcPr>
            <w:tcW w:w="740" w:type="dxa"/>
            <w:vAlign w:val="bottom"/>
          </w:tcPr>
          <w:p>
            <w:pPr>
              <w:jc w:val="right"/>
              <w:spacing w:after="0"/>
              <w:rPr>
                <w:sz w:val="20"/>
                <w:szCs w:val="20"/>
                <w:color w:val="auto"/>
              </w:rPr>
            </w:pPr>
            <w:r>
              <w:rPr>
                <w:rFonts w:ascii="Arial" w:cs="Arial" w:eastAsia="Arial" w:hAnsi="Arial"/>
                <w:sz w:val="18"/>
                <w:szCs w:val="18"/>
                <w:color w:val="auto"/>
              </w:rPr>
              <w:t>30,955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w w:val="95"/>
              </w:rPr>
              <w:t>110,855</w:t>
            </w:r>
          </w:p>
        </w:tc>
        <w:tc>
          <w:tcPr>
            <w:tcW w:w="740" w:type="dxa"/>
            <w:vAlign w:val="bottom"/>
          </w:tcPr>
          <w:p>
            <w:pPr>
              <w:jc w:val="right"/>
              <w:spacing w:after="0"/>
              <w:rPr>
                <w:sz w:val="20"/>
                <w:szCs w:val="20"/>
                <w:color w:val="auto"/>
              </w:rPr>
            </w:pPr>
            <w:r>
              <w:rPr>
                <w:rFonts w:ascii="Arial" w:cs="Arial" w:eastAsia="Arial" w:hAnsi="Arial"/>
                <w:sz w:val="18"/>
                <w:szCs w:val="18"/>
                <w:color w:val="auto"/>
              </w:rPr>
              <w:t>88,866</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8"/>
                <w:szCs w:val="18"/>
                <w:color w:val="auto"/>
              </w:rPr>
              <w:t>Chemical</w:t>
            </w: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United States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3,152</w:t>
            </w:r>
          </w:p>
        </w:tc>
        <w:tc>
          <w:tcPr>
            <w:tcW w:w="740" w:type="dxa"/>
            <w:vAlign w:val="bottom"/>
          </w:tcPr>
          <w:p>
            <w:pPr>
              <w:jc w:val="right"/>
              <w:spacing w:after="0"/>
              <w:rPr>
                <w:sz w:val="20"/>
                <w:szCs w:val="20"/>
                <w:color w:val="auto"/>
              </w:rPr>
            </w:pPr>
            <w:r>
              <w:rPr>
                <w:rFonts w:ascii="Arial" w:cs="Arial" w:eastAsia="Arial" w:hAnsi="Arial"/>
                <w:sz w:val="18"/>
                <w:szCs w:val="18"/>
                <w:color w:val="auto"/>
              </w:rPr>
              <w:t>2,589</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9,160</w:t>
            </w:r>
          </w:p>
        </w:tc>
        <w:tc>
          <w:tcPr>
            <w:tcW w:w="740" w:type="dxa"/>
            <w:vAlign w:val="bottom"/>
          </w:tcPr>
          <w:p>
            <w:pPr>
              <w:jc w:val="right"/>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Non-U.S.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5,125</w:t>
            </w:r>
          </w:p>
        </w:tc>
        <w:tc>
          <w:tcPr>
            <w:tcW w:w="740" w:type="dxa"/>
            <w:vAlign w:val="bottom"/>
          </w:tcPr>
          <w:p>
            <w:pPr>
              <w:jc w:val="right"/>
              <w:spacing w:after="0"/>
              <w:rPr>
                <w:sz w:val="20"/>
                <w:szCs w:val="20"/>
                <w:color w:val="auto"/>
              </w:rPr>
            </w:pPr>
            <w:r>
              <w:rPr>
                <w:rFonts w:ascii="Arial" w:cs="Arial" w:eastAsia="Arial" w:hAnsi="Arial"/>
                <w:sz w:val="18"/>
                <w:szCs w:val="18"/>
                <w:color w:val="auto"/>
              </w:rPr>
              <w:t>4,455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15,429</w:t>
            </w:r>
          </w:p>
        </w:tc>
        <w:tc>
          <w:tcPr>
            <w:tcW w:w="740" w:type="dxa"/>
            <w:vAlign w:val="bottom"/>
          </w:tcPr>
          <w:p>
            <w:pPr>
              <w:jc w:val="right"/>
              <w:spacing w:after="0"/>
              <w:rPr>
                <w:sz w:val="20"/>
                <w:szCs w:val="20"/>
                <w:color w:val="auto"/>
              </w:rPr>
            </w:pPr>
            <w:r>
              <w:rPr>
                <w:rFonts w:ascii="Arial" w:cs="Arial" w:eastAsia="Arial" w:hAnsi="Arial"/>
                <w:sz w:val="18"/>
                <w:szCs w:val="18"/>
                <w:color w:val="auto"/>
              </w:rPr>
              <w:t>12,751</w:t>
            </w:r>
          </w:p>
        </w:tc>
        <w:tc>
          <w:tcPr>
            <w:tcW w:w="0" w:type="dxa"/>
            <w:vAlign w:val="bottom"/>
          </w:tcPr>
          <w:p>
            <w:pPr>
              <w:spacing w:after="0"/>
              <w:rPr>
                <w:sz w:val="1"/>
                <w:szCs w:val="1"/>
                <w:color w:val="auto"/>
              </w:rPr>
            </w:pPr>
          </w:p>
        </w:tc>
      </w:tr>
      <w:tr>
        <w:trPr>
          <w:trHeight w:val="230"/>
        </w:trPr>
        <w:tc>
          <w:tcPr>
            <w:tcW w:w="5620" w:type="dxa"/>
            <w:vAlign w:val="bottom"/>
          </w:tcPr>
          <w:p>
            <w:pPr>
              <w:ind w:left="460"/>
              <w:spacing w:after="0"/>
              <w:rPr>
                <w:sz w:val="20"/>
                <w:szCs w:val="20"/>
                <w:color w:val="auto"/>
              </w:rPr>
            </w:pPr>
            <w:r>
              <w:rPr>
                <w:rFonts w:ascii="Arial" w:cs="Arial" w:eastAsia="Arial" w:hAnsi="Arial"/>
                <w:sz w:val="18"/>
                <w:szCs w:val="18"/>
                <w:color w:val="auto"/>
              </w:rPr>
              <w:t>Corporate and financing</w:t>
            </w:r>
          </w:p>
        </w:tc>
        <w:tc>
          <w:tcPr>
            <w:tcW w:w="178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13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rPr>
              <w:t>38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5620" w:type="dxa"/>
            <w:vAlign w:val="bottom"/>
          </w:tcPr>
          <w:p>
            <w:pPr>
              <w:ind w:left="460"/>
              <w:spacing w:after="0"/>
              <w:rPr>
                <w:sz w:val="20"/>
                <w:szCs w:val="20"/>
                <w:color w:val="auto"/>
              </w:rPr>
            </w:pPr>
            <w:r>
              <w:rPr>
                <w:rFonts w:ascii="Arial" w:cs="Arial" w:eastAsia="Arial" w:hAnsi="Arial"/>
                <w:sz w:val="18"/>
                <w:szCs w:val="18"/>
                <w:color w:val="auto"/>
              </w:rPr>
              <w:t>Corporate total</w:t>
            </w:r>
          </w:p>
        </w:tc>
        <w:tc>
          <w:tcPr>
            <w:tcW w:w="178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74,187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59,350</w:t>
            </w:r>
          </w:p>
        </w:tc>
        <w:tc>
          <w:tcPr>
            <w:tcW w:w="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w w:val="95"/>
              </w:rPr>
              <w:t>211,079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171,850</w:t>
            </w:r>
          </w:p>
        </w:tc>
        <w:tc>
          <w:tcPr>
            <w:tcW w:w="0" w:type="dxa"/>
            <w:vAlign w:val="bottom"/>
          </w:tcPr>
          <w:p>
            <w:pPr>
              <w:spacing w:after="0"/>
              <w:rPr>
                <w:sz w:val="1"/>
                <w:szCs w:val="1"/>
                <w:color w:val="auto"/>
              </w:rPr>
            </w:pPr>
          </w:p>
        </w:tc>
      </w:tr>
      <w:tr>
        <w:trPr>
          <w:trHeight w:val="411"/>
        </w:trPr>
        <w:tc>
          <w:tcPr>
            <w:tcW w:w="5620" w:type="dxa"/>
            <w:vAlign w:val="bottom"/>
          </w:tcPr>
          <w:p>
            <w:pPr>
              <w:spacing w:after="0"/>
              <w:rPr>
                <w:sz w:val="20"/>
                <w:szCs w:val="20"/>
                <w:color w:val="auto"/>
              </w:rPr>
            </w:pPr>
            <w:r>
              <w:rPr>
                <w:rFonts w:ascii="Arial" w:cs="Arial" w:eastAsia="Arial" w:hAnsi="Arial"/>
                <w:sz w:val="18"/>
                <w:szCs w:val="18"/>
                <w:b w:val="1"/>
                <w:bCs w:val="1"/>
                <w:color w:val="auto"/>
              </w:rPr>
              <w:t>Intersegment Revenue</w:t>
            </w: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8"/>
                <w:szCs w:val="18"/>
                <w:color w:val="auto"/>
              </w:rPr>
              <w:t>Upstream</w:t>
            </w: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United States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2,203</w:t>
            </w:r>
          </w:p>
        </w:tc>
        <w:tc>
          <w:tcPr>
            <w:tcW w:w="740" w:type="dxa"/>
            <w:vAlign w:val="bottom"/>
          </w:tcPr>
          <w:p>
            <w:pPr>
              <w:jc w:val="right"/>
              <w:spacing w:after="0"/>
              <w:rPr>
                <w:sz w:val="20"/>
                <w:szCs w:val="20"/>
                <w:color w:val="auto"/>
              </w:rPr>
            </w:pPr>
            <w:r>
              <w:rPr>
                <w:rFonts w:ascii="Arial" w:cs="Arial" w:eastAsia="Arial" w:hAnsi="Arial"/>
                <w:sz w:val="18"/>
                <w:szCs w:val="18"/>
                <w:color w:val="auto"/>
              </w:rPr>
              <w:t>1,365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6,336</w:t>
            </w:r>
          </w:p>
        </w:tc>
        <w:tc>
          <w:tcPr>
            <w:tcW w:w="740" w:type="dxa"/>
            <w:vAlign w:val="bottom"/>
          </w:tcPr>
          <w:p>
            <w:pPr>
              <w:jc w:val="right"/>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Non-U.S.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8,536</w:t>
            </w:r>
          </w:p>
        </w:tc>
        <w:tc>
          <w:tcPr>
            <w:tcW w:w="740" w:type="dxa"/>
            <w:vAlign w:val="bottom"/>
          </w:tcPr>
          <w:p>
            <w:pPr>
              <w:jc w:val="right"/>
              <w:spacing w:after="0"/>
              <w:rPr>
                <w:sz w:val="20"/>
                <w:szCs w:val="20"/>
                <w:color w:val="auto"/>
              </w:rPr>
            </w:pPr>
            <w:r>
              <w:rPr>
                <w:rFonts w:ascii="Arial" w:cs="Arial" w:eastAsia="Arial" w:hAnsi="Arial"/>
                <w:sz w:val="18"/>
                <w:szCs w:val="18"/>
                <w:color w:val="auto"/>
              </w:rPr>
              <w:t>5,734</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22,788</w:t>
            </w:r>
          </w:p>
        </w:tc>
        <w:tc>
          <w:tcPr>
            <w:tcW w:w="740" w:type="dxa"/>
            <w:vAlign w:val="bottom"/>
          </w:tcPr>
          <w:p>
            <w:pPr>
              <w:jc w:val="right"/>
              <w:spacing w:after="0"/>
              <w:rPr>
                <w:sz w:val="20"/>
                <w:szCs w:val="20"/>
                <w:color w:val="auto"/>
              </w:rPr>
            </w:pPr>
            <w:r>
              <w:rPr>
                <w:rFonts w:ascii="Arial" w:cs="Arial" w:eastAsia="Arial" w:hAnsi="Arial"/>
                <w:sz w:val="18"/>
                <w:szCs w:val="18"/>
                <w:color w:val="auto"/>
              </w:rPr>
              <w:t>16,356</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8"/>
                <w:szCs w:val="18"/>
                <w:color w:val="auto"/>
              </w:rPr>
              <w:t>Downstream</w:t>
            </w: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United States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5,834</w:t>
            </w:r>
          </w:p>
        </w:tc>
        <w:tc>
          <w:tcPr>
            <w:tcW w:w="740" w:type="dxa"/>
            <w:vAlign w:val="bottom"/>
          </w:tcPr>
          <w:p>
            <w:pPr>
              <w:jc w:val="right"/>
              <w:spacing w:after="0"/>
              <w:rPr>
                <w:sz w:val="20"/>
                <w:szCs w:val="20"/>
                <w:color w:val="auto"/>
              </w:rPr>
            </w:pPr>
            <w:r>
              <w:rPr>
                <w:rFonts w:ascii="Arial" w:cs="Arial" w:eastAsia="Arial" w:hAnsi="Arial"/>
                <w:sz w:val="18"/>
                <w:szCs w:val="18"/>
                <w:color w:val="auto"/>
              </w:rPr>
              <w:t>3,134</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16,527</w:t>
            </w:r>
          </w:p>
        </w:tc>
        <w:tc>
          <w:tcPr>
            <w:tcW w:w="740" w:type="dxa"/>
            <w:vAlign w:val="bottom"/>
          </w:tcPr>
          <w:p>
            <w:pPr>
              <w:jc w:val="right"/>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Non-U.S.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8,275</w:t>
            </w:r>
          </w:p>
        </w:tc>
        <w:tc>
          <w:tcPr>
            <w:tcW w:w="740" w:type="dxa"/>
            <w:vAlign w:val="bottom"/>
          </w:tcPr>
          <w:p>
            <w:pPr>
              <w:jc w:val="right"/>
              <w:spacing w:after="0"/>
              <w:rPr>
                <w:sz w:val="20"/>
                <w:szCs w:val="20"/>
                <w:color w:val="auto"/>
              </w:rPr>
            </w:pPr>
            <w:r>
              <w:rPr>
                <w:rFonts w:ascii="Arial" w:cs="Arial" w:eastAsia="Arial" w:hAnsi="Arial"/>
                <w:sz w:val="18"/>
                <w:szCs w:val="18"/>
                <w:color w:val="auto"/>
              </w:rPr>
              <w:t>5,866</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22,975</w:t>
            </w:r>
          </w:p>
        </w:tc>
        <w:tc>
          <w:tcPr>
            <w:tcW w:w="740" w:type="dxa"/>
            <w:vAlign w:val="bottom"/>
          </w:tcPr>
          <w:p>
            <w:pPr>
              <w:jc w:val="right"/>
              <w:spacing w:after="0"/>
              <w:rPr>
                <w:sz w:val="20"/>
                <w:szCs w:val="20"/>
                <w:color w:val="auto"/>
              </w:rPr>
            </w:pPr>
            <w:r>
              <w:rPr>
                <w:rFonts w:ascii="Arial" w:cs="Arial" w:eastAsia="Arial" w:hAnsi="Arial"/>
                <w:sz w:val="18"/>
                <w:szCs w:val="18"/>
                <w:color w:val="auto"/>
              </w:rPr>
              <w:t>16,048</w:t>
            </w:r>
          </w:p>
        </w:tc>
        <w:tc>
          <w:tcPr>
            <w:tcW w:w="0" w:type="dxa"/>
            <w:vAlign w:val="bottom"/>
          </w:tcPr>
          <w:p>
            <w:pPr>
              <w:spacing w:after="0"/>
              <w:rPr>
                <w:sz w:val="1"/>
                <w:szCs w:val="1"/>
                <w:color w:val="auto"/>
              </w:rPr>
            </w:pPr>
          </w:p>
        </w:tc>
      </w:tr>
      <w:tr>
        <w:trPr>
          <w:trHeight w:val="216"/>
        </w:trPr>
        <w:tc>
          <w:tcPr>
            <w:tcW w:w="5620" w:type="dxa"/>
            <w:vAlign w:val="bottom"/>
          </w:tcPr>
          <w:p>
            <w:pPr>
              <w:ind w:left="460"/>
              <w:spacing w:after="0"/>
              <w:rPr>
                <w:sz w:val="20"/>
                <w:szCs w:val="20"/>
                <w:color w:val="auto"/>
              </w:rPr>
            </w:pPr>
            <w:r>
              <w:rPr>
                <w:rFonts w:ascii="Arial" w:cs="Arial" w:eastAsia="Arial" w:hAnsi="Arial"/>
                <w:sz w:val="18"/>
                <w:szCs w:val="18"/>
                <w:color w:val="auto"/>
              </w:rPr>
              <w:t>Chemical</w:t>
            </w: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United States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2,408</w:t>
            </w:r>
          </w:p>
        </w:tc>
        <w:tc>
          <w:tcPr>
            <w:tcW w:w="740" w:type="dxa"/>
            <w:vAlign w:val="bottom"/>
          </w:tcPr>
          <w:p>
            <w:pPr>
              <w:jc w:val="right"/>
              <w:spacing w:after="0"/>
              <w:rPr>
                <w:sz w:val="20"/>
                <w:szCs w:val="20"/>
                <w:color w:val="auto"/>
              </w:rPr>
            </w:pPr>
            <w:r>
              <w:rPr>
                <w:rFonts w:ascii="Arial" w:cs="Arial" w:eastAsia="Arial" w:hAnsi="Arial"/>
                <w:sz w:val="18"/>
                <w:szCs w:val="18"/>
                <w:color w:val="auto"/>
              </w:rPr>
              <w:t>1,675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6,952</w:t>
            </w:r>
          </w:p>
        </w:tc>
        <w:tc>
          <w:tcPr>
            <w:tcW w:w="740" w:type="dxa"/>
            <w:vAlign w:val="bottom"/>
          </w:tcPr>
          <w:p>
            <w:pPr>
              <w:jc w:val="right"/>
              <w:spacing w:after="0"/>
              <w:rPr>
                <w:sz w:val="20"/>
                <w:szCs w:val="20"/>
                <w:color w:val="auto"/>
              </w:rPr>
            </w:pPr>
            <w:r>
              <w:rPr>
                <w:rFonts w:ascii="Arial" w:cs="Arial" w:eastAsia="Arial" w:hAnsi="Arial"/>
                <w:sz w:val="18"/>
                <w:szCs w:val="18"/>
                <w:color w:val="auto"/>
              </w:rPr>
              <w:t>5,290</w:t>
            </w:r>
          </w:p>
        </w:tc>
        <w:tc>
          <w:tcPr>
            <w:tcW w:w="0" w:type="dxa"/>
            <w:vAlign w:val="bottom"/>
          </w:tcPr>
          <w:p>
            <w:pPr>
              <w:spacing w:after="0"/>
              <w:rPr>
                <w:sz w:val="1"/>
                <w:szCs w:val="1"/>
                <w:color w:val="auto"/>
              </w:rPr>
            </w:pPr>
          </w:p>
        </w:tc>
      </w:tr>
      <w:tr>
        <w:trPr>
          <w:trHeight w:val="216"/>
        </w:trPr>
        <w:tc>
          <w:tcPr>
            <w:tcW w:w="5620" w:type="dxa"/>
            <w:vAlign w:val="bottom"/>
          </w:tcPr>
          <w:p>
            <w:pPr>
              <w:ind w:left="920"/>
              <w:spacing w:after="0"/>
              <w:rPr>
                <w:sz w:val="20"/>
                <w:szCs w:val="20"/>
                <w:color w:val="auto"/>
              </w:rPr>
            </w:pPr>
            <w:r>
              <w:rPr>
                <w:rFonts w:ascii="Arial" w:cs="Arial" w:eastAsia="Arial" w:hAnsi="Arial"/>
                <w:sz w:val="18"/>
                <w:szCs w:val="18"/>
                <w:color w:val="auto"/>
              </w:rPr>
              <w:t>Non-U.S.</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1,841</w:t>
            </w:r>
          </w:p>
        </w:tc>
        <w:tc>
          <w:tcPr>
            <w:tcW w:w="740" w:type="dxa"/>
            <w:vAlign w:val="bottom"/>
          </w:tcPr>
          <w:p>
            <w:pPr>
              <w:jc w:val="right"/>
              <w:spacing w:after="0"/>
              <w:rPr>
                <w:sz w:val="20"/>
                <w:szCs w:val="20"/>
                <w:color w:val="auto"/>
              </w:rPr>
            </w:pPr>
            <w:r>
              <w:rPr>
                <w:rFonts w:ascii="Arial" w:cs="Arial" w:eastAsia="Arial" w:hAnsi="Arial"/>
                <w:sz w:val="18"/>
                <w:szCs w:val="18"/>
                <w:color w:val="auto"/>
              </w:rPr>
              <w:t>1,482</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5,657</w:t>
            </w:r>
          </w:p>
        </w:tc>
        <w:tc>
          <w:tcPr>
            <w:tcW w:w="740" w:type="dxa"/>
            <w:vAlign w:val="bottom"/>
          </w:tcPr>
          <w:p>
            <w:pPr>
              <w:jc w:val="right"/>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30"/>
        </w:trPr>
        <w:tc>
          <w:tcPr>
            <w:tcW w:w="5620" w:type="dxa"/>
            <w:vAlign w:val="bottom"/>
          </w:tcPr>
          <w:p>
            <w:pPr>
              <w:ind w:left="460"/>
              <w:spacing w:after="0"/>
              <w:rPr>
                <w:sz w:val="20"/>
                <w:szCs w:val="20"/>
                <w:color w:val="auto"/>
              </w:rPr>
            </w:pPr>
            <w:r>
              <w:rPr>
                <w:rFonts w:ascii="Arial" w:cs="Arial" w:eastAsia="Arial" w:hAnsi="Arial"/>
                <w:sz w:val="18"/>
                <w:szCs w:val="18"/>
                <w:color w:val="auto"/>
              </w:rPr>
              <w:t>Corporate and financing</w:t>
            </w:r>
          </w:p>
        </w:tc>
        <w:tc>
          <w:tcPr>
            <w:tcW w:w="1780" w:type="dxa"/>
            <w:vAlign w:val="bottom"/>
          </w:tcPr>
          <w:p>
            <w:pPr>
              <w:jc w:val="right"/>
              <w:ind w:right="712"/>
              <w:spacing w:after="0"/>
              <w:rPr>
                <w:sz w:val="20"/>
                <w:szCs w:val="20"/>
                <w:color w:val="auto"/>
              </w:rPr>
            </w:pPr>
            <w:r>
              <w:rPr>
                <w:rFonts w:ascii="Arial" w:cs="Arial" w:eastAsia="Arial" w:hAnsi="Arial"/>
                <w:sz w:val="18"/>
                <w:szCs w:val="18"/>
                <w:color w:val="auto"/>
              </w:rPr>
              <w:t>54</w:t>
            </w: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92"/>
              <w:spacing w:after="0"/>
              <w:rPr>
                <w:sz w:val="20"/>
                <w:szCs w:val="20"/>
                <w:color w:val="auto"/>
              </w:rPr>
            </w:pPr>
            <w:r>
              <w:rPr>
                <w:rFonts w:ascii="Arial" w:cs="Arial" w:eastAsia="Arial" w:hAnsi="Arial"/>
                <w:sz w:val="18"/>
                <w:szCs w:val="18"/>
                <w:color w:val="auto"/>
              </w:rPr>
              <w:t>153</w:t>
            </w:r>
          </w:p>
        </w:tc>
        <w:tc>
          <w:tcPr>
            <w:tcW w:w="7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620" w:right="1760" w:hanging="5612"/>
        <w:spacing w:after="0" w:line="512" w:lineRule="auto"/>
        <w:tabs>
          <w:tab w:leader="none" w:pos="259"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See Note 2 for additional details regarding the change in segmentation of Non-service pension and postretirement benefit expense. </w:t>
      </w: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bookmarkStart w:id="14" w:name="page15"/>
    <w:bookmarkEnd w:id="14"/>
    <w:p>
      <w:pPr>
        <w:ind w:left="360"/>
        <w:spacing w:after="0"/>
        <w:rPr>
          <w:sz w:val="20"/>
          <w:szCs w:val="20"/>
          <w:color w:val="auto"/>
        </w:rPr>
      </w:pPr>
      <w:r>
        <w:rPr>
          <w:rFonts w:ascii="Arial" w:cs="Arial" w:eastAsia="Arial" w:hAnsi="Arial"/>
          <w:sz w:val="18"/>
          <w:szCs w:val="18"/>
          <w:b w:val="1"/>
          <w:bCs w:val="1"/>
          <w:color w:val="auto"/>
        </w:rPr>
        <w:t>Geographic</w:t>
      </w:r>
    </w:p>
    <w:p>
      <w:pPr>
        <w:spacing w:after="0" w:line="45"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400" w:type="dxa"/>
            <w:vAlign w:val="bottom"/>
            <w:gridSpan w:val="4"/>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Sales and Other Operating Revenue</w:t>
            </w:r>
          </w:p>
        </w:tc>
        <w:tc>
          <w:tcPr>
            <w:tcW w:w="1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780" w:type="dxa"/>
            <w:vAlign w:val="bottom"/>
            <w:tcBorders>
              <w:bottom w:val="single" w:sz="8" w:color="auto"/>
            </w:tcBorders>
          </w:tcPr>
          <w:p>
            <w:pPr>
              <w:jc w:val="right"/>
              <w:ind w:right="1034"/>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20" w:type="dxa"/>
            <w:vAlign w:val="bottom"/>
            <w:gridSpan w:val="3"/>
          </w:tcPr>
          <w:p>
            <w:pPr>
              <w:ind w:left="420"/>
              <w:spacing w:after="0"/>
              <w:rPr>
                <w:sz w:val="20"/>
                <w:szCs w:val="20"/>
                <w:color w:val="auto"/>
              </w:rPr>
            </w:pPr>
            <w:r>
              <w:rPr>
                <w:rFonts w:ascii="Arial" w:cs="Arial" w:eastAsia="Arial" w:hAnsi="Arial"/>
                <w:sz w:val="14"/>
                <w:szCs w:val="14"/>
                <w:i w:val="1"/>
                <w:iCs w:val="1"/>
                <w:color w:val="auto"/>
              </w:rPr>
              <w:t>(millions of dollars)</w:t>
            </w:r>
          </w:p>
        </w:tc>
        <w:tc>
          <w:tcPr>
            <w:tcW w:w="1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0"/>
        </w:trPr>
        <w:tc>
          <w:tcPr>
            <w:tcW w:w="5500" w:type="dxa"/>
            <w:vAlign w:val="bottom"/>
          </w:tcPr>
          <w:p>
            <w:pPr>
              <w:spacing w:after="0"/>
              <w:rPr>
                <w:sz w:val="20"/>
                <w:szCs w:val="20"/>
                <w:color w:val="auto"/>
              </w:rPr>
            </w:pPr>
            <w:r>
              <w:rPr>
                <w:rFonts w:ascii="Arial" w:cs="Arial" w:eastAsia="Arial" w:hAnsi="Arial"/>
                <w:sz w:val="18"/>
                <w:szCs w:val="18"/>
                <w:color w:val="auto"/>
              </w:rPr>
              <w:t>United States</w:t>
            </w:r>
          </w:p>
        </w:tc>
        <w:tc>
          <w:tcPr>
            <w:tcW w:w="1780" w:type="dxa"/>
            <w:vAlign w:val="bottom"/>
          </w:tcPr>
          <w:p>
            <w:pPr>
              <w:jc w:val="right"/>
              <w:ind w:right="714"/>
              <w:spacing w:after="0"/>
              <w:rPr>
                <w:sz w:val="20"/>
                <w:szCs w:val="20"/>
                <w:color w:val="auto"/>
              </w:rPr>
            </w:pPr>
            <w:r>
              <w:rPr>
                <w:rFonts w:ascii="Arial" w:cs="Arial" w:eastAsia="Arial" w:hAnsi="Arial"/>
                <w:sz w:val="18"/>
                <w:szCs w:val="18"/>
                <w:color w:val="auto"/>
              </w:rPr>
              <w:t>25,843</w:t>
            </w:r>
          </w:p>
        </w:tc>
        <w:tc>
          <w:tcPr>
            <w:tcW w:w="740" w:type="dxa"/>
            <w:vAlign w:val="bottom"/>
          </w:tcPr>
          <w:p>
            <w:pPr>
              <w:jc w:val="right"/>
              <w:spacing w:after="0"/>
              <w:rPr>
                <w:sz w:val="20"/>
                <w:szCs w:val="20"/>
                <w:color w:val="auto"/>
              </w:rPr>
            </w:pPr>
            <w:r>
              <w:rPr>
                <w:rFonts w:ascii="Arial" w:cs="Arial" w:eastAsia="Arial" w:hAnsi="Arial"/>
                <w:sz w:val="18"/>
                <w:szCs w:val="18"/>
                <w:color w:val="auto"/>
              </w:rPr>
              <w:t>20,294</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694"/>
              <w:spacing w:after="0"/>
              <w:rPr>
                <w:sz w:val="20"/>
                <w:szCs w:val="20"/>
                <w:color w:val="auto"/>
              </w:rPr>
            </w:pPr>
            <w:r>
              <w:rPr>
                <w:rFonts w:ascii="Arial" w:cs="Arial" w:eastAsia="Arial" w:hAnsi="Arial"/>
                <w:sz w:val="18"/>
                <w:szCs w:val="18"/>
                <w:color w:val="auto"/>
              </w:rPr>
              <w:t>73,413</w:t>
            </w:r>
          </w:p>
        </w:tc>
        <w:tc>
          <w:tcPr>
            <w:tcW w:w="740" w:type="dxa"/>
            <w:vAlign w:val="bottom"/>
          </w:tcPr>
          <w:p>
            <w:pPr>
              <w:jc w:val="right"/>
              <w:spacing w:after="0"/>
              <w:rPr>
                <w:sz w:val="20"/>
                <w:szCs w:val="20"/>
                <w:color w:val="auto"/>
              </w:rPr>
            </w:pPr>
            <w:r>
              <w:rPr>
                <w:rFonts w:ascii="Arial" w:cs="Arial" w:eastAsia="Arial" w:hAnsi="Arial"/>
                <w:sz w:val="18"/>
                <w:szCs w:val="18"/>
                <w:color w:val="auto"/>
              </w:rPr>
              <w:t>59,606</w:t>
            </w:r>
          </w:p>
        </w:tc>
        <w:tc>
          <w:tcPr>
            <w:tcW w:w="0" w:type="dxa"/>
            <w:vAlign w:val="bottom"/>
          </w:tcPr>
          <w:p>
            <w:pPr>
              <w:spacing w:after="0"/>
              <w:rPr>
                <w:sz w:val="1"/>
                <w:szCs w:val="1"/>
                <w:color w:val="auto"/>
              </w:rPr>
            </w:pPr>
          </w:p>
        </w:tc>
      </w:tr>
      <w:tr>
        <w:trPr>
          <w:trHeight w:val="244"/>
        </w:trPr>
        <w:tc>
          <w:tcPr>
            <w:tcW w:w="5500" w:type="dxa"/>
            <w:vAlign w:val="bottom"/>
          </w:tcPr>
          <w:p>
            <w:pPr>
              <w:spacing w:after="0"/>
              <w:rPr>
                <w:sz w:val="20"/>
                <w:szCs w:val="20"/>
                <w:color w:val="auto"/>
              </w:rPr>
            </w:pPr>
            <w:r>
              <w:rPr>
                <w:rFonts w:ascii="Arial" w:cs="Arial" w:eastAsia="Arial" w:hAnsi="Arial"/>
                <w:sz w:val="18"/>
                <w:szCs w:val="18"/>
                <w:color w:val="auto"/>
              </w:rPr>
              <w:t>Non-U.S.</w:t>
            </w:r>
          </w:p>
        </w:tc>
        <w:tc>
          <w:tcPr>
            <w:tcW w:w="178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rPr>
              <w:t>48,344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39,056</w:t>
            </w:r>
          </w:p>
        </w:tc>
        <w:tc>
          <w:tcPr>
            <w:tcW w:w="5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w w:val="95"/>
              </w:rPr>
              <w:t>137,666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112,244</w:t>
            </w:r>
          </w:p>
        </w:tc>
        <w:tc>
          <w:tcPr>
            <w:tcW w:w="0" w:type="dxa"/>
            <w:vAlign w:val="bottom"/>
          </w:tcPr>
          <w:p>
            <w:pPr>
              <w:spacing w:after="0"/>
              <w:rPr>
                <w:sz w:val="1"/>
                <w:szCs w:val="1"/>
                <w:color w:val="auto"/>
              </w:rPr>
            </w:pPr>
          </w:p>
        </w:tc>
      </w:tr>
      <w:tr>
        <w:trPr>
          <w:trHeight w:val="210"/>
        </w:trPr>
        <w:tc>
          <w:tcPr>
            <w:tcW w:w="5500" w:type="dxa"/>
            <w:vAlign w:val="bottom"/>
          </w:tcPr>
          <w:p>
            <w:pPr>
              <w:ind w:left="46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rPr>
              <w:t>74,187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59,350</w:t>
            </w:r>
          </w:p>
        </w:tc>
        <w:tc>
          <w:tcPr>
            <w:tcW w:w="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8"/>
                <w:szCs w:val="18"/>
                <w:color w:val="auto"/>
                <w:w w:val="95"/>
              </w:rPr>
              <w:t>211,079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171,850</w:t>
            </w:r>
          </w:p>
        </w:tc>
        <w:tc>
          <w:tcPr>
            <w:tcW w:w="0" w:type="dxa"/>
            <w:vAlign w:val="bottom"/>
          </w:tcPr>
          <w:p>
            <w:pPr>
              <w:spacing w:after="0"/>
              <w:rPr>
                <w:sz w:val="1"/>
                <w:szCs w:val="1"/>
                <w:color w:val="auto"/>
              </w:rPr>
            </w:pPr>
          </w:p>
        </w:tc>
      </w:tr>
      <w:tr>
        <w:trPr>
          <w:trHeight w:val="425"/>
        </w:trPr>
        <w:tc>
          <w:tcPr>
            <w:tcW w:w="5500" w:type="dxa"/>
            <w:vAlign w:val="bottom"/>
          </w:tcPr>
          <w:p>
            <w:pPr>
              <w:spacing w:after="0"/>
              <w:rPr>
                <w:sz w:val="20"/>
                <w:szCs w:val="20"/>
                <w:color w:val="auto"/>
              </w:rPr>
            </w:pPr>
            <w:r>
              <w:rPr>
                <w:rFonts w:ascii="Arial" w:cs="Arial" w:eastAsia="Arial" w:hAnsi="Arial"/>
                <w:sz w:val="18"/>
                <w:szCs w:val="18"/>
                <w:color w:val="auto"/>
              </w:rPr>
              <w:t xml:space="preserve">Significant Non-U.S. revenue sources include: </w:t>
            </w:r>
            <w:r>
              <w:rPr>
                <w:rFonts w:ascii="Arial" w:cs="Arial" w:eastAsia="Arial" w:hAnsi="Arial"/>
                <w:sz w:val="14"/>
                <w:szCs w:val="14"/>
                <w:i w:val="1"/>
                <w:iCs w:val="1"/>
                <w:color w:val="auto"/>
              </w:rPr>
              <w:t>(1)</w:t>
            </w: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460"/>
              <w:spacing w:after="0"/>
              <w:rPr>
                <w:sz w:val="20"/>
                <w:szCs w:val="20"/>
                <w:color w:val="auto"/>
              </w:rPr>
            </w:pPr>
            <w:r>
              <w:rPr>
                <w:rFonts w:ascii="Arial" w:cs="Arial" w:eastAsia="Arial" w:hAnsi="Arial"/>
                <w:sz w:val="18"/>
                <w:szCs w:val="18"/>
                <w:color w:val="auto"/>
              </w:rPr>
              <w:t>Canada</w:t>
            </w:r>
          </w:p>
        </w:tc>
        <w:tc>
          <w:tcPr>
            <w:tcW w:w="1780" w:type="dxa"/>
            <w:vAlign w:val="bottom"/>
          </w:tcPr>
          <w:p>
            <w:pPr>
              <w:jc w:val="right"/>
              <w:ind w:right="714"/>
              <w:spacing w:after="0"/>
              <w:rPr>
                <w:sz w:val="20"/>
                <w:szCs w:val="20"/>
                <w:color w:val="auto"/>
              </w:rPr>
            </w:pPr>
            <w:r>
              <w:rPr>
                <w:rFonts w:ascii="Arial" w:cs="Arial" w:eastAsia="Arial" w:hAnsi="Arial"/>
                <w:sz w:val="18"/>
                <w:szCs w:val="18"/>
                <w:color w:val="auto"/>
              </w:rPr>
              <w:t>6,214</w:t>
            </w:r>
          </w:p>
        </w:tc>
        <w:tc>
          <w:tcPr>
            <w:tcW w:w="740" w:type="dxa"/>
            <w:vAlign w:val="bottom"/>
          </w:tcPr>
          <w:p>
            <w:pPr>
              <w:jc w:val="right"/>
              <w:spacing w:after="0"/>
              <w:rPr>
                <w:sz w:val="20"/>
                <w:szCs w:val="20"/>
                <w:color w:val="auto"/>
              </w:rPr>
            </w:pPr>
            <w:r>
              <w:rPr>
                <w:rFonts w:ascii="Arial" w:cs="Arial" w:eastAsia="Arial" w:hAnsi="Arial"/>
                <w:sz w:val="18"/>
                <w:szCs w:val="18"/>
                <w:color w:val="auto"/>
              </w:rPr>
              <w:t>5,260</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ind w:right="694"/>
              <w:spacing w:after="0"/>
              <w:rPr>
                <w:sz w:val="20"/>
                <w:szCs w:val="20"/>
                <w:color w:val="auto"/>
              </w:rPr>
            </w:pPr>
            <w:r>
              <w:rPr>
                <w:rFonts w:ascii="Arial" w:cs="Arial" w:eastAsia="Arial" w:hAnsi="Arial"/>
                <w:sz w:val="18"/>
                <w:szCs w:val="18"/>
                <w:color w:val="auto"/>
              </w:rPr>
              <w:t>17,752</w:t>
            </w:r>
          </w:p>
        </w:tc>
        <w:tc>
          <w:tcPr>
            <w:tcW w:w="740" w:type="dxa"/>
            <w:vAlign w:val="bottom"/>
          </w:tcPr>
          <w:p>
            <w:pPr>
              <w:jc w:val="right"/>
              <w:spacing w:after="0"/>
              <w:rPr>
                <w:sz w:val="20"/>
                <w:szCs w:val="20"/>
                <w:color w:val="auto"/>
              </w:rPr>
            </w:pPr>
            <w:r>
              <w:rPr>
                <w:rFonts w:ascii="Arial" w:cs="Arial" w:eastAsia="Arial" w:hAnsi="Arial"/>
                <w:sz w:val="18"/>
                <w:szCs w:val="18"/>
                <w:color w:val="auto"/>
              </w:rPr>
              <w:t>14,492</w:t>
            </w:r>
          </w:p>
        </w:tc>
        <w:tc>
          <w:tcPr>
            <w:tcW w:w="0" w:type="dxa"/>
            <w:vAlign w:val="bottom"/>
          </w:tcPr>
          <w:p>
            <w:pPr>
              <w:spacing w:after="0"/>
              <w:rPr>
                <w:sz w:val="1"/>
                <w:szCs w:val="1"/>
                <w:color w:val="auto"/>
              </w:rPr>
            </w:pPr>
          </w:p>
        </w:tc>
      </w:tr>
      <w:tr>
        <w:trPr>
          <w:trHeight w:val="230"/>
        </w:trPr>
        <w:tc>
          <w:tcPr>
            <w:tcW w:w="5500" w:type="dxa"/>
            <w:vAlign w:val="bottom"/>
          </w:tcPr>
          <w:p>
            <w:pPr>
              <w:ind w:left="460"/>
              <w:spacing w:after="0"/>
              <w:rPr>
                <w:sz w:val="20"/>
                <w:szCs w:val="20"/>
                <w:color w:val="auto"/>
              </w:rPr>
            </w:pPr>
            <w:r>
              <w:rPr>
                <w:rFonts w:ascii="Arial" w:cs="Arial" w:eastAsia="Arial" w:hAnsi="Arial"/>
                <w:sz w:val="18"/>
                <w:szCs w:val="18"/>
                <w:color w:val="auto"/>
              </w:rPr>
              <w:t>United Kingdom</w:t>
            </w:r>
          </w:p>
        </w:tc>
        <w:tc>
          <w:tcPr>
            <w:tcW w:w="1780" w:type="dxa"/>
            <w:vAlign w:val="bottom"/>
          </w:tcPr>
          <w:p>
            <w:pPr>
              <w:jc w:val="right"/>
              <w:ind w:right="714"/>
              <w:spacing w:after="0"/>
              <w:rPr>
                <w:sz w:val="20"/>
                <w:szCs w:val="20"/>
                <w:color w:val="auto"/>
              </w:rPr>
            </w:pPr>
            <w:r>
              <w:rPr>
                <w:rFonts w:ascii="Arial" w:cs="Arial" w:eastAsia="Arial" w:hAnsi="Arial"/>
                <w:sz w:val="18"/>
                <w:szCs w:val="18"/>
                <w:color w:val="auto"/>
              </w:rPr>
              <w:t>4,797</w:t>
            </w:r>
          </w:p>
        </w:tc>
        <w:tc>
          <w:tcPr>
            <w:tcW w:w="740" w:type="dxa"/>
            <w:vAlign w:val="bottom"/>
          </w:tcPr>
          <w:p>
            <w:pPr>
              <w:jc w:val="right"/>
              <w:spacing w:after="0"/>
              <w:rPr>
                <w:sz w:val="20"/>
                <w:szCs w:val="20"/>
                <w:color w:val="auto"/>
              </w:rPr>
            </w:pPr>
            <w:r>
              <w:rPr>
                <w:rFonts w:ascii="Arial" w:cs="Arial" w:eastAsia="Arial" w:hAnsi="Arial"/>
                <w:sz w:val="18"/>
                <w:szCs w:val="18"/>
                <w:color w:val="auto"/>
              </w:rPr>
              <w:t>4,057</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ind w:right="694"/>
              <w:spacing w:after="0"/>
              <w:rPr>
                <w:sz w:val="20"/>
                <w:szCs w:val="20"/>
                <w:color w:val="auto"/>
              </w:rPr>
            </w:pPr>
            <w:r>
              <w:rPr>
                <w:rFonts w:ascii="Arial" w:cs="Arial" w:eastAsia="Arial" w:hAnsi="Arial"/>
                <w:sz w:val="18"/>
                <w:szCs w:val="18"/>
                <w:color w:val="auto"/>
              </w:rPr>
              <w:t>14,240</w:t>
            </w:r>
          </w:p>
        </w:tc>
        <w:tc>
          <w:tcPr>
            <w:tcW w:w="740" w:type="dxa"/>
            <w:vAlign w:val="bottom"/>
          </w:tcPr>
          <w:p>
            <w:pPr>
              <w:jc w:val="right"/>
              <w:spacing w:after="0"/>
              <w:rPr>
                <w:sz w:val="20"/>
                <w:szCs w:val="20"/>
                <w:color w:val="auto"/>
              </w:rPr>
            </w:pPr>
            <w:r>
              <w:rPr>
                <w:rFonts w:ascii="Arial" w:cs="Arial" w:eastAsia="Arial" w:hAnsi="Arial"/>
                <w:sz w:val="18"/>
                <w:szCs w:val="18"/>
                <w:color w:val="auto"/>
              </w:rPr>
              <w:t>12,309</w:t>
            </w:r>
          </w:p>
        </w:tc>
        <w:tc>
          <w:tcPr>
            <w:tcW w:w="0" w:type="dxa"/>
            <w:vAlign w:val="bottom"/>
          </w:tcPr>
          <w:p>
            <w:pPr>
              <w:spacing w:after="0"/>
              <w:rPr>
                <w:sz w:val="1"/>
                <w:szCs w:val="1"/>
                <w:color w:val="auto"/>
              </w:rPr>
            </w:pPr>
          </w:p>
        </w:tc>
      </w:tr>
      <w:tr>
        <w:trPr>
          <w:trHeight w:val="230"/>
        </w:trPr>
        <w:tc>
          <w:tcPr>
            <w:tcW w:w="5500" w:type="dxa"/>
            <w:vAlign w:val="bottom"/>
          </w:tcPr>
          <w:p>
            <w:pPr>
              <w:ind w:left="460"/>
              <w:spacing w:after="0"/>
              <w:rPr>
                <w:sz w:val="20"/>
                <w:szCs w:val="20"/>
                <w:color w:val="auto"/>
              </w:rPr>
            </w:pPr>
            <w:r>
              <w:rPr>
                <w:rFonts w:ascii="Arial" w:cs="Arial" w:eastAsia="Arial" w:hAnsi="Arial"/>
                <w:sz w:val="18"/>
                <w:szCs w:val="18"/>
                <w:color w:val="auto"/>
              </w:rPr>
              <w:t>Belgium</w:t>
            </w:r>
          </w:p>
        </w:tc>
        <w:tc>
          <w:tcPr>
            <w:tcW w:w="1780" w:type="dxa"/>
            <w:vAlign w:val="bottom"/>
          </w:tcPr>
          <w:p>
            <w:pPr>
              <w:jc w:val="right"/>
              <w:ind w:right="714"/>
              <w:spacing w:after="0"/>
              <w:rPr>
                <w:sz w:val="20"/>
                <w:szCs w:val="20"/>
                <w:color w:val="auto"/>
              </w:rPr>
            </w:pPr>
            <w:r>
              <w:rPr>
                <w:rFonts w:ascii="Arial" w:cs="Arial" w:eastAsia="Arial" w:hAnsi="Arial"/>
                <w:sz w:val="18"/>
                <w:szCs w:val="18"/>
                <w:color w:val="auto"/>
              </w:rPr>
              <w:t>3,996</w:t>
            </w:r>
          </w:p>
        </w:tc>
        <w:tc>
          <w:tcPr>
            <w:tcW w:w="740" w:type="dxa"/>
            <w:vAlign w:val="bottom"/>
          </w:tcPr>
          <w:p>
            <w:pPr>
              <w:jc w:val="right"/>
              <w:spacing w:after="0"/>
              <w:rPr>
                <w:sz w:val="20"/>
                <w:szCs w:val="20"/>
                <w:color w:val="auto"/>
              </w:rPr>
            </w:pPr>
            <w:r>
              <w:rPr>
                <w:rFonts w:ascii="Arial" w:cs="Arial" w:eastAsia="Arial" w:hAnsi="Arial"/>
                <w:sz w:val="18"/>
                <w:szCs w:val="18"/>
                <w:color w:val="auto"/>
              </w:rPr>
              <w:t>3,247</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ind w:right="694"/>
              <w:spacing w:after="0"/>
              <w:rPr>
                <w:sz w:val="20"/>
                <w:szCs w:val="20"/>
                <w:color w:val="auto"/>
              </w:rPr>
            </w:pPr>
            <w:r>
              <w:rPr>
                <w:rFonts w:ascii="Arial" w:cs="Arial" w:eastAsia="Arial" w:hAnsi="Arial"/>
                <w:sz w:val="18"/>
                <w:szCs w:val="18"/>
                <w:color w:val="auto"/>
              </w:rPr>
              <w:t>12,063</w:t>
            </w:r>
          </w:p>
        </w:tc>
        <w:tc>
          <w:tcPr>
            <w:tcW w:w="740" w:type="dxa"/>
            <w:vAlign w:val="bottom"/>
          </w:tcPr>
          <w:p>
            <w:pPr>
              <w:jc w:val="right"/>
              <w:spacing w:after="0"/>
              <w:rPr>
                <w:sz w:val="20"/>
                <w:szCs w:val="20"/>
                <w:color w:val="auto"/>
              </w:rPr>
            </w:pPr>
            <w:r>
              <w:rPr>
                <w:rFonts w:ascii="Arial" w:cs="Arial" w:eastAsia="Arial" w:hAnsi="Arial"/>
                <w:sz w:val="18"/>
                <w:szCs w:val="18"/>
                <w:color w:val="auto"/>
              </w:rPr>
              <w:t>9,833</w:t>
            </w:r>
          </w:p>
        </w:tc>
        <w:tc>
          <w:tcPr>
            <w:tcW w:w="0" w:type="dxa"/>
            <w:vAlign w:val="bottom"/>
          </w:tcPr>
          <w:p>
            <w:pPr>
              <w:spacing w:after="0"/>
              <w:rPr>
                <w:sz w:val="1"/>
                <w:szCs w:val="1"/>
                <w:color w:val="auto"/>
              </w:rPr>
            </w:pPr>
          </w:p>
        </w:tc>
      </w:tr>
      <w:tr>
        <w:trPr>
          <w:trHeight w:val="230"/>
        </w:trPr>
        <w:tc>
          <w:tcPr>
            <w:tcW w:w="5500" w:type="dxa"/>
            <w:vAlign w:val="bottom"/>
          </w:tcPr>
          <w:p>
            <w:pPr>
              <w:ind w:left="460"/>
              <w:spacing w:after="0"/>
              <w:rPr>
                <w:sz w:val="20"/>
                <w:szCs w:val="20"/>
                <w:color w:val="auto"/>
              </w:rPr>
            </w:pPr>
            <w:r>
              <w:rPr>
                <w:rFonts w:ascii="Arial" w:cs="Arial" w:eastAsia="Arial" w:hAnsi="Arial"/>
                <w:sz w:val="18"/>
                <w:szCs w:val="18"/>
                <w:color w:val="auto"/>
              </w:rPr>
              <w:t>France</w:t>
            </w:r>
          </w:p>
        </w:tc>
        <w:tc>
          <w:tcPr>
            <w:tcW w:w="1780" w:type="dxa"/>
            <w:vAlign w:val="bottom"/>
          </w:tcPr>
          <w:p>
            <w:pPr>
              <w:jc w:val="right"/>
              <w:ind w:right="714"/>
              <w:spacing w:after="0"/>
              <w:rPr>
                <w:sz w:val="20"/>
                <w:szCs w:val="20"/>
                <w:color w:val="auto"/>
              </w:rPr>
            </w:pPr>
            <w:r>
              <w:rPr>
                <w:rFonts w:ascii="Arial" w:cs="Arial" w:eastAsia="Arial" w:hAnsi="Arial"/>
                <w:sz w:val="18"/>
                <w:szCs w:val="18"/>
                <w:color w:val="auto"/>
              </w:rPr>
              <w:t>3,588</w:t>
            </w:r>
          </w:p>
        </w:tc>
        <w:tc>
          <w:tcPr>
            <w:tcW w:w="740" w:type="dxa"/>
            <w:vAlign w:val="bottom"/>
          </w:tcPr>
          <w:p>
            <w:pPr>
              <w:jc w:val="right"/>
              <w:spacing w:after="0"/>
              <w:rPr>
                <w:sz w:val="20"/>
                <w:szCs w:val="20"/>
                <w:color w:val="auto"/>
              </w:rPr>
            </w:pPr>
            <w:r>
              <w:rPr>
                <w:rFonts w:ascii="Arial" w:cs="Arial" w:eastAsia="Arial" w:hAnsi="Arial"/>
                <w:sz w:val="18"/>
                <w:szCs w:val="18"/>
                <w:color w:val="auto"/>
              </w:rPr>
              <w:t>2,984</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ind w:right="694"/>
              <w:spacing w:after="0"/>
              <w:rPr>
                <w:sz w:val="20"/>
                <w:szCs w:val="20"/>
                <w:color w:val="auto"/>
              </w:rPr>
            </w:pPr>
            <w:r>
              <w:rPr>
                <w:rFonts w:ascii="Arial" w:cs="Arial" w:eastAsia="Arial" w:hAnsi="Arial"/>
                <w:sz w:val="18"/>
                <w:szCs w:val="18"/>
                <w:color w:val="auto"/>
              </w:rPr>
              <w:t>10,405</w:t>
            </w:r>
          </w:p>
        </w:tc>
        <w:tc>
          <w:tcPr>
            <w:tcW w:w="740" w:type="dxa"/>
            <w:vAlign w:val="bottom"/>
          </w:tcPr>
          <w:p>
            <w:pPr>
              <w:jc w:val="right"/>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30"/>
        </w:trPr>
        <w:tc>
          <w:tcPr>
            <w:tcW w:w="5500" w:type="dxa"/>
            <w:vAlign w:val="bottom"/>
          </w:tcPr>
          <w:p>
            <w:pPr>
              <w:ind w:left="460"/>
              <w:spacing w:after="0"/>
              <w:rPr>
                <w:sz w:val="20"/>
                <w:szCs w:val="20"/>
                <w:color w:val="auto"/>
              </w:rPr>
            </w:pPr>
            <w:r>
              <w:rPr>
                <w:rFonts w:ascii="Arial" w:cs="Arial" w:eastAsia="Arial" w:hAnsi="Arial"/>
                <w:sz w:val="18"/>
                <w:szCs w:val="18"/>
                <w:color w:val="auto"/>
              </w:rPr>
              <w:t>Singapore</w:t>
            </w:r>
          </w:p>
        </w:tc>
        <w:tc>
          <w:tcPr>
            <w:tcW w:w="1780" w:type="dxa"/>
            <w:vAlign w:val="bottom"/>
          </w:tcPr>
          <w:p>
            <w:pPr>
              <w:jc w:val="right"/>
              <w:ind w:right="714"/>
              <w:spacing w:after="0"/>
              <w:rPr>
                <w:sz w:val="20"/>
                <w:szCs w:val="20"/>
                <w:color w:val="auto"/>
              </w:rPr>
            </w:pPr>
            <w:r>
              <w:rPr>
                <w:rFonts w:ascii="Arial" w:cs="Arial" w:eastAsia="Arial" w:hAnsi="Arial"/>
                <w:sz w:val="18"/>
                <w:szCs w:val="18"/>
                <w:color w:val="auto"/>
              </w:rPr>
              <w:t>3,502</w:t>
            </w:r>
          </w:p>
        </w:tc>
        <w:tc>
          <w:tcPr>
            <w:tcW w:w="740" w:type="dxa"/>
            <w:vAlign w:val="bottom"/>
          </w:tcPr>
          <w:p>
            <w:pPr>
              <w:jc w:val="right"/>
              <w:spacing w:after="0"/>
              <w:rPr>
                <w:sz w:val="20"/>
                <w:szCs w:val="20"/>
                <w:color w:val="auto"/>
              </w:rPr>
            </w:pPr>
            <w:r>
              <w:rPr>
                <w:rFonts w:ascii="Arial" w:cs="Arial" w:eastAsia="Arial" w:hAnsi="Arial"/>
                <w:sz w:val="18"/>
                <w:szCs w:val="18"/>
                <w:color w:val="auto"/>
              </w:rPr>
              <w:t>2,888</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ind w:right="694"/>
              <w:spacing w:after="0"/>
              <w:rPr>
                <w:sz w:val="20"/>
                <w:szCs w:val="20"/>
                <w:color w:val="auto"/>
              </w:rPr>
            </w:pPr>
            <w:r>
              <w:rPr>
                <w:rFonts w:ascii="Arial" w:cs="Arial" w:eastAsia="Arial" w:hAnsi="Arial"/>
                <w:sz w:val="18"/>
                <w:szCs w:val="18"/>
                <w:color w:val="auto"/>
              </w:rPr>
              <w:t>10,387</w:t>
            </w:r>
          </w:p>
        </w:tc>
        <w:tc>
          <w:tcPr>
            <w:tcW w:w="740" w:type="dxa"/>
            <w:vAlign w:val="bottom"/>
          </w:tcPr>
          <w:p>
            <w:pPr>
              <w:jc w:val="right"/>
              <w:spacing w:after="0"/>
              <w:rPr>
                <w:sz w:val="20"/>
                <w:szCs w:val="20"/>
                <w:color w:val="auto"/>
              </w:rPr>
            </w:pPr>
            <w:r>
              <w:rPr>
                <w:rFonts w:ascii="Arial" w:cs="Arial" w:eastAsia="Arial" w:hAnsi="Arial"/>
                <w:sz w:val="18"/>
                <w:szCs w:val="18"/>
                <w:color w:val="auto"/>
              </w:rPr>
              <w:t>8,264</w:t>
            </w:r>
          </w:p>
        </w:tc>
        <w:tc>
          <w:tcPr>
            <w:tcW w:w="0" w:type="dxa"/>
            <w:vAlign w:val="bottom"/>
          </w:tcPr>
          <w:p>
            <w:pPr>
              <w:spacing w:after="0"/>
              <w:rPr>
                <w:sz w:val="1"/>
                <w:szCs w:val="1"/>
                <w:color w:val="auto"/>
              </w:rPr>
            </w:pPr>
          </w:p>
        </w:tc>
      </w:tr>
      <w:tr>
        <w:trPr>
          <w:trHeight w:val="230"/>
        </w:trPr>
        <w:tc>
          <w:tcPr>
            <w:tcW w:w="5500" w:type="dxa"/>
            <w:vAlign w:val="bottom"/>
          </w:tcPr>
          <w:p>
            <w:pPr>
              <w:ind w:left="460"/>
              <w:spacing w:after="0"/>
              <w:rPr>
                <w:sz w:val="20"/>
                <w:szCs w:val="20"/>
                <w:color w:val="auto"/>
              </w:rPr>
            </w:pPr>
            <w:r>
              <w:rPr>
                <w:rFonts w:ascii="Arial" w:cs="Arial" w:eastAsia="Arial" w:hAnsi="Arial"/>
                <w:sz w:val="18"/>
                <w:szCs w:val="18"/>
                <w:color w:val="auto"/>
              </w:rPr>
              <w:t>Italy</w:t>
            </w:r>
          </w:p>
        </w:tc>
        <w:tc>
          <w:tcPr>
            <w:tcW w:w="1780" w:type="dxa"/>
            <w:vAlign w:val="bottom"/>
          </w:tcPr>
          <w:p>
            <w:pPr>
              <w:jc w:val="right"/>
              <w:ind w:right="714"/>
              <w:spacing w:after="0"/>
              <w:rPr>
                <w:sz w:val="20"/>
                <w:szCs w:val="20"/>
                <w:color w:val="auto"/>
              </w:rPr>
            </w:pPr>
            <w:r>
              <w:rPr>
                <w:rFonts w:ascii="Arial" w:cs="Arial" w:eastAsia="Arial" w:hAnsi="Arial"/>
                <w:sz w:val="18"/>
                <w:szCs w:val="18"/>
                <w:color w:val="auto"/>
              </w:rPr>
              <w:t>3,316</w:t>
            </w:r>
          </w:p>
        </w:tc>
        <w:tc>
          <w:tcPr>
            <w:tcW w:w="740" w:type="dxa"/>
            <w:vAlign w:val="bottom"/>
          </w:tcPr>
          <w:p>
            <w:pPr>
              <w:jc w:val="right"/>
              <w:spacing w:after="0"/>
              <w:rPr>
                <w:sz w:val="20"/>
                <w:szCs w:val="20"/>
                <w:color w:val="auto"/>
              </w:rPr>
            </w:pPr>
            <w:r>
              <w:rPr>
                <w:rFonts w:ascii="Arial" w:cs="Arial" w:eastAsia="Arial" w:hAnsi="Arial"/>
                <w:sz w:val="18"/>
                <w:szCs w:val="18"/>
                <w:color w:val="auto"/>
              </w:rPr>
              <w:t>2,913</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ind w:right="694"/>
              <w:spacing w:after="0"/>
              <w:rPr>
                <w:sz w:val="20"/>
                <w:szCs w:val="20"/>
                <w:color w:val="auto"/>
              </w:rPr>
            </w:pPr>
            <w:r>
              <w:rPr>
                <w:rFonts w:ascii="Arial" w:cs="Arial" w:eastAsia="Arial" w:hAnsi="Arial"/>
                <w:sz w:val="18"/>
                <w:szCs w:val="18"/>
                <w:color w:val="auto"/>
              </w:rPr>
              <w:t>9,684</w:t>
            </w:r>
          </w:p>
        </w:tc>
        <w:tc>
          <w:tcPr>
            <w:tcW w:w="740" w:type="dxa"/>
            <w:vAlign w:val="bottom"/>
          </w:tcPr>
          <w:p>
            <w:pPr>
              <w:jc w:val="right"/>
              <w:spacing w:after="0"/>
              <w:rPr>
                <w:sz w:val="20"/>
                <w:szCs w:val="20"/>
                <w:color w:val="auto"/>
              </w:rPr>
            </w:pPr>
            <w:r>
              <w:rPr>
                <w:rFonts w:ascii="Arial" w:cs="Arial" w:eastAsia="Arial" w:hAnsi="Arial"/>
                <w:sz w:val="18"/>
                <w:szCs w:val="18"/>
                <w:color w:val="auto"/>
              </w:rPr>
              <w:t>8,317</w:t>
            </w:r>
          </w:p>
        </w:tc>
        <w:tc>
          <w:tcPr>
            <w:tcW w:w="0" w:type="dxa"/>
            <w:vAlign w:val="bottom"/>
          </w:tcPr>
          <w:p>
            <w:pPr>
              <w:spacing w:after="0"/>
              <w:rPr>
                <w:sz w:val="1"/>
                <w:szCs w:val="1"/>
                <w:color w:val="auto"/>
              </w:rPr>
            </w:pPr>
          </w:p>
        </w:tc>
      </w:tr>
      <w:tr>
        <w:trPr>
          <w:trHeight w:val="230"/>
        </w:trPr>
        <w:tc>
          <w:tcPr>
            <w:tcW w:w="5500" w:type="dxa"/>
            <w:vAlign w:val="bottom"/>
          </w:tcPr>
          <w:p>
            <w:pPr>
              <w:ind w:left="460"/>
              <w:spacing w:after="0"/>
              <w:rPr>
                <w:sz w:val="20"/>
                <w:szCs w:val="20"/>
                <w:color w:val="auto"/>
              </w:rPr>
            </w:pPr>
            <w:r>
              <w:rPr>
                <w:rFonts w:ascii="Arial" w:cs="Arial" w:eastAsia="Arial" w:hAnsi="Arial"/>
                <w:sz w:val="18"/>
                <w:szCs w:val="18"/>
                <w:color w:val="auto"/>
              </w:rPr>
              <w:t>Germany</w:t>
            </w:r>
          </w:p>
        </w:tc>
        <w:tc>
          <w:tcPr>
            <w:tcW w:w="1780" w:type="dxa"/>
            <w:vAlign w:val="bottom"/>
          </w:tcPr>
          <w:p>
            <w:pPr>
              <w:jc w:val="right"/>
              <w:ind w:right="714"/>
              <w:spacing w:after="0"/>
              <w:rPr>
                <w:sz w:val="20"/>
                <w:szCs w:val="20"/>
                <w:color w:val="auto"/>
              </w:rPr>
            </w:pPr>
            <w:r>
              <w:rPr>
                <w:rFonts w:ascii="Arial" w:cs="Arial" w:eastAsia="Arial" w:hAnsi="Arial"/>
                <w:sz w:val="18"/>
                <w:szCs w:val="18"/>
                <w:color w:val="auto"/>
              </w:rPr>
              <w:t>2,518</w:t>
            </w:r>
          </w:p>
        </w:tc>
        <w:tc>
          <w:tcPr>
            <w:tcW w:w="740" w:type="dxa"/>
            <w:vAlign w:val="bottom"/>
          </w:tcPr>
          <w:p>
            <w:pPr>
              <w:jc w:val="right"/>
              <w:spacing w:after="0"/>
              <w:rPr>
                <w:sz w:val="20"/>
                <w:szCs w:val="20"/>
                <w:color w:val="auto"/>
              </w:rPr>
            </w:pPr>
            <w:r>
              <w:rPr>
                <w:rFonts w:ascii="Arial" w:cs="Arial" w:eastAsia="Arial" w:hAnsi="Arial"/>
                <w:sz w:val="18"/>
                <w:szCs w:val="18"/>
                <w:color w:val="auto"/>
              </w:rPr>
              <w:t>2,210</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694"/>
              <w:spacing w:after="0"/>
              <w:rPr>
                <w:sz w:val="20"/>
                <w:szCs w:val="20"/>
                <w:color w:val="auto"/>
              </w:rPr>
            </w:pPr>
            <w:r>
              <w:rPr>
                <w:rFonts w:ascii="Arial" w:cs="Arial" w:eastAsia="Arial" w:hAnsi="Arial"/>
                <w:sz w:val="18"/>
                <w:szCs w:val="18"/>
                <w:color w:val="auto"/>
              </w:rPr>
              <w:t>7,184</w:t>
            </w:r>
          </w:p>
        </w:tc>
        <w:tc>
          <w:tcPr>
            <w:tcW w:w="740" w:type="dxa"/>
            <w:vAlign w:val="bottom"/>
          </w:tcPr>
          <w:p>
            <w:pPr>
              <w:jc w:val="right"/>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60" w:right="340" w:hanging="252"/>
        <w:spacing w:after="0" w:line="223" w:lineRule="exact"/>
        <w:tabs>
          <w:tab w:leader="none" w:pos="299"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Revenue is determined by primary country of operations. Excludes certain sales and other operating revenues in 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U.S. operations where attribution to a specific country is not practicable.</w:t>
      </w:r>
    </w:p>
    <w:p>
      <w:pPr>
        <w:spacing w:after="0" w:line="388" w:lineRule="exact"/>
        <w:rPr>
          <w:sz w:val="20"/>
          <w:szCs w:val="20"/>
          <w:color w:val="auto"/>
        </w:rPr>
      </w:pPr>
    </w:p>
    <w:p>
      <w:pPr>
        <w:ind w:right="7340" w:firstLine="8"/>
        <w:spacing w:after="0" w:line="504" w:lineRule="auto"/>
        <w:tabs>
          <w:tab w:leader="none" w:pos="3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Information on Revenue Recognition Accounting Policy for Revenue Recognition</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Corporation generally sells crude oil, natural gas and petroleum and chemical products under short-term agreements at prevailing market prices. In some cases (e.g., natural gas), products may be sold under long-term agreements, with periodic price adjustments to reflect market conditions. Revenue is recognized at the amount the Corporation expects to receive when the customer has taken control, which is typically when title transfers and the customer has assumed the risks and rewards of ownership. The prices of certain sales are based on price indexes that are sometimes not available until the next period. In such cases, estimated realizations are accrued when the sale is recognized, and are finalized when the price is available. Such adjustments to revenue from performance obligations satisfied in previous periods are not significant. Payment for revenue transactions is typically due within 30 days. Future volume delivery obligations that are unsatisfied at the end of the period are expected to be fulfilled through ordinary production or purchases. These performance obligations are based on market prices at the time of the transaction and are fully constrained due to market price volatility.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and other operating revenue” and “Notes and accounts receivable” primarily arise from contracts with customers. Long-term receivables are primarily from non-customers. Contract assets are mainly from marketing assistance programs and are not significant. Contract liabilities are mainly customer prepayments and accruals of expected volume discounts and are not significant.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8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00" w:type="dxa"/>
            <w:vAlign w:val="bottom"/>
            <w:gridSpan w:val="2"/>
          </w:tcPr>
          <w:p>
            <w:pPr>
              <w:jc w:val="right"/>
              <w:ind w:right="579"/>
              <w:spacing w:after="0"/>
              <w:rPr>
                <w:sz w:val="20"/>
                <w:szCs w:val="20"/>
                <w:color w:val="auto"/>
              </w:rPr>
            </w:pPr>
            <w:r>
              <w:rPr>
                <w:rFonts w:ascii="Arial" w:cs="Arial" w:eastAsia="Arial" w:hAnsi="Arial"/>
                <w:sz w:val="18"/>
                <w:szCs w:val="18"/>
                <w:b w:val="1"/>
                <w:bCs w:val="1"/>
                <w:color w:val="auto"/>
              </w:rPr>
              <w:t>EXXON MOBIL CORPORATION</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96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Management's Discussion and Analysis of Financial Condition and Results of Operations</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FUNCTIONAL EARNINGS SUMMARY</w:t>
            </w: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tcPr>
          <w:p>
            <w:pPr>
              <w:jc w:val="right"/>
              <w:ind w:right="39"/>
              <w:spacing w:after="0"/>
              <w:rPr>
                <w:sz w:val="20"/>
                <w:szCs w:val="20"/>
                <w:color w:val="auto"/>
              </w:rPr>
            </w:pPr>
            <w:r>
              <w:rPr>
                <w:rFonts w:ascii="Arial" w:cs="Arial" w:eastAsia="Arial" w:hAnsi="Arial"/>
                <w:sz w:val="14"/>
                <w:szCs w:val="14"/>
                <w:b w:val="1"/>
                <w:bCs w:val="1"/>
                <w:color w:val="auto"/>
              </w:rPr>
              <w:t>Third Quarter</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First Nine Months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340" w:type="dxa"/>
            <w:vAlign w:val="bottom"/>
            <w:gridSpan w:val="3"/>
            <w:vMerge w:val="restart"/>
          </w:tcPr>
          <w:p>
            <w:pPr>
              <w:spacing w:after="0" w:line="201" w:lineRule="exact"/>
              <w:rPr>
                <w:sz w:val="20"/>
                <w:szCs w:val="20"/>
                <w:color w:val="auto"/>
              </w:rPr>
            </w:pPr>
            <w:r>
              <w:rPr>
                <w:rFonts w:ascii="Arial" w:cs="Arial" w:eastAsia="Arial" w:hAnsi="Arial"/>
                <w:sz w:val="18"/>
                <w:szCs w:val="18"/>
                <w:b w:val="1"/>
                <w:bCs w:val="1"/>
                <w:color w:val="auto"/>
              </w:rPr>
              <w:t>Earnings (U.S. GAAP)</w:t>
            </w:r>
          </w:p>
        </w:tc>
        <w:tc>
          <w:tcPr>
            <w:tcW w:w="16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340" w:type="dxa"/>
            <w:vAlign w:val="bottom"/>
            <w:gridSpan w:val="3"/>
            <w:vMerge w:val="continue"/>
          </w:tcPr>
          <w:p>
            <w:pPr>
              <w:spacing w:after="0"/>
              <w:rPr>
                <w:sz w:val="13"/>
                <w:szCs w:val="13"/>
                <w:color w:val="auto"/>
              </w:rPr>
            </w:pPr>
          </w:p>
        </w:tc>
        <w:tc>
          <w:tcPr>
            <w:tcW w:w="3400" w:type="dxa"/>
            <w:vAlign w:val="bottom"/>
            <w:gridSpan w:val="2"/>
          </w:tcPr>
          <w:p>
            <w:pPr>
              <w:jc w:val="right"/>
              <w:ind w:right="1099"/>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w w:val="96"/>
              </w:rPr>
              <w:t>2017</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ind w:right="1073"/>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34"/>
        </w:trPr>
        <w:tc>
          <w:tcPr>
            <w:tcW w:w="7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40" w:type="dxa"/>
            <w:vAlign w:val="bottom"/>
            <w:gridSpan w:val="3"/>
          </w:tcPr>
          <w:p>
            <w:pPr>
              <w:ind w:left="320"/>
              <w:spacing w:after="0"/>
              <w:rPr>
                <w:sz w:val="20"/>
                <w:szCs w:val="20"/>
                <w:color w:val="auto"/>
              </w:rPr>
            </w:pPr>
            <w:r>
              <w:rPr>
                <w:rFonts w:ascii="Arial" w:cs="Arial" w:eastAsia="Arial" w:hAnsi="Arial"/>
                <w:sz w:val="14"/>
                <w:szCs w:val="14"/>
                <w:i w:val="1"/>
                <w:iCs w:val="1"/>
                <w:color w:val="auto"/>
              </w:rPr>
              <w:t>(millions of dollars)</w:t>
            </w:r>
          </w:p>
        </w:tc>
        <w:tc>
          <w:tcPr>
            <w:tcW w:w="1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780" w:type="dxa"/>
            <w:vAlign w:val="bottom"/>
          </w:tcPr>
          <w:p>
            <w:pPr>
              <w:spacing w:after="0"/>
              <w:rPr>
                <w:sz w:val="20"/>
                <w:szCs w:val="20"/>
                <w:color w:val="auto"/>
              </w:rPr>
            </w:pPr>
            <w:r>
              <w:rPr>
                <w:rFonts w:ascii="Arial" w:cs="Arial" w:eastAsia="Arial" w:hAnsi="Arial"/>
                <w:sz w:val="18"/>
                <w:szCs w:val="18"/>
                <w:color w:val="auto"/>
                <w:w w:val="97"/>
              </w:rPr>
              <w:t>Upstream</w:t>
            </w:r>
          </w:p>
        </w:tc>
        <w:tc>
          <w:tcPr>
            <w:tcW w:w="9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c>
          <w:tcPr>
            <w:tcW w:w="3400" w:type="dxa"/>
            <w:vAlign w:val="bottom"/>
            <w:gridSpan w:val="2"/>
          </w:tcPr>
          <w:p>
            <w:pPr>
              <w:jc w:val="right"/>
              <w:ind w:right="839"/>
              <w:spacing w:after="0"/>
              <w:rPr>
                <w:sz w:val="20"/>
                <w:szCs w:val="20"/>
                <w:color w:val="auto"/>
              </w:rPr>
            </w:pPr>
            <w:r>
              <w:rPr>
                <w:rFonts w:ascii="Arial" w:cs="Arial" w:eastAsia="Arial" w:hAnsi="Arial"/>
                <w:sz w:val="18"/>
                <w:szCs w:val="18"/>
                <w:color w:val="auto"/>
              </w:rPr>
              <w:t>606</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9"/>
                <w:szCs w:val="19"/>
                <w:color w:val="auto"/>
              </w:rPr>
            </w:pPr>
          </w:p>
        </w:tc>
        <w:tc>
          <w:tcPr>
            <w:tcW w:w="1540" w:type="dxa"/>
            <w:vAlign w:val="bottom"/>
          </w:tcPr>
          <w:p>
            <w:pPr>
              <w:jc w:val="right"/>
              <w:ind w:right="833"/>
              <w:spacing w:after="0"/>
              <w:rPr>
                <w:sz w:val="20"/>
                <w:szCs w:val="20"/>
                <w:color w:val="auto"/>
              </w:rPr>
            </w:pPr>
            <w:r>
              <w:rPr>
                <w:rFonts w:ascii="Arial" w:cs="Arial" w:eastAsia="Arial" w:hAnsi="Arial"/>
                <w:sz w:val="18"/>
                <w:szCs w:val="18"/>
                <w:color w:val="auto"/>
              </w:rPr>
              <w:t>1,474</w:t>
            </w:r>
          </w:p>
        </w:tc>
        <w:tc>
          <w:tcPr>
            <w:tcW w:w="60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4340" w:type="dxa"/>
            <w:vAlign w:val="bottom"/>
            <w:gridSpan w:val="3"/>
          </w:tcPr>
          <w:p>
            <w:pPr>
              <w:ind w:left="460"/>
              <w:spacing w:after="0"/>
              <w:rPr>
                <w:sz w:val="20"/>
                <w:szCs w:val="20"/>
                <w:color w:val="auto"/>
              </w:rPr>
            </w:pPr>
            <w:r>
              <w:rPr>
                <w:rFonts w:ascii="Arial" w:cs="Arial" w:eastAsia="Arial" w:hAnsi="Arial"/>
                <w:sz w:val="18"/>
                <w:szCs w:val="18"/>
                <w:color w:val="auto"/>
              </w:rPr>
              <w:t>Non-U.S.</w:t>
            </w:r>
          </w:p>
        </w:tc>
        <w:tc>
          <w:tcPr>
            <w:tcW w:w="3400" w:type="dxa"/>
            <w:vAlign w:val="bottom"/>
            <w:gridSpan w:val="2"/>
          </w:tcPr>
          <w:p>
            <w:pPr>
              <w:jc w:val="right"/>
              <w:ind w:right="839"/>
              <w:spacing w:after="0"/>
              <w:rPr>
                <w:sz w:val="20"/>
                <w:szCs w:val="20"/>
                <w:color w:val="auto"/>
              </w:rPr>
            </w:pPr>
            <w:r>
              <w:rPr>
                <w:rFonts w:ascii="Arial" w:cs="Arial" w:eastAsia="Arial" w:hAnsi="Arial"/>
                <w:sz w:val="18"/>
                <w:szCs w:val="18"/>
                <w:color w:val="auto"/>
              </w:rPr>
              <w:t>3,623</w:t>
            </w:r>
          </w:p>
        </w:tc>
        <w:tc>
          <w:tcPr>
            <w:tcW w:w="640" w:type="dxa"/>
            <w:vAlign w:val="bottom"/>
          </w:tcPr>
          <w:p>
            <w:pPr>
              <w:jc w:val="right"/>
              <w:spacing w:after="0"/>
              <w:rPr>
                <w:sz w:val="20"/>
                <w:szCs w:val="20"/>
                <w:color w:val="auto"/>
              </w:rPr>
            </w:pPr>
            <w:r>
              <w:rPr>
                <w:rFonts w:ascii="Arial" w:cs="Arial" w:eastAsia="Arial" w:hAnsi="Arial"/>
                <w:sz w:val="18"/>
                <w:szCs w:val="18"/>
                <w:color w:val="auto"/>
              </w:rPr>
              <w:t>1,805</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833"/>
              <w:spacing w:after="0"/>
              <w:rPr>
                <w:sz w:val="20"/>
                <w:szCs w:val="20"/>
                <w:color w:val="auto"/>
              </w:rPr>
            </w:pPr>
            <w:r>
              <w:rPr>
                <w:rFonts w:ascii="Arial" w:cs="Arial" w:eastAsia="Arial" w:hAnsi="Arial"/>
                <w:sz w:val="18"/>
                <w:szCs w:val="18"/>
                <w:color w:val="auto"/>
              </w:rPr>
              <w:t>9,292</w:t>
            </w:r>
          </w:p>
        </w:tc>
        <w:tc>
          <w:tcPr>
            <w:tcW w:w="600" w:type="dxa"/>
            <w:vAlign w:val="bottom"/>
          </w:tcPr>
          <w:p>
            <w:pPr>
              <w:jc w:val="right"/>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Downstream</w:t>
            </w:r>
          </w:p>
        </w:tc>
        <w:tc>
          <w:tcPr>
            <w:tcW w:w="16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c>
          <w:tcPr>
            <w:tcW w:w="3400" w:type="dxa"/>
            <w:vAlign w:val="bottom"/>
            <w:gridSpan w:val="2"/>
          </w:tcPr>
          <w:p>
            <w:pPr>
              <w:jc w:val="right"/>
              <w:ind w:right="839"/>
              <w:spacing w:after="0"/>
              <w:rPr>
                <w:sz w:val="20"/>
                <w:szCs w:val="20"/>
                <w:color w:val="auto"/>
              </w:rPr>
            </w:pPr>
            <w:r>
              <w:rPr>
                <w:rFonts w:ascii="Arial" w:cs="Arial" w:eastAsia="Arial" w:hAnsi="Arial"/>
                <w:sz w:val="18"/>
                <w:szCs w:val="18"/>
                <w:color w:val="auto"/>
              </w:rPr>
              <w:t>961</w:t>
            </w:r>
          </w:p>
        </w:tc>
        <w:tc>
          <w:tcPr>
            <w:tcW w:w="640" w:type="dxa"/>
            <w:vAlign w:val="bottom"/>
          </w:tcPr>
          <w:p>
            <w:pPr>
              <w:jc w:val="right"/>
              <w:spacing w:after="0"/>
              <w:rPr>
                <w:sz w:val="20"/>
                <w:szCs w:val="20"/>
                <w:color w:val="auto"/>
              </w:rPr>
            </w:pPr>
            <w:r>
              <w:rPr>
                <w:rFonts w:ascii="Arial" w:cs="Arial" w:eastAsia="Arial" w:hAnsi="Arial"/>
                <w:sz w:val="18"/>
                <w:szCs w:val="18"/>
                <w:color w:val="auto"/>
              </w:rPr>
              <w:t>391</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833"/>
              <w:spacing w:after="0"/>
              <w:rPr>
                <w:sz w:val="20"/>
                <w:szCs w:val="20"/>
                <w:color w:val="auto"/>
              </w:rPr>
            </w:pPr>
            <w:r>
              <w:rPr>
                <w:rFonts w:ascii="Arial" w:cs="Arial" w:eastAsia="Arial" w:hAnsi="Arial"/>
                <w:sz w:val="18"/>
                <w:szCs w:val="18"/>
                <w:color w:val="auto"/>
              </w:rPr>
              <w:t>1,975</w:t>
            </w:r>
          </w:p>
        </w:tc>
        <w:tc>
          <w:tcPr>
            <w:tcW w:w="60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0"/>
        </w:trPr>
        <w:tc>
          <w:tcPr>
            <w:tcW w:w="4340" w:type="dxa"/>
            <w:vAlign w:val="bottom"/>
            <w:gridSpan w:val="3"/>
          </w:tcPr>
          <w:p>
            <w:pPr>
              <w:ind w:left="460"/>
              <w:spacing w:after="0"/>
              <w:rPr>
                <w:sz w:val="20"/>
                <w:szCs w:val="20"/>
                <w:color w:val="auto"/>
              </w:rPr>
            </w:pPr>
            <w:r>
              <w:rPr>
                <w:rFonts w:ascii="Arial" w:cs="Arial" w:eastAsia="Arial" w:hAnsi="Arial"/>
                <w:sz w:val="18"/>
                <w:szCs w:val="18"/>
                <w:color w:val="auto"/>
              </w:rPr>
              <w:t>Non-U.S.</w:t>
            </w:r>
          </w:p>
        </w:tc>
        <w:tc>
          <w:tcPr>
            <w:tcW w:w="3400" w:type="dxa"/>
            <w:vAlign w:val="bottom"/>
            <w:gridSpan w:val="2"/>
          </w:tcPr>
          <w:p>
            <w:pPr>
              <w:jc w:val="right"/>
              <w:ind w:right="839"/>
              <w:spacing w:after="0"/>
              <w:rPr>
                <w:sz w:val="20"/>
                <w:szCs w:val="20"/>
                <w:color w:val="auto"/>
              </w:rPr>
            </w:pPr>
            <w:r>
              <w:rPr>
                <w:rFonts w:ascii="Arial" w:cs="Arial" w:eastAsia="Arial" w:hAnsi="Arial"/>
                <w:sz w:val="18"/>
                <w:szCs w:val="18"/>
                <w:color w:val="auto"/>
              </w:rPr>
              <w:t>681</w:t>
            </w:r>
          </w:p>
        </w:tc>
        <w:tc>
          <w:tcPr>
            <w:tcW w:w="640" w:type="dxa"/>
            <w:vAlign w:val="bottom"/>
          </w:tcPr>
          <w:p>
            <w:pPr>
              <w:jc w:val="right"/>
              <w:spacing w:after="0"/>
              <w:rPr>
                <w:sz w:val="20"/>
                <w:szCs w:val="20"/>
                <w:color w:val="auto"/>
              </w:rPr>
            </w:pPr>
            <w:r>
              <w:rPr>
                <w:rFonts w:ascii="Arial" w:cs="Arial" w:eastAsia="Arial" w:hAnsi="Arial"/>
                <w:sz w:val="18"/>
                <w:szCs w:val="18"/>
                <w:color w:val="auto"/>
              </w:rPr>
              <w:t>1,141</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833"/>
              <w:spacing w:after="0"/>
              <w:rPr>
                <w:sz w:val="20"/>
                <w:szCs w:val="20"/>
                <w:color w:val="auto"/>
              </w:rPr>
            </w:pPr>
            <w:r>
              <w:rPr>
                <w:rFonts w:ascii="Arial" w:cs="Arial" w:eastAsia="Arial" w:hAnsi="Arial"/>
                <w:sz w:val="18"/>
                <w:szCs w:val="18"/>
                <w:color w:val="auto"/>
              </w:rPr>
              <w:t>1,331</w:t>
            </w:r>
          </w:p>
        </w:tc>
        <w:tc>
          <w:tcPr>
            <w:tcW w:w="600" w:type="dxa"/>
            <w:vAlign w:val="bottom"/>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Chemical</w:t>
            </w:r>
          </w:p>
        </w:tc>
        <w:tc>
          <w:tcPr>
            <w:tcW w:w="9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c>
          <w:tcPr>
            <w:tcW w:w="3400" w:type="dxa"/>
            <w:vAlign w:val="bottom"/>
            <w:gridSpan w:val="2"/>
          </w:tcPr>
          <w:p>
            <w:pPr>
              <w:jc w:val="right"/>
              <w:ind w:right="839"/>
              <w:spacing w:after="0"/>
              <w:rPr>
                <w:sz w:val="20"/>
                <w:szCs w:val="20"/>
                <w:color w:val="auto"/>
              </w:rPr>
            </w:pPr>
            <w:r>
              <w:rPr>
                <w:rFonts w:ascii="Arial" w:cs="Arial" w:eastAsia="Arial" w:hAnsi="Arial"/>
                <w:sz w:val="18"/>
                <w:szCs w:val="18"/>
                <w:color w:val="auto"/>
              </w:rPr>
              <w:t>404</w:t>
            </w:r>
          </w:p>
        </w:tc>
        <w:tc>
          <w:tcPr>
            <w:tcW w:w="640" w:type="dxa"/>
            <w:vAlign w:val="bottom"/>
          </w:tcPr>
          <w:p>
            <w:pPr>
              <w:jc w:val="right"/>
              <w:spacing w:after="0"/>
              <w:rPr>
                <w:sz w:val="20"/>
                <w:szCs w:val="20"/>
                <w:color w:val="auto"/>
              </w:rPr>
            </w:pPr>
            <w:r>
              <w:rPr>
                <w:rFonts w:ascii="Arial" w:cs="Arial" w:eastAsia="Arial" w:hAnsi="Arial"/>
                <w:sz w:val="18"/>
                <w:szCs w:val="18"/>
                <w:color w:val="auto"/>
              </w:rPr>
              <w:t>403</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833"/>
              <w:spacing w:after="0"/>
              <w:rPr>
                <w:sz w:val="20"/>
                <w:szCs w:val="20"/>
                <w:color w:val="auto"/>
              </w:rPr>
            </w:pPr>
            <w:r>
              <w:rPr>
                <w:rFonts w:ascii="Arial" w:cs="Arial" w:eastAsia="Arial" w:hAnsi="Arial"/>
                <w:sz w:val="18"/>
                <w:szCs w:val="18"/>
                <w:color w:val="auto"/>
              </w:rPr>
              <w:t>1,360</w:t>
            </w:r>
          </w:p>
        </w:tc>
        <w:tc>
          <w:tcPr>
            <w:tcW w:w="600" w:type="dxa"/>
            <w:vAlign w:val="bottom"/>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30"/>
        </w:trPr>
        <w:tc>
          <w:tcPr>
            <w:tcW w:w="4340" w:type="dxa"/>
            <w:vAlign w:val="bottom"/>
            <w:gridSpan w:val="3"/>
          </w:tcPr>
          <w:p>
            <w:pPr>
              <w:ind w:left="460"/>
              <w:spacing w:after="0"/>
              <w:rPr>
                <w:sz w:val="20"/>
                <w:szCs w:val="20"/>
                <w:color w:val="auto"/>
              </w:rPr>
            </w:pPr>
            <w:r>
              <w:rPr>
                <w:rFonts w:ascii="Arial" w:cs="Arial" w:eastAsia="Arial" w:hAnsi="Arial"/>
                <w:sz w:val="18"/>
                <w:szCs w:val="18"/>
                <w:color w:val="auto"/>
              </w:rPr>
              <w:t>Non-U.S.</w:t>
            </w:r>
          </w:p>
        </w:tc>
        <w:tc>
          <w:tcPr>
            <w:tcW w:w="3400" w:type="dxa"/>
            <w:vAlign w:val="bottom"/>
            <w:gridSpan w:val="2"/>
          </w:tcPr>
          <w:p>
            <w:pPr>
              <w:jc w:val="right"/>
              <w:ind w:right="839"/>
              <w:spacing w:after="0"/>
              <w:rPr>
                <w:sz w:val="20"/>
                <w:szCs w:val="20"/>
                <w:color w:val="auto"/>
              </w:rPr>
            </w:pPr>
            <w:r>
              <w:rPr>
                <w:rFonts w:ascii="Arial" w:cs="Arial" w:eastAsia="Arial" w:hAnsi="Arial"/>
                <w:sz w:val="18"/>
                <w:szCs w:val="18"/>
                <w:color w:val="auto"/>
              </w:rPr>
              <w:t>309</w:t>
            </w:r>
          </w:p>
        </w:tc>
        <w:tc>
          <w:tcPr>
            <w:tcW w:w="640" w:type="dxa"/>
            <w:vAlign w:val="bottom"/>
          </w:tcPr>
          <w:p>
            <w:pPr>
              <w:jc w:val="right"/>
              <w:spacing w:after="0"/>
              <w:rPr>
                <w:sz w:val="20"/>
                <w:szCs w:val="20"/>
                <w:color w:val="auto"/>
              </w:rPr>
            </w:pPr>
            <w:r>
              <w:rPr>
                <w:rFonts w:ascii="Arial" w:cs="Arial" w:eastAsia="Arial" w:hAnsi="Arial"/>
                <w:sz w:val="18"/>
                <w:szCs w:val="18"/>
                <w:color w:val="auto"/>
              </w:rPr>
              <w:t>689</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833"/>
              <w:spacing w:after="0"/>
              <w:rPr>
                <w:sz w:val="20"/>
                <w:szCs w:val="20"/>
                <w:color w:val="auto"/>
              </w:rPr>
            </w:pPr>
            <w:r>
              <w:rPr>
                <w:rFonts w:ascii="Arial" w:cs="Arial" w:eastAsia="Arial" w:hAnsi="Arial"/>
                <w:sz w:val="18"/>
                <w:szCs w:val="18"/>
                <w:color w:val="auto"/>
              </w:rPr>
              <w:t>1,254</w:t>
            </w:r>
          </w:p>
        </w:tc>
        <w:tc>
          <w:tcPr>
            <w:tcW w:w="600" w:type="dxa"/>
            <w:vAlign w:val="bottom"/>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37"/>
        </w:trPr>
        <w:tc>
          <w:tcPr>
            <w:tcW w:w="4340" w:type="dxa"/>
            <w:vAlign w:val="bottom"/>
            <w:gridSpan w:val="3"/>
          </w:tcPr>
          <w:p>
            <w:pPr>
              <w:spacing w:after="0"/>
              <w:rPr>
                <w:sz w:val="20"/>
                <w:szCs w:val="20"/>
                <w:color w:val="auto"/>
              </w:rPr>
            </w:pPr>
            <w:r>
              <w:rPr>
                <w:rFonts w:ascii="Arial" w:cs="Arial" w:eastAsia="Arial" w:hAnsi="Arial"/>
                <w:sz w:val="18"/>
                <w:szCs w:val="18"/>
                <w:color w:val="auto"/>
              </w:rPr>
              <w:t xml:space="preserve">Corporate and financing </w:t>
            </w:r>
            <w:r>
              <w:rPr>
                <w:rFonts w:ascii="Arial" w:cs="Arial" w:eastAsia="Arial" w:hAnsi="Arial"/>
                <w:sz w:val="14"/>
                <w:szCs w:val="14"/>
                <w:i w:val="1"/>
                <w:iCs w:val="1"/>
                <w:color w:val="auto"/>
              </w:rPr>
              <w:t>(1)</w:t>
            </w:r>
          </w:p>
        </w:tc>
        <w:tc>
          <w:tcPr>
            <w:tcW w:w="3400" w:type="dxa"/>
            <w:vAlign w:val="bottom"/>
            <w:gridSpan w:val="2"/>
          </w:tcPr>
          <w:p>
            <w:pPr>
              <w:jc w:val="right"/>
              <w:ind w:right="779"/>
              <w:spacing w:after="0"/>
              <w:rPr>
                <w:sz w:val="20"/>
                <w:szCs w:val="20"/>
                <w:color w:val="auto"/>
              </w:rPr>
            </w:pPr>
            <w:r>
              <w:rPr>
                <w:rFonts w:ascii="Arial" w:cs="Arial" w:eastAsia="Arial" w:hAnsi="Arial"/>
                <w:sz w:val="18"/>
                <w:szCs w:val="18"/>
                <w:color w:val="auto"/>
              </w:rPr>
              <w:t>(344)</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0"/>
                <w:szCs w:val="20"/>
                <w:color w:val="auto"/>
              </w:rPr>
            </w:pPr>
          </w:p>
        </w:tc>
        <w:tc>
          <w:tcPr>
            <w:tcW w:w="1540" w:type="dxa"/>
            <w:vAlign w:val="bottom"/>
          </w:tcPr>
          <w:p>
            <w:pPr>
              <w:jc w:val="right"/>
              <w:ind w:right="773"/>
              <w:spacing w:after="0"/>
              <w:rPr>
                <w:sz w:val="20"/>
                <w:szCs w:val="20"/>
                <w:color w:val="auto"/>
              </w:rPr>
            </w:pPr>
            <w:r>
              <w:rPr>
                <w:rFonts w:ascii="Arial" w:cs="Arial" w:eastAsia="Arial" w:hAnsi="Arial"/>
                <w:sz w:val="18"/>
                <w:szCs w:val="18"/>
                <w:color w:val="auto"/>
              </w:rPr>
              <w:t>(1,846)</w:t>
            </w:r>
          </w:p>
        </w:tc>
        <w:tc>
          <w:tcPr>
            <w:tcW w:w="600" w:type="dxa"/>
            <w:vAlign w:val="bottom"/>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4340" w:type="dxa"/>
            <w:vAlign w:val="bottom"/>
            <w:gridSpan w:val="3"/>
          </w:tcPr>
          <w:p>
            <w:pPr>
              <w:ind w:left="460"/>
              <w:spacing w:after="0" w:line="203" w:lineRule="exact"/>
              <w:rPr>
                <w:sz w:val="20"/>
                <w:szCs w:val="20"/>
                <w:color w:val="auto"/>
              </w:rPr>
            </w:pPr>
            <w:r>
              <w:rPr>
                <w:rFonts w:ascii="Arial" w:cs="Arial" w:eastAsia="Arial" w:hAnsi="Arial"/>
                <w:sz w:val="18"/>
                <w:szCs w:val="18"/>
                <w:color w:val="auto"/>
                <w:w w:val="94"/>
              </w:rPr>
              <w:t>Net income attributable to ExxonMobil (U.S. GAAP)</w:t>
            </w:r>
          </w:p>
        </w:tc>
        <w:tc>
          <w:tcPr>
            <w:tcW w:w="1620" w:type="dxa"/>
            <w:vAlign w:val="bottom"/>
          </w:tcPr>
          <w:p>
            <w:pPr>
              <w:spacing w:after="0"/>
              <w:rPr>
                <w:sz w:val="18"/>
                <w:szCs w:val="18"/>
                <w:color w:val="auto"/>
              </w:rPr>
            </w:pPr>
          </w:p>
        </w:tc>
        <w:tc>
          <w:tcPr>
            <w:tcW w:w="17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rPr>
              <w:t>6,240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833"/>
              <w:spacing w:after="0"/>
              <w:rPr>
                <w:sz w:val="20"/>
                <w:szCs w:val="20"/>
                <w:color w:val="auto"/>
              </w:rPr>
            </w:pPr>
            <w:r>
              <w:rPr>
                <w:rFonts w:ascii="Arial" w:cs="Arial" w:eastAsia="Arial" w:hAnsi="Arial"/>
                <w:sz w:val="18"/>
                <w:szCs w:val="18"/>
                <w:color w:val="auto"/>
              </w:rPr>
              <w:t>14,840</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11,330</w:t>
            </w:r>
          </w:p>
        </w:tc>
        <w:tc>
          <w:tcPr>
            <w:tcW w:w="0" w:type="dxa"/>
            <w:vAlign w:val="bottom"/>
          </w:tcPr>
          <w:p>
            <w:pPr>
              <w:spacing w:after="0"/>
              <w:rPr>
                <w:sz w:val="1"/>
                <w:szCs w:val="1"/>
                <w:color w:val="auto"/>
              </w:rPr>
            </w:pPr>
          </w:p>
        </w:tc>
      </w:tr>
      <w:tr>
        <w:trPr>
          <w:trHeight w:val="426"/>
        </w:trPr>
        <w:tc>
          <w:tcPr>
            <w:tcW w:w="4340" w:type="dxa"/>
            <w:vAlign w:val="bottom"/>
            <w:gridSpan w:val="3"/>
          </w:tcPr>
          <w:p>
            <w:pPr>
              <w:spacing w:after="0"/>
              <w:rPr>
                <w:sz w:val="20"/>
                <w:szCs w:val="20"/>
                <w:color w:val="auto"/>
              </w:rPr>
            </w:pPr>
            <w:r>
              <w:rPr>
                <w:rFonts w:ascii="Arial" w:cs="Arial" w:eastAsia="Arial" w:hAnsi="Arial"/>
                <w:sz w:val="18"/>
                <w:szCs w:val="18"/>
                <w:color w:val="auto"/>
              </w:rPr>
              <w:t xml:space="preserve">Earnings per common share </w:t>
            </w:r>
            <w:r>
              <w:rPr>
                <w:rFonts w:ascii="Arial" w:cs="Arial" w:eastAsia="Arial" w:hAnsi="Arial"/>
                <w:sz w:val="18"/>
                <w:szCs w:val="18"/>
                <w:i w:val="1"/>
                <w:iCs w:val="1"/>
                <w:color w:val="auto"/>
              </w:rPr>
              <w:t>(dollars)</w:t>
            </w:r>
          </w:p>
        </w:tc>
        <w:tc>
          <w:tcPr>
            <w:tcW w:w="3400" w:type="dxa"/>
            <w:vAlign w:val="bottom"/>
            <w:gridSpan w:val="2"/>
          </w:tcPr>
          <w:p>
            <w:pPr>
              <w:jc w:val="right"/>
              <w:ind w:right="839"/>
              <w:spacing w:after="0"/>
              <w:rPr>
                <w:sz w:val="20"/>
                <w:szCs w:val="20"/>
                <w:color w:val="auto"/>
              </w:rPr>
            </w:pPr>
            <w:r>
              <w:rPr>
                <w:rFonts w:ascii="Arial" w:cs="Arial" w:eastAsia="Arial" w:hAnsi="Arial"/>
                <w:sz w:val="18"/>
                <w:szCs w:val="18"/>
                <w:color w:val="auto"/>
              </w:rPr>
              <w:t>1.46</w:t>
            </w:r>
          </w:p>
        </w:tc>
        <w:tc>
          <w:tcPr>
            <w:tcW w:w="640" w:type="dxa"/>
            <w:vAlign w:val="bottom"/>
          </w:tcPr>
          <w:p>
            <w:pPr>
              <w:jc w:val="right"/>
              <w:spacing w:after="0"/>
              <w:rPr>
                <w:sz w:val="20"/>
                <w:szCs w:val="20"/>
                <w:color w:val="auto"/>
              </w:rPr>
            </w:pPr>
            <w:r>
              <w:rPr>
                <w:rFonts w:ascii="Arial" w:cs="Arial" w:eastAsia="Arial" w:hAnsi="Arial"/>
                <w:sz w:val="18"/>
                <w:szCs w:val="18"/>
                <w:color w:val="auto"/>
              </w:rPr>
              <w:t>0.93</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833"/>
              <w:spacing w:after="0"/>
              <w:rPr>
                <w:sz w:val="20"/>
                <w:szCs w:val="20"/>
                <w:color w:val="auto"/>
              </w:rPr>
            </w:pPr>
            <w:r>
              <w:rPr>
                <w:rFonts w:ascii="Arial" w:cs="Arial" w:eastAsia="Arial" w:hAnsi="Arial"/>
                <w:sz w:val="18"/>
                <w:szCs w:val="18"/>
                <w:color w:val="auto"/>
              </w:rPr>
              <w:t>3.47</w:t>
            </w:r>
          </w:p>
        </w:tc>
        <w:tc>
          <w:tcPr>
            <w:tcW w:w="60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459"/>
        </w:trPr>
        <w:tc>
          <w:tcPr>
            <w:tcW w:w="4340" w:type="dxa"/>
            <w:vAlign w:val="bottom"/>
            <w:gridSpan w:val="3"/>
          </w:tcPr>
          <w:p>
            <w:pPr>
              <w:spacing w:after="0"/>
              <w:rPr>
                <w:sz w:val="20"/>
                <w:szCs w:val="20"/>
                <w:color w:val="auto"/>
              </w:rPr>
            </w:pPr>
            <w:r>
              <w:rPr>
                <w:rFonts w:ascii="Arial" w:cs="Arial" w:eastAsia="Arial" w:hAnsi="Arial"/>
                <w:sz w:val="18"/>
                <w:szCs w:val="18"/>
                <w:color w:val="auto"/>
                <w:w w:val="95"/>
              </w:rPr>
              <w:t xml:space="preserve">Earnings per common share - assuming dilution </w:t>
            </w:r>
            <w:r>
              <w:rPr>
                <w:rFonts w:ascii="Arial" w:cs="Arial" w:eastAsia="Arial" w:hAnsi="Arial"/>
                <w:sz w:val="18"/>
                <w:szCs w:val="18"/>
                <w:i w:val="1"/>
                <w:iCs w:val="1"/>
                <w:color w:val="auto"/>
                <w:w w:val="95"/>
              </w:rPr>
              <w:t>(dollars)</w:t>
            </w:r>
          </w:p>
        </w:tc>
        <w:tc>
          <w:tcPr>
            <w:tcW w:w="3400" w:type="dxa"/>
            <w:vAlign w:val="bottom"/>
            <w:gridSpan w:val="2"/>
          </w:tcPr>
          <w:p>
            <w:pPr>
              <w:jc w:val="right"/>
              <w:ind w:right="839"/>
              <w:spacing w:after="0"/>
              <w:rPr>
                <w:sz w:val="20"/>
                <w:szCs w:val="20"/>
                <w:color w:val="auto"/>
              </w:rPr>
            </w:pPr>
            <w:r>
              <w:rPr>
                <w:rFonts w:ascii="Arial" w:cs="Arial" w:eastAsia="Arial" w:hAnsi="Arial"/>
                <w:sz w:val="18"/>
                <w:szCs w:val="18"/>
                <w:color w:val="auto"/>
              </w:rPr>
              <w:t>1.46</w:t>
            </w:r>
          </w:p>
        </w:tc>
        <w:tc>
          <w:tcPr>
            <w:tcW w:w="640" w:type="dxa"/>
            <w:vAlign w:val="bottom"/>
          </w:tcPr>
          <w:p>
            <w:pPr>
              <w:jc w:val="right"/>
              <w:spacing w:after="0"/>
              <w:rPr>
                <w:sz w:val="20"/>
                <w:szCs w:val="20"/>
                <w:color w:val="auto"/>
              </w:rPr>
            </w:pPr>
            <w:r>
              <w:rPr>
                <w:rFonts w:ascii="Arial" w:cs="Arial" w:eastAsia="Arial" w:hAnsi="Arial"/>
                <w:sz w:val="18"/>
                <w:szCs w:val="18"/>
                <w:color w:val="auto"/>
              </w:rPr>
              <w:t>0.93</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833"/>
              <w:spacing w:after="0"/>
              <w:rPr>
                <w:sz w:val="20"/>
                <w:szCs w:val="20"/>
                <w:color w:val="auto"/>
              </w:rPr>
            </w:pPr>
            <w:r>
              <w:rPr>
                <w:rFonts w:ascii="Arial" w:cs="Arial" w:eastAsia="Arial" w:hAnsi="Arial"/>
                <w:sz w:val="18"/>
                <w:szCs w:val="18"/>
                <w:color w:val="auto"/>
              </w:rPr>
              <w:t>3.47</w:t>
            </w:r>
          </w:p>
        </w:tc>
        <w:tc>
          <w:tcPr>
            <w:tcW w:w="60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right="340" w:hanging="252"/>
        <w:spacing w:after="0" w:line="277" w:lineRule="auto"/>
        <w:tabs>
          <w:tab w:leader="none" w:pos="272"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See Note 2 to the financial statements for additional details regarding the change in segmentation of Non-service pension and postretirement benefit expense.</w:t>
      </w:r>
    </w:p>
    <w:p>
      <w:pPr>
        <w:spacing w:after="0" w:line="157" w:lineRule="exact"/>
        <w:rPr>
          <w:sz w:val="20"/>
          <w:szCs w:val="20"/>
          <w:color w:val="auto"/>
        </w:rPr>
      </w:pPr>
    </w:p>
    <w:p>
      <w:pPr>
        <w:jc w:val="both"/>
        <w:ind w:left="660" w:right="660"/>
        <w:spacing w:after="0" w:line="312" w:lineRule="auto"/>
        <w:rPr>
          <w:sz w:val="20"/>
          <w:szCs w:val="20"/>
          <w:color w:val="auto"/>
        </w:rPr>
      </w:pPr>
      <w:r>
        <w:rPr>
          <w:rFonts w:ascii="Arial" w:cs="Arial" w:eastAsia="Arial" w:hAnsi="Arial"/>
          <w:sz w:val="16"/>
          <w:szCs w:val="16"/>
          <w:i w:val="1"/>
          <w:iCs w:val="1"/>
          <w:color w:val="auto"/>
        </w:rPr>
        <w:t>References in this discussion to Corporate earnings mean net income attributable to ExxonMobil (U.S. GAAP) from the consolidated income statement. Unless otherwise indicated, references to earnings, Upstream, Downstream, Chemical and Corporate and financing segment earnings, and earnings per share are ExxonMobil's share after excluding amounts attributable to noncontrolling interests.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THIRD QUARTER 2018 RESULTS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ExxonMobil’s third quarter 2018 earnings were $6.2 billion, or $1.46 per diluted share, compared with $4 billion a year earlier, as liquids realizations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117475</wp:posOffset>
            </wp:positionV>
            <wp:extent cx="3773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Earnings of $14.8 billion for the first nine months of 2018 increased 31 percent from $11.3 billion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assuming dilution were $3.47.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and exploration expenditures were $18.1 billion, up 28 percent from 2017.</w:t>
      </w:r>
    </w:p>
    <w:p>
      <w:pPr>
        <w:spacing w:after="0" w:line="225"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Oil</w:t>
      </w:r>
      <w:r>
        <w:rPr>
          <w:rFonts w:ascii="MS PGothic" w:cs="MS PGothic" w:eastAsia="MS PGothic" w:hAnsi="MS PGothic"/>
          <w:sz w:val="18"/>
          <w:szCs w:val="18"/>
          <w:color w:val="auto"/>
        </w:rPr>
        <w:t>‑</w:t>
      </w:r>
      <w:r>
        <w:rPr>
          <w:rFonts w:ascii="Arial" w:cs="Arial" w:eastAsia="Arial" w:hAnsi="Arial"/>
          <w:sz w:val="18"/>
          <w:szCs w:val="18"/>
          <w:color w:val="auto"/>
        </w:rPr>
        <w:t>equivalent production was 3.8 million barrels per day, down 5 percent from the prior year. Excluding entitlement effects and divestments, oil</w:t>
      </w:r>
      <w:r>
        <w:rPr>
          <w:rFonts w:ascii="MS PGothic" w:cs="MS PGothic" w:eastAsia="MS PGothic" w:hAnsi="MS PGothic"/>
          <w:sz w:val="18"/>
          <w:szCs w:val="18"/>
          <w:color w:val="auto"/>
        </w:rPr>
        <w:t>‑</w:t>
      </w:r>
      <w:r>
        <w:rPr>
          <w:rFonts w:ascii="Arial" w:cs="Arial" w:eastAsia="Arial" w:hAnsi="Arial"/>
          <w:sz w:val="18"/>
          <w:szCs w:val="18"/>
          <w:color w:val="auto"/>
        </w:rPr>
        <w:t>equivalent production was down 2 percent from the prior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distributed $10.3 billion in dividends to shareholders.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16" w:name="page17"/>
    <w:bookmarkEnd w:id="16"/>
    <w:p>
      <w:pPr>
        <w:jc w:val="center"/>
        <w:ind w:left="5760"/>
        <w:spacing w:after="0"/>
        <w:rPr>
          <w:sz w:val="20"/>
          <w:szCs w:val="20"/>
          <w:color w:val="auto"/>
        </w:rPr>
      </w:pPr>
      <w:r>
        <w:rPr>
          <w:rFonts w:ascii="Arial" w:cs="Arial" w:eastAsia="Arial" w:hAnsi="Arial"/>
          <w:sz w:val="14"/>
          <w:szCs w:val="14"/>
          <w:b w:val="1"/>
          <w:bCs w:val="1"/>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32385</wp:posOffset>
            </wp:positionV>
            <wp:extent cx="15951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49" w:lineRule="exact"/>
        <w:rPr>
          <w:sz w:val="20"/>
          <w:szCs w:val="20"/>
          <w:color w:val="auto"/>
        </w:rPr>
      </w:pPr>
    </w:p>
    <w:p>
      <w:pPr>
        <w:ind w:left="6280"/>
        <w:spacing w:after="0"/>
        <w:tabs>
          <w:tab w:leader="none" w:pos="78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46990</wp:posOffset>
            </wp:positionV>
            <wp:extent cx="15951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Arial" w:cs="Arial" w:eastAsia="Arial" w:hAnsi="Arial"/>
          <w:sz w:val="14"/>
          <w:szCs w:val="14"/>
          <w:b w:val="1"/>
          <w:bCs w:val="1"/>
          <w:color w:val="auto"/>
        </w:rPr>
        <w:t>First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32385</wp:posOffset>
            </wp:positionV>
            <wp:extent cx="14408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49" w:lineRule="exact"/>
        <w:rPr>
          <w:sz w:val="20"/>
          <w:szCs w:val="20"/>
          <w:color w:val="auto"/>
        </w:rPr>
      </w:pPr>
    </w:p>
    <w:p>
      <w:pPr>
        <w:spacing w:after="0"/>
        <w:tabs>
          <w:tab w:leader="none" w:pos="14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46990</wp:posOffset>
            </wp:positionV>
            <wp:extent cx="14408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8680" w:space="720"/>
            <w:col w:w="2020"/>
          </w:cols>
          <w:pgMar w:left="240" w:top="211" w:right="239" w:bottom="1440" w:gutter="0" w:footer="0" w:header="0"/>
        </w:sectPr>
      </w:pPr>
    </w:p>
    <w:tbl>
      <w:tblPr>
        <w:tblLayout w:type="fixed"/>
        <w:tblInd w:w="0" w:type="dxa"/>
        <w:tblCellMar>
          <w:top w:w="0" w:type="dxa"/>
          <w:left w:w="0" w:type="dxa"/>
          <w:bottom w:w="0" w:type="dxa"/>
          <w:right w:w="0" w:type="dxa"/>
        </w:tblCellMar>
      </w:tblPr>
      <w:tr>
        <w:trPr>
          <w:trHeight w:val="182"/>
        </w:trPr>
        <w:tc>
          <w:tcPr>
            <w:tcW w:w="14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80" w:type="dxa"/>
            <w:vAlign w:val="bottom"/>
            <w:gridSpan w:val="3"/>
          </w:tcPr>
          <w:p>
            <w:pPr>
              <w:ind w:left="640"/>
              <w:spacing w:after="0"/>
              <w:rPr>
                <w:sz w:val="20"/>
                <w:szCs w:val="20"/>
                <w:color w:val="auto"/>
              </w:rPr>
            </w:pPr>
            <w:r>
              <w:rPr>
                <w:rFonts w:ascii="Arial" w:cs="Arial" w:eastAsia="Arial" w:hAnsi="Arial"/>
                <w:sz w:val="14"/>
                <w:szCs w:val="14"/>
                <w:i w:val="1"/>
                <w:iCs w:val="1"/>
                <w:color w:val="auto"/>
              </w:rPr>
              <w:t>(millions of dollars)</w:t>
            </w: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1"/>
        </w:trPr>
        <w:tc>
          <w:tcPr>
            <w:tcW w:w="59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Upstream earnings</w:t>
            </w:r>
          </w:p>
        </w:tc>
        <w:tc>
          <w:tcPr>
            <w:tcW w:w="1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9"/>
        </w:trPr>
        <w:tc>
          <w:tcPr>
            <w:tcW w:w="14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90"/>
              </w:rPr>
              <w:t>United States</w:t>
            </w:r>
          </w:p>
        </w:tc>
        <w:tc>
          <w:tcPr>
            <w:tcW w:w="4500" w:type="dxa"/>
            <w:vAlign w:val="bottom"/>
          </w:tcPr>
          <w:p>
            <w:pPr>
              <w:spacing w:after="0"/>
              <w:rPr>
                <w:sz w:val="21"/>
                <w:szCs w:val="21"/>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color w:val="auto"/>
              </w:rPr>
              <w:t>606</w:t>
            </w: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1,474</w:t>
            </w:r>
          </w:p>
        </w:tc>
        <w:tc>
          <w:tcPr>
            <w:tcW w:w="100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37"/>
        </w:trPr>
        <w:tc>
          <w:tcPr>
            <w:tcW w:w="5960" w:type="dxa"/>
            <w:vAlign w:val="bottom"/>
            <w:gridSpan w:val="2"/>
          </w:tcPr>
          <w:p>
            <w:pPr>
              <w:ind w:left="460"/>
              <w:spacing w:after="0"/>
              <w:rPr>
                <w:sz w:val="20"/>
                <w:szCs w:val="20"/>
                <w:color w:val="auto"/>
              </w:rPr>
            </w:pPr>
            <w:r>
              <w:rPr>
                <w:rFonts w:ascii="Arial" w:cs="Arial" w:eastAsia="Arial" w:hAnsi="Arial"/>
                <w:sz w:val="18"/>
                <w:szCs w:val="18"/>
                <w:color w:val="auto"/>
              </w:rPr>
              <w:t>Non-U.S.</w:t>
            </w: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3,623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9,292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w:t>
            </w:r>
          </w:p>
        </w:tc>
      </w:tr>
      <w:tr>
        <w:trPr>
          <w:trHeight w:val="216"/>
        </w:trPr>
        <w:tc>
          <w:tcPr>
            <w:tcW w:w="5960" w:type="dxa"/>
            <w:vAlign w:val="bottom"/>
            <w:gridSpan w:val="2"/>
          </w:tcPr>
          <w:p>
            <w:pPr>
              <w:ind w:left="920"/>
              <w:spacing w:after="0" w:line="203" w:lineRule="exact"/>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4,229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10,766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Upstream earnings were $4,229 million in the third quarter of 2018, up $2,662 million from the third quarter of 2017.</w:t>
      </w:r>
    </w:p>
    <w:p>
      <w:pPr>
        <w:spacing w:after="0" w:line="23" w:lineRule="exact"/>
        <w:rPr>
          <w:sz w:val="20"/>
          <w:szCs w:val="20"/>
          <w:color w:val="auto"/>
        </w:rPr>
      </w:pPr>
    </w:p>
    <w:p>
      <w:pPr>
        <w:ind w:left="700" w:hanging="368"/>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Realizations increased earnings by $2,580 million due to higher liquids and gas realizations.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volume and mix effects increased earnings by $50 million.</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items increased earnings by $30 million including favorable one-time tax impacts, partly offset by higher production expenses.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Upstream earnings were $606 million, up $844 million from the prior year quarter.</w:t>
      </w:r>
    </w:p>
    <w:p>
      <w:pPr>
        <w:spacing w:after="0" w:line="9" w:lineRule="exact"/>
        <w:rPr>
          <w:rFonts w:ascii="Arial" w:cs="Arial" w:eastAsia="Arial" w:hAnsi="Arial"/>
          <w:sz w:val="18"/>
          <w:szCs w:val="18"/>
          <w:color w:val="auto"/>
        </w:rPr>
      </w:pPr>
    </w:p>
    <w:p>
      <w:pPr>
        <w:ind w:left="700" w:hanging="368"/>
        <w:spacing w:after="0" w:line="207" w:lineRule="exact"/>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U.S. Upstream earnings were $3,623 million, up $1,818 million from the prior year quarter.</w:t>
      </w:r>
    </w:p>
    <w:p>
      <w:pPr>
        <w:spacing w:after="0" w:line="9" w:lineRule="exact"/>
        <w:rPr>
          <w:rFonts w:ascii="Arial" w:cs="Arial" w:eastAsia="Arial" w:hAnsi="Arial"/>
          <w:sz w:val="18"/>
          <w:szCs w:val="18"/>
          <w:color w:val="auto"/>
        </w:rPr>
      </w:pPr>
    </w:p>
    <w:p>
      <w:pPr>
        <w:ind w:left="700" w:hanging="368"/>
        <w:spacing w:after="0" w:line="207" w:lineRule="exact"/>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an oil</w:t>
      </w:r>
      <w:r>
        <w:rPr>
          <w:rFonts w:ascii="MS PGothic" w:cs="MS PGothic" w:eastAsia="MS PGothic" w:hAnsi="MS PGothic"/>
          <w:sz w:val="18"/>
          <w:szCs w:val="18"/>
          <w:color w:val="auto"/>
        </w:rPr>
        <w:t>‑</w:t>
      </w:r>
      <w:r>
        <w:rPr>
          <w:rFonts w:ascii="Arial" w:cs="Arial" w:eastAsia="Arial" w:hAnsi="Arial"/>
          <w:sz w:val="18"/>
          <w:szCs w:val="18"/>
          <w:color w:val="auto"/>
        </w:rPr>
        <w:t>equivalent basis, production decreased 2 percent from the third quarter of 2017.</w:t>
      </w:r>
    </w:p>
    <w:p>
      <w:pPr>
        <w:spacing w:after="0" w:line="9" w:lineRule="exact"/>
        <w:rPr>
          <w:rFonts w:ascii="Arial" w:cs="Arial" w:eastAsia="Arial" w:hAnsi="Arial"/>
          <w:sz w:val="18"/>
          <w:szCs w:val="18"/>
          <w:color w:val="auto"/>
        </w:rPr>
      </w:pPr>
    </w:p>
    <w:p>
      <w:pPr>
        <w:ind w:left="660" w:hanging="328"/>
        <w:spacing w:after="0" w:line="250" w:lineRule="auto"/>
        <w:tabs>
          <w:tab w:leader="none" w:pos="8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Liquids production totaled 2.3 million barrels per day, up 6,000 barrels per day as growth more than offset lower volumes from entitlements, divestments, decline, and downtime.</w:t>
      </w:r>
    </w:p>
    <w:p>
      <w:pPr>
        <w:ind w:left="660" w:hanging="328"/>
        <w:spacing w:after="0" w:line="261" w:lineRule="auto"/>
        <w:tabs>
          <w:tab w:leader="none" w:pos="7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gas production was 9 billion cubic feet per day, down 584 million cubic feet per day driven by decline largely in the U.S. aligned with value focus, lower volumes from divestments and lower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125730</wp:posOffset>
            </wp:positionV>
            <wp:extent cx="37731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Upstream earnings were $10,766 million in the first nine months of 2018, up $5,763 million from the first nine months of 2017.</w:t>
      </w:r>
    </w:p>
    <w:p>
      <w:pPr>
        <w:spacing w:after="0" w:line="23" w:lineRule="exact"/>
        <w:rPr>
          <w:sz w:val="20"/>
          <w:szCs w:val="20"/>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Realizations increased earnings by $6,400 million mainly due to higher liquids realizations.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volume and mix effects decreased earnings by $430 million.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9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items decreased earnings by $210 million, mainly due to higher production expenses and unfavorable tax impacts, partly offset by favorable one-time tax items and higher divestment gains.</w:t>
      </w: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Upstream earnings were $1,474 million, up $1,913 million from the first nine months of prior year.</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Non-U.S. Upstream earnings were $9,292 million, up $3,850 million from the first nine months of prior year.</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 oil-equivalent basis, production decreased 5 percent from the first nine months of 2017.</w:t>
      </w:r>
    </w:p>
    <w:p>
      <w:pPr>
        <w:spacing w:after="0" w:line="9" w:lineRule="exact"/>
        <w:rPr>
          <w:rFonts w:ascii="Arial" w:cs="Arial" w:eastAsia="Arial" w:hAnsi="Arial"/>
          <w:sz w:val="18"/>
          <w:szCs w:val="18"/>
          <w:color w:val="auto"/>
        </w:rPr>
      </w:pPr>
    </w:p>
    <w:p>
      <w:pPr>
        <w:ind w:left="660" w:hanging="328"/>
        <w:spacing w:after="0" w:line="250" w:lineRule="auto"/>
        <w:tabs>
          <w:tab w:leader="none" w:pos="8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Liquids production totaled 2.2 million barrels per day, down 56,000 barrels per day as growth in North America was more than offset by lower volumes from decline, entitlements, and divestments.</w:t>
      </w:r>
    </w:p>
    <w:p>
      <w:pPr>
        <w:ind w:left="660" w:hanging="328"/>
        <w:spacing w:after="0" w:line="261" w:lineRule="auto"/>
        <w:tabs>
          <w:tab w:leader="none" w:pos="8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gas production was 9.2 billion cubic feet per day, down 920 million cubic feet per day driven by decline in the U.S. aligned with value focus, higher downtime and lower volumes from entitlements and divestments.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11" w:right="239" w:bottom="1440" w:gutter="0" w:footer="0" w:header="0"/>
          <w:type w:val="continuous"/>
        </w:sectPr>
      </w:pPr>
    </w:p>
    <w:bookmarkStart w:id="17" w:name="page18"/>
    <w:bookmarkEnd w:id="17"/>
    <w:tbl>
      <w:tblPr>
        <w:tblLayout w:type="fixed"/>
        <w:tblInd w:w="4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Third Quarter</w:t>
            </w:r>
          </w:p>
        </w:tc>
        <w:tc>
          <w:tcPr>
            <w:tcW w:w="3140" w:type="dxa"/>
            <w:vAlign w:val="bottom"/>
            <w:gridSpan w:val="3"/>
          </w:tcPr>
          <w:p>
            <w:pPr>
              <w:ind w:left="1620"/>
              <w:spacing w:after="0"/>
              <w:rPr>
                <w:sz w:val="20"/>
                <w:szCs w:val="20"/>
                <w:color w:val="auto"/>
              </w:rPr>
            </w:pPr>
            <w:r>
              <w:rPr>
                <w:rFonts w:ascii="Arial" w:cs="Arial" w:eastAsia="Arial" w:hAnsi="Arial"/>
                <w:sz w:val="14"/>
                <w:szCs w:val="14"/>
                <w:b w:val="1"/>
                <w:bCs w:val="1"/>
                <w:color w:val="auto"/>
              </w:rPr>
              <w:t>First Nine Months</w:t>
            </w:r>
          </w:p>
        </w:tc>
        <w:tc>
          <w:tcPr>
            <w:tcW w:w="0" w:type="dxa"/>
            <w:vAlign w:val="bottom"/>
          </w:tcPr>
          <w:p>
            <w:pPr>
              <w:spacing w:after="0"/>
              <w:rPr>
                <w:sz w:val="1"/>
                <w:szCs w:val="1"/>
                <w:color w:val="auto"/>
              </w:rPr>
            </w:pPr>
          </w:p>
        </w:tc>
      </w:tr>
      <w:tr>
        <w:trPr>
          <w:trHeight w:val="53"/>
        </w:trPr>
        <w:tc>
          <w:tcPr>
            <w:tcW w:w="2560" w:type="dxa"/>
            <w:vAlign w:val="bottom"/>
            <w:vMerge w:val="restart"/>
          </w:tcPr>
          <w:p>
            <w:pPr>
              <w:spacing w:after="0"/>
              <w:rPr>
                <w:sz w:val="20"/>
                <w:szCs w:val="20"/>
                <w:color w:val="auto"/>
              </w:rPr>
            </w:pPr>
            <w:r>
              <w:rPr>
                <w:rFonts w:ascii="Arial" w:cs="Arial" w:eastAsia="Arial" w:hAnsi="Arial"/>
                <w:sz w:val="18"/>
                <w:szCs w:val="18"/>
                <w:b w:val="1"/>
                <w:bCs w:val="1"/>
                <w:color w:val="auto"/>
                <w:w w:val="91"/>
              </w:rPr>
              <w:t>Upstream additional information</w:t>
            </w:r>
          </w:p>
        </w:tc>
        <w:tc>
          <w:tcPr>
            <w:tcW w:w="4180" w:type="dxa"/>
            <w:vAlign w:val="bottom"/>
            <w:vMerge w:val="restart"/>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560" w:type="dxa"/>
            <w:vAlign w:val="bottom"/>
            <w:tcBorders>
              <w:bottom w:val="single" w:sz="8" w:color="auto"/>
            </w:tcBorders>
            <w:vMerge w:val="continue"/>
          </w:tcPr>
          <w:p>
            <w:pPr>
              <w:spacing w:after="0"/>
              <w:rPr>
                <w:sz w:val="13"/>
                <w:szCs w:val="13"/>
                <w:color w:val="auto"/>
              </w:rPr>
            </w:pPr>
          </w:p>
        </w:tc>
        <w:tc>
          <w:tcPr>
            <w:tcW w:w="41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140" w:type="dxa"/>
            <w:vAlign w:val="bottom"/>
            <w:gridSpan w:val="3"/>
          </w:tcPr>
          <w:p>
            <w:pPr>
              <w:ind w:left="20"/>
              <w:spacing w:after="0" w:line="155" w:lineRule="exact"/>
              <w:rPr>
                <w:sz w:val="20"/>
                <w:szCs w:val="20"/>
                <w:color w:val="auto"/>
              </w:rPr>
            </w:pPr>
            <w:r>
              <w:rPr>
                <w:rFonts w:ascii="Arial" w:cs="Arial" w:eastAsia="Arial" w:hAnsi="Arial"/>
                <w:sz w:val="14"/>
                <w:szCs w:val="14"/>
                <w:i w:val="1"/>
                <w:iCs w:val="1"/>
                <w:color w:val="auto"/>
              </w:rPr>
              <w:t>(thousands of barrels daily)</w:t>
            </w:r>
          </w:p>
        </w:tc>
        <w:tc>
          <w:tcPr>
            <w:tcW w:w="0" w:type="dxa"/>
            <w:vAlign w:val="bottom"/>
          </w:tcPr>
          <w:p>
            <w:pPr>
              <w:spacing w:after="0"/>
              <w:rPr>
                <w:sz w:val="1"/>
                <w:szCs w:val="1"/>
                <w:color w:val="auto"/>
              </w:rPr>
            </w:pPr>
          </w:p>
        </w:tc>
      </w:tr>
      <w:tr>
        <w:trPr>
          <w:trHeight w:val="264"/>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Volumes reconciliation </w:t>
            </w:r>
            <w:r>
              <w:rPr>
                <w:rFonts w:ascii="Arial" w:cs="Arial" w:eastAsia="Arial" w:hAnsi="Arial"/>
                <w:sz w:val="18"/>
                <w:szCs w:val="18"/>
                <w:color w:val="auto"/>
              </w:rPr>
              <w:t>(Oil-equivalent production)</w:t>
            </w:r>
            <w:r>
              <w:rPr>
                <w:rFonts w:ascii="Arial" w:cs="Arial" w:eastAsia="Arial" w:hAnsi="Arial"/>
                <w:sz w:val="14"/>
                <w:szCs w:val="14"/>
                <w:i w:val="1"/>
                <w:iCs w:val="1"/>
                <w:color w:val="auto"/>
              </w:rPr>
              <w:t>(1)</w:t>
            </w:r>
          </w:p>
        </w:tc>
        <w:tc>
          <w:tcPr>
            <w:tcW w:w="10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560" w:type="dxa"/>
            <w:vAlign w:val="bottom"/>
          </w:tcPr>
          <w:p>
            <w:pPr>
              <w:spacing w:after="0"/>
              <w:rPr>
                <w:sz w:val="20"/>
                <w:szCs w:val="20"/>
                <w:color w:val="auto"/>
              </w:rPr>
            </w:pPr>
            <w:r>
              <w:rPr>
                <w:rFonts w:ascii="Arial" w:cs="Arial" w:eastAsia="Arial" w:hAnsi="Arial"/>
                <w:sz w:val="18"/>
                <w:szCs w:val="18"/>
                <w:color w:val="auto"/>
              </w:rPr>
              <w:t>2017</w:t>
            </w:r>
          </w:p>
        </w:tc>
        <w:tc>
          <w:tcPr>
            <w:tcW w:w="4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3,878</w:t>
            </w:r>
          </w:p>
        </w:tc>
        <w:tc>
          <w:tcPr>
            <w:tcW w:w="2700" w:type="dxa"/>
            <w:vAlign w:val="bottom"/>
            <w:gridSpan w:val="2"/>
          </w:tcPr>
          <w:p>
            <w:pPr>
              <w:jc w:val="right"/>
              <w:ind w:right="10"/>
              <w:spacing w:after="0"/>
              <w:rPr>
                <w:sz w:val="20"/>
                <w:szCs w:val="20"/>
                <w:color w:val="auto"/>
              </w:rPr>
            </w:pPr>
            <w:r>
              <w:rPr>
                <w:rFonts w:ascii="Arial" w:cs="Arial" w:eastAsia="Arial" w:hAnsi="Arial"/>
                <w:sz w:val="18"/>
                <w:szCs w:val="18"/>
                <w:color w:val="auto"/>
              </w:rPr>
              <w:t>3,983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00" w:type="dxa"/>
            <w:vAlign w:val="bottom"/>
            <w:gridSpan w:val="3"/>
          </w:tcPr>
          <w:p>
            <w:pPr>
              <w:ind w:left="360"/>
              <w:spacing w:after="0"/>
              <w:rPr>
                <w:sz w:val="20"/>
                <w:szCs w:val="20"/>
                <w:color w:val="auto"/>
              </w:rPr>
            </w:pPr>
            <w:r>
              <w:rPr>
                <w:rFonts w:ascii="Arial" w:cs="Arial" w:eastAsia="Arial" w:hAnsi="Arial"/>
                <w:sz w:val="18"/>
                <w:szCs w:val="18"/>
                <w:color w:val="auto"/>
              </w:rPr>
              <w:t>Entitlements - Net Interest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3"/>
          </w:tcPr>
          <w:p>
            <w:pPr>
              <w:ind w:left="360"/>
              <w:spacing w:after="0"/>
              <w:rPr>
                <w:sz w:val="20"/>
                <w:szCs w:val="20"/>
                <w:color w:val="auto"/>
              </w:rPr>
            </w:pPr>
            <w:r>
              <w:rPr>
                <w:rFonts w:ascii="Arial" w:cs="Arial" w:eastAsia="Arial" w:hAnsi="Arial"/>
                <w:sz w:val="18"/>
                <w:szCs w:val="18"/>
                <w:color w:val="auto"/>
              </w:rPr>
              <w:t>Entitlements - Price / Spend /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3"/>
          </w:tcPr>
          <w:p>
            <w:pPr>
              <w:ind w:left="360"/>
              <w:spacing w:after="0"/>
              <w:rPr>
                <w:sz w:val="20"/>
                <w:szCs w:val="20"/>
                <w:color w:val="auto"/>
              </w:rPr>
            </w:pPr>
            <w:r>
              <w:rPr>
                <w:rFonts w:ascii="Arial" w:cs="Arial" w:eastAsia="Arial" w:hAnsi="Arial"/>
                <w:sz w:val="18"/>
                <w:szCs w:val="18"/>
                <w:color w:val="auto"/>
              </w:rPr>
              <w:t>Quotas</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7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3"/>
          </w:tcPr>
          <w:p>
            <w:pPr>
              <w:ind w:left="360"/>
              <w:spacing w:after="0"/>
              <w:rPr>
                <w:sz w:val="20"/>
                <w:szCs w:val="20"/>
                <w:color w:val="auto"/>
              </w:rPr>
            </w:pPr>
            <w:r>
              <w:rPr>
                <w:rFonts w:ascii="Arial" w:cs="Arial" w:eastAsia="Arial" w:hAnsi="Arial"/>
                <w:sz w:val="18"/>
                <w:szCs w:val="18"/>
                <w:color w:val="auto"/>
              </w:rPr>
              <w:t>Divestments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3"/>
          </w:tcPr>
          <w:p>
            <w:pPr>
              <w:ind w:left="360"/>
              <w:spacing w:after="0"/>
              <w:rPr>
                <w:sz w:val="20"/>
                <w:szCs w:val="20"/>
                <w:color w:val="auto"/>
              </w:rPr>
            </w:pPr>
            <w:r>
              <w:rPr>
                <w:rFonts w:ascii="Arial" w:cs="Arial" w:eastAsia="Arial" w:hAnsi="Arial"/>
                <w:sz w:val="18"/>
                <w:szCs w:val="18"/>
                <w:color w:val="auto"/>
              </w:rPr>
              <w:t>Growth / Other</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20"/>
                <w:szCs w:val="20"/>
                <w:color w:val="auto"/>
              </w:rPr>
            </w:pPr>
            <w:r>
              <w:rPr>
                <w:rFonts w:ascii="Arial" w:cs="Arial" w:eastAsia="Arial" w:hAnsi="Arial"/>
                <w:sz w:val="18"/>
                <w:szCs w:val="18"/>
                <w:color w:val="auto"/>
              </w:rPr>
              <w:t>2018</w:t>
            </w:r>
          </w:p>
        </w:tc>
        <w:tc>
          <w:tcPr>
            <w:tcW w:w="4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3,786</w:t>
            </w:r>
          </w:p>
        </w:tc>
        <w:tc>
          <w:tcPr>
            <w:tcW w:w="16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3,774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(1) Gas converted to oil-equivalent at 6 million cubic feet = 1 thousand barrels.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descriptions of ExxonMobil’s volumes reconciliation factors which are provided to facilitate understanding of the terms.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Entitlements - Net Interest </w:t>
      </w:r>
      <w:r>
        <w:rPr>
          <w:rFonts w:ascii="Arial" w:cs="Arial" w:eastAsia="Arial" w:hAnsi="Arial"/>
          <w:sz w:val="18"/>
          <w:szCs w:val="18"/>
          <w:color w:val="auto"/>
        </w:rPr>
        <w:t>are changes to ExxonMobil’s share of production volumes caused by non-operational changes to volume-determining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These factors consist of net interest changes specified in Production Sharing Contracts (PSCs) which typically occur when cumulative investment returns or production volumes achieve defined thresholds, changes in equity upon achieving pay-out in partner investment carry situations, equity redeterminations as specified in venture agreements, or as a result of the termination or expiry of a concession. Once a net interest change has occurred, it typically will not be reversed by subsequent events, such as lower crude oil prices.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Entitlements - Price, Spend and Other </w:t>
      </w:r>
      <w:r>
        <w:rPr>
          <w:rFonts w:ascii="Arial" w:cs="Arial" w:eastAsia="Arial" w:hAnsi="Arial"/>
          <w:sz w:val="18"/>
          <w:szCs w:val="18"/>
          <w:color w:val="auto"/>
        </w:rPr>
        <w:t>are changes to ExxonMobil’s share of production volumes resulting from temporary changes to non-operational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volume-determining factors. These factors include changes in oil and gas prices or spending levels from one period to another. According to the terms of contractual arrangements or government royalty regimes, price or spending variability can increase or decrease royalty burdens and/or volumes attributable to ExxonMobil. For example, at higher prices, fewer barrels are required for ExxonMobil to recover its costs. These effects generally vary from period to period with field spending patterns or market prices for oil and natural gas. Such factors can also include other temporary changes in net interest as dictated by specific provisions in production agreements.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Quotas </w:t>
      </w:r>
      <w:r>
        <w:rPr>
          <w:rFonts w:ascii="Arial" w:cs="Arial" w:eastAsia="Arial" w:hAnsi="Arial"/>
          <w:sz w:val="16"/>
          <w:szCs w:val="16"/>
          <w:color w:val="auto"/>
        </w:rPr>
        <w:t>are changes in ExxonMobil’s allowable production arising from production constraints imposed by countries which are members of the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Petroleum Exporting Countries (OPEC). Volumes reported in this category would have been readily producible in the absence of the quota.</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Divestments </w:t>
      </w:r>
      <w:r>
        <w:rPr>
          <w:rFonts w:ascii="Arial" w:cs="Arial" w:eastAsia="Arial" w:hAnsi="Arial"/>
          <w:sz w:val="18"/>
          <w:szCs w:val="18"/>
          <w:color w:val="auto"/>
        </w:rPr>
        <w:t>are reductions in ExxonMobil’s production arising from commercial arrangements to fully or partially reduce equity in a field or asset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financial or other economic consideration.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Growth and Other </w:t>
      </w:r>
      <w:r>
        <w:rPr>
          <w:rFonts w:ascii="Arial" w:cs="Arial" w:eastAsia="Arial" w:hAnsi="Arial"/>
          <w:sz w:val="16"/>
          <w:szCs w:val="16"/>
          <w:color w:val="auto"/>
        </w:rPr>
        <w:t>factors comprise all other operational and non-operational factors not covered by the above definitions that may affect volumes attributable</w:t>
      </w:r>
      <w:r>
        <w:rPr>
          <w:rFonts w:ascii="Arial" w:cs="Arial" w:eastAsia="Arial" w:hAnsi="Arial"/>
          <w:sz w:val="16"/>
          <w:szCs w:val="16"/>
          <w:i w:val="1"/>
          <w:iCs w:val="1"/>
          <w:color w:val="auto"/>
        </w:rPr>
        <w:t xml:space="preserve"> </w:t>
      </w:r>
      <w:r>
        <w:rPr>
          <w:rFonts w:ascii="Arial" w:cs="Arial" w:eastAsia="Arial" w:hAnsi="Arial"/>
          <w:sz w:val="16"/>
          <w:szCs w:val="16"/>
          <w:color w:val="auto"/>
        </w:rPr>
        <w:t>to ExxonMobil. Such factors include, but are not limited to, production enhancements from project and work program activities, acquisitions including additions from asset exchanges, downtime, market demand, natural field decline, and any fiscal or commercial terms that do not affect entitlements.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6"/>
        </w:trPr>
        <w:tc>
          <w:tcPr>
            <w:tcW w:w="16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20" w:type="dxa"/>
            <w:vAlign w:val="bottom"/>
          </w:tcPr>
          <w:p>
            <w:pPr>
              <w:jc w:val="right"/>
              <w:ind w:right="37"/>
              <w:spacing w:after="0"/>
              <w:rPr>
                <w:sz w:val="20"/>
                <w:szCs w:val="20"/>
                <w:color w:val="auto"/>
              </w:rPr>
            </w:pPr>
            <w:r>
              <w:rPr>
                <w:rFonts w:ascii="Arial" w:cs="Arial" w:eastAsia="Arial" w:hAnsi="Arial"/>
                <w:sz w:val="14"/>
                <w:szCs w:val="14"/>
                <w:b w:val="1"/>
                <w:bCs w:val="1"/>
                <w:color w:val="auto"/>
              </w:rPr>
              <w:t>Third Quarter</w:t>
            </w: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First Nine Months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20" w:type="dxa"/>
            <w:vAlign w:val="bottom"/>
          </w:tcPr>
          <w:p>
            <w:pPr>
              <w:jc w:val="right"/>
              <w:ind w:right="1137"/>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6"/>
                <w:szCs w:val="16"/>
                <w:color w:val="auto"/>
              </w:rPr>
            </w:pPr>
          </w:p>
        </w:tc>
        <w:tc>
          <w:tcPr>
            <w:tcW w:w="1700" w:type="dxa"/>
            <w:vAlign w:val="bottom"/>
          </w:tcPr>
          <w:p>
            <w:pPr>
              <w:jc w:val="right"/>
              <w:ind w:right="1077"/>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jc w:val="right"/>
              <w:ind w:right="17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i w:val="1"/>
                <w:iCs w:val="1"/>
                <w:color w:val="auto"/>
                <w:w w:val="87"/>
              </w:rPr>
              <w:t>of dollars)</w:t>
            </w:r>
          </w:p>
        </w:tc>
        <w:tc>
          <w:tcPr>
            <w:tcW w:w="1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(millions</w:t>
            </w:r>
          </w:p>
        </w:tc>
        <w:tc>
          <w:tcPr>
            <w:tcW w:w="68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Downstream earnings</w:t>
            </w:r>
          </w:p>
        </w:tc>
        <w:tc>
          <w:tcPr>
            <w:tcW w:w="1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6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United States</w:t>
            </w:r>
          </w:p>
        </w:tc>
        <w:tc>
          <w:tcPr>
            <w:tcW w:w="4280" w:type="dxa"/>
            <w:vAlign w:val="bottom"/>
          </w:tcPr>
          <w:p>
            <w:pPr>
              <w:spacing w:after="0"/>
              <w:rPr>
                <w:sz w:val="21"/>
                <w:szCs w:val="21"/>
                <w:color w:val="auto"/>
              </w:rPr>
            </w:pPr>
          </w:p>
        </w:tc>
        <w:tc>
          <w:tcPr>
            <w:tcW w:w="1820" w:type="dxa"/>
            <w:vAlign w:val="bottom"/>
          </w:tcPr>
          <w:p>
            <w:pPr>
              <w:jc w:val="right"/>
              <w:ind w:right="877"/>
              <w:spacing w:after="0"/>
              <w:rPr>
                <w:sz w:val="20"/>
                <w:szCs w:val="20"/>
                <w:color w:val="auto"/>
              </w:rPr>
            </w:pPr>
            <w:r>
              <w:rPr>
                <w:rFonts w:ascii="Arial" w:cs="Arial" w:eastAsia="Arial" w:hAnsi="Arial"/>
                <w:sz w:val="18"/>
                <w:szCs w:val="18"/>
                <w:color w:val="auto"/>
              </w:rPr>
              <w:t>961</w:t>
            </w:r>
          </w:p>
        </w:tc>
        <w:tc>
          <w:tcPr>
            <w:tcW w:w="700" w:type="dxa"/>
            <w:vAlign w:val="bottom"/>
          </w:tcPr>
          <w:p>
            <w:pPr>
              <w:jc w:val="right"/>
              <w:spacing w:after="0"/>
              <w:rPr>
                <w:sz w:val="20"/>
                <w:szCs w:val="20"/>
                <w:color w:val="auto"/>
              </w:rPr>
            </w:pPr>
            <w:r>
              <w:rPr>
                <w:rFonts w:ascii="Arial" w:cs="Arial" w:eastAsia="Arial" w:hAnsi="Arial"/>
                <w:sz w:val="18"/>
                <w:szCs w:val="18"/>
                <w:color w:val="auto"/>
              </w:rPr>
              <w:t>391</w:t>
            </w:r>
          </w:p>
        </w:tc>
        <w:tc>
          <w:tcPr>
            <w:tcW w:w="680" w:type="dxa"/>
            <w:vAlign w:val="bottom"/>
          </w:tcPr>
          <w:p>
            <w:pPr>
              <w:spacing w:after="0"/>
              <w:rPr>
                <w:sz w:val="21"/>
                <w:szCs w:val="21"/>
                <w:color w:val="auto"/>
              </w:rPr>
            </w:pPr>
          </w:p>
        </w:tc>
        <w:tc>
          <w:tcPr>
            <w:tcW w:w="1700" w:type="dxa"/>
            <w:vAlign w:val="bottom"/>
          </w:tcPr>
          <w:p>
            <w:pPr>
              <w:jc w:val="right"/>
              <w:ind w:right="877"/>
              <w:spacing w:after="0"/>
              <w:rPr>
                <w:sz w:val="20"/>
                <w:szCs w:val="20"/>
                <w:color w:val="auto"/>
              </w:rPr>
            </w:pPr>
            <w:r>
              <w:rPr>
                <w:rFonts w:ascii="Arial" w:cs="Arial" w:eastAsia="Arial" w:hAnsi="Arial"/>
                <w:sz w:val="18"/>
                <w:szCs w:val="18"/>
                <w:color w:val="auto"/>
              </w:rPr>
              <w:t>1,975</w:t>
            </w:r>
          </w:p>
        </w:tc>
        <w:tc>
          <w:tcPr>
            <w:tcW w:w="56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60"/>
              <w:spacing w:after="0"/>
              <w:rPr>
                <w:sz w:val="20"/>
                <w:szCs w:val="20"/>
                <w:color w:val="auto"/>
              </w:rPr>
            </w:pPr>
            <w:r>
              <w:rPr>
                <w:rFonts w:ascii="Arial" w:cs="Arial" w:eastAsia="Arial" w:hAnsi="Arial"/>
                <w:sz w:val="18"/>
                <w:szCs w:val="18"/>
                <w:color w:val="auto"/>
              </w:rPr>
              <w:t>Non-U.S.</w:t>
            </w:r>
          </w:p>
        </w:tc>
        <w:tc>
          <w:tcPr>
            <w:tcW w:w="1820" w:type="dxa"/>
            <w:vAlign w:val="bottom"/>
            <w:tcBorders>
              <w:bottom w:val="single" w:sz="8" w:color="auto"/>
            </w:tcBorders>
          </w:tcPr>
          <w:p>
            <w:pPr>
              <w:jc w:val="right"/>
              <w:ind w:right="877"/>
              <w:spacing w:after="0"/>
              <w:rPr>
                <w:sz w:val="20"/>
                <w:szCs w:val="20"/>
                <w:color w:val="auto"/>
              </w:rPr>
            </w:pPr>
            <w:r>
              <w:rPr>
                <w:rFonts w:ascii="Arial" w:cs="Arial" w:eastAsia="Arial" w:hAnsi="Arial"/>
                <w:sz w:val="18"/>
                <w:szCs w:val="18"/>
                <w:color w:val="auto"/>
              </w:rPr>
              <w:t>681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680" w:type="dxa"/>
            <w:vAlign w:val="bottom"/>
          </w:tcPr>
          <w:p>
            <w:pPr>
              <w:spacing w:after="0"/>
              <w:rPr>
                <w:sz w:val="20"/>
                <w:szCs w:val="20"/>
                <w:color w:val="auto"/>
              </w:rPr>
            </w:pPr>
          </w:p>
        </w:tc>
        <w:tc>
          <w:tcPr>
            <w:tcW w:w="1700" w:type="dxa"/>
            <w:vAlign w:val="bottom"/>
            <w:tcBorders>
              <w:bottom w:val="single" w:sz="8" w:color="auto"/>
            </w:tcBorders>
          </w:tcPr>
          <w:p>
            <w:pPr>
              <w:jc w:val="right"/>
              <w:ind w:right="877"/>
              <w:spacing w:after="0"/>
              <w:rPr>
                <w:sz w:val="20"/>
                <w:szCs w:val="20"/>
                <w:color w:val="auto"/>
              </w:rPr>
            </w:pPr>
            <w:r>
              <w:rPr>
                <w:rFonts w:ascii="Arial" w:cs="Arial" w:eastAsia="Arial" w:hAnsi="Arial"/>
                <w:sz w:val="18"/>
                <w:szCs w:val="18"/>
                <w:color w:val="auto"/>
              </w:rPr>
              <w:t>1,331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16"/>
        </w:trPr>
        <w:tc>
          <w:tcPr>
            <w:tcW w:w="5960" w:type="dxa"/>
            <w:vAlign w:val="bottom"/>
            <w:gridSpan w:val="2"/>
          </w:tcPr>
          <w:p>
            <w:pPr>
              <w:ind w:left="920"/>
              <w:spacing w:after="0" w:line="203"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877"/>
              <w:spacing w:after="0"/>
              <w:rPr>
                <w:sz w:val="20"/>
                <w:szCs w:val="20"/>
                <w:color w:val="auto"/>
              </w:rPr>
            </w:pPr>
            <w:r>
              <w:rPr>
                <w:rFonts w:ascii="Arial" w:cs="Arial" w:eastAsia="Arial" w:hAnsi="Arial"/>
                <w:sz w:val="18"/>
                <w:szCs w:val="18"/>
                <w:color w:val="auto"/>
              </w:rPr>
              <w:t>1,642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680" w:type="dxa"/>
            <w:vAlign w:val="bottom"/>
          </w:tcPr>
          <w:p>
            <w:pPr>
              <w:spacing w:after="0"/>
              <w:rPr>
                <w:sz w:val="18"/>
                <w:szCs w:val="18"/>
                <w:color w:val="auto"/>
              </w:rPr>
            </w:pPr>
          </w:p>
        </w:tc>
        <w:tc>
          <w:tcPr>
            <w:tcW w:w="1700" w:type="dxa"/>
            <w:vAlign w:val="bottom"/>
            <w:tcBorders>
              <w:bottom w:val="single" w:sz="8" w:color="auto"/>
            </w:tcBorders>
          </w:tcPr>
          <w:p>
            <w:pPr>
              <w:jc w:val="right"/>
              <w:ind w:right="877"/>
              <w:spacing w:after="0"/>
              <w:rPr>
                <w:sz w:val="20"/>
                <w:szCs w:val="20"/>
                <w:color w:val="auto"/>
              </w:rPr>
            </w:pPr>
            <w:r>
              <w:rPr>
                <w:rFonts w:ascii="Arial" w:cs="Arial" w:eastAsia="Arial" w:hAnsi="Arial"/>
                <w:sz w:val="18"/>
                <w:szCs w:val="18"/>
                <w:color w:val="auto"/>
              </w:rPr>
              <w:t>3,306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Downstream earnings were $1,642 million in the third quarter of 2018, up $110 million from the third quarter of 2017.</w:t>
      </w:r>
    </w:p>
    <w:p>
      <w:pPr>
        <w:spacing w:after="0" w:line="23" w:lineRule="exact"/>
        <w:rPr>
          <w:sz w:val="20"/>
          <w:szCs w:val="20"/>
          <w:color w:val="auto"/>
        </w:rPr>
      </w:pPr>
    </w:p>
    <w:p>
      <w:pPr>
        <w:ind w:left="700" w:hanging="368"/>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Margins decreased earnings by $110 million, as lower Non-U.S. margins were partially offset by higher U.S. margins.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volume and mix effects increased earnings by $210 million, primarily due to improved refinery operations.</w:t>
      </w:r>
    </w:p>
    <w:p>
      <w:pPr>
        <w:spacing w:after="0" w:line="9" w:lineRule="exact"/>
        <w:rPr>
          <w:rFonts w:ascii="Arial" w:cs="Arial" w:eastAsia="Arial" w:hAnsi="Arial"/>
          <w:sz w:val="18"/>
          <w:szCs w:val="18"/>
          <w:color w:val="auto"/>
        </w:rPr>
      </w:pPr>
    </w:p>
    <w:p>
      <w:pPr>
        <w:ind w:left="660" w:hanging="328"/>
        <w:spacing w:after="0" w:line="250" w:lineRule="auto"/>
        <w:tabs>
          <w:tab w:leader="none" w:pos="7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items increased earnings by $10 million, mainly due to favorable tax impacts and divestment gains, partly offset by higher maintenance expenses.</w:t>
      </w:r>
    </w:p>
    <w:p>
      <w:pPr>
        <w:ind w:left="700" w:hanging="368"/>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Downstream earnings were $961 million, up $570 million from the prior year quarter.</w:t>
      </w:r>
    </w:p>
    <w:p>
      <w:pPr>
        <w:spacing w:after="0" w:line="9" w:lineRule="exact"/>
        <w:rPr>
          <w:rFonts w:ascii="Arial" w:cs="Arial" w:eastAsia="Arial" w:hAnsi="Arial"/>
          <w:sz w:val="18"/>
          <w:szCs w:val="18"/>
          <w:color w:val="auto"/>
        </w:rPr>
      </w:pPr>
    </w:p>
    <w:p>
      <w:pPr>
        <w:ind w:left="700" w:hanging="368"/>
        <w:spacing w:after="0" w:line="207" w:lineRule="exact"/>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U.S. Downstream earnings were $681 million, down $460 million from the prior year quarter.</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Petroleum product sales of 5.6 million barrels per day were 74,000 barrels per day higher than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142875</wp:posOffset>
            </wp:positionV>
            <wp:extent cx="37731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Downstream earnings were $3,306 million in the first nine months of 2018, down $727 million from the first nine months of 2017.</w:t>
      </w:r>
    </w:p>
    <w:p>
      <w:pPr>
        <w:spacing w:after="0" w:line="23" w:lineRule="exact"/>
        <w:rPr>
          <w:sz w:val="20"/>
          <w:szCs w:val="20"/>
          <w:color w:val="auto"/>
        </w:rPr>
      </w:pPr>
    </w:p>
    <w:p>
      <w:pPr>
        <w:ind w:left="700" w:hanging="36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Margins increased earnings by $110 million, as higher U.S. margins were partially offset by lower Non-U.S. margins.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7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volume and mix effects decreased earnings by $40 million, primarily due to downtime and maintenance partly offset by improved refinery mix/ yield and higher sales.</w:t>
      </w:r>
    </w:p>
    <w:p>
      <w:pPr>
        <w:ind w:left="660" w:hanging="328"/>
        <w:spacing w:after="0" w:line="265" w:lineRule="auto"/>
        <w:tabs>
          <w:tab w:leader="none" w:pos="709"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other items decreased earnings by $800 million, mainly due to unfavorable foreign exchange impacts of $250 million, lower divestment gains of $180 million, and other unfavorable impacts of $370 million including higher expenses from downtime / maintenance.</w:t>
      </w:r>
    </w:p>
    <w:p>
      <w:pPr>
        <w:ind w:left="700" w:hanging="36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Downstream earnings were $1,975 million, up $945 million from the first nine months of prior year.</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Non-U.S. Downstream earnings were $1,331 million, down $1,672 million from the first nine months of prior year.</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Petroleum product sales of 5.5 million barrels per day were 18,000 barrels per day higher than the first nine months of prior year.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1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760" w:type="dxa"/>
            <w:vAlign w:val="bottom"/>
          </w:tcPr>
          <w:p>
            <w:pPr>
              <w:jc w:val="right"/>
              <w:ind w:right="17"/>
              <w:spacing w:after="0"/>
              <w:rPr>
                <w:sz w:val="20"/>
                <w:szCs w:val="20"/>
                <w:color w:val="auto"/>
              </w:rPr>
            </w:pPr>
            <w:r>
              <w:rPr>
                <w:rFonts w:ascii="Arial" w:cs="Arial" w:eastAsia="Arial" w:hAnsi="Arial"/>
                <w:sz w:val="14"/>
                <w:szCs w:val="14"/>
                <w:b w:val="1"/>
                <w:bCs w:val="1"/>
                <w:color w:val="auto"/>
              </w:rPr>
              <w:t>Third Quarter</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First Nine Months</w:t>
            </w:r>
          </w:p>
        </w:tc>
        <w:tc>
          <w:tcPr>
            <w:tcW w:w="560" w:type="dxa"/>
            <w:vAlign w:val="bottom"/>
          </w:tcPr>
          <w:p>
            <w:pPr>
              <w:spacing w:after="0"/>
              <w:rPr>
                <w:sz w:val="16"/>
                <w:szCs w:val="16"/>
                <w:color w:val="auto"/>
              </w:rPr>
            </w:pPr>
          </w:p>
        </w:tc>
      </w:tr>
      <w:tr>
        <w:trPr>
          <w:trHeight w:val="26"/>
        </w:trPr>
        <w:tc>
          <w:tcPr>
            <w:tcW w:w="14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14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760" w:type="dxa"/>
            <w:vAlign w:val="bottom"/>
          </w:tcPr>
          <w:p>
            <w:pPr>
              <w:jc w:val="right"/>
              <w:ind w:right="1077"/>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1077"/>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jc w:val="right"/>
              <w:ind w:right="174"/>
              <w:spacing w:after="0"/>
              <w:rPr>
                <w:sz w:val="20"/>
                <w:szCs w:val="20"/>
                <w:color w:val="auto"/>
              </w:rPr>
            </w:pPr>
            <w:r>
              <w:rPr>
                <w:rFonts w:ascii="Arial" w:cs="Arial" w:eastAsia="Arial" w:hAnsi="Arial"/>
                <w:sz w:val="14"/>
                <w:szCs w:val="14"/>
                <w:b w:val="1"/>
                <w:bCs w:val="1"/>
                <w:color w:val="auto"/>
                <w:w w:val="89"/>
              </w:rPr>
              <w:t>2017</w:t>
            </w:r>
          </w:p>
        </w:tc>
      </w:tr>
      <w:tr>
        <w:trPr>
          <w:trHeight w:val="26"/>
        </w:trPr>
        <w:tc>
          <w:tcPr>
            <w:tcW w:w="14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6"/>
        </w:trPr>
        <w:tc>
          <w:tcPr>
            <w:tcW w:w="14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00" w:type="dxa"/>
            <w:vAlign w:val="bottom"/>
            <w:gridSpan w:val="3"/>
          </w:tcPr>
          <w:p>
            <w:pPr>
              <w:ind w:left="280"/>
              <w:spacing w:after="0"/>
              <w:rPr>
                <w:sz w:val="20"/>
                <w:szCs w:val="20"/>
                <w:color w:val="auto"/>
              </w:rPr>
            </w:pPr>
            <w:r>
              <w:rPr>
                <w:rFonts w:ascii="Arial" w:cs="Arial" w:eastAsia="Arial" w:hAnsi="Arial"/>
                <w:sz w:val="14"/>
                <w:szCs w:val="14"/>
                <w:i w:val="1"/>
                <w:iCs w:val="1"/>
                <w:color w:val="auto"/>
              </w:rPr>
              <w:t>(millions of dollars)</w:t>
            </w:r>
          </w:p>
        </w:tc>
        <w:tc>
          <w:tcPr>
            <w:tcW w:w="15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5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Chemical earnings</w:t>
            </w:r>
          </w:p>
        </w:tc>
        <w:tc>
          <w:tcPr>
            <w:tcW w:w="1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9"/>
        </w:trPr>
        <w:tc>
          <w:tcPr>
            <w:tcW w:w="14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88"/>
              </w:rPr>
              <w:t>United States</w:t>
            </w:r>
          </w:p>
        </w:tc>
        <w:tc>
          <w:tcPr>
            <w:tcW w:w="4640" w:type="dxa"/>
            <w:vAlign w:val="bottom"/>
          </w:tcPr>
          <w:p>
            <w:pPr>
              <w:spacing w:after="0"/>
              <w:rPr>
                <w:sz w:val="21"/>
                <w:szCs w:val="21"/>
                <w:color w:val="auto"/>
              </w:rPr>
            </w:pPr>
          </w:p>
        </w:tc>
        <w:tc>
          <w:tcPr>
            <w:tcW w:w="1760" w:type="dxa"/>
            <w:vAlign w:val="bottom"/>
          </w:tcPr>
          <w:p>
            <w:pPr>
              <w:jc w:val="right"/>
              <w:ind w:right="817"/>
              <w:spacing w:after="0"/>
              <w:rPr>
                <w:sz w:val="20"/>
                <w:szCs w:val="20"/>
                <w:color w:val="auto"/>
              </w:rPr>
            </w:pPr>
            <w:r>
              <w:rPr>
                <w:rFonts w:ascii="Arial" w:cs="Arial" w:eastAsia="Arial" w:hAnsi="Arial"/>
                <w:sz w:val="18"/>
                <w:szCs w:val="18"/>
                <w:color w:val="auto"/>
              </w:rPr>
              <w:t>404</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21"/>
                <w:szCs w:val="21"/>
                <w:color w:val="auto"/>
              </w:rPr>
            </w:pPr>
          </w:p>
        </w:tc>
        <w:tc>
          <w:tcPr>
            <w:tcW w:w="1520" w:type="dxa"/>
            <w:vAlign w:val="bottom"/>
          </w:tcPr>
          <w:p>
            <w:pPr>
              <w:jc w:val="right"/>
              <w:ind w:right="837"/>
              <w:spacing w:after="0"/>
              <w:rPr>
                <w:sz w:val="20"/>
                <w:szCs w:val="20"/>
                <w:color w:val="auto"/>
              </w:rPr>
            </w:pPr>
            <w:r>
              <w:rPr>
                <w:rFonts w:ascii="Arial" w:cs="Arial" w:eastAsia="Arial" w:hAnsi="Arial"/>
                <w:sz w:val="18"/>
                <w:szCs w:val="18"/>
                <w:color w:val="auto"/>
              </w:rPr>
              <w:t>1,360</w:t>
            </w:r>
          </w:p>
        </w:tc>
        <w:tc>
          <w:tcPr>
            <w:tcW w:w="560" w:type="dxa"/>
            <w:vAlign w:val="bottom"/>
          </w:tcPr>
          <w:p>
            <w:pPr>
              <w:jc w:val="right"/>
              <w:spacing w:after="0"/>
              <w:rPr>
                <w:sz w:val="20"/>
                <w:szCs w:val="20"/>
                <w:color w:val="auto"/>
              </w:rPr>
            </w:pPr>
            <w:r>
              <w:rPr>
                <w:rFonts w:ascii="Arial" w:cs="Arial" w:eastAsia="Arial" w:hAnsi="Arial"/>
                <w:sz w:val="18"/>
                <w:szCs w:val="18"/>
                <w:color w:val="auto"/>
              </w:rPr>
              <w:t>1,413</w:t>
            </w:r>
          </w:p>
        </w:tc>
      </w:tr>
      <w:tr>
        <w:trPr>
          <w:trHeight w:val="237"/>
        </w:trPr>
        <w:tc>
          <w:tcPr>
            <w:tcW w:w="6080" w:type="dxa"/>
            <w:vAlign w:val="bottom"/>
            <w:gridSpan w:val="2"/>
          </w:tcPr>
          <w:p>
            <w:pPr>
              <w:ind w:left="460"/>
              <w:spacing w:after="0"/>
              <w:rPr>
                <w:sz w:val="20"/>
                <w:szCs w:val="20"/>
                <w:color w:val="auto"/>
              </w:rPr>
            </w:pPr>
            <w:r>
              <w:rPr>
                <w:rFonts w:ascii="Arial" w:cs="Arial" w:eastAsia="Arial" w:hAnsi="Arial"/>
                <w:sz w:val="18"/>
                <w:szCs w:val="18"/>
                <w:color w:val="auto"/>
              </w:rPr>
              <w:t>Non-U.S.</w:t>
            </w:r>
          </w:p>
        </w:tc>
        <w:tc>
          <w:tcPr>
            <w:tcW w:w="1760" w:type="dxa"/>
            <w:vAlign w:val="bottom"/>
          </w:tcPr>
          <w:p>
            <w:pPr>
              <w:jc w:val="right"/>
              <w:ind w:right="817"/>
              <w:spacing w:after="0"/>
              <w:rPr>
                <w:sz w:val="20"/>
                <w:szCs w:val="20"/>
                <w:color w:val="auto"/>
              </w:rPr>
            </w:pPr>
            <w:r>
              <w:rPr>
                <w:rFonts w:ascii="Arial" w:cs="Arial" w:eastAsia="Arial" w:hAnsi="Arial"/>
                <w:sz w:val="18"/>
                <w:szCs w:val="18"/>
                <w:color w:val="auto"/>
              </w:rPr>
              <w:t>309</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689</w:t>
            </w:r>
          </w:p>
        </w:tc>
        <w:tc>
          <w:tcPr>
            <w:tcW w:w="180" w:type="dxa"/>
            <w:vAlign w:val="bottom"/>
          </w:tcPr>
          <w:p>
            <w:pPr>
              <w:spacing w:after="0"/>
              <w:rPr>
                <w:sz w:val="20"/>
                <w:szCs w:val="20"/>
                <w:color w:val="auto"/>
              </w:rPr>
            </w:pPr>
          </w:p>
        </w:tc>
        <w:tc>
          <w:tcPr>
            <w:tcW w:w="1520" w:type="dxa"/>
            <w:vAlign w:val="bottom"/>
          </w:tcPr>
          <w:p>
            <w:pPr>
              <w:jc w:val="right"/>
              <w:ind w:right="837"/>
              <w:spacing w:after="0"/>
              <w:rPr>
                <w:sz w:val="20"/>
                <w:szCs w:val="20"/>
                <w:color w:val="auto"/>
              </w:rPr>
            </w:pPr>
            <w:r>
              <w:rPr>
                <w:rFonts w:ascii="Arial" w:cs="Arial" w:eastAsia="Arial" w:hAnsi="Arial"/>
                <w:sz w:val="18"/>
                <w:szCs w:val="18"/>
                <w:color w:val="auto"/>
              </w:rPr>
              <w:t>1,254</w:t>
            </w:r>
          </w:p>
        </w:tc>
        <w:tc>
          <w:tcPr>
            <w:tcW w:w="560" w:type="dxa"/>
            <w:vAlign w:val="bottom"/>
          </w:tcPr>
          <w:p>
            <w:pPr>
              <w:jc w:val="right"/>
              <w:spacing w:after="0"/>
              <w:rPr>
                <w:sz w:val="20"/>
                <w:szCs w:val="20"/>
                <w:color w:val="auto"/>
              </w:rPr>
            </w:pPr>
            <w:r>
              <w:rPr>
                <w:rFonts w:ascii="Arial" w:cs="Arial" w:eastAsia="Arial" w:hAnsi="Arial"/>
                <w:sz w:val="18"/>
                <w:szCs w:val="18"/>
                <w:color w:val="auto"/>
              </w:rPr>
              <w:t>1,835</w:t>
            </w:r>
          </w:p>
        </w:tc>
      </w:tr>
      <w:tr>
        <w:trPr>
          <w:trHeight w:val="216"/>
        </w:trPr>
        <w:tc>
          <w:tcPr>
            <w:tcW w:w="6080" w:type="dxa"/>
            <w:vAlign w:val="bottom"/>
            <w:gridSpan w:val="2"/>
          </w:tcPr>
          <w:p>
            <w:pPr>
              <w:ind w:left="920"/>
              <w:spacing w:after="0" w:line="203" w:lineRule="exact"/>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8"/>
                <w:szCs w:val="18"/>
                <w:color w:val="auto"/>
              </w:rPr>
              <w:t>713</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6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rPr>
              <w:t>2,614</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Chemical earnings of $713 million in the third quarter of 2018, were $379 million lower than the third quarter of 2017.</w:t>
      </w:r>
    </w:p>
    <w:p>
      <w:pPr>
        <w:spacing w:after="0" w:line="23" w:lineRule="exact"/>
        <w:rPr>
          <w:sz w:val="20"/>
          <w:szCs w:val="20"/>
          <w:color w:val="auto"/>
        </w:rPr>
      </w:pPr>
    </w:p>
    <w:p>
      <w:pPr>
        <w:ind w:left="700" w:hanging="36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Weaker margins decreased earnings by $140 million.</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Volume and mix effects increased earnings by $20 million.</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items decreased earnings by $260 million, mainly due to higher expenses.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Chemical earnings were $404 million, up $1 million from the prior year quarter.</w:t>
      </w:r>
    </w:p>
    <w:p>
      <w:pPr>
        <w:spacing w:after="0" w:line="9" w:lineRule="exact"/>
        <w:rPr>
          <w:rFonts w:ascii="Arial" w:cs="Arial" w:eastAsia="Arial" w:hAnsi="Arial"/>
          <w:sz w:val="18"/>
          <w:szCs w:val="18"/>
          <w:color w:val="auto"/>
        </w:rPr>
      </w:pPr>
    </w:p>
    <w:p>
      <w:pPr>
        <w:ind w:left="700" w:hanging="368"/>
        <w:spacing w:after="0" w:line="207" w:lineRule="exact"/>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U.S. Chemical earnings were $309 million, down $380 million from the prior year quarter.</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7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 quarter prime product sales of 6.7 million metric tons were 231,000 metric tons higher than the prior year quarter due to project growth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125730</wp:posOffset>
            </wp:positionV>
            <wp:extent cx="37731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Chemical earnings were $2,614 million in the first nine months of 2018, down $634 million from the first nine months of 2017.</w:t>
      </w:r>
    </w:p>
    <w:p>
      <w:pPr>
        <w:spacing w:after="0" w:line="23" w:lineRule="exact"/>
        <w:rPr>
          <w:sz w:val="20"/>
          <w:szCs w:val="20"/>
          <w:color w:val="auto"/>
        </w:rPr>
      </w:pPr>
    </w:p>
    <w:p>
      <w:pPr>
        <w:ind w:left="700" w:hanging="36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Weaker margins decreased earnings by $640 million.</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Volume and mix effects increased earnings by $250 million.</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other items decreased earnings by $240 million, as higher expenses were partially offset by favorable foreign exchange and tax impacts.</w:t>
      </w:r>
    </w:p>
    <w:p>
      <w:pPr>
        <w:spacing w:after="0" w:line="20" w:lineRule="exact"/>
        <w:rPr>
          <w:rFonts w:ascii="Arial" w:cs="Arial" w:eastAsia="Arial" w:hAnsi="Arial"/>
          <w:sz w:val="17"/>
          <w:szCs w:val="17"/>
          <w:color w:val="auto"/>
        </w:rPr>
      </w:pPr>
    </w:p>
    <w:p>
      <w:pPr>
        <w:ind w:left="700" w:hanging="36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Chemical earnings were $1,360 million, down $53 million from the first nine months of prior year.</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Non-U.S. Chemical earnings were $1,254 million, down $581 million from the first nine months of prior year.</w:t>
      </w:r>
    </w:p>
    <w:p>
      <w:pPr>
        <w:spacing w:after="0" w:line="9" w:lineRule="exact"/>
        <w:rPr>
          <w:rFonts w:ascii="Arial" w:cs="Arial" w:eastAsia="Arial" w:hAnsi="Arial"/>
          <w:sz w:val="18"/>
          <w:szCs w:val="18"/>
          <w:color w:val="auto"/>
        </w:rPr>
      </w:pPr>
    </w:p>
    <w:p>
      <w:pPr>
        <w:ind w:left="660" w:hanging="328"/>
        <w:spacing w:after="0" w:line="261" w:lineRule="auto"/>
        <w:tabs>
          <w:tab w:leader="none" w:pos="7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Prime product sales of 20.2 million metric tons in the first nine months were 1.6 million metric tons higher than the first nine months of prior year due to project growth and acquisitions.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60" w:type="dxa"/>
            <w:vAlign w:val="bottom"/>
          </w:tcPr>
          <w:p>
            <w:pPr>
              <w:jc w:val="right"/>
              <w:ind w:right="2"/>
              <w:spacing w:after="0"/>
              <w:rPr>
                <w:sz w:val="20"/>
                <w:szCs w:val="20"/>
                <w:color w:val="auto"/>
              </w:rPr>
            </w:pPr>
            <w:r>
              <w:rPr>
                <w:rFonts w:ascii="Arial" w:cs="Arial" w:eastAsia="Arial" w:hAnsi="Arial"/>
                <w:sz w:val="14"/>
                <w:szCs w:val="14"/>
                <w:b w:val="1"/>
                <w:bCs w:val="1"/>
                <w:color w:val="auto"/>
              </w:rPr>
              <w:t>Third Quarter</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ind w:left="360"/>
              <w:spacing w:after="0"/>
              <w:rPr>
                <w:sz w:val="20"/>
                <w:szCs w:val="20"/>
                <w:color w:val="auto"/>
              </w:rPr>
            </w:pPr>
            <w:r>
              <w:rPr>
                <w:rFonts w:ascii="Arial" w:cs="Arial" w:eastAsia="Arial" w:hAnsi="Arial"/>
                <w:sz w:val="14"/>
                <w:szCs w:val="14"/>
                <w:b w:val="1"/>
                <w:bCs w:val="1"/>
                <w:color w:val="auto"/>
                <w:w w:val="94"/>
              </w:rPr>
              <w:t>First Nine Months</w:t>
            </w:r>
          </w:p>
        </w:tc>
        <w:tc>
          <w:tcPr>
            <w:tcW w:w="560" w:type="dxa"/>
            <w:vAlign w:val="bottom"/>
          </w:tcPr>
          <w:p>
            <w:pPr>
              <w:spacing w:after="0"/>
              <w:rPr>
                <w:sz w:val="16"/>
                <w:szCs w:val="16"/>
                <w:color w:val="auto"/>
              </w:rPr>
            </w:pPr>
          </w:p>
        </w:tc>
      </w:tr>
      <w:tr>
        <w:trPr>
          <w:trHeight w:val="26"/>
        </w:trPr>
        <w:tc>
          <w:tcPr>
            <w:tcW w:w="26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26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60" w:type="dxa"/>
            <w:vAlign w:val="bottom"/>
          </w:tcPr>
          <w:p>
            <w:pPr>
              <w:jc w:val="right"/>
              <w:ind w:right="1042"/>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ind w:left="4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jc w:val="right"/>
              <w:ind w:right="179"/>
              <w:spacing w:after="0"/>
              <w:rPr>
                <w:sz w:val="20"/>
                <w:szCs w:val="20"/>
                <w:color w:val="auto"/>
              </w:rPr>
            </w:pPr>
            <w:r>
              <w:rPr>
                <w:rFonts w:ascii="Arial" w:cs="Arial" w:eastAsia="Arial" w:hAnsi="Arial"/>
                <w:sz w:val="14"/>
                <w:szCs w:val="14"/>
                <w:b w:val="1"/>
                <w:bCs w:val="1"/>
                <w:color w:val="auto"/>
                <w:w w:val="89"/>
              </w:rPr>
              <w:t>2017</w:t>
            </w:r>
          </w:p>
        </w:tc>
      </w:tr>
      <w:tr>
        <w:trPr>
          <w:trHeight w:val="26"/>
        </w:trPr>
        <w:tc>
          <w:tcPr>
            <w:tcW w:w="26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6"/>
        </w:trPr>
        <w:tc>
          <w:tcPr>
            <w:tcW w:w="26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gridSpan w:val="3"/>
          </w:tcPr>
          <w:p>
            <w:pPr>
              <w:ind w:left="320"/>
              <w:spacing w:after="0"/>
              <w:rPr>
                <w:sz w:val="20"/>
                <w:szCs w:val="20"/>
                <w:color w:val="auto"/>
              </w:rPr>
            </w:pPr>
            <w:r>
              <w:rPr>
                <w:rFonts w:ascii="Arial" w:cs="Arial" w:eastAsia="Arial" w:hAnsi="Arial"/>
                <w:sz w:val="14"/>
                <w:szCs w:val="14"/>
                <w:i w:val="1"/>
                <w:iCs w:val="1"/>
                <w:color w:val="auto"/>
                <w:w w:val="99"/>
              </w:rPr>
              <w:t>(millions of dollars)</w:t>
            </w:r>
          </w:p>
        </w:tc>
        <w:tc>
          <w:tcPr>
            <w:tcW w:w="15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479"/>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Corporate and financing earnings</w:t>
            </w:r>
          </w:p>
        </w:tc>
        <w:tc>
          <w:tcPr>
            <w:tcW w:w="3580" w:type="dxa"/>
            <w:vAlign w:val="bottom"/>
          </w:tcPr>
          <w:p>
            <w:pPr>
              <w:spacing w:after="0"/>
              <w:rPr>
                <w:sz w:val="24"/>
                <w:szCs w:val="24"/>
                <w:color w:val="auto"/>
              </w:rPr>
            </w:pPr>
          </w:p>
        </w:tc>
        <w:tc>
          <w:tcPr>
            <w:tcW w:w="1660" w:type="dxa"/>
            <w:vAlign w:val="bottom"/>
          </w:tcPr>
          <w:p>
            <w:pPr>
              <w:jc w:val="right"/>
              <w:ind w:right="782"/>
              <w:spacing w:after="0"/>
              <w:rPr>
                <w:sz w:val="20"/>
                <w:szCs w:val="20"/>
                <w:color w:val="auto"/>
              </w:rPr>
            </w:pPr>
            <w:r>
              <w:rPr>
                <w:rFonts w:ascii="Arial" w:cs="Arial" w:eastAsia="Arial" w:hAnsi="Arial"/>
                <w:sz w:val="18"/>
                <w:szCs w:val="18"/>
                <w:color w:val="auto"/>
              </w:rPr>
              <w:t>(344)</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(1,846)</w:t>
            </w:r>
          </w:p>
        </w:tc>
        <w:tc>
          <w:tcPr>
            <w:tcW w:w="560" w:type="dxa"/>
            <w:vAlign w:val="bottom"/>
          </w:tcPr>
          <w:p>
            <w:pPr>
              <w:jc w:val="right"/>
              <w:spacing w:after="0"/>
              <w:rPr>
                <w:sz w:val="20"/>
                <w:szCs w:val="20"/>
                <w:color w:val="auto"/>
              </w:rPr>
            </w:pPr>
            <w:r>
              <w:rPr>
                <w:rFonts w:ascii="Arial" w:cs="Arial" w:eastAsia="Arial" w:hAnsi="Arial"/>
                <w:sz w:val="18"/>
                <w:szCs w:val="18"/>
                <w:color w:val="auto"/>
              </w:rPr>
              <w:t>(954)</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financing expenses were $344 million for the third quarter of 2018, up $123 million from the third quarter of 2017, mainly due to the impact of a lower U.S.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117475</wp:posOffset>
            </wp:positionV>
            <wp:extent cx="37731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3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Corporate and financing expenses were $1,846 million in the first nine months of 2018, up $892 million from the first nine months of 2017, mainly due to lower net favorable tax items, the impact of a lower U.S. tax rate, and higher pension and financing related costs.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1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175" w:right="239" w:bottom="1440" w:gutter="0" w:footer="0" w:header="0"/>
        </w:sectPr>
      </w:pPr>
    </w:p>
    <w:p>
      <w:pPr>
        <w:spacing w:after="0" w:line="248"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32385</wp:posOffset>
            </wp:positionV>
            <wp:extent cx="16033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49" w:lineRule="exact"/>
        <w:rPr>
          <w:sz w:val="20"/>
          <w:szCs w:val="20"/>
          <w:color w:val="auto"/>
        </w:rPr>
      </w:pPr>
    </w:p>
    <w:p>
      <w:pPr>
        <w:ind w:left="6040"/>
        <w:spacing w:after="0"/>
        <w:tabs>
          <w:tab w:leader="none" w:pos="764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First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32385</wp:posOffset>
            </wp:positionV>
            <wp:extent cx="15779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49" w:lineRule="exact"/>
        <w:rPr>
          <w:sz w:val="20"/>
          <w:szCs w:val="20"/>
          <w:color w:val="auto"/>
        </w:rPr>
      </w:pPr>
    </w:p>
    <w:p>
      <w:pPr>
        <w:spacing w:after="0"/>
        <w:tabs>
          <w:tab w:leader="none" w:pos="156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62" w:lineRule="exact"/>
        <w:rPr>
          <w:sz w:val="20"/>
          <w:szCs w:val="20"/>
          <w:color w:val="auto"/>
        </w:rPr>
      </w:pPr>
    </w:p>
    <w:p>
      <w:pPr>
        <w:sectPr>
          <w:pgSz w:w="11900" w:h="16838" w:orient="portrait"/>
          <w:cols w:equalWidth="0" w:num="2">
            <w:col w:w="8520" w:space="720"/>
            <w:col w:w="2180"/>
          </w:cols>
          <w:pgMar w:left="240" w:top="17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7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restart"/>
          </w:tcPr>
          <w:p>
            <w:pPr>
              <w:spacing w:after="0"/>
              <w:rPr>
                <w:sz w:val="20"/>
                <w:szCs w:val="20"/>
                <w:color w:val="auto"/>
              </w:rPr>
            </w:pPr>
            <w:r>
              <w:rPr>
                <w:rFonts w:ascii="Arial" w:cs="Arial" w:eastAsia="Arial" w:hAnsi="Arial"/>
                <w:sz w:val="18"/>
                <w:szCs w:val="18"/>
                <w:color w:val="auto"/>
              </w:rPr>
              <w:t>Net cash provided by/(used in)</w:t>
            </w:r>
          </w:p>
        </w:tc>
        <w:tc>
          <w:tcPr>
            <w:tcW w:w="1460" w:type="dxa"/>
            <w:vAlign w:val="bottom"/>
          </w:tcPr>
          <w:p>
            <w:pPr>
              <w:spacing w:after="0"/>
              <w:rPr>
                <w:sz w:val="15"/>
                <w:szCs w:val="15"/>
                <w:color w:val="auto"/>
              </w:rPr>
            </w:pPr>
          </w:p>
        </w:tc>
        <w:tc>
          <w:tcPr>
            <w:tcW w:w="1960" w:type="dxa"/>
            <w:vAlign w:val="bottom"/>
            <w:gridSpan w:val="3"/>
          </w:tcPr>
          <w:p>
            <w:pPr>
              <w:ind w:left="740"/>
              <w:spacing w:after="0"/>
              <w:rPr>
                <w:sz w:val="20"/>
                <w:szCs w:val="20"/>
                <w:color w:val="auto"/>
              </w:rPr>
            </w:pPr>
            <w:r>
              <w:rPr>
                <w:rFonts w:ascii="Arial" w:cs="Arial" w:eastAsia="Arial" w:hAnsi="Arial"/>
                <w:sz w:val="14"/>
                <w:szCs w:val="14"/>
                <w:i w:val="1"/>
                <w:iCs w:val="1"/>
                <w:color w:val="auto"/>
              </w:rPr>
              <w:t>(millions of dollars)</w:t>
            </w: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27,407</w:t>
            </w:r>
          </w:p>
        </w:tc>
        <w:tc>
          <w:tcPr>
            <w:tcW w:w="1100" w:type="dxa"/>
            <w:vAlign w:val="bottom"/>
          </w:tcPr>
          <w:p>
            <w:pPr>
              <w:jc w:val="right"/>
              <w:spacing w:after="0"/>
              <w:rPr>
                <w:sz w:val="20"/>
                <w:szCs w:val="20"/>
                <w:color w:val="auto"/>
              </w:rPr>
            </w:pPr>
            <w:r>
              <w:rPr>
                <w:rFonts w:ascii="Arial" w:cs="Arial" w:eastAsia="Arial" w:hAnsi="Arial"/>
                <w:sz w:val="18"/>
                <w:szCs w:val="18"/>
                <w:color w:val="auto"/>
              </w:rPr>
              <w:t>22,655</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8"/>
                <w:szCs w:val="18"/>
                <w:color w:val="auto"/>
              </w:rPr>
              <w:t>Investing activities</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w w:val="98"/>
              </w:rPr>
              <w:t>(10,862)</w:t>
            </w:r>
          </w:p>
        </w:tc>
        <w:tc>
          <w:tcPr>
            <w:tcW w:w="1100" w:type="dxa"/>
            <w:vAlign w:val="bottom"/>
          </w:tcPr>
          <w:p>
            <w:pPr>
              <w:jc w:val="right"/>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w w:val="98"/>
              </w:rPr>
              <w:t>(13,945)</w:t>
            </w:r>
          </w:p>
        </w:tc>
        <w:tc>
          <w:tcPr>
            <w:tcW w:w="1100" w:type="dxa"/>
            <w:vAlign w:val="bottom"/>
          </w:tcPr>
          <w:p>
            <w:pPr>
              <w:jc w:val="right"/>
              <w:spacing w:after="0"/>
              <w:rPr>
                <w:sz w:val="20"/>
                <w:szCs w:val="20"/>
                <w:color w:val="auto"/>
              </w:rPr>
            </w:pPr>
            <w:r>
              <w:rPr>
                <w:rFonts w:ascii="Arial" w:cs="Arial" w:eastAsia="Arial" w:hAnsi="Arial"/>
                <w:sz w:val="18"/>
                <w:szCs w:val="18"/>
                <w:color w:val="auto"/>
              </w:rPr>
              <w:t>(13,293)</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(108)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Increase/(decrease) in cash and cash equivalents</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2,492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426"/>
        </w:trPr>
        <w:tc>
          <w:tcPr>
            <w:tcW w:w="57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5,669</w:t>
            </w:r>
          </w:p>
        </w:tc>
        <w:tc>
          <w:tcPr>
            <w:tcW w:w="1100" w:type="dxa"/>
            <w:vAlign w:val="bottom"/>
          </w:tcPr>
          <w:p>
            <w:pPr>
              <w:jc w:val="right"/>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color w:val="auto"/>
              </w:rPr>
              <w:t>Cash flow from operations and asset sales</w:t>
            </w: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8"/>
                <w:szCs w:val="18"/>
                <w:color w:val="auto"/>
              </w:rPr>
              <w:t>Net cash provided by operating activities (U.S. GAAP)</w:t>
            </w:r>
          </w:p>
        </w:tc>
        <w:tc>
          <w:tcPr>
            <w:tcW w:w="1460" w:type="dxa"/>
            <w:vAlign w:val="bottom"/>
          </w:tcPr>
          <w:p>
            <w:pPr>
              <w:jc w:val="right"/>
              <w:ind w:right="510"/>
              <w:spacing w:after="0"/>
              <w:rPr>
                <w:sz w:val="20"/>
                <w:szCs w:val="20"/>
                <w:color w:val="auto"/>
              </w:rPr>
            </w:pPr>
            <w:r>
              <w:rPr>
                <w:rFonts w:ascii="Arial" w:cs="Arial" w:eastAsia="Arial" w:hAnsi="Arial"/>
                <w:sz w:val="18"/>
                <w:szCs w:val="18"/>
                <w:color w:val="auto"/>
              </w:rPr>
              <w:t>11,108</w:t>
            </w:r>
          </w:p>
        </w:tc>
        <w:tc>
          <w:tcPr>
            <w:tcW w:w="1060" w:type="dxa"/>
            <w:vAlign w:val="bottom"/>
          </w:tcPr>
          <w:p>
            <w:pPr>
              <w:jc w:val="right"/>
              <w:spacing w:after="0"/>
              <w:rPr>
                <w:sz w:val="20"/>
                <w:szCs w:val="20"/>
                <w:color w:val="auto"/>
              </w:rPr>
            </w:pPr>
            <w:r>
              <w:rPr>
                <w:rFonts w:ascii="Arial" w:cs="Arial" w:eastAsia="Arial" w:hAnsi="Arial"/>
                <w:sz w:val="18"/>
                <w:szCs w:val="18"/>
                <w:color w:val="auto"/>
              </w:rPr>
              <w:t>7,535</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27,407</w:t>
            </w:r>
          </w:p>
        </w:tc>
        <w:tc>
          <w:tcPr>
            <w:tcW w:w="1100" w:type="dxa"/>
            <w:vAlign w:val="bottom"/>
          </w:tcPr>
          <w:p>
            <w:pPr>
              <w:jc w:val="right"/>
              <w:spacing w:after="0"/>
              <w:rPr>
                <w:sz w:val="20"/>
                <w:szCs w:val="20"/>
                <w:color w:val="auto"/>
              </w:rPr>
            </w:pPr>
            <w:r>
              <w:rPr>
                <w:rFonts w:ascii="Arial" w:cs="Arial" w:eastAsia="Arial" w:hAnsi="Arial"/>
                <w:sz w:val="18"/>
                <w:szCs w:val="18"/>
                <w:color w:val="auto"/>
              </w:rPr>
              <w:t>22,655</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8"/>
                <w:szCs w:val="18"/>
                <w:color w:val="auto"/>
              </w:rPr>
              <w:t>Proceeds associated with sales of subsidiaries, property,</w:t>
            </w:r>
          </w:p>
        </w:tc>
        <w:tc>
          <w:tcPr>
            <w:tcW w:w="1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460"/>
              <w:spacing w:after="0"/>
              <w:rPr>
                <w:sz w:val="20"/>
                <w:szCs w:val="20"/>
                <w:color w:val="auto"/>
              </w:rPr>
            </w:pPr>
            <w:r>
              <w:rPr>
                <w:rFonts w:ascii="Arial" w:cs="Arial" w:eastAsia="Arial" w:hAnsi="Arial"/>
                <w:sz w:val="18"/>
                <w:szCs w:val="18"/>
                <w:color w:val="auto"/>
              </w:rPr>
              <w:t>plant &amp; equipment, and sales and returns of investments</w:t>
            </w: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1,491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3,239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0"/>
        </w:trPr>
        <w:tc>
          <w:tcPr>
            <w:tcW w:w="5740" w:type="dxa"/>
            <w:vAlign w:val="bottom"/>
          </w:tcPr>
          <w:p>
            <w:pPr>
              <w:ind w:left="240"/>
              <w:spacing w:after="0"/>
              <w:rPr>
                <w:sz w:val="20"/>
                <w:szCs w:val="20"/>
                <w:color w:val="auto"/>
              </w:rPr>
            </w:pPr>
            <w:r>
              <w:rPr>
                <w:rFonts w:ascii="Arial" w:cs="Arial" w:eastAsia="Arial" w:hAnsi="Arial"/>
                <w:sz w:val="18"/>
                <w:szCs w:val="18"/>
                <w:color w:val="auto"/>
              </w:rPr>
              <w:t>Cash flow from operations and asset sales</w:t>
            </w: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12,599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8,389</w:t>
            </w:r>
          </w:p>
        </w:tc>
        <w:tc>
          <w:tcPr>
            <w:tcW w:w="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30,646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i w:val="1"/>
          <w:iCs w:val="1"/>
          <w:color w:val="auto"/>
        </w:rPr>
        <w:t>Because of the ongoing nature of our asset management and divestment program, we believe it is useful for investors to consider proceeds associated with asset sales together with cash provided by operating activities when evaluating cash available for investment in the business and financing activities, including shareholder distributions.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 from operations and asset sales in the third quarter of 2018 was $12.6 billion, including asset sales of $1.5 billion, an increase of $4.2 billion from the comparable 2017 period primarily reflecting higher earnings and favorable working capital effects.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operating activities totaled $27.4 billion for the first nine months of 2018, $4.8 billion higher than 2017. The major source of funds was net income including noncontrolling interests of $15.2 billion, an increase of $3.8 billion from the prior year period. The adjustment for the noncash provision of $13.7 billion for depreciation and depletion was down $0.3 billion from 2017. Changes in operational working capital were essentially flat, compared to a decrease of $0.5 billion in the prior year period. All other items net decreased cash flows by $1.5 billion in 2018 versus a reduction of $2.3 billion in 2017. See the Condensed Consolidated Statement of Cash Flows for additional details.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Investing activities for the first nine months of 2018 used net cash of $10.9 billion, an increase of $1.7 billion compared to the prior year. Spending for additions to property, plant and equipment of $13.5 billion was $2.6 billion higher than 2017. Proceeds from asset sales of $3.2 billion increased $1.5 billion. Investments and advances decreased $0.8 billion, principally reflecting the absence of the deposit into escrow of the maximum potential contingent consideration payable as a result of the acquisition of InterOil Corporation in 2017. This was partly offset by cash outflows in 2018 related to the acquisition of a Downstream business in Indonesia.</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 from operations and asset sales in the first nine months of 2018 was $30.6 billion, including asset sales of $3.2 billion, an increase of $6.3 billion from the comparable 2017 period primarily reflecting higher earnings and increased asset sale proceeds.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financing activities was $13.9 billion in the first nine months of 2018, an increase of $0.7 billion from 2017. The net reduction in short and long term debt was $2.7 billion compared to $2.8 billion in 2017.</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first nine months of 2018, Exxon Mobil Corporation purchased 5 million shares of its common stock for the treasury at a gross cost of $0.4 billion. These purchases were made to offset shares or units settled in shares issued in conjunction with the company’s benefit plans and programs. Shares outstanding decreased from 4,239 million at year-end to 4,234 million at the end of the third quarter of 2018. Purchases may be made both in the open market and through negotiated transactions, and may be increased, decreased or discontinued at any time without prior notice.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distributed a total of $10.3 billion to shareholders in the first nine months of 2018 through dividends.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Total cash and cash equivalents of $5.7 billion at the end of the third quarter of 2018 compared to $3.2 billion at year-end 2017.</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debt at the end of the third quarter of 2018 was $40 billion compared to $42.3 billion at year-end 2017. The Corporation's debt to total capital ratio was 16.9 percent at the end of the third quarter of 2018 compared to 17.9 percent at year-end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Corporation has access to significant capacity of long-term and short-term liquidity. Internally generated funds are generally expected to cover financial requirements, supplemented by short-term and long-term debt as required.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as part of its ongoing asset management program, continues to evaluate its mix of assets for potential upgrade. Because of the ongoing nature of this program, dispositions will continue to be made from time to time which will result in either gains or losses. Additionally, the Corporation continues to evaluate opportunities to enhance its business portfolio through acquisitions of assets or companies, and enters into such transactions from time to time. Key criteria for evaluating acquisitions include potential for future growth and attractive current valuations. Acquisitions may be made with cash, shares of the Corporation’s common stock, or both.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Litigation and other contingencies are discussed in Note 3 to the unaudited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ectPr>
          <w:pgSz w:w="11900" w:h="16838" w:orient="portrait"/>
          <w:cols w:equalWidth="0" w:num="1">
            <w:col w:w="11420"/>
          </w:cols>
          <w:pgMar w:left="240" w:top="179" w:right="239" w:bottom="1440" w:gutter="0" w:footer="0" w:header="0"/>
        </w:sectPr>
      </w:pPr>
    </w:p>
    <w:p>
      <w:pPr>
        <w:spacing w:after="0" w:line="288"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32385</wp:posOffset>
            </wp:positionV>
            <wp:extent cx="14579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49" w:lineRule="exact"/>
        <w:rPr>
          <w:sz w:val="20"/>
          <w:szCs w:val="20"/>
          <w:color w:val="auto"/>
        </w:rPr>
      </w:pPr>
    </w:p>
    <w:p>
      <w:pPr>
        <w:ind w:left="6220"/>
        <w:spacing w:after="0"/>
        <w:tabs>
          <w:tab w:leader="none" w:pos="770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46990</wp:posOffset>
            </wp:positionV>
            <wp:extent cx="14579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First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32385</wp:posOffset>
            </wp:positionV>
            <wp:extent cx="14408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49" w:lineRule="exact"/>
        <w:rPr>
          <w:sz w:val="20"/>
          <w:szCs w:val="20"/>
          <w:color w:val="auto"/>
        </w:rPr>
      </w:pPr>
    </w:p>
    <w:p>
      <w:pPr>
        <w:spacing w:after="0"/>
        <w:tabs>
          <w:tab w:leader="none" w:pos="14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46990</wp:posOffset>
            </wp:positionV>
            <wp:extent cx="14408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8460" w:space="720"/>
            <w:col w:w="2240"/>
          </w:cols>
          <w:pgMar w:left="240" w:top="179"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80" w:type="dxa"/>
            <w:vAlign w:val="bottom"/>
            <w:gridSpan w:val="3"/>
          </w:tcPr>
          <w:p>
            <w:pPr>
              <w:ind w:left="560"/>
              <w:spacing w:after="0"/>
              <w:rPr>
                <w:sz w:val="20"/>
                <w:szCs w:val="20"/>
                <w:color w:val="auto"/>
              </w:rPr>
            </w:pPr>
            <w:r>
              <w:rPr>
                <w:rFonts w:ascii="Arial" w:cs="Arial" w:eastAsia="Arial" w:hAnsi="Arial"/>
                <w:sz w:val="14"/>
                <w:szCs w:val="14"/>
                <w:i w:val="1"/>
                <w:iCs w:val="1"/>
                <w:color w:val="auto"/>
              </w:rPr>
              <w:t>(millions of dollars)</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470"/>
        </w:trPr>
        <w:tc>
          <w:tcPr>
            <w:tcW w:w="5960" w:type="dxa"/>
            <w:vAlign w:val="bottom"/>
          </w:tcPr>
          <w:p>
            <w:pPr>
              <w:spacing w:after="0"/>
              <w:rPr>
                <w:sz w:val="20"/>
                <w:szCs w:val="20"/>
                <w:color w:val="auto"/>
              </w:rPr>
            </w:pPr>
            <w:r>
              <w:rPr>
                <w:rFonts w:ascii="Arial" w:cs="Arial" w:eastAsia="Arial" w:hAnsi="Arial"/>
                <w:sz w:val="18"/>
                <w:szCs w:val="18"/>
                <w:color w:val="auto"/>
              </w:rPr>
              <w:t>Income taxes</w:t>
            </w: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2,634</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1,498</w:t>
            </w:r>
          </w:p>
        </w:tc>
        <w:tc>
          <w:tcPr>
            <w:tcW w:w="22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7,617</w:t>
            </w:r>
          </w:p>
        </w:tc>
        <w:tc>
          <w:tcPr>
            <w:tcW w:w="900" w:type="dxa"/>
            <w:vAlign w:val="bottom"/>
          </w:tcPr>
          <w:p>
            <w:pPr>
              <w:jc w:val="right"/>
              <w:spacing w:after="0"/>
              <w:rPr>
                <w:sz w:val="20"/>
                <w:szCs w:val="20"/>
                <w:color w:val="auto"/>
              </w:rPr>
            </w:pPr>
            <w:r>
              <w:rPr>
                <w:rFonts w:ascii="Arial" w:cs="Arial" w:eastAsia="Arial" w:hAnsi="Arial"/>
                <w:sz w:val="18"/>
                <w:szCs w:val="18"/>
                <w:color w:val="auto"/>
              </w:rPr>
              <w:t>4,218</w:t>
            </w:r>
          </w:p>
        </w:tc>
        <w:tc>
          <w:tcPr>
            <w:tcW w:w="160" w:type="dxa"/>
            <w:vAlign w:val="bottom"/>
          </w:tcPr>
          <w:p>
            <w:pPr>
              <w:spacing w:after="0"/>
              <w:rPr>
                <w:sz w:val="24"/>
                <w:szCs w:val="24"/>
                <w:color w:val="auto"/>
              </w:rPr>
            </w:pPr>
          </w:p>
        </w:tc>
      </w:tr>
      <w:tr>
        <w:trPr>
          <w:trHeight w:val="230"/>
        </w:trPr>
        <w:tc>
          <w:tcPr>
            <w:tcW w:w="5960" w:type="dxa"/>
            <w:vAlign w:val="bottom"/>
          </w:tcPr>
          <w:p>
            <w:pPr>
              <w:ind w:left="460"/>
              <w:spacing w:after="0"/>
              <w:rPr>
                <w:sz w:val="20"/>
                <w:szCs w:val="20"/>
                <w:color w:val="auto"/>
              </w:rPr>
            </w:pPr>
            <w:r>
              <w:rPr>
                <w:rFonts w:ascii="Arial" w:cs="Arial" w:eastAsia="Arial" w:hAnsi="Arial"/>
                <w:sz w:val="18"/>
                <w:szCs w:val="18"/>
                <w:i w:val="1"/>
                <w:iCs w:val="1"/>
                <w:color w:val="auto"/>
              </w:rPr>
              <w:t>Effective income tax rate</w:t>
            </w:r>
          </w:p>
        </w:tc>
        <w:tc>
          <w:tcPr>
            <w:tcW w:w="1420" w:type="dxa"/>
            <w:vAlign w:val="bottom"/>
          </w:tcPr>
          <w:p>
            <w:pPr>
              <w:jc w:val="right"/>
              <w:ind w:right="370"/>
              <w:spacing w:after="0"/>
              <w:rPr>
                <w:sz w:val="20"/>
                <w:szCs w:val="20"/>
                <w:color w:val="auto"/>
              </w:rPr>
            </w:pPr>
            <w:r>
              <w:rPr>
                <w:rFonts w:ascii="Arial" w:cs="Arial" w:eastAsia="Arial" w:hAnsi="Arial"/>
                <w:sz w:val="18"/>
                <w:szCs w:val="18"/>
                <w:i w:val="1"/>
                <w:iCs w:val="1"/>
                <w:color w:val="auto"/>
              </w:rPr>
              <w:t>34%</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33%</w:t>
            </w:r>
          </w:p>
        </w:tc>
        <w:tc>
          <w:tcPr>
            <w:tcW w:w="220" w:type="dxa"/>
            <w:vAlign w:val="bottom"/>
          </w:tcPr>
          <w:p>
            <w:pPr>
              <w:spacing w:after="0"/>
              <w:rPr>
                <w:sz w:val="19"/>
                <w:szCs w:val="19"/>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i w:val="1"/>
                <w:iCs w:val="1"/>
                <w:color w:val="auto"/>
              </w:rPr>
              <w:t>39%</w:t>
            </w:r>
          </w:p>
        </w:tc>
        <w:tc>
          <w:tcPr>
            <w:tcW w:w="1060" w:type="dxa"/>
            <w:vAlign w:val="bottom"/>
            <w:gridSpan w:val="2"/>
          </w:tcPr>
          <w:p>
            <w:pPr>
              <w:jc w:val="right"/>
              <w:spacing w:after="0"/>
              <w:rPr>
                <w:sz w:val="20"/>
                <w:szCs w:val="20"/>
                <w:color w:val="auto"/>
              </w:rPr>
            </w:pPr>
            <w:r>
              <w:rPr>
                <w:rFonts w:ascii="Arial" w:cs="Arial" w:eastAsia="Arial" w:hAnsi="Arial"/>
                <w:sz w:val="18"/>
                <w:szCs w:val="18"/>
                <w:i w:val="1"/>
                <w:iCs w:val="1"/>
                <w:color w:val="auto"/>
              </w:rPr>
              <w:t>34%</w:t>
            </w: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 xml:space="preserve">Total other taxes and duties </w:t>
            </w:r>
            <w:r>
              <w:rPr>
                <w:rFonts w:ascii="Arial" w:cs="Arial" w:eastAsia="Arial" w:hAnsi="Arial"/>
                <w:sz w:val="18"/>
                <w:szCs w:val="18"/>
                <w:i w:val="1"/>
                <w:iCs w:val="1"/>
                <w:color w:val="auto"/>
              </w:rPr>
              <w:t>(1)</w:t>
            </w: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8,939</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8,287</w:t>
            </w:r>
          </w:p>
        </w:tc>
        <w:tc>
          <w:tcPr>
            <w:tcW w:w="2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26,757</w:t>
            </w:r>
          </w:p>
        </w:tc>
        <w:tc>
          <w:tcPr>
            <w:tcW w:w="900" w:type="dxa"/>
            <w:vAlign w:val="bottom"/>
          </w:tcPr>
          <w:p>
            <w:pPr>
              <w:jc w:val="right"/>
              <w:spacing w:after="0"/>
              <w:rPr>
                <w:sz w:val="20"/>
                <w:szCs w:val="20"/>
                <w:color w:val="auto"/>
              </w:rPr>
            </w:pPr>
            <w:r>
              <w:rPr>
                <w:rFonts w:ascii="Arial" w:cs="Arial" w:eastAsia="Arial" w:hAnsi="Arial"/>
                <w:sz w:val="18"/>
                <w:szCs w:val="18"/>
                <w:color w:val="auto"/>
              </w:rPr>
              <w:t>23,876</w:t>
            </w:r>
          </w:p>
        </w:tc>
        <w:tc>
          <w:tcPr>
            <w:tcW w:w="160" w:type="dxa"/>
            <w:vAlign w:val="bottom"/>
          </w:tcPr>
          <w:p>
            <w:pPr>
              <w:spacing w:after="0"/>
              <w:rPr>
                <w:sz w:val="20"/>
                <w:szCs w:val="20"/>
                <w:color w:val="auto"/>
              </w:rPr>
            </w:pPr>
          </w:p>
        </w:tc>
      </w:tr>
      <w:tr>
        <w:trPr>
          <w:trHeight w:val="216"/>
        </w:trPr>
        <w:tc>
          <w:tcPr>
            <w:tcW w:w="5960" w:type="dxa"/>
            <w:vAlign w:val="bottom"/>
          </w:tcPr>
          <w:p>
            <w:pPr>
              <w:ind w:left="920"/>
              <w:spacing w:after="0" w:line="203" w:lineRule="exact"/>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11,573</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9,785</w:t>
            </w:r>
          </w:p>
        </w:tc>
        <w:tc>
          <w:tcPr>
            <w:tcW w:w="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34,374</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28,094</w:t>
            </w:r>
          </w:p>
        </w:tc>
        <w:tc>
          <w:tcPr>
            <w:tcW w:w="160" w:type="dxa"/>
            <w:vAlign w:val="bottom"/>
          </w:tcPr>
          <w:p>
            <w:pPr>
              <w:spacing w:after="0"/>
              <w:rPr>
                <w:sz w:val="18"/>
                <w:szCs w:val="18"/>
                <w:color w:val="auto"/>
              </w:rPr>
            </w:pPr>
          </w:p>
        </w:tc>
      </w:tr>
    </w:tbl>
    <w:p>
      <w:pPr>
        <w:spacing w:after="0" w:line="242" w:lineRule="exact"/>
        <w:rPr>
          <w:sz w:val="20"/>
          <w:szCs w:val="20"/>
          <w:color w:val="auto"/>
        </w:rPr>
      </w:pPr>
    </w:p>
    <w:p>
      <w:pPr>
        <w:ind w:left="260" w:right="320" w:hanging="252"/>
        <w:spacing w:after="0" w:line="277" w:lineRule="auto"/>
        <w:tabs>
          <w:tab w:leader="none" w:pos="326"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“Other taxes and duties” plus taxes that are included in “Production and manufacturing expenses” and “Selling, general and administrative expenses.”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taxes were $11.6 billion for the third quarter of 2018, an increase of $1.8 billion from 2017. Income tax expense increased by $1.1 billion to $2.6 billion reflecting higher pre-tax income. The effective income tax rate was 34 percent compared to 33 percent in the prior year period. This increase mainly reflects a higher share of earnings in higher tax jurisdictions, partly offset by the impact of favorable one-time tax items. Total other taxes and duties increased by $0.7 billion to $8.9 billion.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taxes were $34.4 billion for the first nine months of 2018, an increase of $6.3 billion from 2017. Income tax expense increased by $3.4 billion to $7.6 billion reflecting higher pre-tax income. The effective income tax rate was 39 percent compared to 34 percent in the prior year period due to a higher share of earnings in higher tax jurisdictions. Total other taxes and duties increased by $2.9 billion to $26.8 billion.</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Non-U.S. Upstream earnings included a $270 million tax credit resulting from an updated estimate of the impact of U.S. tax reform and from clarifications provided in proposed transition tax regulations issued by the Treasury in the third quarter of 2018. The adjustment restores a portion of the U.S. tax reform deferred income tax expense reported in the non-U.S. Upstream segment in the fourth quarter of 2017. There were no other significant changes during the first nine months of 2018 to the Corporation’s reasonable estimates of the income tax effects reflected in 2017 for the changes in tax law and tax rate from U.S. tax reform and following guidance outlined in the SEC Staff Accounting Bulletin No. 118. The impact of tax law changes on the Corporation’s financial statements could differ from its estimates due to further analysis of the new law, regulatory guidance, technical corrections legislation, guidance under U.S. GAAP, or other considerations. If significant changes occur, the Corporation will provide updated information in connection with its Form 10-K for 2018.</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the Corporation has various ongoing U.S. federal income tax positions at issue with the Internal Revenue Service (IRS) for tax years beginning in 2006. The IRS has asserted penalties associated with several of those positions. The Corporation has not recognized the penalties as an expense because the Corporation does not expect the penalties to be sustained under applicable law. The Corporation has filed a refund suit for tax years 2006-2009 in a U.S. federal district court with respect to the positions at issue for those years. Unfavorable resolution of all positions at issue with the IRS would not have a materially adverse effect on the Corporation’s net income or liquidity.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CAPITAL AND EXPLORATION EXPENDITURES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820" w:type="dxa"/>
            <w:vAlign w:val="bottom"/>
          </w:tcPr>
          <w:p>
            <w:pPr>
              <w:jc w:val="right"/>
              <w:ind w:right="15"/>
              <w:spacing w:after="0"/>
              <w:rPr>
                <w:sz w:val="20"/>
                <w:szCs w:val="20"/>
                <w:color w:val="auto"/>
              </w:rPr>
            </w:pPr>
            <w:r>
              <w:rPr>
                <w:rFonts w:ascii="Arial" w:cs="Arial" w:eastAsia="Arial" w:hAnsi="Arial"/>
                <w:sz w:val="14"/>
                <w:szCs w:val="14"/>
                <w:b w:val="1"/>
                <w:bCs w:val="1"/>
                <w:color w:val="auto"/>
              </w:rPr>
              <w:t>Third Quarter</w:t>
            </w: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First Nine Months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40" w:type="dxa"/>
            <w:vAlign w:val="bottom"/>
          </w:tcPr>
          <w:p>
            <w:pPr>
              <w:spacing w:after="0"/>
              <w:rPr>
                <w:sz w:val="16"/>
                <w:szCs w:val="16"/>
                <w:color w:val="auto"/>
              </w:rPr>
            </w:pPr>
          </w:p>
        </w:tc>
        <w:tc>
          <w:tcPr>
            <w:tcW w:w="1820" w:type="dxa"/>
            <w:vAlign w:val="bottom"/>
          </w:tcPr>
          <w:p>
            <w:pPr>
              <w:jc w:val="right"/>
              <w:ind w:right="1115"/>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6"/>
                <w:szCs w:val="16"/>
                <w:color w:val="auto"/>
              </w:rPr>
            </w:pPr>
          </w:p>
        </w:tc>
        <w:tc>
          <w:tcPr>
            <w:tcW w:w="1700" w:type="dxa"/>
            <w:vAlign w:val="bottom"/>
          </w:tcPr>
          <w:p>
            <w:pPr>
              <w:jc w:val="right"/>
              <w:ind w:right="1015"/>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jc w:val="right"/>
              <w:ind w:right="17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i w:val="1"/>
                <w:iCs w:val="1"/>
                <w:color w:val="auto"/>
                <w:w w:val="78"/>
              </w:rPr>
              <w:t>of dollars)</w:t>
            </w:r>
          </w:p>
        </w:tc>
        <w:tc>
          <w:tcPr>
            <w:tcW w:w="1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7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(millions</w:t>
            </w:r>
          </w:p>
        </w:tc>
        <w:tc>
          <w:tcPr>
            <w:tcW w:w="54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5740" w:type="dxa"/>
            <w:vAlign w:val="bottom"/>
          </w:tcPr>
          <w:p>
            <w:pPr>
              <w:spacing w:after="0"/>
              <w:rPr>
                <w:sz w:val="20"/>
                <w:szCs w:val="20"/>
                <w:color w:val="auto"/>
              </w:rPr>
            </w:pPr>
            <w:r>
              <w:rPr>
                <w:rFonts w:ascii="Arial" w:cs="Arial" w:eastAsia="Arial" w:hAnsi="Arial"/>
                <w:sz w:val="18"/>
                <w:szCs w:val="18"/>
                <w:color w:val="auto"/>
              </w:rPr>
              <w:t>Upstream (including exploration expenses)</w:t>
            </w:r>
          </w:p>
        </w:tc>
        <w:tc>
          <w:tcPr>
            <w:tcW w:w="1820" w:type="dxa"/>
            <w:vAlign w:val="bottom"/>
          </w:tcPr>
          <w:p>
            <w:pPr>
              <w:jc w:val="right"/>
              <w:ind w:right="855"/>
              <w:spacing w:after="0"/>
              <w:rPr>
                <w:sz w:val="20"/>
                <w:szCs w:val="20"/>
                <w:color w:val="auto"/>
              </w:rPr>
            </w:pPr>
            <w:r>
              <w:rPr>
                <w:rFonts w:ascii="Arial" w:cs="Arial" w:eastAsia="Arial" w:hAnsi="Arial"/>
                <w:sz w:val="18"/>
                <w:szCs w:val="18"/>
                <w:color w:val="auto"/>
              </w:rPr>
              <w:t>5,330</w:t>
            </w:r>
          </w:p>
        </w:tc>
        <w:tc>
          <w:tcPr>
            <w:tcW w:w="720" w:type="dxa"/>
            <w:vAlign w:val="bottom"/>
          </w:tcPr>
          <w:p>
            <w:pPr>
              <w:jc w:val="right"/>
              <w:spacing w:after="0"/>
              <w:rPr>
                <w:sz w:val="20"/>
                <w:szCs w:val="20"/>
                <w:color w:val="auto"/>
              </w:rPr>
            </w:pPr>
            <w:r>
              <w:rPr>
                <w:rFonts w:ascii="Arial" w:cs="Arial" w:eastAsia="Arial" w:hAnsi="Arial"/>
                <w:sz w:val="18"/>
                <w:szCs w:val="18"/>
                <w:color w:val="auto"/>
              </w:rPr>
              <w:t>3,175</w:t>
            </w:r>
          </w:p>
        </w:tc>
        <w:tc>
          <w:tcPr>
            <w:tcW w:w="540" w:type="dxa"/>
            <w:vAlign w:val="bottom"/>
          </w:tcPr>
          <w:p>
            <w:pPr>
              <w:spacing w:after="0"/>
              <w:rPr>
                <w:sz w:val="24"/>
                <w:szCs w:val="24"/>
                <w:color w:val="auto"/>
              </w:rPr>
            </w:pPr>
          </w:p>
        </w:tc>
        <w:tc>
          <w:tcPr>
            <w:tcW w:w="1700" w:type="dxa"/>
            <w:vAlign w:val="bottom"/>
          </w:tcPr>
          <w:p>
            <w:pPr>
              <w:jc w:val="right"/>
              <w:ind w:right="755"/>
              <w:spacing w:after="0"/>
              <w:rPr>
                <w:sz w:val="20"/>
                <w:szCs w:val="20"/>
                <w:color w:val="auto"/>
              </w:rPr>
            </w:pPr>
            <w:r>
              <w:rPr>
                <w:rFonts w:ascii="Arial" w:cs="Arial" w:eastAsia="Arial" w:hAnsi="Arial"/>
                <w:sz w:val="18"/>
                <w:szCs w:val="18"/>
                <w:color w:val="auto"/>
              </w:rPr>
              <w:t>13,944</w:t>
            </w:r>
          </w:p>
        </w:tc>
        <w:tc>
          <w:tcPr>
            <w:tcW w:w="560" w:type="dxa"/>
            <w:vAlign w:val="bottom"/>
          </w:tcPr>
          <w:p>
            <w:pPr>
              <w:jc w:val="right"/>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Downstream</w:t>
            </w:r>
          </w:p>
        </w:tc>
        <w:tc>
          <w:tcPr>
            <w:tcW w:w="1820" w:type="dxa"/>
            <w:vAlign w:val="bottom"/>
          </w:tcPr>
          <w:p>
            <w:pPr>
              <w:jc w:val="right"/>
              <w:ind w:right="855"/>
              <w:spacing w:after="0"/>
              <w:rPr>
                <w:sz w:val="20"/>
                <w:szCs w:val="20"/>
                <w:color w:val="auto"/>
              </w:rPr>
            </w:pPr>
            <w:r>
              <w:rPr>
                <w:rFonts w:ascii="Arial" w:cs="Arial" w:eastAsia="Arial" w:hAnsi="Arial"/>
                <w:sz w:val="18"/>
                <w:szCs w:val="18"/>
                <w:color w:val="auto"/>
              </w:rPr>
              <w:t>719</w:t>
            </w:r>
          </w:p>
        </w:tc>
        <w:tc>
          <w:tcPr>
            <w:tcW w:w="720" w:type="dxa"/>
            <w:vAlign w:val="bottom"/>
          </w:tcPr>
          <w:p>
            <w:pPr>
              <w:jc w:val="right"/>
              <w:spacing w:after="0"/>
              <w:rPr>
                <w:sz w:val="20"/>
                <w:szCs w:val="20"/>
                <w:color w:val="auto"/>
              </w:rPr>
            </w:pPr>
            <w:r>
              <w:rPr>
                <w:rFonts w:ascii="Arial" w:cs="Arial" w:eastAsia="Arial" w:hAnsi="Arial"/>
                <w:sz w:val="18"/>
                <w:szCs w:val="18"/>
                <w:color w:val="auto"/>
              </w:rPr>
              <w:t>611</w:t>
            </w:r>
          </w:p>
        </w:tc>
        <w:tc>
          <w:tcPr>
            <w:tcW w:w="540" w:type="dxa"/>
            <w:vAlign w:val="bottom"/>
          </w:tcPr>
          <w:p>
            <w:pPr>
              <w:spacing w:after="0"/>
              <w:rPr>
                <w:sz w:val="19"/>
                <w:szCs w:val="19"/>
                <w:color w:val="auto"/>
              </w:rPr>
            </w:pPr>
          </w:p>
        </w:tc>
        <w:tc>
          <w:tcPr>
            <w:tcW w:w="1700" w:type="dxa"/>
            <w:vAlign w:val="bottom"/>
          </w:tcPr>
          <w:p>
            <w:pPr>
              <w:jc w:val="right"/>
              <w:ind w:right="755"/>
              <w:spacing w:after="0"/>
              <w:rPr>
                <w:sz w:val="20"/>
                <w:szCs w:val="20"/>
                <w:color w:val="auto"/>
              </w:rPr>
            </w:pPr>
            <w:r>
              <w:rPr>
                <w:rFonts w:ascii="Arial" w:cs="Arial" w:eastAsia="Arial" w:hAnsi="Arial"/>
                <w:sz w:val="18"/>
                <w:szCs w:val="18"/>
                <w:color w:val="auto"/>
              </w:rPr>
              <w:t>2,563</w:t>
            </w:r>
          </w:p>
        </w:tc>
        <w:tc>
          <w:tcPr>
            <w:tcW w:w="560" w:type="dxa"/>
            <w:vAlign w:val="bottom"/>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Chemical</w:t>
            </w:r>
          </w:p>
        </w:tc>
        <w:tc>
          <w:tcPr>
            <w:tcW w:w="1820" w:type="dxa"/>
            <w:vAlign w:val="bottom"/>
          </w:tcPr>
          <w:p>
            <w:pPr>
              <w:jc w:val="right"/>
              <w:ind w:right="855"/>
              <w:spacing w:after="0"/>
              <w:rPr>
                <w:sz w:val="20"/>
                <w:szCs w:val="20"/>
                <w:color w:val="auto"/>
              </w:rPr>
            </w:pPr>
            <w:r>
              <w:rPr>
                <w:rFonts w:ascii="Arial" w:cs="Arial" w:eastAsia="Arial" w:hAnsi="Arial"/>
                <w:sz w:val="18"/>
                <w:szCs w:val="18"/>
                <w:color w:val="auto"/>
              </w:rPr>
              <w:t>526</w:t>
            </w:r>
          </w:p>
        </w:tc>
        <w:tc>
          <w:tcPr>
            <w:tcW w:w="720" w:type="dxa"/>
            <w:vAlign w:val="bottom"/>
          </w:tcPr>
          <w:p>
            <w:pPr>
              <w:jc w:val="right"/>
              <w:spacing w:after="0"/>
              <w:rPr>
                <w:sz w:val="20"/>
                <w:szCs w:val="20"/>
                <w:color w:val="auto"/>
              </w:rPr>
            </w:pPr>
            <w:r>
              <w:rPr>
                <w:rFonts w:ascii="Arial" w:cs="Arial" w:eastAsia="Arial" w:hAnsi="Arial"/>
                <w:sz w:val="18"/>
                <w:szCs w:val="18"/>
                <w:color w:val="auto"/>
              </w:rPr>
              <w:t>2,183</w:t>
            </w:r>
          </w:p>
        </w:tc>
        <w:tc>
          <w:tcPr>
            <w:tcW w:w="540" w:type="dxa"/>
            <w:vAlign w:val="bottom"/>
          </w:tcPr>
          <w:p>
            <w:pPr>
              <w:spacing w:after="0"/>
              <w:rPr>
                <w:sz w:val="19"/>
                <w:szCs w:val="19"/>
                <w:color w:val="auto"/>
              </w:rPr>
            </w:pPr>
          </w:p>
        </w:tc>
        <w:tc>
          <w:tcPr>
            <w:tcW w:w="1700" w:type="dxa"/>
            <w:vAlign w:val="bottom"/>
          </w:tcPr>
          <w:p>
            <w:pPr>
              <w:jc w:val="right"/>
              <w:ind w:right="755"/>
              <w:spacing w:after="0"/>
              <w:rPr>
                <w:sz w:val="20"/>
                <w:szCs w:val="20"/>
                <w:color w:val="auto"/>
              </w:rPr>
            </w:pPr>
            <w:r>
              <w:rPr>
                <w:rFonts w:ascii="Arial" w:cs="Arial" w:eastAsia="Arial" w:hAnsi="Arial"/>
                <w:sz w:val="18"/>
                <w:szCs w:val="18"/>
                <w:color w:val="auto"/>
              </w:rPr>
              <w:t>1,524</w:t>
            </w:r>
          </w:p>
        </w:tc>
        <w:tc>
          <w:tcPr>
            <w:tcW w:w="560" w:type="dxa"/>
            <w:vAlign w:val="bottom"/>
          </w:tcPr>
          <w:p>
            <w:pPr>
              <w:jc w:val="right"/>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rPr>
              <w:t>11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20"/>
                <w:szCs w:val="20"/>
                <w:color w:val="auto"/>
              </w:rPr>
            </w:pPr>
          </w:p>
        </w:tc>
        <w:tc>
          <w:tcPr>
            <w:tcW w:w="170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rPr>
              <w:t>49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740" w:type="dxa"/>
            <w:vAlign w:val="bottom"/>
          </w:tcPr>
          <w:p>
            <w:pPr>
              <w:ind w:left="460"/>
              <w:spacing w:after="0" w:line="203"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rPr>
              <w:t>6,586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w:t>
            </w:r>
          </w:p>
        </w:tc>
        <w:tc>
          <w:tcPr>
            <w:tcW w:w="540" w:type="dxa"/>
            <w:vAlign w:val="bottom"/>
          </w:tcPr>
          <w:p>
            <w:pPr>
              <w:spacing w:after="0"/>
              <w:rPr>
                <w:sz w:val="18"/>
                <w:szCs w:val="18"/>
                <w:color w:val="auto"/>
              </w:rPr>
            </w:pPr>
          </w:p>
        </w:tc>
        <w:tc>
          <w:tcPr>
            <w:tcW w:w="170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rPr>
              <w:t>18,080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14,081</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 and exploration expenditures in the third quarter of 2018 were $6.6 billion, up 10 percent from the third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152400</wp:posOffset>
            </wp:positionV>
            <wp:extent cx="37731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and exploration expenditures in the first nine months of 2018 were $18.1 billion, up 28 percent from the first nine months of 2017 due primarily to increased U.S. drilling activity and acreage acquisitions in Brazil. The Corporation anticipates an investment level of approximately $25 billion in 2018. Actual spending could vary depending on the progress of individual projects and property acquisitions.</w:t>
      </w:r>
    </w:p>
    <w:p>
      <w:pPr>
        <w:spacing w:after="0" w:line="3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2013 and 2014, the Corporation and Rosneft established various entities to conduct exploration and research activities. In 2014, the European Union and United States imposed sanctions relating to the Russian energy sector. ExxonMobil continues to comply with all sanctions and regulatory licenses applicable to its affiliates’ investments in the Russian Federation. See Part II. Other Information, Item 1. Legal Proceedings in this report for information concerning a civil penalty assessment related to this matter which the Corporation is contesting. The Corporation withdrew from the aforementioned joint ventures with Rosneft, effective April 30, 2018.</w:t>
      </w:r>
    </w:p>
    <w:p>
      <w:pPr>
        <w:spacing w:after="0" w:line="3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Groningen field is operated by Nederlandse Aardolie Maatschappij (NAM), a Netherlands company owned 50 percent by affiliates of the Corporation. NAM has a 60 percent interest in the Groningen field. On March 29, 2018, the Dutch Cabinet notified Parliament of its intention to further reduce previously legislated Groningen gas extraction in response to seismic events over the last several years. Affiliates of the Corporation and their partners have actively been in discussions with the government on the associated implementation measures which resulted in a signed Heads of Agreement (HoA – agreement on principles) on June 25, 2018 and the execution of additional implementation agreements in September. In anticipation of a lower production outlook, the Corporation has reduced its estimate of proved reserves by 0.8 billion oil-equivalent barrels. In addition, the seismic activity has yielded various claims. Where losses are probable and reasonably estimable, liabilities have been recorded. The Corporation does not expect these matters to have a material effect on the Corporation’s operations or financial condition. While the future production profile and other considerations related to the Groningen field could vary depending on a wide variety of factors, reduced gas extraction in the future is expected to result in lower reported production, earnings and cash flows than in recent years for the Corporation’s share of NAM.</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Effective January 1, 2019, ExxonMobil will adopt the Financial Accounting Standards Board’s standard, </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 The standard requires all leases with an initial term greater than one year to be recorded on the balance sheet as a right of use asset and a lease liability. We expect to use a transition method that applies the new lease standard at January 1, 2019, and recognizes any cumulative-effect adjustments to the opening balance of 2019 retained earnings.</w:t>
      </w:r>
    </w:p>
    <w:p>
      <w:pPr>
        <w:spacing w:after="0" w:line="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Corporation acquired lease accounting software to facilitate implementation, and is currently configuring and testing the software. Based on leases outstanding at the end of 2017, the Corporation estimates the operating lease right of use asset and lease liability would have been in the range of $4 billion to $5 billion at that time. The effect on the Corporation’s balance sheet as a result of implementing the standard on January 1, 2019, could differ considerably depending on operating leases commenced in 2018 as well as interest rates and other factors such as the expiry or renewal of leases during the year.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8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Statements relating to future plans and objectives, projections, events or conditions are forward-looking statements. Future results, including new projects, growth strategies, costs, timing, and capacities; business growth; integration benefits; resource recoveries; and the impact of new technologies, could differ materially due to a number of factors. These include changes in supply and demand for oil, gas or petrochemicals or other market conditions affecting the oil, gas and petrochemical industries; reservoir performance; timely completion of new projects; the impact of fiscal and commercial terms and the outcome of commercial negotiations; changes in law, taxes, or government regulation and timely granting of governmental permits; war and other political or security disturbances; the actions of competitors; unforeseen technical or operating difficulties; unexpected technological developments; general economic conditions including the occurrence and duration of economic recessions; commodity cycles within the general economy; the results of research programs; and other factors discussed under the heading Factors Affecting Future Results on the Investors page of our website at www.exxonmobil.com and in Item 1A of ExxonMobil's 2017 Form 10-K. We assume no duty to update these statements as of any future date.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“project” as used in this report can refer to a variety of different activities and does not necessarily have the same meaning as in any government payment transparency reports.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market risks for the nine months ended September 30, 2018, does not differ materially from that discussed under Item 7A of the registrant's Annual Report on Form 10-K for 2017.</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indicated in the certifications in Exhibit 31 of this report, the Corporation’s Chief Executive Officer, Principal Financial Officer and Principal Accounting Officer have evaluated the Corporation’s disclosure controls and procedures as of September 30, 2018. Based on that evaluation, these officers have concluded that the Corporation’s disclosure controls and procedures are effective in ensuring that information required to be disclosed by the Corporation in the reports that it files or submits under the Securities Exchange Act of 1934, as amended, is accumulated and communicated to them in a manner that allows for timely decisions regarding required disclosures and are effective in ensuring that such information is recorded, processed, summarized and reported within the time periods specified in the Securities and Exchange Commission’s rules and forms. There were no changes during the Corporation’s last fiscal quarter that materially affected, or are reasonably likely to materially affect, the Corporation’s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24" w:name="page25"/>
    <w:bookmarkEnd w:id="24"/>
    <w:p>
      <w:pPr>
        <w:ind w:left="4020"/>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last reported in the Corporation’s Form 10-K for 2017, in April 2017, the State of North Dakota Department of Health (NDDOH) and the North Dakota State Office of the Attorney General notified XTO Energy Inc. (XTO) of their interest in settling alleged violations of the North Dakota Century Code and implementing regulations regarding the alleged failure of vapor control systems to properly route tank vapors to control devices at well pads and tank farms outside the Fort Berthold Indian Reservation. On February 1, 2018, the South Central Judicial District Court in Bismarck, North Dakota, approved a Consent Decree between XTO and NDDOH concerning those alleged violations. Under the Consent Decree, XTO paid a civil penalty of $575,000 on September 21, 2018.</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last reported in the Corporation’s Form 10-Q for the third quarter of 2017, in a matter related to the discharge of crude oil from the Pegasus Pipeline in Mayflower, Faulkner County, Arkansas, the Pipeline and Hazardous Materials Safety Administration (PHMSA) on October 1, 2015, issued a Final Order arising from a November 2013 Notice of Probable Violation alleging that ExxonMobil Pipeline Company (EMPCo) violated multiple federal Pipeline Safety Regulations. The Final Order imposed a penalty of $2,630,400, which EMPCo paid on April 21, 2016. On June 27, 2016, EMPCo filed an appeal with the U.S. Court of Appeals for the Fifth Circuit, contesting six of the nine regulatory violations found by PHMSA and seeking a refund of the penalty paid associated with the six contested violations ($2,417,400 of the total penalty paid in April 2016). On August 14, 2017, the Fifth Circuit dismissed five of the six violations EMPCo challenged from PHMSA’s final administrative order, and vacated $1,634,100 in associated penalties. The Fifth Circuit also remanded the remaining violation back to PHMSA for re-calculation of the civil penalty previously imposed. On August 7, 2018, PHMSA issued the Order on Remand, assessing a reduced civil penalty of $61,900 for the remanded sixth violation (down from $783,300). As a result, in September 2018, EMPCo received a refund of $2,355,500 for penalties that had been paid.</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last reported in the Corporation’s Form 10-Q for the second quarter of 2018, on July 20, 2017, the United States Department of Treasury, Office of Foreign Assets Control (OFAC) assessed a civil penalty against Exxon Mobil Corporation, ExxonMobil Development Company and ExxonMobil Oil Corporation for violating the Ukraine-Related Sanctions Regulations, 31 C.F.R. part 589. The assessed civil penalty is in the amount of $2,000,000. ExxonMobil and its affiliates have been and continue to be in compliance with all sanctions and disagree that any violation has occurred. ExxonMobil and its affiliates filed a complaint on July 20, 2017, in the United States Federal District Court, Northern District of Texas seeking judicial review of, and to enjoin, the civil penalty under the Administrative Procedures Act and the United States Constitution, including on the basis that it represents an arbitrary and capricious action by OFAC and a violation of the Company’s due process rights.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Refer to the relevant portions of Note 3 of this Quarterly Report on Form 10-Q for further information on legal proceedings.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 of Equity Securities for Quarter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r>
      <w:tr>
        <w:trPr>
          <w:trHeight w:val="203"/>
        </w:trPr>
        <w:tc>
          <w:tcPr>
            <w:tcW w:w="1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jc w:val="center"/>
              <w:ind w:left="148"/>
              <w:spacing w:after="0"/>
              <w:rPr>
                <w:sz w:val="20"/>
                <w:szCs w:val="20"/>
                <w:color w:val="auto"/>
              </w:rPr>
            </w:pPr>
            <w:r>
              <w:rPr>
                <w:rFonts w:ascii="Arial" w:cs="Arial" w:eastAsia="Arial" w:hAnsi="Arial"/>
                <w:sz w:val="14"/>
                <w:szCs w:val="14"/>
                <w:b w:val="1"/>
                <w:bCs w:val="1"/>
                <w:color w:val="auto"/>
                <w:w w:val="88"/>
              </w:rPr>
              <w:t>Shares Purchased</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of Shares that May</w:t>
            </w:r>
          </w:p>
        </w:tc>
      </w:tr>
      <w:tr>
        <w:trPr>
          <w:trHeight w:val="203"/>
        </w:trPr>
        <w:tc>
          <w:tcPr>
            <w:tcW w:w="1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60" w:type="dxa"/>
            <w:vAlign w:val="bottom"/>
          </w:tcPr>
          <w:p>
            <w:pPr>
              <w:jc w:val="center"/>
              <w:ind w:left="128"/>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158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as Part of Publicly</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Yet Be Purchased</w:t>
            </w:r>
          </w:p>
        </w:tc>
      </w:tr>
      <w:tr>
        <w:trPr>
          <w:trHeight w:val="203"/>
        </w:trPr>
        <w:tc>
          <w:tcPr>
            <w:tcW w:w="1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60" w:type="dxa"/>
            <w:vAlign w:val="bottom"/>
          </w:tcPr>
          <w:p>
            <w:pPr>
              <w:jc w:val="center"/>
              <w:ind w:left="148"/>
              <w:spacing w:after="0"/>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Price Paid</w:t>
            </w:r>
          </w:p>
        </w:tc>
        <w:tc>
          <w:tcPr>
            <w:tcW w:w="1580" w:type="dxa"/>
            <w:vAlign w:val="bottom"/>
          </w:tcPr>
          <w:p>
            <w:pPr>
              <w:jc w:val="center"/>
              <w:ind w:left="148"/>
              <w:spacing w:after="0"/>
              <w:rPr>
                <w:sz w:val="20"/>
                <w:szCs w:val="20"/>
                <w:color w:val="auto"/>
              </w:rPr>
            </w:pPr>
            <w:r>
              <w:rPr>
                <w:rFonts w:ascii="Arial" w:cs="Arial" w:eastAsia="Arial" w:hAnsi="Arial"/>
                <w:sz w:val="14"/>
                <w:szCs w:val="14"/>
                <w:b w:val="1"/>
                <w:bCs w:val="1"/>
                <w:color w:val="auto"/>
                <w:w w:val="91"/>
              </w:rPr>
              <w:t>Announced Plans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Under the Plans or</w:t>
            </w:r>
          </w:p>
        </w:tc>
      </w:tr>
      <w:tr>
        <w:trPr>
          <w:trHeight w:val="209"/>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1960" w:type="dxa"/>
            <w:vAlign w:val="bottom"/>
          </w:tcPr>
          <w:p>
            <w:pPr>
              <w:spacing w:after="0"/>
              <w:rPr>
                <w:sz w:val="18"/>
                <w:szCs w:val="18"/>
                <w:color w:val="auto"/>
              </w:rPr>
            </w:pPr>
          </w:p>
        </w:tc>
        <w:tc>
          <w:tcPr>
            <w:tcW w:w="12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60" w:type="dxa"/>
            <w:vAlign w:val="bottom"/>
          </w:tcPr>
          <w:p>
            <w:pPr>
              <w:spacing w:after="0"/>
              <w:rPr>
                <w:sz w:val="18"/>
                <w:szCs w:val="18"/>
                <w:color w:val="auto"/>
              </w:rPr>
            </w:pPr>
          </w:p>
        </w:tc>
        <w:tc>
          <w:tcPr>
            <w:tcW w:w="15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3"/>
              </w:rPr>
              <w:t>or Programs</w:t>
            </w:r>
          </w:p>
        </w:tc>
        <w:tc>
          <w:tcPr>
            <w:tcW w:w="24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r>
      <w:tr>
        <w:trPr>
          <w:trHeight w:val="417"/>
        </w:trPr>
        <w:tc>
          <w:tcPr>
            <w:tcW w:w="3240" w:type="dxa"/>
            <w:vAlign w:val="bottom"/>
            <w:gridSpan w:val="2"/>
          </w:tcPr>
          <w:p>
            <w:pPr>
              <w:spacing w:after="0"/>
              <w:rPr>
                <w:sz w:val="20"/>
                <w:szCs w:val="20"/>
                <w:color w:val="auto"/>
              </w:rPr>
            </w:pPr>
            <w:r>
              <w:rPr>
                <w:rFonts w:ascii="Arial" w:cs="Arial" w:eastAsia="Arial" w:hAnsi="Arial"/>
                <w:sz w:val="18"/>
                <w:szCs w:val="18"/>
                <w:color w:val="auto"/>
              </w:rPr>
              <w:t>July 2018</w:t>
            </w:r>
          </w:p>
        </w:tc>
        <w:tc>
          <w:tcPr>
            <w:tcW w:w="12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August 2018</w:t>
            </w:r>
          </w:p>
        </w:tc>
        <w:tc>
          <w:tcPr>
            <w:tcW w:w="1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September 2018</w:t>
            </w: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10"/>
        </w:trPr>
        <w:tc>
          <w:tcPr>
            <w:tcW w:w="324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(See Note 1)</w:t>
            </w:r>
          </w:p>
        </w:tc>
      </w:tr>
    </w:tbl>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Note 1 - On August 1, 2000, the Corporation announced its intention to resume purchases of shares of its common stock for the treasury both to offset shares issued in conjunction with company benefit plans and programs and to gradually reduce the number of shares outstanding. The announcement did not specify an amount or expiration date. The Corporation has continued to purchase shares since this announcement and to report purchased volumes in its quarterly earnings releases. In its earnings release dated February 2, 2016, the Corporation stated it will continue to acquire shares to offset dilution in conjunction with benefit plans and programs, but had suspended making purchases to reduce shares outstanding effective beginning the first quarter of 2016.</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of this report.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80" w:type="dxa"/>
            <w:vAlign w:val="bottom"/>
          </w:tcPr>
          <w:p>
            <w:pPr>
              <w:jc w:val="center"/>
              <w:ind w:right="3070"/>
              <w:spacing w:after="0"/>
              <w:rPr>
                <w:sz w:val="20"/>
                <w:szCs w:val="20"/>
                <w:color w:val="auto"/>
              </w:rPr>
            </w:pPr>
            <w:r>
              <w:rPr>
                <w:rFonts w:ascii="Arial" w:cs="Arial" w:eastAsia="Arial" w:hAnsi="Arial"/>
                <w:sz w:val="18"/>
                <w:szCs w:val="18"/>
                <w:b w:val="1"/>
                <w:bCs w:val="1"/>
                <w:color w:val="auto"/>
              </w:rPr>
              <w:t>INDEX TO EXHIBITS</w:t>
            </w:r>
          </w:p>
        </w:tc>
      </w:tr>
      <w:tr>
        <w:trPr>
          <w:trHeight w:val="70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Description</w:t>
            </w:r>
          </w:p>
        </w:tc>
        <w:tc>
          <w:tcPr>
            <w:tcW w:w="8280" w:type="dxa"/>
            <w:vAlign w:val="bottom"/>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9360" w:type="dxa"/>
            <w:vAlign w:val="bottom"/>
            <w:tcBorders>
              <w:bottom w:val="single" w:sz="8" w:color="auto"/>
            </w:tcBorders>
            <w:gridSpan w:val="2"/>
          </w:tcPr>
          <w:p>
            <w:pPr>
              <w:spacing w:after="0"/>
              <w:rPr>
                <w:sz w:val="9"/>
                <w:szCs w:val="9"/>
                <w:color w:val="auto"/>
              </w:rPr>
            </w:pPr>
          </w:p>
        </w:tc>
      </w:tr>
      <w:tr>
        <w:trPr>
          <w:trHeight w:val="3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2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360" w:type="dxa"/>
            <w:vAlign w:val="bottom"/>
            <w:gridSpan w:val="2"/>
          </w:tcPr>
          <w:p>
            <w:pPr>
              <w:ind w:left="100"/>
              <w:spacing w:after="0"/>
              <w:rPr>
                <w:sz w:val="20"/>
                <w:szCs w:val="20"/>
                <w:color w:val="auto"/>
              </w:rPr>
            </w:pPr>
            <w:r>
              <w:rPr>
                <w:rFonts w:ascii="Arial" w:cs="Arial" w:eastAsia="Arial" w:hAnsi="Arial"/>
                <w:sz w:val="18"/>
                <w:szCs w:val="18"/>
                <w:color w:val="auto"/>
              </w:rPr>
              <w:t>Certification (pursuant to Securities Exchange Act Rule 13a-14(a)) by Chief Executive Officer.</w:t>
            </w: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60" w:type="dxa"/>
            <w:vAlign w:val="bottom"/>
            <w:gridSpan w:val="2"/>
          </w:tcPr>
          <w:p>
            <w:pPr>
              <w:ind w:left="100"/>
              <w:spacing w:after="0"/>
              <w:rPr>
                <w:sz w:val="20"/>
                <w:szCs w:val="20"/>
                <w:color w:val="auto"/>
              </w:rPr>
            </w:pPr>
            <w:r>
              <w:rPr>
                <w:rFonts w:ascii="Arial" w:cs="Arial" w:eastAsia="Arial" w:hAnsi="Arial"/>
                <w:sz w:val="18"/>
                <w:szCs w:val="18"/>
                <w:color w:val="auto"/>
              </w:rPr>
              <w:t>Certification (pursuant to Securities Exchange Act Rule 13a-14(a)) by Principal Financial Officer.</w:t>
            </w: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3</w:t>
              </w:r>
            </w:hyperlink>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60" w:type="dxa"/>
            <w:vAlign w:val="bottom"/>
            <w:gridSpan w:val="2"/>
          </w:tcPr>
          <w:p>
            <w:pPr>
              <w:ind w:left="100"/>
              <w:spacing w:after="0"/>
              <w:rPr>
                <w:sz w:val="20"/>
                <w:szCs w:val="20"/>
                <w:color w:val="auto"/>
              </w:rPr>
            </w:pPr>
            <w:r>
              <w:rPr>
                <w:rFonts w:ascii="Arial" w:cs="Arial" w:eastAsia="Arial" w:hAnsi="Arial"/>
                <w:sz w:val="18"/>
                <w:szCs w:val="18"/>
                <w:color w:val="auto"/>
              </w:rPr>
              <w:t>Certification (pursuant to Securities Exchange Act Rule 13a-14(a)) by Principal Accounting Officer.</w:t>
            </w: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ind w:left="100"/>
              <w:spacing w:after="0"/>
              <w:rPr>
                <w:sz w:val="20"/>
                <w:szCs w:val="20"/>
                <w:color w:val="auto"/>
              </w:rPr>
            </w:pPr>
            <w:r>
              <w:rPr>
                <w:rFonts w:ascii="Arial" w:cs="Arial" w:eastAsia="Arial" w:hAnsi="Arial"/>
                <w:sz w:val="18"/>
                <w:szCs w:val="18"/>
                <w:color w:val="auto"/>
                <w:w w:val="91"/>
              </w:rPr>
              <w:t>Section 1350</w:t>
            </w:r>
          </w:p>
        </w:tc>
        <w:tc>
          <w:tcPr>
            <w:tcW w:w="8280" w:type="dxa"/>
            <w:vAlign w:val="bottom"/>
          </w:tcPr>
          <w:p>
            <w:pPr>
              <w:ind w:left="20"/>
              <w:spacing w:after="0"/>
              <w:rPr>
                <w:sz w:val="20"/>
                <w:szCs w:val="20"/>
                <w:color w:val="auto"/>
              </w:rPr>
            </w:pPr>
            <w:r>
              <w:rPr>
                <w:rFonts w:ascii="Arial" w:cs="Arial" w:eastAsia="Arial" w:hAnsi="Arial"/>
                <w:sz w:val="18"/>
                <w:szCs w:val="18"/>
                <w:color w:val="auto"/>
              </w:rPr>
              <w:t>Certification (pursuant to Sarbanes-Oxley Section 906) by Chief Executive Officer.</w:t>
            </w: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ind w:left="100"/>
              <w:spacing w:after="0"/>
              <w:rPr>
                <w:sz w:val="20"/>
                <w:szCs w:val="20"/>
                <w:color w:val="auto"/>
              </w:rPr>
            </w:pPr>
            <w:r>
              <w:rPr>
                <w:rFonts w:ascii="Arial" w:cs="Arial" w:eastAsia="Arial" w:hAnsi="Arial"/>
                <w:sz w:val="18"/>
                <w:szCs w:val="18"/>
                <w:color w:val="auto"/>
                <w:w w:val="91"/>
              </w:rPr>
              <w:t>Section 1350</w:t>
            </w:r>
          </w:p>
        </w:tc>
        <w:tc>
          <w:tcPr>
            <w:tcW w:w="8280" w:type="dxa"/>
            <w:vAlign w:val="bottom"/>
          </w:tcPr>
          <w:p>
            <w:pPr>
              <w:ind w:left="20"/>
              <w:spacing w:after="0"/>
              <w:rPr>
                <w:sz w:val="20"/>
                <w:szCs w:val="20"/>
                <w:color w:val="auto"/>
              </w:rPr>
            </w:pPr>
            <w:r>
              <w:rPr>
                <w:rFonts w:ascii="Arial" w:cs="Arial" w:eastAsia="Arial" w:hAnsi="Arial"/>
                <w:sz w:val="18"/>
                <w:szCs w:val="18"/>
                <w:color w:val="auto"/>
              </w:rPr>
              <w:t>Certification (pursuant to Sarbanes-Oxley Section 906) by Principal Financial Officer.</w:t>
            </w: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34">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3</w:t>
              </w:r>
            </w:hyperlink>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ind w:left="100"/>
              <w:spacing w:after="0"/>
              <w:rPr>
                <w:sz w:val="20"/>
                <w:szCs w:val="20"/>
                <w:color w:val="auto"/>
              </w:rPr>
            </w:pPr>
            <w:r>
              <w:rPr>
                <w:rFonts w:ascii="Arial" w:cs="Arial" w:eastAsia="Arial" w:hAnsi="Arial"/>
                <w:sz w:val="18"/>
                <w:szCs w:val="18"/>
                <w:color w:val="auto"/>
                <w:w w:val="91"/>
              </w:rPr>
              <w:t>Section 1350</w:t>
            </w:r>
          </w:p>
        </w:tc>
        <w:tc>
          <w:tcPr>
            <w:tcW w:w="8280" w:type="dxa"/>
            <w:vAlign w:val="bottom"/>
          </w:tcPr>
          <w:p>
            <w:pPr>
              <w:ind w:left="20"/>
              <w:spacing w:after="0"/>
              <w:rPr>
                <w:sz w:val="20"/>
                <w:szCs w:val="20"/>
                <w:color w:val="auto"/>
              </w:rPr>
            </w:pPr>
            <w:r>
              <w:rPr>
                <w:rFonts w:ascii="Arial" w:cs="Arial" w:eastAsia="Arial" w:hAnsi="Arial"/>
                <w:sz w:val="18"/>
                <w:szCs w:val="18"/>
                <w:color w:val="auto"/>
              </w:rPr>
              <w:t>Certification (pursuant to Sarbanes-Oxley Section 906) by Principal Accounting Officer.</w:t>
            </w:r>
          </w:p>
        </w:tc>
      </w:tr>
      <w:tr>
        <w:trPr>
          <w:trHeight w:val="277"/>
        </w:trPr>
        <w:tc>
          <w:tcPr>
            <w:tcW w:w="20" w:type="dxa"/>
            <w:vAlign w:val="bottom"/>
          </w:tcPr>
          <w:p>
            <w:pPr>
              <w:spacing w:after="0"/>
              <w:rPr>
                <w:sz w:val="24"/>
                <w:szCs w:val="24"/>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99"/>
              </w:rPr>
              <w:t>101</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360" w:type="dxa"/>
            <w:vAlign w:val="bottom"/>
            <w:gridSpan w:val="2"/>
          </w:tcPr>
          <w:p>
            <w:pPr>
              <w:ind w:left="100"/>
              <w:spacing w:after="0"/>
              <w:rPr>
                <w:sz w:val="20"/>
                <w:szCs w:val="20"/>
                <w:color w:val="auto"/>
              </w:rPr>
            </w:pPr>
            <w:r>
              <w:rPr>
                <w:rFonts w:ascii="Arial" w:cs="Arial" w:eastAsia="Arial" w:hAnsi="Arial"/>
                <w:sz w:val="18"/>
                <w:szCs w:val="18"/>
                <w:color w:val="auto"/>
              </w:rPr>
              <w:t>Interactive Data Files.</w:t>
            </w:r>
          </w:p>
        </w:tc>
      </w:tr>
      <w:tr>
        <w:trPr>
          <w:trHeight w:val="45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80" w:type="dxa"/>
            <w:vAlign w:val="bottom"/>
          </w:tcPr>
          <w:p>
            <w:pPr>
              <w:jc w:val="right"/>
              <w:ind w:right="5550"/>
              <w:spacing w:after="0"/>
              <w:rPr>
                <w:sz w:val="20"/>
                <w:szCs w:val="20"/>
                <w:color w:val="auto"/>
              </w:rPr>
            </w:pPr>
            <w:r>
              <w:rPr>
                <w:rFonts w:ascii="Arial" w:cs="Arial" w:eastAsia="Arial" w:hAnsi="Arial"/>
                <w:sz w:val="18"/>
                <w:szCs w:val="18"/>
                <w:color w:val="auto"/>
              </w:rPr>
              <w:t>27</w:t>
            </w:r>
          </w:p>
        </w:tc>
      </w:tr>
      <w:tr>
        <w:trPr>
          <w:trHeight w:val="172"/>
        </w:trPr>
        <w:tc>
          <w:tcPr>
            <w:tcW w:w="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82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75" w:right="21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EXXON MOBIL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EXXON MOBIL CORPORATION</w:t>
      </w:r>
    </w:p>
    <w:p>
      <w:pPr>
        <w:sectPr>
          <w:pgSz w:w="11900" w:h="16838" w:orient="portrait"/>
          <w:cols w:equalWidth="0" w:num="1">
            <w:col w:w="11400"/>
          </w:cols>
          <w:pgMar w:left="240" w:top="175" w:right="259" w:bottom="1440" w:gutter="0" w:footer="0" w:header="0"/>
        </w:sect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November 7, 2018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 DAVID S. ROSENTHAL</w:t>
      </w:r>
    </w:p>
    <w:p>
      <w:pPr>
        <w:spacing w:after="0" w:line="35" w:lineRule="exact"/>
        <w:rPr>
          <w:sz w:val="20"/>
          <w:szCs w:val="20"/>
          <w:color w:val="auto"/>
        </w:rPr>
      </w:pPr>
    </w:p>
    <w:p>
      <w:pPr>
        <w:sectPr>
          <w:pgSz w:w="11900" w:h="16838" w:orient="portrait"/>
          <w:cols w:equalWidth="0" w:num="3">
            <w:col w:w="4400" w:space="720"/>
            <w:col w:w="1780" w:space="720"/>
            <w:col w:w="3780"/>
          </w:cols>
          <w:pgMar w:left="240" w:top="175" w:right="259" w:bottom="1440" w:gutter="0" w:footer="0" w:header="0"/>
          <w:type w:val="continuous"/>
        </w:sectPr>
      </w:pPr>
    </w:p>
    <w:p>
      <w:pPr>
        <w:jc w:val="center"/>
        <w:ind w:left="5960"/>
        <w:spacing w:after="0"/>
        <w:rPr>
          <w:sz w:val="20"/>
          <w:szCs w:val="20"/>
          <w:color w:val="auto"/>
        </w:rPr>
      </w:pPr>
      <w:r>
        <w:rPr>
          <w:rFonts w:ascii="Arial" w:cs="Arial" w:eastAsia="Arial" w:hAnsi="Arial"/>
          <w:sz w:val="18"/>
          <w:szCs w:val="18"/>
          <w:color w:val="auto"/>
        </w:rPr>
        <w:t>David S.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Vice President, Controller and</w:t>
      </w:r>
    </w:p>
    <w:p>
      <w:pPr>
        <w:spacing w:after="0" w:line="32" w:lineRule="exact"/>
        <w:rPr>
          <w:sz w:val="20"/>
          <w:szCs w:val="20"/>
          <w:color w:val="auto"/>
        </w:rPr>
      </w:pPr>
    </w:p>
    <w:p>
      <w:pPr>
        <w:jc w:val="center"/>
        <w:ind w:left="5960"/>
        <w:spacing w:after="0"/>
        <w:rPr>
          <w:sz w:val="20"/>
          <w:szCs w:val="20"/>
          <w:color w:val="auto"/>
        </w:rPr>
      </w:pPr>
      <w:r>
        <w:rPr>
          <w:rFonts w:ascii="Arial" w:cs="Arial" w:eastAsia="Arial" w:hAnsi="Arial"/>
          <w:sz w:val="17"/>
          <w:szCs w:val="17"/>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75" w:right="25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Darren W. Woods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Darren W. Woods, certify that:</w:t>
      </w:r>
    </w:p>
    <w:p>
      <w:pPr>
        <w:spacing w:after="0" w:line="225" w:lineRule="exact"/>
        <w:rPr>
          <w:sz w:val="20"/>
          <w:szCs w:val="20"/>
          <w:color w:val="auto"/>
        </w:rPr>
      </w:pPr>
    </w:p>
    <w:p>
      <w:pPr>
        <w:ind w:left="720" w:hanging="388"/>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Exxon Mobil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7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7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8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10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11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1206"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10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7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10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10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November 7, 2018</w:t>
      </w:r>
    </w:p>
    <w:p>
      <w:pPr>
        <w:spacing w:after="0" w:line="12"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DARREN W. WOODS</w:t>
      </w:r>
    </w:p>
    <w:p>
      <w:pPr>
        <w:spacing w:after="0" w:line="7"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85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9" w:name="page30"/>
    <w:bookmarkEnd w:id="29"/>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Andrew P. Swiger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P. Swiger, certify that:</w:t>
      </w:r>
    </w:p>
    <w:p>
      <w:pPr>
        <w:spacing w:after="0" w:line="225" w:lineRule="exact"/>
        <w:rPr>
          <w:sz w:val="20"/>
          <w:szCs w:val="20"/>
          <w:color w:val="auto"/>
        </w:rPr>
      </w:pPr>
    </w:p>
    <w:p>
      <w:pPr>
        <w:ind w:left="720" w:hanging="388"/>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Exxon Mobil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7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7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8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107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1176"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1206"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109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7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105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10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November 7, 2018</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 ANDREW P. SWIGER</w:t>
      </w:r>
    </w:p>
    <w:p>
      <w:pPr>
        <w:spacing w:after="0" w:line="9"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Andrew P. Swiger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466725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30" w:name="page31"/>
    <w:bookmarkEnd w:id="30"/>
    <w:p>
      <w:pPr>
        <w:ind w:left="10280"/>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David S. Rosenthal</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S. Rosenthal, certify that:</w:t>
      </w:r>
    </w:p>
    <w:p>
      <w:pPr>
        <w:spacing w:after="0" w:line="225" w:lineRule="exact"/>
        <w:rPr>
          <w:sz w:val="20"/>
          <w:szCs w:val="20"/>
          <w:color w:val="auto"/>
        </w:rPr>
      </w:pPr>
    </w:p>
    <w:p>
      <w:pPr>
        <w:ind w:left="720" w:hanging="388"/>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Exxon Mobil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7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7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8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107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117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1206"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109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7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105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10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November 7, 2018</w:t>
      </w:r>
    </w:p>
    <w:p>
      <w:pPr>
        <w:spacing w:after="0" w:line="23"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/s/ DAVID S. ROSENTHAL</w:t>
      </w:r>
    </w:p>
    <w:p>
      <w:pPr>
        <w:spacing w:after="0" w:line="9"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David S.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8300"/>
        <w:spacing w:after="0"/>
        <w:rPr>
          <w:sz w:val="20"/>
          <w:szCs w:val="20"/>
          <w:color w:val="auto"/>
        </w:rPr>
      </w:pPr>
      <w:r>
        <w:rPr>
          <w:rFonts w:ascii="Arial" w:cs="Arial" w:eastAsia="Arial" w:hAnsi="Arial"/>
          <w:sz w:val="18"/>
          <w:szCs w:val="18"/>
          <w:color w:val="auto"/>
        </w:rPr>
        <w:t>Vice President and Controller</w:t>
      </w:r>
    </w:p>
    <w:p>
      <w:pPr>
        <w:ind w:left="826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Darren W. Woods, the chief executive officer of Exxon Mobil Corporation (the “Company”), hereby certifies that, to his knowledge:</w:t>
      </w:r>
    </w:p>
    <w:p>
      <w:pPr>
        <w:spacing w:after="0" w:line="170" w:lineRule="exact"/>
        <w:rPr>
          <w:sz w:val="20"/>
          <w:szCs w:val="20"/>
          <w:color w:val="auto"/>
        </w:rPr>
      </w:pPr>
    </w:p>
    <w:p>
      <w:pPr>
        <w:ind w:left="340" w:hanging="332"/>
        <w:spacing w:after="0" w:line="342" w:lineRule="auto"/>
        <w:tabs>
          <w:tab w:leader="none" w:pos="4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2018,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420" w:hanging="412"/>
        <w:spacing w:after="0"/>
        <w:tabs>
          <w:tab w:leader="none" w:pos="4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41"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DARREN W. WOODS</w:t>
      </w:r>
    </w:p>
    <w:p>
      <w:pPr>
        <w:spacing w:after="0" w:line="23"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Andrew P. Swiger, the principal financial officer of Exxon Mobil Corporation (the “Company”), hereby certifies that, to his knowledge:</w:t>
      </w:r>
    </w:p>
    <w:p>
      <w:pPr>
        <w:spacing w:after="0" w:line="170" w:lineRule="exact"/>
        <w:rPr>
          <w:sz w:val="20"/>
          <w:szCs w:val="20"/>
          <w:color w:val="auto"/>
        </w:rPr>
      </w:pPr>
    </w:p>
    <w:p>
      <w:pPr>
        <w:ind w:left="340" w:hanging="332"/>
        <w:spacing w:after="0" w:line="342" w:lineRule="auto"/>
        <w:tabs>
          <w:tab w:leader="none" w:pos="47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2018,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420" w:hanging="412"/>
        <w:spacing w:after="0"/>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01"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 ANDREW P. SWIGER</w:t>
      </w:r>
    </w:p>
    <w:p>
      <w:pPr>
        <w:spacing w:after="0" w:line="63"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Andrew P. Swiger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-130175</wp:posOffset>
            </wp:positionV>
            <wp:extent cx="26073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rPr>
          <w:sz w:val="20"/>
          <w:szCs w:val="20"/>
          <w:color w:val="auto"/>
        </w:rPr>
      </w:pPr>
      <w:r>
        <w:rPr>
          <w:rFonts w:ascii="Arial" w:cs="Arial" w:eastAsia="Arial" w:hAnsi="Arial"/>
          <w:sz w:val="18"/>
          <w:szCs w:val="18"/>
          <w:color w:val="auto"/>
        </w:rPr>
        <w:t>Senior Vice President</w:t>
      </w:r>
    </w:p>
    <w:p>
      <w:pPr>
        <w:jc w:val="center"/>
        <w:ind w:left="7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33" w:name="page34"/>
    <w:bookmarkEnd w:id="33"/>
    <w:p>
      <w:pPr>
        <w:ind w:left="10280"/>
        <w:spacing w:after="0"/>
        <w:rPr>
          <w:sz w:val="20"/>
          <w:szCs w:val="20"/>
          <w:color w:val="auto"/>
        </w:rPr>
      </w:pPr>
      <w:r>
        <w:rPr>
          <w:rFonts w:ascii="Arial" w:cs="Arial" w:eastAsia="Arial" w:hAnsi="Arial"/>
          <w:sz w:val="18"/>
          <w:szCs w:val="18"/>
          <w:b w:val="1"/>
          <w:bCs w:val="1"/>
          <w:color w:val="auto"/>
        </w:rPr>
        <w:t>EXHIBIT 32.3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David S. Rosenthal, the principal accounting officer of Exxon Mobil Corporation (the “Company”), hereby certifies that, to his knowledge:</w:t>
      </w:r>
    </w:p>
    <w:p>
      <w:pPr>
        <w:spacing w:after="0" w:line="170" w:lineRule="exact"/>
        <w:rPr>
          <w:sz w:val="20"/>
          <w:szCs w:val="20"/>
          <w:color w:val="auto"/>
        </w:rPr>
      </w:pPr>
    </w:p>
    <w:p>
      <w:pPr>
        <w:ind w:left="340" w:hanging="332"/>
        <w:spacing w:after="0" w:line="342" w:lineRule="auto"/>
        <w:tabs>
          <w:tab w:leader="none" w:pos="47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2018,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420" w:hanging="412"/>
        <w:spacing w:after="0"/>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01"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/s/ DAVID S. ROSENTHAL</w:t>
      </w:r>
    </w:p>
    <w:p>
      <w:pPr>
        <w:spacing w:after="0" w:line="63"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David S.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-130175</wp:posOffset>
            </wp:positionV>
            <wp:extent cx="26073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8300"/>
        <w:spacing w:after="0"/>
        <w:rPr>
          <w:sz w:val="20"/>
          <w:szCs w:val="20"/>
          <w:color w:val="auto"/>
        </w:rPr>
      </w:pPr>
      <w:r>
        <w:rPr>
          <w:rFonts w:ascii="Arial" w:cs="Arial" w:eastAsia="Arial" w:hAnsi="Arial"/>
          <w:sz w:val="18"/>
          <w:szCs w:val="18"/>
          <w:color w:val="auto"/>
        </w:rPr>
        <w:t>Vice President and Controller</w:t>
      </w:r>
    </w:p>
    <w:p>
      <w:pPr>
        <w:ind w:left="82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1."/>
      <w:numFmt w:val="decimal"/>
      <w:start w:val="4"/>
    </w:lvl>
  </w:abstractNum>
  <w:abstractNum w:abstractNumId="7">
    <w:nsid w:val="431BD7B7"/>
    <w:multiLevelType w:val="hybridMultilevel"/>
    <w:lvl w:ilvl="0">
      <w:lvlJc w:val="left"/>
      <w:lvlText w:val="%1"/>
      <w:numFmt w:val="decimal"/>
      <w:start w:val="1"/>
    </w:lvl>
    <w:lvl w:ilvl="1">
      <w:lvlJc w:val="left"/>
      <w:lvlText w:val="(%2)"/>
      <w:numFmt w:val="decimal"/>
      <w:start w:val="1"/>
    </w:lvl>
  </w:abstractNum>
  <w:abstractNum w:abstractNumId="8">
    <w:nsid w:val="3F2DBA31"/>
    <w:multiLevelType w:val="hybridMultilevel"/>
    <w:lvl w:ilvl="0">
      <w:lvlJc w:val="left"/>
      <w:lvlText w:val="%1."/>
      <w:numFmt w:val="decimal"/>
      <w:start w:val="6"/>
    </w:lvl>
    <w:lvl w:ilvl="1">
      <w:lvlJc w:val="left"/>
      <w:lvlText w:val="%2"/>
      <w:numFmt w:val="decimal"/>
      <w:start w:val="1"/>
    </w:lvl>
  </w:abstractNum>
  <w:abstractNum w:abstractNumId="9">
    <w:nsid w:val="7C83E458"/>
    <w:multiLevelType w:val="hybridMultilevel"/>
    <w:lvl w:ilvl="0">
      <w:lvlJc w:val="left"/>
      <w:lvlText w:val="%1."/>
      <w:numFmt w:val="decimal"/>
      <w:start w:val="7"/>
    </w:lvl>
  </w:abstractNum>
  <w:abstractNum w:abstractNumId="10">
    <w:nsid w:val="257130A3"/>
    <w:multiLevelType w:val="hybridMultilevel"/>
    <w:lvl w:ilvl="0">
      <w:lvlJc w:val="left"/>
      <w:lvlText w:val="%1."/>
      <w:numFmt w:val="decimal"/>
      <w:start w:val="8"/>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9"/>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lvl w:ilvl="1">
      <w:lvlJc w:val="left"/>
      <w:lvlText w:val="(%2)"/>
      <w:numFmt w:val="lowerLetter"/>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lowerRoman"/>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2019-12-28T18:26:49Z</dcterms:created>
  <dcterms:modified xsi:type="dcterms:W3CDTF">2019-12-28T18:26:49Z</dcterms:modified>
</cp:coreProperties>
</file>