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rFonts w:ascii="Times New Roman" w:cs="Times New Roman" w:eastAsia="Times New Roman" w:hAnsi="Times New Roman"/>
          <w:sz w:val="18"/>
          <w:szCs w:val="18"/>
          <w:b w:val="1"/>
          <w:bCs w:val="1"/>
          <w:u w:val="single" w:color="auto"/>
          <w:color w:val="0000EE"/>
        </w:rPr>
      </w:pPr>
      <w:hyperlink w:anchor="page3">
        <w:r>
          <w:rPr>
            <w:rFonts w:ascii="Times New Roman" w:cs="Times New Roman" w:eastAsia="Times New Roman" w:hAnsi="Times New Roman"/>
            <w:sz w:val="18"/>
            <w:szCs w:val="18"/>
            <w:b w:val="1"/>
            <w:bCs w:val="1"/>
            <w:u w:val="single" w:color="auto"/>
            <w:color w:val="0000EE"/>
          </w:rPr>
          <w:t>Table of Contents</w:t>
        </w:r>
      </w:hyperlink>
    </w:p>
    <w:p>
      <w:pPr>
        <w:spacing w:after="0" w:line="286" w:lineRule="exact"/>
        <w:rPr>
          <w:sz w:val="24"/>
          <w:szCs w:val="24"/>
          <w:color w:val="auto"/>
        </w:rPr>
      </w:pPr>
    </w:p>
    <w:p>
      <w:pPr>
        <w:jc w:val="center"/>
        <w:ind w:right="-879"/>
        <w:spacing w:after="0"/>
        <w:rPr>
          <w:sz w:val="20"/>
          <w:szCs w:val="20"/>
          <w:color w:val="auto"/>
        </w:rPr>
      </w:pPr>
      <w:r>
        <w:rPr>
          <w:rFonts w:ascii="Arial" w:cs="Arial" w:eastAsia="Arial" w:hAnsi="Arial"/>
          <w:sz w:val="32"/>
          <w:szCs w:val="32"/>
          <w:b w:val="1"/>
          <w:bCs w:val="1"/>
          <w:color w:val="auto"/>
        </w:rPr>
        <w:t>UNITED STATES</w:t>
      </w:r>
    </w:p>
    <w:p>
      <w:pPr>
        <w:spacing w:after="0" w:line="56" w:lineRule="exact"/>
        <w:rPr>
          <w:sz w:val="24"/>
          <w:szCs w:val="24"/>
          <w:color w:val="auto"/>
        </w:rPr>
      </w:pPr>
    </w:p>
    <w:p>
      <w:pPr>
        <w:jc w:val="center"/>
        <w:ind w:right="-879"/>
        <w:spacing w:after="0"/>
        <w:rPr>
          <w:sz w:val="20"/>
          <w:szCs w:val="20"/>
          <w:color w:val="auto"/>
        </w:rPr>
      </w:pPr>
      <w:r>
        <w:rPr>
          <w:rFonts w:ascii="Arial" w:cs="Arial" w:eastAsia="Arial" w:hAnsi="Arial"/>
          <w:sz w:val="32"/>
          <w:szCs w:val="32"/>
          <w:b w:val="1"/>
          <w:bCs w:val="1"/>
          <w:color w:val="auto"/>
        </w:rPr>
        <w:t>SECURITIES AND EXCHANGE COMMISSION</w:t>
      </w:r>
    </w:p>
    <w:p>
      <w:pPr>
        <w:ind w:left="4500"/>
        <w:spacing w:after="0"/>
        <w:rPr>
          <w:sz w:val="20"/>
          <w:szCs w:val="20"/>
          <w:color w:val="auto"/>
        </w:rPr>
      </w:pPr>
      <w:r>
        <w:rPr>
          <w:rFonts w:ascii="Arial" w:cs="Arial" w:eastAsia="Arial" w:hAnsi="Arial"/>
          <w:sz w:val="22"/>
          <w:szCs w:val="22"/>
          <w:b w:val="1"/>
          <w:bCs w:val="1"/>
          <w:color w:val="auto"/>
        </w:rPr>
        <w:t>Washington, D.C. 20549</w:t>
      </w:r>
    </w:p>
    <w:p>
      <w:pPr>
        <w:spacing w:after="0" w:line="170" w:lineRule="exact"/>
        <w:rPr>
          <w:sz w:val="24"/>
          <w:szCs w:val="24"/>
          <w:color w:val="auto"/>
        </w:rPr>
      </w:pPr>
    </w:p>
    <w:p>
      <w:pPr>
        <w:jc w:val="center"/>
        <w:ind w:right="-879"/>
        <w:spacing w:after="0"/>
        <w:rPr>
          <w:sz w:val="20"/>
          <w:szCs w:val="20"/>
          <w:color w:val="auto"/>
        </w:rPr>
      </w:pPr>
      <w:r>
        <w:rPr>
          <w:rFonts w:ascii="Arial" w:cs="Arial" w:eastAsia="Arial" w:hAnsi="Arial"/>
          <w:sz w:val="32"/>
          <w:szCs w:val="32"/>
          <w:b w:val="1"/>
          <w:bCs w:val="1"/>
          <w:color w:val="auto"/>
        </w:rPr>
        <w:t>SCHEDULE 14A</w:t>
      </w:r>
    </w:p>
    <w:p>
      <w:pPr>
        <w:spacing w:after="0" w:line="178" w:lineRule="exact"/>
        <w:rPr>
          <w:sz w:val="24"/>
          <w:szCs w:val="24"/>
          <w:color w:val="auto"/>
        </w:rPr>
      </w:pPr>
    </w:p>
    <w:p>
      <w:pPr>
        <w:jc w:val="center"/>
        <w:ind w:right="-879"/>
        <w:spacing w:after="0"/>
        <w:rPr>
          <w:sz w:val="20"/>
          <w:szCs w:val="20"/>
          <w:color w:val="auto"/>
        </w:rPr>
      </w:pPr>
      <w:r>
        <w:rPr>
          <w:rFonts w:ascii="Arial" w:cs="Arial" w:eastAsia="Arial" w:hAnsi="Arial"/>
          <w:sz w:val="22"/>
          <w:szCs w:val="22"/>
          <w:b w:val="1"/>
          <w:bCs w:val="1"/>
          <w:color w:val="auto"/>
        </w:rPr>
        <w:t>Proxy Statement Pursuant to Section 14(a)</w:t>
      </w:r>
    </w:p>
    <w:p>
      <w:pPr>
        <w:spacing w:after="0" w:line="10" w:lineRule="exact"/>
        <w:rPr>
          <w:sz w:val="24"/>
          <w:szCs w:val="24"/>
          <w:color w:val="auto"/>
        </w:rPr>
      </w:pPr>
    </w:p>
    <w:p>
      <w:pPr>
        <w:jc w:val="center"/>
        <w:ind w:right="-879"/>
        <w:spacing w:after="0"/>
        <w:rPr>
          <w:sz w:val="20"/>
          <w:szCs w:val="20"/>
          <w:color w:val="auto"/>
        </w:rPr>
      </w:pPr>
      <w:r>
        <w:rPr>
          <w:rFonts w:ascii="Arial" w:cs="Arial" w:eastAsia="Arial" w:hAnsi="Arial"/>
          <w:sz w:val="22"/>
          <w:szCs w:val="22"/>
          <w:b w:val="1"/>
          <w:bCs w:val="1"/>
          <w:color w:val="auto"/>
        </w:rPr>
        <w:t>of the Securities Exchange Act of 1934</w:t>
      </w:r>
    </w:p>
    <w:p>
      <w:pPr>
        <w:jc w:val="center"/>
        <w:ind w:right="-879"/>
        <w:spacing w:after="0"/>
        <w:tabs>
          <w:tab w:leader="none" w:pos="340" w:val="left"/>
        </w:tabs>
        <w:rPr>
          <w:sz w:val="20"/>
          <w:szCs w:val="20"/>
          <w:color w:val="auto"/>
        </w:rPr>
      </w:pPr>
      <w:r>
        <w:rPr>
          <w:rFonts w:ascii="Arial" w:cs="Arial" w:eastAsia="Arial" w:hAnsi="Arial"/>
          <w:sz w:val="22"/>
          <w:szCs w:val="22"/>
          <w:b w:val="1"/>
          <w:bCs w:val="1"/>
          <w:color w:val="auto"/>
        </w:rPr>
        <w:t>(Amendment No.</w:t>
        <w:tab/>
        <w:t>)</w:t>
      </w:r>
    </w:p>
    <w:p>
      <w:pPr>
        <w:spacing w:after="0" w:line="118" w:lineRule="exact"/>
        <w:rPr>
          <w:sz w:val="24"/>
          <w:szCs w:val="24"/>
          <w:color w:val="auto"/>
        </w:rPr>
      </w:pPr>
    </w:p>
    <w:tbl>
      <w:tblPr>
        <w:tblLayout w:type="fixed"/>
        <w:tblInd w:w="860" w:type="dxa"/>
        <w:tblCellMar>
          <w:top w:w="0" w:type="dxa"/>
          <w:left w:w="0" w:type="dxa"/>
          <w:bottom w:w="0" w:type="dxa"/>
          <w:right w:w="0" w:type="dxa"/>
        </w:tblCellMar>
      </w:tblPr>
      <w:tr>
        <w:trPr>
          <w:trHeight w:val="275"/>
        </w:trPr>
        <w:tc>
          <w:tcPr>
            <w:tcW w:w="3240" w:type="dxa"/>
            <w:vAlign w:val="bottom"/>
            <w:gridSpan w:val="2"/>
          </w:tcPr>
          <w:p>
            <w:pPr>
              <w:spacing w:after="0" w:line="207" w:lineRule="exact"/>
              <w:rPr>
                <w:sz w:val="20"/>
                <w:szCs w:val="20"/>
                <w:color w:val="auto"/>
              </w:rPr>
            </w:pPr>
            <w:r>
              <w:rPr>
                <w:rFonts w:ascii="Arial" w:cs="Arial" w:eastAsia="Arial" w:hAnsi="Arial"/>
                <w:sz w:val="18"/>
                <w:szCs w:val="18"/>
                <w:color w:val="auto"/>
              </w:rPr>
              <w:t xml:space="preserve">Filed by the Registrant  </w:t>
            </w:r>
            <w:r>
              <w:rPr>
                <w:rFonts w:ascii="MS PGothic" w:cs="MS PGothic" w:eastAsia="MS PGothic" w:hAnsi="MS PGothic"/>
                <w:sz w:val="18"/>
                <w:szCs w:val="18"/>
                <w:color w:val="auto"/>
              </w:rPr>
              <w:t>☒</w:t>
            </w:r>
          </w:p>
        </w:tc>
        <w:tc>
          <w:tcPr>
            <w:tcW w:w="6440" w:type="dxa"/>
            <w:vAlign w:val="bottom"/>
            <w:vMerge w:val="restart"/>
          </w:tcPr>
          <w:p>
            <w:pPr>
              <w:ind w:left="140"/>
              <w:spacing w:after="0" w:line="181" w:lineRule="exact"/>
              <w:rPr>
                <w:sz w:val="20"/>
                <w:szCs w:val="20"/>
                <w:color w:val="auto"/>
              </w:rPr>
            </w:pPr>
            <w:r>
              <w:rPr>
                <w:rFonts w:ascii="MS PGothic" w:cs="MS PGothic" w:eastAsia="MS PGothic" w:hAnsi="MS PGothic"/>
                <w:sz w:val="18"/>
                <w:szCs w:val="18"/>
                <w:color w:val="auto"/>
              </w:rPr>
              <w:t>☐</w:t>
            </w:r>
          </w:p>
        </w:tc>
        <w:tc>
          <w:tcPr>
            <w:tcW w:w="0" w:type="dxa"/>
            <w:vAlign w:val="bottom"/>
          </w:tcPr>
          <w:p>
            <w:pPr>
              <w:spacing w:after="0"/>
              <w:rPr>
                <w:sz w:val="1"/>
                <w:szCs w:val="1"/>
                <w:color w:val="auto"/>
              </w:rPr>
            </w:pPr>
          </w:p>
        </w:tc>
      </w:tr>
      <w:tr>
        <w:trPr>
          <w:trHeight w:val="270"/>
        </w:trPr>
        <w:tc>
          <w:tcPr>
            <w:tcW w:w="3240" w:type="dxa"/>
            <w:vAlign w:val="bottom"/>
            <w:gridSpan w:val="2"/>
          </w:tcPr>
          <w:p>
            <w:pPr>
              <w:spacing w:after="0"/>
              <w:rPr>
                <w:sz w:val="20"/>
                <w:szCs w:val="20"/>
                <w:color w:val="auto"/>
              </w:rPr>
            </w:pPr>
            <w:r>
              <w:rPr>
                <w:rFonts w:ascii="Arial" w:cs="Arial" w:eastAsia="Arial" w:hAnsi="Arial"/>
                <w:sz w:val="18"/>
                <w:szCs w:val="18"/>
                <w:color w:val="auto"/>
                <w:w w:val="98"/>
              </w:rPr>
              <w:t>Filed by a Party other than the Registrant</w:t>
            </w:r>
          </w:p>
        </w:tc>
        <w:tc>
          <w:tcPr>
            <w:tcW w:w="6440" w:type="dxa"/>
            <w:vAlign w:val="bottom"/>
            <w:vMerge w:val="continue"/>
          </w:tcPr>
          <w:p>
            <w:pPr>
              <w:spacing w:after="0"/>
              <w:rPr>
                <w:sz w:val="23"/>
                <w:szCs w:val="23"/>
                <w:color w:val="auto"/>
              </w:rPr>
            </w:pPr>
          </w:p>
        </w:tc>
        <w:tc>
          <w:tcPr>
            <w:tcW w:w="0" w:type="dxa"/>
            <w:vAlign w:val="bottom"/>
          </w:tcPr>
          <w:p>
            <w:pPr>
              <w:spacing w:after="0"/>
              <w:rPr>
                <w:sz w:val="1"/>
                <w:szCs w:val="1"/>
                <w:color w:val="auto"/>
              </w:rPr>
            </w:pPr>
          </w:p>
        </w:tc>
      </w:tr>
      <w:tr>
        <w:trPr>
          <w:trHeight w:val="254"/>
        </w:trPr>
        <w:tc>
          <w:tcPr>
            <w:tcW w:w="3240" w:type="dxa"/>
            <w:vAlign w:val="bottom"/>
            <w:gridSpan w:val="2"/>
          </w:tcPr>
          <w:p>
            <w:pPr>
              <w:spacing w:after="0"/>
              <w:rPr>
                <w:sz w:val="20"/>
                <w:szCs w:val="20"/>
                <w:color w:val="auto"/>
              </w:rPr>
            </w:pPr>
            <w:r>
              <w:rPr>
                <w:rFonts w:ascii="Arial" w:cs="Arial" w:eastAsia="Arial" w:hAnsi="Arial"/>
                <w:sz w:val="18"/>
                <w:szCs w:val="18"/>
                <w:color w:val="auto"/>
              </w:rPr>
              <w:t>Check the appropriate box:</w:t>
            </w:r>
          </w:p>
        </w:tc>
        <w:tc>
          <w:tcPr>
            <w:tcW w:w="644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47"/>
        </w:trPr>
        <w:tc>
          <w:tcPr>
            <w:tcW w:w="240" w:type="dxa"/>
            <w:vAlign w:val="bottom"/>
          </w:tcPr>
          <w:p>
            <w:pPr>
              <w:spacing w:after="0" w:line="181" w:lineRule="exact"/>
              <w:rPr>
                <w:sz w:val="20"/>
                <w:szCs w:val="20"/>
                <w:color w:val="auto"/>
              </w:rPr>
            </w:pPr>
            <w:r>
              <w:rPr>
                <w:rFonts w:ascii="MS PGothic" w:cs="MS PGothic" w:eastAsia="MS PGothic" w:hAnsi="MS PGothic"/>
                <w:sz w:val="18"/>
                <w:szCs w:val="18"/>
                <w:color w:val="auto"/>
              </w:rPr>
              <w:t>☐</w:t>
            </w:r>
          </w:p>
        </w:tc>
        <w:tc>
          <w:tcPr>
            <w:tcW w:w="3000" w:type="dxa"/>
            <w:vAlign w:val="bottom"/>
          </w:tcPr>
          <w:p>
            <w:pPr>
              <w:ind w:left="100"/>
              <w:spacing w:after="0"/>
              <w:rPr>
                <w:sz w:val="20"/>
                <w:szCs w:val="20"/>
                <w:color w:val="auto"/>
              </w:rPr>
            </w:pPr>
            <w:r>
              <w:rPr>
                <w:rFonts w:ascii="Arial" w:cs="Arial" w:eastAsia="Arial" w:hAnsi="Arial"/>
                <w:sz w:val="18"/>
                <w:szCs w:val="18"/>
                <w:color w:val="auto"/>
              </w:rPr>
              <w:t>Preliminary Proxy Statement</w:t>
            </w:r>
          </w:p>
        </w:tc>
        <w:tc>
          <w:tcPr>
            <w:tcW w:w="6440" w:type="dxa"/>
            <w:vAlign w:val="bottom"/>
          </w:tcPr>
          <w:p>
            <w:pPr>
              <w:ind w:left="60"/>
              <w:spacing w:after="0" w:line="207" w:lineRule="exact"/>
              <w:rPr>
                <w:sz w:val="20"/>
                <w:szCs w:val="20"/>
                <w:color w:val="auto"/>
              </w:rPr>
            </w:pPr>
            <w:r>
              <w:rPr>
                <w:rFonts w:ascii="MS PGothic" w:cs="MS PGothic" w:eastAsia="MS PGothic" w:hAnsi="MS PGothic"/>
                <w:sz w:val="18"/>
                <w:szCs w:val="18"/>
                <w:color w:val="auto"/>
                <w:w w:val="99"/>
              </w:rPr>
              <w:t>☐</w:t>
            </w:r>
            <w:r>
              <w:rPr>
                <w:rFonts w:ascii="Arial" w:cs="Arial" w:eastAsia="Arial" w:hAnsi="Arial"/>
                <w:sz w:val="18"/>
                <w:szCs w:val="18"/>
                <w:b w:val="1"/>
                <w:bCs w:val="1"/>
                <w:color w:val="auto"/>
                <w:w w:val="99"/>
              </w:rPr>
              <w:t xml:space="preserve">  Confidential, for Use of the Commission Only(as permitted by Rule 14a-</w:t>
            </w:r>
          </w:p>
        </w:tc>
        <w:tc>
          <w:tcPr>
            <w:tcW w:w="0" w:type="dxa"/>
            <w:vAlign w:val="bottom"/>
          </w:tcPr>
          <w:p>
            <w:pPr>
              <w:spacing w:after="0"/>
              <w:rPr>
                <w:sz w:val="1"/>
                <w:szCs w:val="1"/>
                <w:color w:val="auto"/>
              </w:rPr>
            </w:pPr>
          </w:p>
        </w:tc>
      </w:tr>
      <w:tr>
        <w:trPr>
          <w:trHeight w:val="247"/>
        </w:trPr>
        <w:tc>
          <w:tcPr>
            <w:tcW w:w="240" w:type="dxa"/>
            <w:vAlign w:val="bottom"/>
            <w:vMerge w:val="restart"/>
          </w:tcPr>
          <w:p>
            <w:pPr>
              <w:spacing w:after="0" w:line="181" w:lineRule="exact"/>
              <w:rPr>
                <w:sz w:val="20"/>
                <w:szCs w:val="20"/>
                <w:color w:val="auto"/>
              </w:rPr>
            </w:pPr>
            <w:r>
              <w:rPr>
                <w:rFonts w:ascii="MS PGothic" w:cs="MS PGothic" w:eastAsia="MS PGothic" w:hAnsi="MS PGothic"/>
                <w:sz w:val="18"/>
                <w:szCs w:val="18"/>
                <w:color w:val="auto"/>
              </w:rPr>
              <w:t>☒</w:t>
            </w:r>
          </w:p>
        </w:tc>
        <w:tc>
          <w:tcPr>
            <w:tcW w:w="3000" w:type="dxa"/>
            <w:vAlign w:val="bottom"/>
            <w:vMerge w:val="restart"/>
          </w:tcPr>
          <w:p>
            <w:pPr>
              <w:ind w:left="100"/>
              <w:spacing w:after="0"/>
              <w:rPr>
                <w:sz w:val="20"/>
                <w:szCs w:val="20"/>
                <w:color w:val="auto"/>
              </w:rPr>
            </w:pPr>
            <w:r>
              <w:rPr>
                <w:rFonts w:ascii="Arial" w:cs="Arial" w:eastAsia="Arial" w:hAnsi="Arial"/>
                <w:sz w:val="18"/>
                <w:szCs w:val="18"/>
                <w:color w:val="auto"/>
              </w:rPr>
              <w:t>Definitive Proxy Statement</w:t>
            </w:r>
          </w:p>
        </w:tc>
        <w:tc>
          <w:tcPr>
            <w:tcW w:w="6440" w:type="dxa"/>
            <w:vAlign w:val="bottom"/>
          </w:tcPr>
          <w:p>
            <w:pPr>
              <w:ind w:left="500"/>
              <w:spacing w:after="0"/>
              <w:rPr>
                <w:sz w:val="20"/>
                <w:szCs w:val="20"/>
                <w:color w:val="auto"/>
              </w:rPr>
            </w:pPr>
            <w:r>
              <w:rPr>
                <w:rFonts w:ascii="Arial" w:cs="Arial" w:eastAsia="Arial" w:hAnsi="Arial"/>
                <w:sz w:val="18"/>
                <w:szCs w:val="18"/>
                <w:b w:val="1"/>
                <w:bCs w:val="1"/>
                <w:color w:val="auto"/>
              </w:rPr>
              <w:t>6(e)(2))</w:t>
            </w:r>
          </w:p>
        </w:tc>
        <w:tc>
          <w:tcPr>
            <w:tcW w:w="0" w:type="dxa"/>
            <w:vAlign w:val="bottom"/>
          </w:tcPr>
          <w:p>
            <w:pPr>
              <w:spacing w:after="0"/>
              <w:rPr>
                <w:sz w:val="1"/>
                <w:szCs w:val="1"/>
                <w:color w:val="auto"/>
              </w:rPr>
            </w:pPr>
          </w:p>
        </w:tc>
      </w:tr>
      <w:tr>
        <w:trPr>
          <w:trHeight w:val="157"/>
        </w:trPr>
        <w:tc>
          <w:tcPr>
            <w:tcW w:w="240" w:type="dxa"/>
            <w:vAlign w:val="bottom"/>
            <w:vMerge w:val="continue"/>
          </w:tcPr>
          <w:p>
            <w:pPr>
              <w:spacing w:after="0"/>
              <w:rPr>
                <w:sz w:val="13"/>
                <w:szCs w:val="13"/>
                <w:color w:val="auto"/>
              </w:rPr>
            </w:pPr>
          </w:p>
        </w:tc>
        <w:tc>
          <w:tcPr>
            <w:tcW w:w="3000" w:type="dxa"/>
            <w:vAlign w:val="bottom"/>
            <w:vMerge w:val="continue"/>
          </w:tcPr>
          <w:p>
            <w:pPr>
              <w:spacing w:after="0"/>
              <w:rPr>
                <w:sz w:val="13"/>
                <w:szCs w:val="13"/>
                <w:color w:val="auto"/>
              </w:rPr>
            </w:pPr>
          </w:p>
        </w:tc>
        <w:tc>
          <w:tcPr>
            <w:tcW w:w="6440" w:type="dxa"/>
            <w:vAlign w:val="bottom"/>
          </w:tcPr>
          <w:p>
            <w:pPr>
              <w:spacing w:after="0"/>
              <w:rPr>
                <w:sz w:val="13"/>
                <w:szCs w:val="13"/>
                <w:color w:val="auto"/>
              </w:rPr>
            </w:pPr>
          </w:p>
        </w:tc>
        <w:tc>
          <w:tcPr>
            <w:tcW w:w="0" w:type="dxa"/>
            <w:vAlign w:val="bottom"/>
          </w:tcPr>
          <w:p>
            <w:pPr>
              <w:spacing w:after="0"/>
              <w:rPr>
                <w:sz w:val="1"/>
                <w:szCs w:val="1"/>
                <w:color w:val="auto"/>
              </w:rPr>
            </w:pPr>
          </w:p>
        </w:tc>
      </w:tr>
    </w:tbl>
    <w:p>
      <w:pPr>
        <w:spacing w:after="0" w:line="85" w:lineRule="exact"/>
        <w:rPr>
          <w:sz w:val="24"/>
          <w:szCs w:val="24"/>
          <w:color w:val="auto"/>
        </w:rPr>
      </w:pPr>
    </w:p>
    <w:p>
      <w:pPr>
        <w:ind w:left="1200" w:hanging="348"/>
        <w:spacing w:after="0"/>
        <w:tabs>
          <w:tab w:leader="none" w:pos="120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Definitive Additional Materials</w:t>
      </w:r>
    </w:p>
    <w:p>
      <w:pPr>
        <w:spacing w:after="0" w:line="117" w:lineRule="exact"/>
        <w:rPr>
          <w:rFonts w:ascii="MS PGothic" w:cs="MS PGothic" w:eastAsia="MS PGothic" w:hAnsi="MS PGothic"/>
          <w:sz w:val="18"/>
          <w:szCs w:val="18"/>
          <w:color w:val="auto"/>
        </w:rPr>
      </w:pPr>
    </w:p>
    <w:p>
      <w:pPr>
        <w:ind w:left="860" w:right="7020" w:hanging="8"/>
        <w:spacing w:after="0" w:line="285" w:lineRule="auto"/>
        <w:tabs>
          <w:tab w:leader="none" w:pos="1217"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Soliciting Material Pursuant to §240.14a-12</w:t>
      </w:r>
    </w:p>
    <w:p>
      <w:pPr>
        <w:spacing w:after="0" w:line="49" w:lineRule="exact"/>
        <w:rPr>
          <w:sz w:val="24"/>
          <w:szCs w:val="24"/>
          <w:color w:val="auto"/>
        </w:rPr>
      </w:pPr>
    </w:p>
    <w:p>
      <w:pPr>
        <w:jc w:val="center"/>
        <w:ind w:right="-879"/>
        <w:spacing w:after="0"/>
        <w:rPr>
          <w:sz w:val="20"/>
          <w:szCs w:val="20"/>
          <w:color w:val="auto"/>
        </w:rPr>
      </w:pPr>
      <w:r>
        <w:rPr>
          <w:rFonts w:ascii="Arial" w:cs="Arial" w:eastAsia="Arial" w:hAnsi="Arial"/>
          <w:sz w:val="43"/>
          <w:szCs w:val="43"/>
          <w:b w:val="1"/>
          <w:bCs w:val="1"/>
          <w:color w:val="auto"/>
        </w:rPr>
        <w:t>E</w:t>
      </w:r>
      <w:r>
        <w:rPr>
          <w:rFonts w:ascii="Arial" w:cs="Arial" w:eastAsia="Arial" w:hAnsi="Arial"/>
          <w:sz w:val="36"/>
          <w:szCs w:val="36"/>
          <w:b w:val="1"/>
          <w:bCs w:val="1"/>
          <w:color w:val="auto"/>
        </w:rPr>
        <w:t>XXON</w:t>
      </w:r>
      <w:r>
        <w:rPr>
          <w:rFonts w:ascii="Arial" w:cs="Arial" w:eastAsia="Arial" w:hAnsi="Arial"/>
          <w:sz w:val="43"/>
          <w:szCs w:val="43"/>
          <w:b w:val="1"/>
          <w:bCs w:val="1"/>
          <w:color w:val="auto"/>
        </w:rPr>
        <w:t xml:space="preserve"> M</w:t>
      </w:r>
      <w:r>
        <w:rPr>
          <w:rFonts w:ascii="Arial" w:cs="Arial" w:eastAsia="Arial" w:hAnsi="Arial"/>
          <w:sz w:val="36"/>
          <w:szCs w:val="36"/>
          <w:b w:val="1"/>
          <w:bCs w:val="1"/>
          <w:color w:val="auto"/>
        </w:rPr>
        <w:t>OBIL</w:t>
      </w:r>
      <w:r>
        <w:rPr>
          <w:rFonts w:ascii="Arial" w:cs="Arial" w:eastAsia="Arial" w:hAnsi="Arial"/>
          <w:sz w:val="43"/>
          <w:szCs w:val="43"/>
          <w:b w:val="1"/>
          <w:bCs w:val="1"/>
          <w:color w:val="auto"/>
        </w:rPr>
        <w:t xml:space="preserve"> C</w:t>
      </w:r>
      <w:r>
        <w:rPr>
          <w:rFonts w:ascii="Arial" w:cs="Arial" w:eastAsia="Arial" w:hAnsi="Arial"/>
          <w:sz w:val="36"/>
          <w:szCs w:val="36"/>
          <w:b w:val="1"/>
          <w:bCs w:val="1"/>
          <w:color w:val="auto"/>
        </w:rPr>
        <w:t>ORPORATION</w:t>
      </w:r>
    </w:p>
    <w:p>
      <w:pPr>
        <w:spacing w:after="0" w:line="68" w:lineRule="exact"/>
        <w:rPr>
          <w:sz w:val="24"/>
          <w:szCs w:val="24"/>
          <w:color w:val="auto"/>
        </w:rPr>
      </w:pPr>
    </w:p>
    <w:p>
      <w:pPr>
        <w:jc w:val="center"/>
        <w:ind w:right="-879"/>
        <w:spacing w:after="0"/>
        <w:rPr>
          <w:sz w:val="20"/>
          <w:szCs w:val="20"/>
          <w:color w:val="auto"/>
        </w:rPr>
      </w:pPr>
      <w:r>
        <w:rPr>
          <w:rFonts w:ascii="Arial" w:cs="Arial" w:eastAsia="Arial" w:hAnsi="Arial"/>
          <w:sz w:val="18"/>
          <w:szCs w:val="18"/>
          <w:b w:val="1"/>
          <w:bCs w:val="1"/>
          <w:color w:val="auto"/>
        </w:rPr>
        <w:t>(Name of Registrant as Specified In Its Charter)</w:t>
      </w:r>
    </w:p>
    <w:p>
      <w:pPr>
        <w:spacing w:after="0" w:line="176" w:lineRule="exact"/>
        <w:rPr>
          <w:sz w:val="24"/>
          <w:szCs w:val="24"/>
          <w:color w:val="auto"/>
        </w:rPr>
      </w:pPr>
    </w:p>
    <w:p>
      <w:pPr>
        <w:ind w:left="3420"/>
        <w:spacing w:after="0"/>
        <w:rPr>
          <w:sz w:val="20"/>
          <w:szCs w:val="20"/>
          <w:color w:val="auto"/>
        </w:rPr>
      </w:pPr>
      <w:r>
        <w:rPr>
          <w:rFonts w:ascii="Arial" w:cs="Arial" w:eastAsia="Arial" w:hAnsi="Arial"/>
          <w:sz w:val="14"/>
          <w:szCs w:val="14"/>
          <w:b w:val="1"/>
          <w:bCs w:val="1"/>
          <w:color w:val="auto"/>
        </w:rPr>
        <w:t>(Name of Person(s) Filing Proxy Statement, if other than the Registrant)</w:t>
      </w:r>
    </w:p>
    <w:p>
      <w:pPr>
        <w:spacing w:after="0" w:line="149" w:lineRule="exact"/>
        <w:rPr>
          <w:sz w:val="24"/>
          <w:szCs w:val="24"/>
          <w:color w:val="auto"/>
        </w:rPr>
      </w:pPr>
    </w:p>
    <w:p>
      <w:pPr>
        <w:ind w:left="860"/>
        <w:spacing w:after="0"/>
        <w:rPr>
          <w:sz w:val="20"/>
          <w:szCs w:val="20"/>
          <w:color w:val="auto"/>
        </w:rPr>
      </w:pPr>
      <w:r>
        <w:rPr>
          <w:rFonts w:ascii="Arial" w:cs="Arial" w:eastAsia="Arial" w:hAnsi="Arial"/>
          <w:sz w:val="18"/>
          <w:szCs w:val="18"/>
          <w:color w:val="auto"/>
        </w:rPr>
        <w:t>Payment of Filing Fee (Check the appropriate box):</w:t>
      </w:r>
    </w:p>
    <w:p>
      <w:pPr>
        <w:spacing w:after="0" w:line="198" w:lineRule="exact"/>
        <w:rPr>
          <w:sz w:val="24"/>
          <w:szCs w:val="24"/>
          <w:color w:val="auto"/>
        </w:rPr>
      </w:pPr>
    </w:p>
    <w:p>
      <w:pPr>
        <w:ind w:left="1240" w:hanging="388"/>
        <w:spacing w:after="0"/>
        <w:tabs>
          <w:tab w:leader="none" w:pos="1240" w:val="left"/>
        </w:tabs>
        <w:numPr>
          <w:ilvl w:val="0"/>
          <w:numId w:val="2"/>
        </w:numPr>
        <w:rPr>
          <w:rFonts w:ascii="MS PGothic" w:cs="MS PGothic" w:eastAsia="MS PGothic" w:hAnsi="MS PGothic"/>
          <w:sz w:val="18"/>
          <w:szCs w:val="18"/>
          <w:color w:val="auto"/>
        </w:rPr>
      </w:pPr>
      <w:r>
        <w:rPr>
          <w:rFonts w:ascii="Arial" w:cs="Arial" w:eastAsia="Arial" w:hAnsi="Arial"/>
          <w:sz w:val="18"/>
          <w:szCs w:val="18"/>
          <w:color w:val="auto"/>
        </w:rPr>
        <w:t>No fee required.</w:t>
      </w:r>
    </w:p>
    <w:p>
      <w:pPr>
        <w:spacing w:after="0" w:line="90" w:lineRule="exact"/>
        <w:rPr>
          <w:sz w:val="24"/>
          <w:szCs w:val="24"/>
          <w:color w:val="auto"/>
        </w:rPr>
      </w:pPr>
    </w:p>
    <w:p>
      <w:pPr>
        <w:ind w:left="1240" w:hanging="388"/>
        <w:spacing w:after="0"/>
        <w:tabs>
          <w:tab w:leader="none" w:pos="1240" w:val="left"/>
        </w:tabs>
        <w:numPr>
          <w:ilvl w:val="0"/>
          <w:numId w:val="3"/>
        </w:numPr>
        <w:rPr>
          <w:rFonts w:ascii="MS PGothic" w:cs="MS PGothic" w:eastAsia="MS PGothic" w:hAnsi="MS PGothic"/>
          <w:sz w:val="18"/>
          <w:szCs w:val="18"/>
          <w:color w:val="auto"/>
        </w:rPr>
      </w:pPr>
      <w:r>
        <w:rPr>
          <w:rFonts w:ascii="Arial" w:cs="Arial" w:eastAsia="Arial" w:hAnsi="Arial"/>
          <w:sz w:val="18"/>
          <w:szCs w:val="18"/>
          <w:color w:val="auto"/>
        </w:rPr>
        <w:t>Fee computed on table below per Exchange Act Rules 14a-6(i)(4) and 0-11.</w:t>
      </w:r>
    </w:p>
    <w:p>
      <w:pPr>
        <w:spacing w:after="0" w:line="211" w:lineRule="exact"/>
        <w:rPr>
          <w:rFonts w:ascii="MS PGothic" w:cs="MS PGothic" w:eastAsia="MS PGothic" w:hAnsi="MS PGothic"/>
          <w:sz w:val="18"/>
          <w:szCs w:val="18"/>
          <w:color w:val="auto"/>
        </w:rPr>
      </w:pPr>
    </w:p>
    <w:p>
      <w:pPr>
        <w:ind w:left="1600" w:hanging="370"/>
        <w:spacing w:after="0"/>
        <w:tabs>
          <w:tab w:leader="none" w:pos="1600" w:val="left"/>
        </w:tabs>
        <w:numPr>
          <w:ilvl w:val="1"/>
          <w:numId w:val="3"/>
        </w:numPr>
        <w:rPr>
          <w:rFonts w:ascii="Arial" w:cs="Arial" w:eastAsia="Arial" w:hAnsi="Arial"/>
          <w:sz w:val="18"/>
          <w:szCs w:val="18"/>
          <w:color w:val="auto"/>
        </w:rPr>
      </w:pPr>
      <w:r>
        <w:rPr>
          <w:rFonts w:ascii="Arial" w:cs="Arial" w:eastAsia="Arial" w:hAnsi="Arial"/>
          <w:sz w:val="18"/>
          <w:szCs w:val="18"/>
          <w:color w:val="auto"/>
        </w:rPr>
        <w:t>Title of each class of securities to which transaction applies:</w:t>
      </w:r>
    </w:p>
    <w:p>
      <w:pPr>
        <w:spacing w:after="0" w:line="200" w:lineRule="exact"/>
        <w:rPr>
          <w:rFonts w:ascii="Arial" w:cs="Arial" w:eastAsia="Arial" w:hAnsi="Arial"/>
          <w:sz w:val="18"/>
          <w:szCs w:val="18"/>
          <w:color w:val="auto"/>
        </w:rPr>
      </w:pPr>
    </w:p>
    <w:p>
      <w:pPr>
        <w:spacing w:after="0" w:line="335" w:lineRule="exact"/>
        <w:rPr>
          <w:rFonts w:ascii="Arial" w:cs="Arial" w:eastAsia="Arial" w:hAnsi="Arial"/>
          <w:sz w:val="18"/>
          <w:szCs w:val="18"/>
          <w:color w:val="auto"/>
        </w:rPr>
      </w:pPr>
    </w:p>
    <w:p>
      <w:pPr>
        <w:ind w:left="1600" w:hanging="370"/>
        <w:spacing w:after="0"/>
        <w:tabs>
          <w:tab w:leader="none" w:pos="1600" w:val="left"/>
        </w:tabs>
        <w:numPr>
          <w:ilvl w:val="1"/>
          <w:numId w:val="3"/>
        </w:numPr>
        <w:rPr>
          <w:rFonts w:ascii="Arial" w:cs="Arial" w:eastAsia="Arial" w:hAnsi="Arial"/>
          <w:sz w:val="18"/>
          <w:szCs w:val="18"/>
          <w:color w:val="auto"/>
        </w:rPr>
      </w:pPr>
      <w:r>
        <w:rPr>
          <w:rFonts w:ascii="Arial" w:cs="Arial" w:eastAsia="Arial" w:hAnsi="Arial"/>
          <w:sz w:val="18"/>
          <w:szCs w:val="18"/>
          <w:color w:val="auto"/>
        </w:rPr>
        <w:t>Aggregate number of securities to which transaction applies:</w:t>
      </w:r>
    </w:p>
    <w:p>
      <w:pPr>
        <w:spacing w:after="0" w:line="200" w:lineRule="exact"/>
        <w:rPr>
          <w:rFonts w:ascii="Arial" w:cs="Arial" w:eastAsia="Arial" w:hAnsi="Arial"/>
          <w:sz w:val="18"/>
          <w:szCs w:val="18"/>
          <w:color w:val="auto"/>
        </w:rPr>
      </w:pPr>
    </w:p>
    <w:p>
      <w:pPr>
        <w:spacing w:after="0" w:line="322" w:lineRule="exact"/>
        <w:rPr>
          <w:rFonts w:ascii="Arial" w:cs="Arial" w:eastAsia="Arial" w:hAnsi="Arial"/>
          <w:sz w:val="18"/>
          <w:szCs w:val="18"/>
          <w:color w:val="auto"/>
        </w:rPr>
      </w:pPr>
    </w:p>
    <w:p>
      <w:pPr>
        <w:ind w:left="1600" w:right="120" w:hanging="370"/>
        <w:spacing w:after="0" w:line="269" w:lineRule="auto"/>
        <w:tabs>
          <w:tab w:leader="none" w:pos="1600" w:val="left"/>
        </w:tabs>
        <w:numPr>
          <w:ilvl w:val="1"/>
          <w:numId w:val="3"/>
        </w:numPr>
        <w:rPr>
          <w:rFonts w:ascii="Arial" w:cs="Arial" w:eastAsia="Arial" w:hAnsi="Arial"/>
          <w:sz w:val="18"/>
          <w:szCs w:val="18"/>
          <w:color w:val="auto"/>
        </w:rPr>
      </w:pPr>
      <w:r>
        <w:rPr>
          <w:rFonts w:ascii="Arial" w:cs="Arial" w:eastAsia="Arial" w:hAnsi="Arial"/>
          <w:sz w:val="18"/>
          <w:szCs w:val="18"/>
          <w:color w:val="auto"/>
        </w:rPr>
        <w:t>Per unit price or other underlying value of transaction computed pursuant to Exchange Act Rule 0-11 (set forth the amount on which the filing fee is calculated and state how it was determined):</w:t>
      </w:r>
    </w:p>
    <w:p>
      <w:pPr>
        <w:spacing w:after="0" w:line="200" w:lineRule="exact"/>
        <w:rPr>
          <w:rFonts w:ascii="Arial" w:cs="Arial" w:eastAsia="Arial" w:hAnsi="Arial"/>
          <w:sz w:val="18"/>
          <w:szCs w:val="18"/>
          <w:color w:val="auto"/>
        </w:rPr>
      </w:pPr>
    </w:p>
    <w:p>
      <w:pPr>
        <w:spacing w:after="0" w:line="281" w:lineRule="exact"/>
        <w:rPr>
          <w:rFonts w:ascii="Arial" w:cs="Arial" w:eastAsia="Arial" w:hAnsi="Arial"/>
          <w:sz w:val="18"/>
          <w:szCs w:val="18"/>
          <w:color w:val="auto"/>
        </w:rPr>
      </w:pPr>
    </w:p>
    <w:p>
      <w:pPr>
        <w:ind w:left="1600" w:hanging="370"/>
        <w:spacing w:after="0"/>
        <w:tabs>
          <w:tab w:leader="none" w:pos="1600" w:val="left"/>
        </w:tabs>
        <w:numPr>
          <w:ilvl w:val="1"/>
          <w:numId w:val="3"/>
        </w:numPr>
        <w:rPr>
          <w:rFonts w:ascii="Arial" w:cs="Arial" w:eastAsia="Arial" w:hAnsi="Arial"/>
          <w:sz w:val="18"/>
          <w:szCs w:val="18"/>
          <w:color w:val="auto"/>
        </w:rPr>
      </w:pPr>
      <w:r>
        <w:rPr>
          <w:rFonts w:ascii="Arial" w:cs="Arial" w:eastAsia="Arial" w:hAnsi="Arial"/>
          <w:sz w:val="18"/>
          <w:szCs w:val="18"/>
          <w:color w:val="auto"/>
        </w:rPr>
        <w:t>Proposed maximum aggregate value of transaction:</w:t>
      </w:r>
    </w:p>
    <w:p>
      <w:pPr>
        <w:spacing w:after="0" w:line="200" w:lineRule="exact"/>
        <w:rPr>
          <w:rFonts w:ascii="Arial" w:cs="Arial" w:eastAsia="Arial" w:hAnsi="Arial"/>
          <w:sz w:val="18"/>
          <w:szCs w:val="18"/>
          <w:color w:val="auto"/>
        </w:rPr>
      </w:pPr>
    </w:p>
    <w:p>
      <w:pPr>
        <w:spacing w:after="0" w:line="335" w:lineRule="exact"/>
        <w:rPr>
          <w:rFonts w:ascii="Arial" w:cs="Arial" w:eastAsia="Arial" w:hAnsi="Arial"/>
          <w:sz w:val="18"/>
          <w:szCs w:val="18"/>
          <w:color w:val="auto"/>
        </w:rPr>
      </w:pPr>
    </w:p>
    <w:p>
      <w:pPr>
        <w:ind w:left="1600" w:hanging="370"/>
        <w:spacing w:after="0"/>
        <w:tabs>
          <w:tab w:leader="none" w:pos="1600" w:val="left"/>
        </w:tabs>
        <w:numPr>
          <w:ilvl w:val="1"/>
          <w:numId w:val="3"/>
        </w:numPr>
        <w:rPr>
          <w:rFonts w:ascii="Arial" w:cs="Arial" w:eastAsia="Arial" w:hAnsi="Arial"/>
          <w:sz w:val="18"/>
          <w:szCs w:val="18"/>
          <w:color w:val="auto"/>
        </w:rPr>
      </w:pPr>
      <w:r>
        <w:rPr>
          <w:rFonts w:ascii="Arial" w:cs="Arial" w:eastAsia="Arial" w:hAnsi="Arial"/>
          <w:sz w:val="18"/>
          <w:szCs w:val="18"/>
          <w:color w:val="auto"/>
        </w:rPr>
        <w:t>Total fee paid:</w:t>
      </w:r>
    </w:p>
    <w:p>
      <w:pPr>
        <w:spacing w:after="0" w:line="200" w:lineRule="exact"/>
        <w:rPr>
          <w:rFonts w:ascii="Arial" w:cs="Arial" w:eastAsia="Arial" w:hAnsi="Arial"/>
          <w:sz w:val="18"/>
          <w:szCs w:val="18"/>
          <w:color w:val="auto"/>
        </w:rPr>
      </w:pPr>
    </w:p>
    <w:p>
      <w:pPr>
        <w:spacing w:after="0" w:line="200" w:lineRule="exact"/>
        <w:rPr>
          <w:rFonts w:ascii="Arial" w:cs="Arial" w:eastAsia="Arial" w:hAnsi="Arial"/>
          <w:sz w:val="18"/>
          <w:szCs w:val="18"/>
          <w:color w:val="auto"/>
        </w:rPr>
      </w:pPr>
    </w:p>
    <w:p>
      <w:pPr>
        <w:spacing w:after="0" w:line="324" w:lineRule="exact"/>
        <w:rPr>
          <w:rFonts w:ascii="Arial" w:cs="Arial" w:eastAsia="Arial" w:hAnsi="Arial"/>
          <w:sz w:val="18"/>
          <w:szCs w:val="18"/>
          <w:color w:val="auto"/>
        </w:rPr>
      </w:pPr>
    </w:p>
    <w:p>
      <w:pPr>
        <w:ind w:left="1240" w:hanging="388"/>
        <w:spacing w:after="0"/>
        <w:tabs>
          <w:tab w:leader="none" w:pos="1240" w:val="left"/>
        </w:tabs>
        <w:numPr>
          <w:ilvl w:val="0"/>
          <w:numId w:val="3"/>
        </w:numPr>
        <w:rPr>
          <w:rFonts w:ascii="MS PGothic" w:cs="MS PGothic" w:eastAsia="MS PGothic" w:hAnsi="MS PGothic"/>
          <w:sz w:val="18"/>
          <w:szCs w:val="18"/>
          <w:color w:val="auto"/>
        </w:rPr>
      </w:pPr>
      <w:r>
        <w:rPr>
          <w:rFonts w:ascii="Arial" w:cs="Arial" w:eastAsia="Arial" w:hAnsi="Arial"/>
          <w:sz w:val="18"/>
          <w:szCs w:val="18"/>
          <w:color w:val="auto"/>
        </w:rPr>
        <w:t>Fee paid previously with preliminary materials.</w:t>
      </w:r>
    </w:p>
    <w:p>
      <w:pPr>
        <w:spacing w:after="0" w:line="211" w:lineRule="exact"/>
        <w:rPr>
          <w:rFonts w:ascii="MS PGothic" w:cs="MS PGothic" w:eastAsia="MS PGothic" w:hAnsi="MS PGothic"/>
          <w:sz w:val="18"/>
          <w:szCs w:val="18"/>
          <w:color w:val="auto"/>
        </w:rPr>
      </w:pPr>
    </w:p>
    <w:p>
      <w:pPr>
        <w:ind w:left="1240" w:hanging="388"/>
        <w:spacing w:after="0" w:line="252" w:lineRule="auto"/>
        <w:tabs>
          <w:tab w:leader="none" w:pos="1240" w:val="left"/>
        </w:tabs>
        <w:numPr>
          <w:ilvl w:val="0"/>
          <w:numId w:val="3"/>
        </w:numPr>
        <w:rPr>
          <w:rFonts w:ascii="MS PGothic" w:cs="MS PGothic" w:eastAsia="MS PGothic" w:hAnsi="MS PGothic"/>
          <w:sz w:val="18"/>
          <w:szCs w:val="18"/>
          <w:color w:val="auto"/>
        </w:rPr>
      </w:pPr>
      <w:r>
        <w:rPr>
          <w:rFonts w:ascii="Arial" w:cs="Arial" w:eastAsia="Arial" w:hAnsi="Arial"/>
          <w:sz w:val="18"/>
          <w:szCs w:val="18"/>
          <w:color w:val="auto"/>
        </w:rPr>
        <w:t>Check box if any part of the fee is offset as provided by Exchange Act Rule 0-11(a)(2) and identify the filing for which the offsetting fee was paid previously. Identify the previous filing by registration statement number, or the Form or Schedule and the date of its filing.</w:t>
      </w:r>
    </w:p>
    <w:p>
      <w:pPr>
        <w:spacing w:after="0" w:line="158" w:lineRule="exact"/>
        <w:rPr>
          <w:rFonts w:ascii="MS PGothic" w:cs="MS PGothic" w:eastAsia="MS PGothic" w:hAnsi="MS PGothic"/>
          <w:sz w:val="18"/>
          <w:szCs w:val="18"/>
          <w:color w:val="auto"/>
        </w:rPr>
      </w:pPr>
    </w:p>
    <w:p>
      <w:pPr>
        <w:ind w:left="1600" w:hanging="370"/>
        <w:spacing w:after="0"/>
        <w:tabs>
          <w:tab w:leader="none" w:pos="1600" w:val="left"/>
        </w:tabs>
        <w:numPr>
          <w:ilvl w:val="1"/>
          <w:numId w:val="3"/>
        </w:numPr>
        <w:rPr>
          <w:rFonts w:ascii="Arial" w:cs="Arial" w:eastAsia="Arial" w:hAnsi="Arial"/>
          <w:sz w:val="18"/>
          <w:szCs w:val="18"/>
          <w:color w:val="auto"/>
        </w:rPr>
      </w:pPr>
      <w:r>
        <w:rPr>
          <w:rFonts w:ascii="Arial" w:cs="Arial" w:eastAsia="Arial" w:hAnsi="Arial"/>
          <w:sz w:val="18"/>
          <w:szCs w:val="18"/>
          <w:color w:val="auto"/>
        </w:rPr>
        <w:t>Amount Previously Paid:</w:t>
      </w:r>
    </w:p>
    <w:p>
      <w:pPr>
        <w:spacing w:after="0" w:line="200" w:lineRule="exact"/>
        <w:rPr>
          <w:rFonts w:ascii="Arial" w:cs="Arial" w:eastAsia="Arial" w:hAnsi="Arial"/>
          <w:sz w:val="18"/>
          <w:szCs w:val="18"/>
          <w:color w:val="auto"/>
        </w:rPr>
      </w:pPr>
    </w:p>
    <w:p>
      <w:pPr>
        <w:spacing w:after="0" w:line="335" w:lineRule="exact"/>
        <w:rPr>
          <w:rFonts w:ascii="Arial" w:cs="Arial" w:eastAsia="Arial" w:hAnsi="Arial"/>
          <w:sz w:val="18"/>
          <w:szCs w:val="18"/>
          <w:color w:val="auto"/>
        </w:rPr>
      </w:pPr>
    </w:p>
    <w:p>
      <w:pPr>
        <w:ind w:left="1600" w:hanging="370"/>
        <w:spacing w:after="0"/>
        <w:tabs>
          <w:tab w:leader="none" w:pos="1600" w:val="left"/>
        </w:tabs>
        <w:numPr>
          <w:ilvl w:val="1"/>
          <w:numId w:val="3"/>
        </w:numPr>
        <w:rPr>
          <w:rFonts w:ascii="Arial" w:cs="Arial" w:eastAsia="Arial" w:hAnsi="Arial"/>
          <w:sz w:val="18"/>
          <w:szCs w:val="18"/>
          <w:color w:val="auto"/>
        </w:rPr>
      </w:pPr>
      <w:r>
        <w:rPr>
          <w:rFonts w:ascii="Arial" w:cs="Arial" w:eastAsia="Arial" w:hAnsi="Arial"/>
          <w:sz w:val="18"/>
          <w:szCs w:val="18"/>
          <w:color w:val="auto"/>
        </w:rPr>
        <w:t>Form, Schedule or Registration Statement No.:</w:t>
      </w:r>
    </w:p>
    <w:p>
      <w:pPr>
        <w:spacing w:after="0" w:line="200" w:lineRule="exact"/>
        <w:rPr>
          <w:rFonts w:ascii="Arial" w:cs="Arial" w:eastAsia="Arial" w:hAnsi="Arial"/>
          <w:sz w:val="18"/>
          <w:szCs w:val="18"/>
          <w:color w:val="auto"/>
        </w:rPr>
      </w:pPr>
    </w:p>
    <w:p>
      <w:pPr>
        <w:spacing w:after="0" w:line="335" w:lineRule="exact"/>
        <w:rPr>
          <w:rFonts w:ascii="Arial" w:cs="Arial" w:eastAsia="Arial" w:hAnsi="Arial"/>
          <w:sz w:val="18"/>
          <w:szCs w:val="18"/>
          <w:color w:val="auto"/>
        </w:rPr>
      </w:pPr>
    </w:p>
    <w:p>
      <w:pPr>
        <w:ind w:left="1600" w:hanging="370"/>
        <w:spacing w:after="0"/>
        <w:tabs>
          <w:tab w:leader="none" w:pos="1600" w:val="left"/>
        </w:tabs>
        <w:numPr>
          <w:ilvl w:val="1"/>
          <w:numId w:val="3"/>
        </w:numPr>
        <w:rPr>
          <w:rFonts w:ascii="Arial" w:cs="Arial" w:eastAsia="Arial" w:hAnsi="Arial"/>
          <w:sz w:val="18"/>
          <w:szCs w:val="18"/>
          <w:color w:val="auto"/>
        </w:rPr>
      </w:pPr>
      <w:r>
        <w:rPr>
          <w:rFonts w:ascii="Arial" w:cs="Arial" w:eastAsia="Arial" w:hAnsi="Arial"/>
          <w:sz w:val="18"/>
          <w:szCs w:val="18"/>
          <w:color w:val="auto"/>
        </w:rPr>
        <w:t>Filing Party:</w:t>
      </w:r>
    </w:p>
    <w:p>
      <w:pPr>
        <w:spacing w:after="0" w:line="200" w:lineRule="exact"/>
        <w:rPr>
          <w:rFonts w:ascii="Arial" w:cs="Arial" w:eastAsia="Arial" w:hAnsi="Arial"/>
          <w:sz w:val="18"/>
          <w:szCs w:val="18"/>
          <w:color w:val="auto"/>
        </w:rPr>
      </w:pPr>
    </w:p>
    <w:p>
      <w:pPr>
        <w:spacing w:after="0" w:line="322" w:lineRule="exact"/>
        <w:rPr>
          <w:rFonts w:ascii="Arial" w:cs="Arial" w:eastAsia="Arial" w:hAnsi="Arial"/>
          <w:sz w:val="18"/>
          <w:szCs w:val="18"/>
          <w:color w:val="auto"/>
        </w:rPr>
      </w:pPr>
    </w:p>
    <w:p>
      <w:pPr>
        <w:ind w:left="1600" w:hanging="370"/>
        <w:spacing w:after="0"/>
        <w:tabs>
          <w:tab w:leader="none" w:pos="1600" w:val="left"/>
        </w:tabs>
        <w:numPr>
          <w:ilvl w:val="1"/>
          <w:numId w:val="3"/>
        </w:numPr>
        <w:rPr>
          <w:rFonts w:ascii="Arial" w:cs="Arial" w:eastAsia="Arial" w:hAnsi="Arial"/>
          <w:sz w:val="18"/>
          <w:szCs w:val="18"/>
          <w:color w:val="auto"/>
        </w:rPr>
      </w:pPr>
      <w:r>
        <w:rPr>
          <w:rFonts w:ascii="Arial" w:cs="Arial" w:eastAsia="Arial" w:hAnsi="Arial"/>
          <w:sz w:val="18"/>
          <w:szCs w:val="18"/>
          <w:color w:val="auto"/>
        </w:rPr>
        <w:t>Date Filed:</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1034415</wp:posOffset>
            </wp:positionH>
            <wp:positionV relativeFrom="paragraph">
              <wp:posOffset>-4458335</wp:posOffset>
            </wp:positionV>
            <wp:extent cx="5685790" cy="88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5685790" cy="8890"/>
                    </a:xfrm>
                    <a:prstGeom prst="rect">
                      <a:avLst/>
                    </a:prstGeom>
                    <a:noFill/>
                  </pic:spPr>
                </pic:pic>
              </a:graphicData>
            </a:graphic>
          </wp:anchor>
        </w:drawing>
        <w:drawing>
          <wp:anchor simplePos="0" relativeHeight="251657728" behindDoc="1" locked="0" layoutInCell="0" allowOverlap="1">
            <wp:simplePos x="0" y="0"/>
            <wp:positionH relativeFrom="column">
              <wp:posOffset>1034415</wp:posOffset>
            </wp:positionH>
            <wp:positionV relativeFrom="paragraph">
              <wp:posOffset>-3394710</wp:posOffset>
            </wp:positionV>
            <wp:extent cx="568579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685790" cy="8890"/>
                    </a:xfrm>
                    <a:prstGeom prst="rect">
                      <a:avLst/>
                    </a:prstGeom>
                    <a:noFill/>
                  </pic:spPr>
                </pic:pic>
              </a:graphicData>
            </a:graphic>
          </wp:anchor>
        </w:drawing>
        <w:drawing>
          <wp:anchor simplePos="0" relativeHeight="251657728" behindDoc="1" locked="0" layoutInCell="0" allowOverlap="1">
            <wp:simplePos x="0" y="0"/>
            <wp:positionH relativeFrom="column">
              <wp:posOffset>1034415</wp:posOffset>
            </wp:positionH>
            <wp:positionV relativeFrom="paragraph">
              <wp:posOffset>-2922905</wp:posOffset>
            </wp:positionV>
            <wp:extent cx="568579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685790" cy="8890"/>
                    </a:xfrm>
                    <a:prstGeom prst="rect">
                      <a:avLst/>
                    </a:prstGeom>
                    <a:noFill/>
                  </pic:spPr>
                </pic:pic>
              </a:graphicData>
            </a:graphic>
          </wp:anchor>
        </w:drawing>
        <w:drawing>
          <wp:anchor simplePos="0" relativeHeight="251657728" behindDoc="1" locked="0" layoutInCell="0" allowOverlap="1">
            <wp:simplePos x="0" y="0"/>
            <wp:positionH relativeFrom="column">
              <wp:posOffset>1034415</wp:posOffset>
            </wp:positionH>
            <wp:positionV relativeFrom="paragraph">
              <wp:posOffset>-1079500</wp:posOffset>
            </wp:positionV>
            <wp:extent cx="5685790"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5685790" cy="8890"/>
                    </a:xfrm>
                    <a:prstGeom prst="rect">
                      <a:avLst/>
                    </a:prstGeom>
                    <a:noFill/>
                  </pic:spPr>
                </pic:pic>
              </a:graphicData>
            </a:graphic>
          </wp:anchor>
        </w:drawing>
        <w:drawing>
          <wp:anchor simplePos="0" relativeHeight="251657728" behindDoc="1" locked="0" layoutInCell="0" allowOverlap="1">
            <wp:simplePos x="0" y="0"/>
            <wp:positionH relativeFrom="column">
              <wp:posOffset>1034415</wp:posOffset>
            </wp:positionH>
            <wp:positionV relativeFrom="paragraph">
              <wp:posOffset>-607695</wp:posOffset>
            </wp:positionV>
            <wp:extent cx="5685790"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5685790" cy="8890"/>
                    </a:xfrm>
                    <a:prstGeom prst="rect">
                      <a:avLst/>
                    </a:prstGeom>
                    <a:noFill/>
                  </pic:spPr>
                </pic:pic>
              </a:graphicData>
            </a:graphic>
          </wp:anchor>
        </w:drawing>
        <w:drawing>
          <wp:anchor simplePos="0" relativeHeight="251657728" behindDoc="1" locked="0" layoutInCell="0" allowOverlap="1">
            <wp:simplePos x="0" y="0"/>
            <wp:positionH relativeFrom="column">
              <wp:posOffset>1034415</wp:posOffset>
            </wp:positionH>
            <wp:positionV relativeFrom="paragraph">
              <wp:posOffset>326390</wp:posOffset>
            </wp:positionV>
            <wp:extent cx="5685790"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5685790" cy="8890"/>
                    </a:xfrm>
                    <a:prstGeom prst="rect">
                      <a:avLst/>
                    </a:prstGeom>
                    <a:noFill/>
                  </pic:spPr>
                </pic:pic>
              </a:graphicData>
            </a:graphic>
          </wp:anchor>
        </w:drawing>
      </w:r>
    </w:p>
    <w:p>
      <w:pPr>
        <w:sectPr>
          <w:pgSz w:w="11900" w:h="16838" w:orient="portrait"/>
          <w:cols w:equalWidth="0" w:num="1">
            <w:col w:w="10560"/>
          </w:cols>
          <w:pgMar w:left="240" w:top="226" w:right="1099" w:bottom="388" w:gutter="0" w:footer="0" w:header="0"/>
        </w:sectPr>
      </w:pPr>
    </w:p>
    <w:bookmarkStart w:id="1" w:name="page2"/>
    <w:bookmarkEnd w:id="1"/>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Times New Roman" w:cs="Times New Roman" w:eastAsia="Times New Roman" w:hAnsi="Times New Roman"/>
            <w:sz w:val="18"/>
            <w:szCs w:val="18"/>
            <w:b w:val="1"/>
            <w:bCs w:val="1"/>
            <w:u w:val="single" w:color="auto"/>
            <w:color w:val="0000EE"/>
          </w:rPr>
          <w:t>Table of Contents</w:t>
        </w:r>
      </w:hyperlink>
    </w:p>
    <w:p>
      <w:pPr>
        <w:spacing w:after="0" w:line="300" w:lineRule="exact"/>
        <w:rPr>
          <w:sz w:val="20"/>
          <w:szCs w:val="20"/>
          <w:color w:val="auto"/>
        </w:rPr>
      </w:pPr>
    </w:p>
    <w:p>
      <w:pPr>
        <w:ind w:left="860"/>
        <w:spacing w:after="0"/>
        <w:rPr>
          <w:sz w:val="20"/>
          <w:szCs w:val="20"/>
          <w:color w:val="auto"/>
        </w:rPr>
      </w:pPr>
      <w:r>
        <w:rPr>
          <w:rFonts w:ascii="Arial" w:cs="Arial" w:eastAsia="Arial" w:hAnsi="Arial"/>
          <w:sz w:val="23"/>
          <w:szCs w:val="23"/>
          <w:b w:val="1"/>
          <w:bCs w:val="1"/>
          <w:color w:val="2B4C9B"/>
        </w:rPr>
        <w:t>Notice of 2018 Annual Meeting</w:t>
      </w:r>
    </w:p>
    <w:p>
      <w:pPr>
        <w:spacing w:after="0" w:line="51" w:lineRule="exact"/>
        <w:rPr>
          <w:sz w:val="20"/>
          <w:szCs w:val="20"/>
          <w:color w:val="auto"/>
        </w:rPr>
      </w:pPr>
    </w:p>
    <w:p>
      <w:pPr>
        <w:ind w:left="860"/>
        <w:spacing w:after="0"/>
        <w:rPr>
          <w:sz w:val="20"/>
          <w:szCs w:val="20"/>
          <w:color w:val="auto"/>
        </w:rPr>
      </w:pPr>
      <w:r>
        <w:rPr>
          <w:rFonts w:ascii="Arial" w:cs="Arial" w:eastAsia="Arial" w:hAnsi="Arial"/>
          <w:sz w:val="23"/>
          <w:szCs w:val="23"/>
          <w:b w:val="1"/>
          <w:bCs w:val="1"/>
          <w:color w:val="2B4C9B"/>
        </w:rPr>
        <w:t>and Proxy Statement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4756150</wp:posOffset>
            </wp:positionH>
            <wp:positionV relativeFrom="paragraph">
              <wp:posOffset>-33020</wp:posOffset>
            </wp:positionV>
            <wp:extent cx="1706880" cy="32575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1706880" cy="3257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3" w:lineRule="exact"/>
        <w:rPr>
          <w:sz w:val="20"/>
          <w:szCs w:val="20"/>
          <w:color w:val="auto"/>
        </w:rPr>
      </w:pPr>
    </w:p>
    <w:p>
      <w:pPr>
        <w:ind w:left="7480"/>
        <w:spacing w:after="0"/>
        <w:rPr>
          <w:sz w:val="20"/>
          <w:szCs w:val="20"/>
          <w:color w:val="auto"/>
        </w:rPr>
      </w:pPr>
      <w:r>
        <w:rPr>
          <w:rFonts w:ascii="Arial" w:cs="Arial" w:eastAsia="Arial" w:hAnsi="Arial"/>
          <w:sz w:val="18"/>
          <w:szCs w:val="18"/>
          <w:color w:val="auto"/>
        </w:rPr>
        <w:t>April 12, 2018</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left="860"/>
        <w:spacing w:after="0"/>
        <w:rPr>
          <w:sz w:val="20"/>
          <w:szCs w:val="20"/>
          <w:color w:val="auto"/>
        </w:rPr>
      </w:pPr>
      <w:r>
        <w:rPr>
          <w:rFonts w:ascii="Arial" w:cs="Arial" w:eastAsia="Arial" w:hAnsi="Arial"/>
          <w:sz w:val="18"/>
          <w:szCs w:val="18"/>
          <w:color w:val="auto"/>
        </w:rPr>
        <w:t>Dear Shareholder:</w:t>
      </w:r>
    </w:p>
    <w:p>
      <w:pPr>
        <w:spacing w:after="0" w:line="212" w:lineRule="exact"/>
        <w:rPr>
          <w:sz w:val="20"/>
          <w:szCs w:val="20"/>
          <w:color w:val="auto"/>
        </w:rPr>
      </w:pPr>
    </w:p>
    <w:p>
      <w:pPr>
        <w:ind w:left="860" w:right="80"/>
        <w:spacing w:after="0" w:line="255" w:lineRule="auto"/>
        <w:rPr>
          <w:sz w:val="20"/>
          <w:szCs w:val="20"/>
          <w:color w:val="auto"/>
        </w:rPr>
      </w:pPr>
      <w:r>
        <w:rPr>
          <w:rFonts w:ascii="Arial" w:cs="Arial" w:eastAsia="Arial" w:hAnsi="Arial"/>
          <w:sz w:val="18"/>
          <w:szCs w:val="18"/>
          <w:color w:val="auto"/>
        </w:rPr>
        <w:t>We invite you to attend the annual meeting of shareholders on Wednesday, May 30, 2018, at the Morton H. Meyerson Symphony Center, 2301 Flora Street, Dallas, Texas 75201. The meeting will begin promptly at 9:30 a.m. Central Time. At the meeting, you will hear a report on our business and vote on the following items:</w:t>
      </w:r>
    </w:p>
    <w:p>
      <w:pPr>
        <w:spacing w:after="0" w:line="70" w:lineRule="exact"/>
        <w:rPr>
          <w:sz w:val="20"/>
          <w:szCs w:val="20"/>
          <w:color w:val="auto"/>
        </w:rPr>
      </w:pPr>
    </w:p>
    <w:p>
      <w:pPr>
        <w:ind w:left="1240" w:hanging="388"/>
        <w:spacing w:after="0"/>
        <w:tabs>
          <w:tab w:leader="none" w:pos="1240" w:val="left"/>
        </w:tabs>
        <w:numPr>
          <w:ilvl w:val="0"/>
          <w:numId w:val="4"/>
        </w:numPr>
        <w:rPr>
          <w:rFonts w:ascii="Times New Roman" w:cs="Times New Roman" w:eastAsia="Times New Roman" w:hAnsi="Times New Roman"/>
          <w:sz w:val="18"/>
          <w:szCs w:val="18"/>
          <w:color w:val="auto"/>
        </w:rPr>
      </w:pPr>
      <w:r>
        <w:rPr>
          <w:rFonts w:ascii="Arial" w:cs="Arial" w:eastAsia="Arial" w:hAnsi="Arial"/>
          <w:sz w:val="18"/>
          <w:szCs w:val="18"/>
          <w:color w:val="auto"/>
        </w:rPr>
        <w:t>Election of directors;</w:t>
      </w:r>
    </w:p>
    <w:p>
      <w:pPr>
        <w:spacing w:after="0" w:line="129" w:lineRule="exact"/>
        <w:rPr>
          <w:rFonts w:ascii="Times New Roman" w:cs="Times New Roman" w:eastAsia="Times New Roman" w:hAnsi="Times New Roman"/>
          <w:sz w:val="18"/>
          <w:szCs w:val="18"/>
          <w:color w:val="auto"/>
        </w:rPr>
      </w:pPr>
    </w:p>
    <w:p>
      <w:pPr>
        <w:ind w:left="1240" w:hanging="388"/>
        <w:spacing w:after="0"/>
        <w:tabs>
          <w:tab w:leader="none" w:pos="1240" w:val="left"/>
        </w:tabs>
        <w:numPr>
          <w:ilvl w:val="0"/>
          <w:numId w:val="4"/>
        </w:numPr>
        <w:rPr>
          <w:rFonts w:ascii="Times New Roman" w:cs="Times New Roman" w:eastAsia="Times New Roman" w:hAnsi="Times New Roman"/>
          <w:sz w:val="18"/>
          <w:szCs w:val="18"/>
          <w:color w:val="auto"/>
        </w:rPr>
      </w:pPr>
      <w:r>
        <w:rPr>
          <w:rFonts w:ascii="Arial" w:cs="Arial" w:eastAsia="Arial" w:hAnsi="Arial"/>
          <w:sz w:val="18"/>
          <w:szCs w:val="18"/>
          <w:color w:val="auto"/>
        </w:rPr>
        <w:t>Ratification of PricewaterhouseCoopers LLP as independent auditors;</w:t>
      </w:r>
    </w:p>
    <w:p>
      <w:pPr>
        <w:spacing w:after="0" w:line="129" w:lineRule="exact"/>
        <w:rPr>
          <w:rFonts w:ascii="Times New Roman" w:cs="Times New Roman" w:eastAsia="Times New Roman" w:hAnsi="Times New Roman"/>
          <w:sz w:val="18"/>
          <w:szCs w:val="18"/>
          <w:color w:val="auto"/>
        </w:rPr>
      </w:pPr>
    </w:p>
    <w:p>
      <w:pPr>
        <w:ind w:left="1240" w:hanging="388"/>
        <w:spacing w:after="0"/>
        <w:tabs>
          <w:tab w:leader="none" w:pos="1240" w:val="left"/>
        </w:tabs>
        <w:numPr>
          <w:ilvl w:val="0"/>
          <w:numId w:val="4"/>
        </w:numPr>
        <w:rPr>
          <w:rFonts w:ascii="Times New Roman" w:cs="Times New Roman" w:eastAsia="Times New Roman" w:hAnsi="Times New Roman"/>
          <w:sz w:val="18"/>
          <w:szCs w:val="18"/>
          <w:color w:val="auto"/>
        </w:rPr>
      </w:pPr>
      <w:r>
        <w:rPr>
          <w:rFonts w:ascii="Arial" w:cs="Arial" w:eastAsia="Arial" w:hAnsi="Arial"/>
          <w:sz w:val="18"/>
          <w:szCs w:val="18"/>
          <w:color w:val="auto"/>
        </w:rPr>
        <w:t>Advisory vote to approve executive compensation as required by law;</w:t>
      </w:r>
    </w:p>
    <w:p>
      <w:pPr>
        <w:spacing w:after="0" w:line="129" w:lineRule="exact"/>
        <w:rPr>
          <w:rFonts w:ascii="Times New Roman" w:cs="Times New Roman" w:eastAsia="Times New Roman" w:hAnsi="Times New Roman"/>
          <w:sz w:val="18"/>
          <w:szCs w:val="18"/>
          <w:color w:val="auto"/>
        </w:rPr>
      </w:pPr>
    </w:p>
    <w:p>
      <w:pPr>
        <w:ind w:left="1240" w:hanging="388"/>
        <w:spacing w:after="0"/>
        <w:tabs>
          <w:tab w:leader="none" w:pos="1240" w:val="left"/>
        </w:tabs>
        <w:numPr>
          <w:ilvl w:val="0"/>
          <w:numId w:val="4"/>
        </w:numPr>
        <w:rPr>
          <w:rFonts w:ascii="Times New Roman" w:cs="Times New Roman" w:eastAsia="Times New Roman" w:hAnsi="Times New Roman"/>
          <w:sz w:val="18"/>
          <w:szCs w:val="18"/>
          <w:color w:val="auto"/>
        </w:rPr>
      </w:pPr>
      <w:r>
        <w:rPr>
          <w:rFonts w:ascii="Arial" w:cs="Arial" w:eastAsia="Arial" w:hAnsi="Arial"/>
          <w:sz w:val="18"/>
          <w:szCs w:val="18"/>
          <w:color w:val="auto"/>
        </w:rPr>
        <w:t>Four shareholder proposals contained in this proxy statement; and</w:t>
      </w:r>
    </w:p>
    <w:p>
      <w:pPr>
        <w:spacing w:after="0" w:line="129" w:lineRule="exact"/>
        <w:rPr>
          <w:rFonts w:ascii="Times New Roman" w:cs="Times New Roman" w:eastAsia="Times New Roman" w:hAnsi="Times New Roman"/>
          <w:sz w:val="18"/>
          <w:szCs w:val="18"/>
          <w:color w:val="auto"/>
        </w:rPr>
      </w:pPr>
    </w:p>
    <w:p>
      <w:pPr>
        <w:ind w:left="1240" w:hanging="388"/>
        <w:spacing w:after="0"/>
        <w:tabs>
          <w:tab w:leader="none" w:pos="1240" w:val="left"/>
        </w:tabs>
        <w:numPr>
          <w:ilvl w:val="0"/>
          <w:numId w:val="4"/>
        </w:numPr>
        <w:rPr>
          <w:rFonts w:ascii="Times New Roman" w:cs="Times New Roman" w:eastAsia="Times New Roman" w:hAnsi="Times New Roman"/>
          <w:sz w:val="18"/>
          <w:szCs w:val="18"/>
          <w:color w:val="auto"/>
        </w:rPr>
      </w:pPr>
      <w:r>
        <w:rPr>
          <w:rFonts w:ascii="Arial" w:cs="Arial" w:eastAsia="Arial" w:hAnsi="Arial"/>
          <w:sz w:val="18"/>
          <w:szCs w:val="18"/>
          <w:color w:val="auto"/>
        </w:rPr>
        <w:t>Other matters if properly raised.</w:t>
      </w:r>
    </w:p>
    <w:p>
      <w:pPr>
        <w:spacing w:after="0" w:line="224" w:lineRule="exact"/>
        <w:rPr>
          <w:sz w:val="20"/>
          <w:szCs w:val="20"/>
          <w:color w:val="auto"/>
        </w:rPr>
      </w:pPr>
    </w:p>
    <w:p>
      <w:pPr>
        <w:ind w:left="860" w:right="40"/>
        <w:spacing w:after="0" w:line="255" w:lineRule="auto"/>
        <w:rPr>
          <w:sz w:val="20"/>
          <w:szCs w:val="20"/>
          <w:color w:val="auto"/>
        </w:rPr>
      </w:pPr>
      <w:r>
        <w:rPr>
          <w:rFonts w:ascii="Arial" w:cs="Arial" w:eastAsia="Arial" w:hAnsi="Arial"/>
          <w:sz w:val="18"/>
          <w:szCs w:val="18"/>
          <w:color w:val="auto"/>
        </w:rPr>
        <w:t>Only shareholders of record on April 4, 2018, or their proxy holders may vote at the meeting. Attendance at the meeting is limited to shareholders or their proxy holders and ExxonMobil guests. Only shareholders or their valid proxy holders may address the meeting.</w:t>
      </w:r>
    </w:p>
    <w:p>
      <w:pPr>
        <w:spacing w:after="0" w:line="164" w:lineRule="exact"/>
        <w:rPr>
          <w:sz w:val="20"/>
          <w:szCs w:val="20"/>
          <w:color w:val="auto"/>
        </w:rPr>
      </w:pPr>
    </w:p>
    <w:p>
      <w:pPr>
        <w:ind w:left="860" w:right="40"/>
        <w:spacing w:after="0" w:line="277" w:lineRule="auto"/>
        <w:rPr>
          <w:sz w:val="20"/>
          <w:szCs w:val="20"/>
          <w:color w:val="auto"/>
        </w:rPr>
      </w:pPr>
      <w:r>
        <w:rPr>
          <w:rFonts w:ascii="Arial" w:cs="Arial" w:eastAsia="Arial" w:hAnsi="Arial"/>
          <w:sz w:val="17"/>
          <w:szCs w:val="17"/>
          <w:color w:val="auto"/>
        </w:rPr>
        <w:t>This booklet includes the formal notice of the meeting and proxy statement. The proxy statement tells you about the agenda, procedures, and rules of conduct for the meeting. It also describes how the Board operates, gives information about our director candidates, and provides information about the other items of business to be conducted at the meeting.</w:t>
      </w:r>
    </w:p>
    <w:p>
      <w:pPr>
        <w:spacing w:after="0" w:line="147" w:lineRule="exact"/>
        <w:rPr>
          <w:sz w:val="20"/>
          <w:szCs w:val="20"/>
          <w:color w:val="auto"/>
        </w:rPr>
      </w:pPr>
    </w:p>
    <w:p>
      <w:pPr>
        <w:ind w:left="860" w:right="400"/>
        <w:spacing w:after="0" w:line="276" w:lineRule="auto"/>
        <w:rPr>
          <w:sz w:val="20"/>
          <w:szCs w:val="20"/>
          <w:color w:val="auto"/>
        </w:rPr>
      </w:pPr>
      <w:r>
        <w:rPr>
          <w:rFonts w:ascii="Arial" w:cs="Arial" w:eastAsia="Arial" w:hAnsi="Arial"/>
          <w:sz w:val="18"/>
          <w:szCs w:val="18"/>
          <w:color w:val="auto"/>
        </w:rPr>
        <w:t>Financial information is provided separately in the booklet, 2017 Financial Statements and Supplemental Information, enclosed with the proxy materials or made available online to all shareholders.</w:t>
      </w:r>
    </w:p>
    <w:p>
      <w:pPr>
        <w:spacing w:after="0" w:line="145" w:lineRule="exact"/>
        <w:rPr>
          <w:sz w:val="20"/>
          <w:szCs w:val="20"/>
          <w:color w:val="auto"/>
        </w:rPr>
      </w:pPr>
    </w:p>
    <w:p>
      <w:pPr>
        <w:ind w:left="860"/>
        <w:spacing w:after="0" w:line="255" w:lineRule="auto"/>
        <w:rPr>
          <w:sz w:val="20"/>
          <w:szCs w:val="20"/>
          <w:color w:val="auto"/>
        </w:rPr>
      </w:pPr>
      <w:r>
        <w:rPr>
          <w:rFonts w:ascii="Arial" w:cs="Arial" w:eastAsia="Arial" w:hAnsi="Arial"/>
          <w:sz w:val="18"/>
          <w:szCs w:val="18"/>
          <w:color w:val="auto"/>
        </w:rPr>
        <w:t xml:space="preserve">Your vote is important. Even if you own only a few shares, we want your shares to be represented at the meeting. You can vote your shares by Internet, toll-free telephone call, or proxy card. A Summary of 2018 Proxy Voting Results will be available at </w:t>
      </w:r>
      <w:r>
        <w:rPr>
          <w:rFonts w:ascii="Arial" w:cs="Arial" w:eastAsia="Arial" w:hAnsi="Arial"/>
          <w:sz w:val="18"/>
          <w:szCs w:val="18"/>
          <w:i w:val="1"/>
          <w:iCs w:val="1"/>
          <w:color w:val="auto"/>
        </w:rPr>
        <w:t>exxonmobil.com</w:t>
      </w:r>
      <w:r>
        <w:rPr>
          <w:rFonts w:ascii="Arial" w:cs="Arial" w:eastAsia="Arial" w:hAnsi="Arial"/>
          <w:sz w:val="18"/>
          <w:szCs w:val="18"/>
          <w:color w:val="auto"/>
        </w:rPr>
        <w:t xml:space="preserve"> after the annual shareholders meeting.</w:t>
      </w:r>
    </w:p>
    <w:p>
      <w:pPr>
        <w:spacing w:after="0" w:line="164" w:lineRule="exact"/>
        <w:rPr>
          <w:sz w:val="20"/>
          <w:szCs w:val="20"/>
          <w:color w:val="auto"/>
        </w:rPr>
      </w:pPr>
    </w:p>
    <w:p>
      <w:pPr>
        <w:ind w:left="860" w:right="80"/>
        <w:spacing w:after="0" w:line="276" w:lineRule="auto"/>
        <w:rPr>
          <w:sz w:val="20"/>
          <w:szCs w:val="20"/>
          <w:color w:val="auto"/>
        </w:rPr>
      </w:pPr>
      <w:r>
        <w:rPr>
          <w:rFonts w:ascii="Arial" w:cs="Arial" w:eastAsia="Arial" w:hAnsi="Arial"/>
          <w:sz w:val="18"/>
          <w:szCs w:val="18"/>
          <w:color w:val="auto"/>
        </w:rPr>
        <w:t xml:space="preserve">To attend the meeting in person, please follow the instructions on page 3. An audio webcast with slide presentation and a report on the meeting will be available on our website at </w:t>
      </w:r>
      <w:r>
        <w:rPr>
          <w:rFonts w:ascii="Arial" w:cs="Arial" w:eastAsia="Arial" w:hAnsi="Arial"/>
          <w:sz w:val="18"/>
          <w:szCs w:val="18"/>
          <w:i w:val="1"/>
          <w:iCs w:val="1"/>
          <w:color w:val="auto"/>
        </w:rPr>
        <w:t>exxonmobil.com.</w:t>
      </w:r>
    </w:p>
    <w:p>
      <w:pPr>
        <w:spacing w:after="0" w:line="145" w:lineRule="exact"/>
        <w:rPr>
          <w:sz w:val="20"/>
          <w:szCs w:val="20"/>
          <w:color w:val="auto"/>
        </w:rPr>
      </w:pPr>
    </w:p>
    <w:p>
      <w:pPr>
        <w:ind w:left="5320"/>
        <w:spacing w:after="0"/>
        <w:rPr>
          <w:sz w:val="20"/>
          <w:szCs w:val="20"/>
          <w:color w:val="auto"/>
        </w:rPr>
      </w:pPr>
      <w:r>
        <w:rPr>
          <w:rFonts w:ascii="Arial" w:cs="Arial" w:eastAsia="Arial" w:hAnsi="Arial"/>
          <w:sz w:val="18"/>
          <w:szCs w:val="18"/>
          <w:color w:val="auto"/>
        </w:rPr>
        <w:t>Sincerely,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1042670</wp:posOffset>
            </wp:positionH>
            <wp:positionV relativeFrom="paragraph">
              <wp:posOffset>560705</wp:posOffset>
            </wp:positionV>
            <wp:extent cx="1423670" cy="61722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1423670" cy="617220"/>
                    </a:xfrm>
                    <a:prstGeom prst="rect">
                      <a:avLst/>
                    </a:prstGeom>
                    <a:noFill/>
                  </pic:spPr>
                </pic:pic>
              </a:graphicData>
            </a:graphic>
          </wp:anchor>
        </w:drawing>
        <w:drawing>
          <wp:anchor simplePos="0" relativeHeight="251657728" behindDoc="1" locked="0" layoutInCell="0" allowOverlap="1">
            <wp:simplePos x="0" y="0"/>
            <wp:positionH relativeFrom="column">
              <wp:posOffset>4413250</wp:posOffset>
            </wp:positionH>
            <wp:positionV relativeFrom="paragraph">
              <wp:posOffset>414655</wp:posOffset>
            </wp:positionV>
            <wp:extent cx="1646555" cy="49720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1646555" cy="497205"/>
                    </a:xfrm>
                    <a:prstGeom prst="rect">
                      <a:avLst/>
                    </a:prstGeom>
                    <a:noFill/>
                  </pic:spPr>
                </pic:pic>
              </a:graphicData>
            </a:graphic>
          </wp:anchor>
        </w:drawing>
      </w:r>
    </w:p>
    <w:p>
      <w:pPr>
        <w:sectPr>
          <w:pgSz w:w="11900" w:h="16838" w:orient="portrait"/>
          <w:cols w:equalWidth="0" w:num="1">
            <w:col w:w="10560"/>
          </w:cols>
          <w:pgMar w:left="240" w:top="455" w:right="109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9" w:lineRule="exact"/>
        <w:rPr>
          <w:sz w:val="20"/>
          <w:szCs w:val="20"/>
          <w:color w:val="auto"/>
        </w:rPr>
      </w:pPr>
    </w:p>
    <w:p>
      <w:pPr>
        <w:ind w:left="1640"/>
        <w:spacing w:after="0"/>
        <w:rPr>
          <w:sz w:val="20"/>
          <w:szCs w:val="20"/>
          <w:color w:val="auto"/>
        </w:rPr>
      </w:pPr>
      <w:r>
        <w:rPr>
          <w:rFonts w:ascii="Arial" w:cs="Arial" w:eastAsia="Arial" w:hAnsi="Arial"/>
          <w:sz w:val="17"/>
          <w:szCs w:val="17"/>
          <w:color w:val="auto"/>
        </w:rPr>
        <w:t>Jeffrey J. Woodbury</w:t>
      </w:r>
    </w:p>
    <w:p>
      <w:pPr>
        <w:spacing w:after="0" w:line="29" w:lineRule="exact"/>
        <w:rPr>
          <w:sz w:val="20"/>
          <w:szCs w:val="20"/>
          <w:color w:val="auto"/>
        </w:rPr>
      </w:pPr>
    </w:p>
    <w:p>
      <w:pPr>
        <w:ind w:left="1640"/>
        <w:spacing w:after="0"/>
        <w:rPr>
          <w:sz w:val="20"/>
          <w:szCs w:val="20"/>
          <w:color w:val="auto"/>
        </w:rPr>
      </w:pPr>
      <w:r>
        <w:rPr>
          <w:rFonts w:ascii="Arial" w:cs="Arial" w:eastAsia="Arial" w:hAnsi="Arial"/>
          <w:sz w:val="18"/>
          <w:szCs w:val="18"/>
          <w:color w:val="auto"/>
        </w:rPr>
        <w:t>Secretary</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spacing w:after="0"/>
        <w:rPr>
          <w:sz w:val="20"/>
          <w:szCs w:val="20"/>
          <w:color w:val="auto"/>
        </w:rPr>
      </w:pPr>
      <w:r>
        <w:rPr>
          <w:rFonts w:ascii="Arial" w:cs="Arial" w:eastAsia="Arial" w:hAnsi="Arial"/>
          <w:sz w:val="18"/>
          <w:szCs w:val="18"/>
          <w:color w:val="auto"/>
        </w:rPr>
        <w:t>Darren W. Woods</w:t>
      </w:r>
    </w:p>
    <w:p>
      <w:pPr>
        <w:spacing w:after="0" w:line="18" w:lineRule="exact"/>
        <w:rPr>
          <w:sz w:val="20"/>
          <w:szCs w:val="20"/>
          <w:color w:val="auto"/>
        </w:rPr>
      </w:pPr>
    </w:p>
    <w:p>
      <w:pPr>
        <w:spacing w:after="0"/>
        <w:rPr>
          <w:sz w:val="20"/>
          <w:szCs w:val="20"/>
          <w:color w:val="auto"/>
        </w:rPr>
      </w:pPr>
      <w:r>
        <w:rPr>
          <w:rFonts w:ascii="Arial" w:cs="Arial" w:eastAsia="Arial" w:hAnsi="Arial"/>
          <w:sz w:val="18"/>
          <w:szCs w:val="18"/>
          <w:color w:val="auto"/>
        </w:rPr>
        <w:t>Chairman of the Board</w:t>
      </w:r>
    </w:p>
    <w:p>
      <w:pPr>
        <w:sectPr>
          <w:pgSz w:w="11900" w:h="16838" w:orient="portrait"/>
          <w:cols w:equalWidth="0" w:num="2">
            <w:col w:w="6220" w:space="720"/>
            <w:col w:w="3620"/>
          </w:cols>
          <w:pgMar w:left="240" w:top="455" w:right="1099" w:bottom="1440" w:gutter="0" w:footer="0" w:header="0"/>
          <w:type w:val="continuous"/>
        </w:sectPr>
      </w:pPr>
    </w:p>
    <w:bookmarkStart w:id="2" w:name="page3"/>
    <w:bookmarkEnd w:id="2"/>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Times New Roman" w:cs="Times New Roman" w:eastAsia="Times New Roman" w:hAnsi="Times New Roman"/>
            <w:sz w:val="18"/>
            <w:szCs w:val="18"/>
            <w:b w:val="1"/>
            <w:bCs w:val="1"/>
            <w:u w:val="single" w:color="auto"/>
            <w:color w:val="0000EE"/>
          </w:rPr>
          <w:t>Table of Contents</w:t>
        </w:r>
      </w:hyperlink>
    </w:p>
    <w:p>
      <w:pPr>
        <w:spacing w:after="0" w:line="291" w:lineRule="exact"/>
        <w:rPr>
          <w:sz w:val="20"/>
          <w:szCs w:val="20"/>
          <w:color w:val="auto"/>
        </w:rPr>
      </w:pPr>
    </w:p>
    <w:tbl>
      <w:tblPr>
        <w:tblLayout w:type="fixed"/>
        <w:tblInd w:w="880" w:type="dxa"/>
        <w:tblCellMar>
          <w:top w:w="0" w:type="dxa"/>
          <w:left w:w="0" w:type="dxa"/>
          <w:bottom w:w="0" w:type="dxa"/>
          <w:right w:w="0" w:type="dxa"/>
        </w:tblCellMar>
      </w:tblPr>
      <w:tr>
        <w:trPr>
          <w:trHeight w:val="306"/>
        </w:trPr>
        <w:tc>
          <w:tcPr>
            <w:tcW w:w="16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4040" w:type="dxa"/>
            <w:vAlign w:val="bottom"/>
            <w:gridSpan w:val="5"/>
          </w:tcPr>
          <w:p>
            <w:pPr>
              <w:ind w:left="160"/>
              <w:spacing w:after="0"/>
              <w:rPr>
                <w:sz w:val="20"/>
                <w:szCs w:val="20"/>
                <w:color w:val="auto"/>
              </w:rPr>
            </w:pPr>
            <w:r>
              <w:rPr>
                <w:rFonts w:ascii="Arial" w:cs="Arial" w:eastAsia="Arial" w:hAnsi="Arial"/>
                <w:sz w:val="22"/>
                <w:szCs w:val="22"/>
                <w:b w:val="1"/>
                <w:bCs w:val="1"/>
                <w:color w:val="auto"/>
              </w:rPr>
              <w:t>TABLE OF CONTENTS</w:t>
            </w:r>
          </w:p>
        </w:tc>
        <w:tc>
          <w:tcPr>
            <w:tcW w:w="2060" w:type="dxa"/>
            <w:vAlign w:val="bottom"/>
          </w:tcPr>
          <w:p>
            <w:pPr>
              <w:spacing w:after="0"/>
              <w:rPr>
                <w:sz w:val="24"/>
                <w:szCs w:val="24"/>
                <w:color w:val="auto"/>
              </w:rPr>
            </w:pPr>
          </w:p>
        </w:tc>
      </w:tr>
      <w:tr>
        <w:trPr>
          <w:trHeight w:val="467"/>
        </w:trPr>
        <w:tc>
          <w:tcPr>
            <w:tcW w:w="16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2660" w:type="dxa"/>
            <w:vAlign w:val="bottom"/>
          </w:tcPr>
          <w:p>
            <w:pPr>
              <w:spacing w:after="0"/>
              <w:rPr>
                <w:sz w:val="24"/>
                <w:szCs w:val="24"/>
                <w:color w:val="auto"/>
              </w:rPr>
            </w:pPr>
          </w:p>
        </w:tc>
        <w:tc>
          <w:tcPr>
            <w:tcW w:w="2060" w:type="dxa"/>
            <w:vAlign w:val="bottom"/>
          </w:tcPr>
          <w:p>
            <w:pPr>
              <w:jc w:val="right"/>
              <w:spacing w:after="0"/>
              <w:rPr>
                <w:sz w:val="20"/>
                <w:szCs w:val="20"/>
                <w:color w:val="auto"/>
              </w:rPr>
            </w:pPr>
            <w:r>
              <w:rPr>
                <w:rFonts w:ascii="Arial" w:cs="Arial" w:eastAsia="Arial" w:hAnsi="Arial"/>
                <w:sz w:val="20"/>
                <w:szCs w:val="20"/>
                <w:b w:val="1"/>
                <w:bCs w:val="1"/>
                <w:color w:val="auto"/>
              </w:rPr>
              <w:t>Page</w:t>
            </w:r>
          </w:p>
        </w:tc>
      </w:tr>
      <w:tr>
        <w:trPr>
          <w:trHeight w:val="250"/>
        </w:trPr>
        <w:tc>
          <w:tcPr>
            <w:tcW w:w="2180" w:type="dxa"/>
            <w:vAlign w:val="bottom"/>
            <w:tcBorders>
              <w:bottom w:val="single" w:sz="8" w:color="0000EE"/>
            </w:tcBorders>
            <w:gridSpan w:val="6"/>
          </w:tcPr>
          <w:p>
            <w:pPr>
              <w:spacing w:after="0"/>
              <w:rPr>
                <w:rFonts w:ascii="Arial" w:cs="Arial" w:eastAsia="Arial" w:hAnsi="Arial"/>
                <w:sz w:val="18"/>
                <w:szCs w:val="18"/>
                <w:b w:val="1"/>
                <w:bCs w:val="1"/>
                <w:color w:val="0000EE"/>
                <w:w w:val="98"/>
              </w:rPr>
            </w:pPr>
            <w:hyperlink w:anchor="page4">
              <w:r>
                <w:rPr>
                  <w:rFonts w:ascii="Arial" w:cs="Arial" w:eastAsia="Arial" w:hAnsi="Arial"/>
                  <w:sz w:val="18"/>
                  <w:szCs w:val="18"/>
                  <w:b w:val="1"/>
                  <w:bCs w:val="1"/>
                  <w:color w:val="0000EE"/>
                  <w:w w:val="98"/>
                </w:rPr>
                <w:t>GENERAL INFORMATION</w:t>
              </w:r>
            </w:hyperlink>
          </w:p>
        </w:tc>
        <w:tc>
          <w:tcPr>
            <w:tcW w:w="5380" w:type="dxa"/>
            <w:vAlign w:val="bottom"/>
            <w:gridSpan w:val="13"/>
          </w:tcPr>
          <w:p>
            <w:pPr>
              <w:spacing w:after="0"/>
              <w:rPr>
                <w:sz w:val="21"/>
                <w:szCs w:val="21"/>
                <w:color w:val="auto"/>
              </w:rPr>
            </w:pPr>
          </w:p>
        </w:tc>
        <w:tc>
          <w:tcPr>
            <w:tcW w:w="2060" w:type="dxa"/>
            <w:vAlign w:val="bottom"/>
          </w:tcPr>
          <w:p>
            <w:pPr>
              <w:jc w:val="right"/>
              <w:spacing w:after="0"/>
              <w:rPr>
                <w:sz w:val="20"/>
                <w:szCs w:val="20"/>
                <w:color w:val="auto"/>
              </w:rPr>
            </w:pPr>
            <w:r>
              <w:rPr>
                <w:rFonts w:ascii="Arial" w:cs="Arial" w:eastAsia="Arial" w:hAnsi="Arial"/>
                <w:sz w:val="18"/>
                <w:szCs w:val="18"/>
                <w:color w:val="auto"/>
              </w:rPr>
              <w:t>1</w:t>
            </w:r>
          </w:p>
        </w:tc>
      </w:tr>
      <w:tr>
        <w:trPr>
          <w:trHeight w:val="291"/>
        </w:trPr>
        <w:tc>
          <w:tcPr>
            <w:tcW w:w="2060" w:type="dxa"/>
            <w:vAlign w:val="bottom"/>
            <w:tcBorders>
              <w:bottom w:val="single" w:sz="8" w:color="0000EE"/>
            </w:tcBorders>
            <w:gridSpan w:val="5"/>
          </w:tcPr>
          <w:p>
            <w:pPr>
              <w:spacing w:after="0"/>
              <w:rPr>
                <w:rFonts w:ascii="Arial" w:cs="Arial" w:eastAsia="Arial" w:hAnsi="Arial"/>
                <w:sz w:val="18"/>
                <w:szCs w:val="18"/>
                <w:b w:val="1"/>
                <w:bCs w:val="1"/>
                <w:color w:val="0000EE"/>
                <w:w w:val="98"/>
              </w:rPr>
            </w:pPr>
            <w:hyperlink w:anchor="page7">
              <w:r>
                <w:rPr>
                  <w:rFonts w:ascii="Arial" w:cs="Arial" w:eastAsia="Arial" w:hAnsi="Arial"/>
                  <w:sz w:val="18"/>
                  <w:szCs w:val="18"/>
                  <w:b w:val="1"/>
                  <w:bCs w:val="1"/>
                  <w:color w:val="0000EE"/>
                  <w:w w:val="98"/>
                </w:rPr>
                <w:t>BOARD OF DIRECTORS</w:t>
              </w:r>
            </w:hyperlink>
          </w:p>
        </w:tc>
        <w:tc>
          <w:tcPr>
            <w:tcW w:w="5500" w:type="dxa"/>
            <w:vAlign w:val="bottom"/>
            <w:gridSpan w:val="14"/>
          </w:tcPr>
          <w:p>
            <w:pPr>
              <w:spacing w:after="0"/>
              <w:rPr>
                <w:sz w:val="24"/>
                <w:szCs w:val="24"/>
                <w:color w:val="auto"/>
              </w:rPr>
            </w:pPr>
          </w:p>
        </w:tc>
        <w:tc>
          <w:tcPr>
            <w:tcW w:w="2060" w:type="dxa"/>
            <w:vAlign w:val="bottom"/>
          </w:tcPr>
          <w:p>
            <w:pPr>
              <w:jc w:val="right"/>
              <w:spacing w:after="0"/>
              <w:rPr>
                <w:sz w:val="20"/>
                <w:szCs w:val="20"/>
                <w:color w:val="auto"/>
              </w:rPr>
            </w:pPr>
            <w:r>
              <w:rPr>
                <w:rFonts w:ascii="Arial" w:cs="Arial" w:eastAsia="Arial" w:hAnsi="Arial"/>
                <w:sz w:val="18"/>
                <w:szCs w:val="18"/>
                <w:color w:val="auto"/>
              </w:rPr>
              <w:t>4</w:t>
            </w:r>
          </w:p>
        </w:tc>
      </w:tr>
      <w:tr>
        <w:trPr>
          <w:trHeight w:val="291"/>
        </w:trPr>
        <w:tc>
          <w:tcPr>
            <w:tcW w:w="7560" w:type="dxa"/>
            <w:vAlign w:val="bottom"/>
            <w:gridSpan w:val="19"/>
          </w:tcPr>
          <w:p>
            <w:pPr>
              <w:spacing w:after="0"/>
              <w:rPr>
                <w:rFonts w:ascii="Arial" w:cs="Arial" w:eastAsia="Arial" w:hAnsi="Arial"/>
                <w:sz w:val="18"/>
                <w:szCs w:val="18"/>
                <w:b w:val="1"/>
                <w:bCs w:val="1"/>
                <w:color w:val="0000EE"/>
              </w:rPr>
            </w:pPr>
            <w:hyperlink w:anchor="page7">
              <w:r>
                <w:rPr>
                  <w:rFonts w:ascii="Arial" w:cs="Arial" w:eastAsia="Arial" w:hAnsi="Arial"/>
                  <w:sz w:val="18"/>
                  <w:szCs w:val="18"/>
                  <w:b w:val="1"/>
                  <w:bCs w:val="1"/>
                  <w:color w:val="0000EE"/>
                </w:rPr>
                <w:t>Corporate Governance</w:t>
              </w:r>
            </w:hyperlink>
          </w:p>
        </w:tc>
        <w:tc>
          <w:tcPr>
            <w:tcW w:w="2060" w:type="dxa"/>
            <w:vAlign w:val="bottom"/>
          </w:tcPr>
          <w:p>
            <w:pPr>
              <w:jc w:val="right"/>
              <w:spacing w:after="0"/>
              <w:rPr>
                <w:sz w:val="20"/>
                <w:szCs w:val="20"/>
                <w:color w:val="auto"/>
              </w:rPr>
            </w:pPr>
            <w:r>
              <w:rPr>
                <w:rFonts w:ascii="Arial" w:cs="Arial" w:eastAsia="Arial" w:hAnsi="Arial"/>
                <w:sz w:val="18"/>
                <w:szCs w:val="18"/>
                <w:color w:val="auto"/>
              </w:rPr>
              <w:t>4</w:t>
            </w:r>
          </w:p>
        </w:tc>
      </w:tr>
      <w:tr>
        <w:trPr>
          <w:trHeight w:val="20"/>
        </w:trPr>
        <w:tc>
          <w:tcPr>
            <w:tcW w:w="160" w:type="dxa"/>
            <w:vAlign w:val="bottom"/>
            <w:shd w:val="clear" w:color="auto" w:fill="0000EE"/>
          </w:tcPr>
          <w:p>
            <w:pPr>
              <w:spacing w:after="0" w:line="20" w:lineRule="exact"/>
              <w:rPr>
                <w:sz w:val="1"/>
                <w:szCs w:val="1"/>
                <w:color w:val="auto"/>
              </w:rPr>
            </w:pPr>
          </w:p>
        </w:tc>
        <w:tc>
          <w:tcPr>
            <w:tcW w:w="760" w:type="dxa"/>
            <w:vAlign w:val="bottom"/>
            <w:shd w:val="clear" w:color="auto" w:fill="0000EE"/>
          </w:tcPr>
          <w:p>
            <w:pPr>
              <w:spacing w:after="0" w:line="20" w:lineRule="exact"/>
              <w:rPr>
                <w:sz w:val="1"/>
                <w:szCs w:val="1"/>
                <w:color w:val="auto"/>
              </w:rPr>
            </w:pPr>
          </w:p>
        </w:tc>
        <w:tc>
          <w:tcPr>
            <w:tcW w:w="1020" w:type="dxa"/>
            <w:vAlign w:val="bottom"/>
            <w:shd w:val="clear" w:color="auto" w:fill="0000EE"/>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gridSpan w:val="2"/>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2660" w:type="dxa"/>
            <w:vAlign w:val="bottom"/>
          </w:tcPr>
          <w:p>
            <w:pPr>
              <w:spacing w:after="0" w:line="20" w:lineRule="exact"/>
              <w:rPr>
                <w:sz w:val="1"/>
                <w:szCs w:val="1"/>
                <w:color w:val="auto"/>
              </w:rPr>
            </w:pPr>
          </w:p>
        </w:tc>
        <w:tc>
          <w:tcPr>
            <w:tcW w:w="2060" w:type="dxa"/>
            <w:vAlign w:val="bottom"/>
          </w:tcPr>
          <w:p>
            <w:pPr>
              <w:spacing w:after="0" w:line="20" w:lineRule="exact"/>
              <w:rPr>
                <w:sz w:val="1"/>
                <w:szCs w:val="1"/>
                <w:color w:val="auto"/>
              </w:rPr>
            </w:pPr>
          </w:p>
        </w:tc>
      </w:tr>
      <w:tr>
        <w:trPr>
          <w:trHeight w:val="291"/>
        </w:trPr>
        <w:tc>
          <w:tcPr>
            <w:tcW w:w="160" w:type="dxa"/>
            <w:vAlign w:val="bottom"/>
          </w:tcPr>
          <w:p>
            <w:pPr>
              <w:spacing w:after="0"/>
              <w:rPr>
                <w:sz w:val="24"/>
                <w:szCs w:val="24"/>
                <w:color w:val="auto"/>
              </w:rPr>
            </w:pPr>
          </w:p>
        </w:tc>
        <w:tc>
          <w:tcPr>
            <w:tcW w:w="7400" w:type="dxa"/>
            <w:vAlign w:val="bottom"/>
            <w:gridSpan w:val="18"/>
          </w:tcPr>
          <w:p>
            <w:pPr>
              <w:spacing w:after="0"/>
              <w:rPr>
                <w:rFonts w:ascii="Arial" w:cs="Arial" w:eastAsia="Arial" w:hAnsi="Arial"/>
                <w:sz w:val="18"/>
                <w:szCs w:val="18"/>
                <w:color w:val="0000EE"/>
              </w:rPr>
            </w:pPr>
            <w:hyperlink w:anchor="page18">
              <w:r>
                <w:rPr>
                  <w:rFonts w:ascii="Arial" w:cs="Arial" w:eastAsia="Arial" w:hAnsi="Arial"/>
                  <w:sz w:val="18"/>
                  <w:szCs w:val="18"/>
                  <w:color w:val="0000EE"/>
                </w:rPr>
                <w:t>Item 1 – Election of Directors</w:t>
              </w:r>
            </w:hyperlink>
          </w:p>
        </w:tc>
        <w:tc>
          <w:tcPr>
            <w:tcW w:w="2060" w:type="dxa"/>
            <w:vAlign w:val="bottom"/>
          </w:tcPr>
          <w:p>
            <w:pPr>
              <w:jc w:val="right"/>
              <w:spacing w:after="0"/>
              <w:rPr>
                <w:sz w:val="20"/>
                <w:szCs w:val="20"/>
                <w:color w:val="auto"/>
              </w:rPr>
            </w:pPr>
            <w:r>
              <w:rPr>
                <w:rFonts w:ascii="Arial" w:cs="Arial" w:eastAsia="Arial" w:hAnsi="Arial"/>
                <w:sz w:val="18"/>
                <w:szCs w:val="18"/>
                <w:color w:val="auto"/>
              </w:rPr>
              <w:t>15</w:t>
            </w:r>
          </w:p>
        </w:tc>
      </w:tr>
      <w:tr>
        <w:trPr>
          <w:trHeight w:val="20"/>
        </w:trPr>
        <w:tc>
          <w:tcPr>
            <w:tcW w:w="160" w:type="dxa"/>
            <w:vAlign w:val="bottom"/>
          </w:tcPr>
          <w:p>
            <w:pPr>
              <w:spacing w:after="0" w:line="20" w:lineRule="exact"/>
              <w:rPr>
                <w:sz w:val="1"/>
                <w:szCs w:val="1"/>
                <w:color w:val="auto"/>
              </w:rPr>
            </w:pPr>
          </w:p>
        </w:tc>
        <w:tc>
          <w:tcPr>
            <w:tcW w:w="760" w:type="dxa"/>
            <w:vAlign w:val="bottom"/>
            <w:shd w:val="clear" w:color="auto" w:fill="0000EE"/>
          </w:tcPr>
          <w:p>
            <w:pPr>
              <w:spacing w:after="0" w:line="20" w:lineRule="exact"/>
              <w:rPr>
                <w:sz w:val="1"/>
                <w:szCs w:val="1"/>
                <w:color w:val="auto"/>
              </w:rPr>
            </w:pPr>
          </w:p>
        </w:tc>
        <w:tc>
          <w:tcPr>
            <w:tcW w:w="1060" w:type="dxa"/>
            <w:vAlign w:val="bottom"/>
            <w:gridSpan w:val="2"/>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160" w:type="dxa"/>
            <w:vAlign w:val="bottom"/>
            <w:gridSpan w:val="2"/>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160" w:type="dxa"/>
            <w:vAlign w:val="bottom"/>
            <w:tcBorders>
              <w:left w:val="single" w:sz="8" w:color="0000EE"/>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2660" w:type="dxa"/>
            <w:vAlign w:val="bottom"/>
          </w:tcPr>
          <w:p>
            <w:pPr>
              <w:spacing w:after="0" w:line="20" w:lineRule="exact"/>
              <w:rPr>
                <w:sz w:val="1"/>
                <w:szCs w:val="1"/>
                <w:color w:val="auto"/>
              </w:rPr>
            </w:pPr>
          </w:p>
        </w:tc>
        <w:tc>
          <w:tcPr>
            <w:tcW w:w="2060" w:type="dxa"/>
            <w:vAlign w:val="bottom"/>
          </w:tcPr>
          <w:p>
            <w:pPr>
              <w:spacing w:after="0" w:line="20" w:lineRule="exact"/>
              <w:rPr>
                <w:sz w:val="1"/>
                <w:szCs w:val="1"/>
                <w:color w:val="auto"/>
              </w:rPr>
            </w:pPr>
          </w:p>
        </w:tc>
      </w:tr>
      <w:tr>
        <w:trPr>
          <w:trHeight w:val="291"/>
        </w:trPr>
        <w:tc>
          <w:tcPr>
            <w:tcW w:w="7560" w:type="dxa"/>
            <w:vAlign w:val="bottom"/>
            <w:gridSpan w:val="19"/>
          </w:tcPr>
          <w:p>
            <w:pPr>
              <w:spacing w:after="0"/>
              <w:rPr>
                <w:rFonts w:ascii="Arial" w:cs="Arial" w:eastAsia="Arial" w:hAnsi="Arial"/>
                <w:sz w:val="18"/>
                <w:szCs w:val="18"/>
                <w:b w:val="1"/>
                <w:bCs w:val="1"/>
                <w:color w:val="0000EE"/>
              </w:rPr>
            </w:pPr>
            <w:hyperlink w:anchor="page24">
              <w:r>
                <w:rPr>
                  <w:rFonts w:ascii="Arial" w:cs="Arial" w:eastAsia="Arial" w:hAnsi="Arial"/>
                  <w:sz w:val="18"/>
                  <w:szCs w:val="18"/>
                  <w:b w:val="1"/>
                  <w:bCs w:val="1"/>
                  <w:color w:val="0000EE"/>
                </w:rPr>
                <w:t>Director Compensation</w:t>
              </w:r>
            </w:hyperlink>
          </w:p>
        </w:tc>
        <w:tc>
          <w:tcPr>
            <w:tcW w:w="2060" w:type="dxa"/>
            <w:vAlign w:val="bottom"/>
          </w:tcPr>
          <w:p>
            <w:pPr>
              <w:jc w:val="right"/>
              <w:spacing w:after="0"/>
              <w:rPr>
                <w:sz w:val="20"/>
                <w:szCs w:val="20"/>
                <w:color w:val="auto"/>
              </w:rPr>
            </w:pPr>
            <w:r>
              <w:rPr>
                <w:rFonts w:ascii="Arial" w:cs="Arial" w:eastAsia="Arial" w:hAnsi="Arial"/>
                <w:sz w:val="18"/>
                <w:szCs w:val="18"/>
                <w:color w:val="auto"/>
              </w:rPr>
              <w:t>21</w:t>
            </w:r>
          </w:p>
        </w:tc>
      </w:tr>
      <w:tr>
        <w:trPr>
          <w:trHeight w:val="20"/>
        </w:trPr>
        <w:tc>
          <w:tcPr>
            <w:tcW w:w="920" w:type="dxa"/>
            <w:vAlign w:val="bottom"/>
            <w:gridSpan w:val="2"/>
            <w:shd w:val="clear" w:color="auto" w:fill="0000EE"/>
          </w:tcPr>
          <w:p>
            <w:pPr>
              <w:spacing w:after="0" w:line="20" w:lineRule="exact"/>
              <w:rPr>
                <w:sz w:val="1"/>
                <w:szCs w:val="1"/>
                <w:color w:val="auto"/>
              </w:rPr>
            </w:pPr>
          </w:p>
        </w:tc>
        <w:tc>
          <w:tcPr>
            <w:tcW w:w="1060" w:type="dxa"/>
            <w:vAlign w:val="bottom"/>
            <w:gridSpan w:val="2"/>
            <w:shd w:val="clear" w:color="auto" w:fill="0000EE"/>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gridSpan w:val="2"/>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2660" w:type="dxa"/>
            <w:vAlign w:val="bottom"/>
          </w:tcPr>
          <w:p>
            <w:pPr>
              <w:spacing w:after="0" w:line="20" w:lineRule="exact"/>
              <w:rPr>
                <w:sz w:val="1"/>
                <w:szCs w:val="1"/>
                <w:color w:val="auto"/>
              </w:rPr>
            </w:pPr>
          </w:p>
        </w:tc>
        <w:tc>
          <w:tcPr>
            <w:tcW w:w="2060" w:type="dxa"/>
            <w:vAlign w:val="bottom"/>
          </w:tcPr>
          <w:p>
            <w:pPr>
              <w:spacing w:after="0" w:line="20" w:lineRule="exact"/>
              <w:rPr>
                <w:sz w:val="1"/>
                <w:szCs w:val="1"/>
                <w:color w:val="auto"/>
              </w:rPr>
            </w:pPr>
          </w:p>
        </w:tc>
      </w:tr>
      <w:tr>
        <w:trPr>
          <w:trHeight w:val="291"/>
        </w:trPr>
        <w:tc>
          <w:tcPr>
            <w:tcW w:w="7560" w:type="dxa"/>
            <w:vAlign w:val="bottom"/>
            <w:gridSpan w:val="19"/>
          </w:tcPr>
          <w:p>
            <w:pPr>
              <w:spacing w:after="0"/>
              <w:rPr>
                <w:rFonts w:ascii="Arial" w:cs="Arial" w:eastAsia="Arial" w:hAnsi="Arial"/>
                <w:sz w:val="18"/>
                <w:szCs w:val="18"/>
                <w:b w:val="1"/>
                <w:bCs w:val="1"/>
                <w:color w:val="0000EE"/>
              </w:rPr>
            </w:pPr>
            <w:hyperlink w:anchor="page26">
              <w:r>
                <w:rPr>
                  <w:rFonts w:ascii="Arial" w:cs="Arial" w:eastAsia="Arial" w:hAnsi="Arial"/>
                  <w:sz w:val="18"/>
                  <w:szCs w:val="18"/>
                  <w:b w:val="1"/>
                  <w:bCs w:val="1"/>
                  <w:color w:val="0000EE"/>
                </w:rPr>
                <w:t>Certain Beneficial Owners</w:t>
              </w:r>
            </w:hyperlink>
          </w:p>
        </w:tc>
        <w:tc>
          <w:tcPr>
            <w:tcW w:w="2060" w:type="dxa"/>
            <w:vAlign w:val="bottom"/>
          </w:tcPr>
          <w:p>
            <w:pPr>
              <w:jc w:val="right"/>
              <w:spacing w:after="0"/>
              <w:rPr>
                <w:sz w:val="20"/>
                <w:szCs w:val="20"/>
                <w:color w:val="auto"/>
              </w:rPr>
            </w:pPr>
            <w:r>
              <w:rPr>
                <w:rFonts w:ascii="Arial" w:cs="Arial" w:eastAsia="Arial" w:hAnsi="Arial"/>
                <w:sz w:val="18"/>
                <w:szCs w:val="18"/>
                <w:color w:val="auto"/>
              </w:rPr>
              <w:t>23</w:t>
            </w:r>
          </w:p>
        </w:tc>
      </w:tr>
      <w:tr>
        <w:trPr>
          <w:trHeight w:val="20"/>
        </w:trPr>
        <w:tc>
          <w:tcPr>
            <w:tcW w:w="920" w:type="dxa"/>
            <w:vAlign w:val="bottom"/>
            <w:gridSpan w:val="2"/>
            <w:shd w:val="clear" w:color="auto" w:fill="0000EE"/>
          </w:tcPr>
          <w:p>
            <w:pPr>
              <w:spacing w:after="0" w:line="20" w:lineRule="exact"/>
              <w:rPr>
                <w:sz w:val="1"/>
                <w:szCs w:val="1"/>
                <w:color w:val="auto"/>
              </w:rPr>
            </w:pPr>
          </w:p>
        </w:tc>
        <w:tc>
          <w:tcPr>
            <w:tcW w:w="1140" w:type="dxa"/>
            <w:vAlign w:val="bottom"/>
            <w:gridSpan w:val="3"/>
            <w:shd w:val="clear" w:color="auto" w:fill="0000EE"/>
          </w:tcPr>
          <w:p>
            <w:pPr>
              <w:spacing w:after="0" w:line="20" w:lineRule="exact"/>
              <w:rPr>
                <w:sz w:val="1"/>
                <w:szCs w:val="1"/>
                <w:color w:val="auto"/>
              </w:rPr>
            </w:pPr>
          </w:p>
        </w:tc>
        <w:tc>
          <w:tcPr>
            <w:tcW w:w="160" w:type="dxa"/>
            <w:vAlign w:val="bottom"/>
            <w:gridSpan w:val="2"/>
            <w:shd w:val="clear" w:color="auto" w:fill="0000EE"/>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2660" w:type="dxa"/>
            <w:vAlign w:val="bottom"/>
          </w:tcPr>
          <w:p>
            <w:pPr>
              <w:spacing w:after="0" w:line="20" w:lineRule="exact"/>
              <w:rPr>
                <w:sz w:val="1"/>
                <w:szCs w:val="1"/>
                <w:color w:val="auto"/>
              </w:rPr>
            </w:pPr>
          </w:p>
        </w:tc>
        <w:tc>
          <w:tcPr>
            <w:tcW w:w="2060" w:type="dxa"/>
            <w:vAlign w:val="bottom"/>
          </w:tcPr>
          <w:p>
            <w:pPr>
              <w:spacing w:after="0" w:line="20" w:lineRule="exact"/>
              <w:rPr>
                <w:sz w:val="1"/>
                <w:szCs w:val="1"/>
                <w:color w:val="auto"/>
              </w:rPr>
            </w:pPr>
          </w:p>
        </w:tc>
      </w:tr>
      <w:tr>
        <w:trPr>
          <w:trHeight w:val="291"/>
        </w:trPr>
        <w:tc>
          <w:tcPr>
            <w:tcW w:w="4100" w:type="dxa"/>
            <w:vAlign w:val="bottom"/>
            <w:tcBorders>
              <w:bottom w:val="single" w:sz="8" w:color="0000EE"/>
            </w:tcBorders>
            <w:gridSpan w:val="17"/>
          </w:tcPr>
          <w:p>
            <w:pPr>
              <w:spacing w:after="0"/>
              <w:rPr>
                <w:rFonts w:ascii="Arial" w:cs="Arial" w:eastAsia="Arial" w:hAnsi="Arial"/>
                <w:sz w:val="18"/>
                <w:szCs w:val="18"/>
                <w:b w:val="1"/>
                <w:bCs w:val="1"/>
                <w:color w:val="0000EE"/>
                <w:w w:val="99"/>
              </w:rPr>
            </w:pPr>
            <w:hyperlink w:anchor="page26">
              <w:r>
                <w:rPr>
                  <w:rFonts w:ascii="Arial" w:cs="Arial" w:eastAsia="Arial" w:hAnsi="Arial"/>
                  <w:sz w:val="18"/>
                  <w:szCs w:val="18"/>
                  <w:b w:val="1"/>
                  <w:bCs w:val="1"/>
                  <w:color w:val="0000EE"/>
                  <w:w w:val="99"/>
                </w:rPr>
                <w:t>Director and Executive Officer Stock Ownership</w:t>
              </w:r>
            </w:hyperlink>
          </w:p>
        </w:tc>
        <w:tc>
          <w:tcPr>
            <w:tcW w:w="3460" w:type="dxa"/>
            <w:vAlign w:val="bottom"/>
            <w:gridSpan w:val="2"/>
          </w:tcPr>
          <w:p>
            <w:pPr>
              <w:spacing w:after="0"/>
              <w:rPr>
                <w:sz w:val="24"/>
                <w:szCs w:val="24"/>
                <w:color w:val="auto"/>
              </w:rPr>
            </w:pPr>
          </w:p>
        </w:tc>
        <w:tc>
          <w:tcPr>
            <w:tcW w:w="2060" w:type="dxa"/>
            <w:vAlign w:val="bottom"/>
          </w:tcPr>
          <w:p>
            <w:pPr>
              <w:jc w:val="right"/>
              <w:spacing w:after="0"/>
              <w:rPr>
                <w:sz w:val="20"/>
                <w:szCs w:val="20"/>
                <w:color w:val="auto"/>
              </w:rPr>
            </w:pPr>
            <w:r>
              <w:rPr>
                <w:rFonts w:ascii="Arial" w:cs="Arial" w:eastAsia="Arial" w:hAnsi="Arial"/>
                <w:sz w:val="18"/>
                <w:szCs w:val="18"/>
                <w:color w:val="auto"/>
              </w:rPr>
              <w:t>23</w:t>
            </w:r>
          </w:p>
        </w:tc>
      </w:tr>
      <w:tr>
        <w:trPr>
          <w:trHeight w:val="291"/>
        </w:trPr>
        <w:tc>
          <w:tcPr>
            <w:tcW w:w="2060" w:type="dxa"/>
            <w:vAlign w:val="bottom"/>
            <w:tcBorders>
              <w:bottom w:val="single" w:sz="8" w:color="0000EE"/>
            </w:tcBorders>
            <w:gridSpan w:val="5"/>
          </w:tcPr>
          <w:p>
            <w:pPr>
              <w:spacing w:after="0"/>
              <w:rPr>
                <w:rFonts w:ascii="Arial" w:cs="Arial" w:eastAsia="Arial" w:hAnsi="Arial"/>
                <w:sz w:val="18"/>
                <w:szCs w:val="18"/>
                <w:b w:val="1"/>
                <w:bCs w:val="1"/>
                <w:color w:val="0000EE"/>
                <w:w w:val="98"/>
              </w:rPr>
            </w:pPr>
            <w:hyperlink w:anchor="page27">
              <w:r>
                <w:rPr>
                  <w:rFonts w:ascii="Arial" w:cs="Arial" w:eastAsia="Arial" w:hAnsi="Arial"/>
                  <w:sz w:val="18"/>
                  <w:szCs w:val="18"/>
                  <w:b w:val="1"/>
                  <w:bCs w:val="1"/>
                  <w:color w:val="0000EE"/>
                  <w:w w:val="98"/>
                </w:rPr>
                <w:t>Audit Committee Report</w:t>
              </w:r>
            </w:hyperlink>
          </w:p>
        </w:tc>
        <w:tc>
          <w:tcPr>
            <w:tcW w:w="5500" w:type="dxa"/>
            <w:vAlign w:val="bottom"/>
            <w:gridSpan w:val="14"/>
          </w:tcPr>
          <w:p>
            <w:pPr>
              <w:spacing w:after="0"/>
              <w:rPr>
                <w:sz w:val="24"/>
                <w:szCs w:val="24"/>
                <w:color w:val="auto"/>
              </w:rPr>
            </w:pPr>
          </w:p>
        </w:tc>
        <w:tc>
          <w:tcPr>
            <w:tcW w:w="2060" w:type="dxa"/>
            <w:vAlign w:val="bottom"/>
          </w:tcPr>
          <w:p>
            <w:pPr>
              <w:jc w:val="right"/>
              <w:spacing w:after="0"/>
              <w:rPr>
                <w:sz w:val="20"/>
                <w:szCs w:val="20"/>
                <w:color w:val="auto"/>
              </w:rPr>
            </w:pPr>
            <w:r>
              <w:rPr>
                <w:rFonts w:ascii="Arial" w:cs="Arial" w:eastAsia="Arial" w:hAnsi="Arial"/>
                <w:sz w:val="18"/>
                <w:szCs w:val="18"/>
                <w:color w:val="auto"/>
              </w:rPr>
              <w:t>24</w:t>
            </w:r>
          </w:p>
        </w:tc>
      </w:tr>
      <w:tr>
        <w:trPr>
          <w:trHeight w:val="291"/>
        </w:trPr>
        <w:tc>
          <w:tcPr>
            <w:tcW w:w="160" w:type="dxa"/>
            <w:vAlign w:val="bottom"/>
          </w:tcPr>
          <w:p>
            <w:pPr>
              <w:spacing w:after="0"/>
              <w:rPr>
                <w:sz w:val="24"/>
                <w:szCs w:val="24"/>
                <w:color w:val="auto"/>
              </w:rPr>
            </w:pPr>
          </w:p>
        </w:tc>
        <w:tc>
          <w:tcPr>
            <w:tcW w:w="7400" w:type="dxa"/>
            <w:vAlign w:val="bottom"/>
            <w:gridSpan w:val="18"/>
          </w:tcPr>
          <w:p>
            <w:pPr>
              <w:spacing w:after="0"/>
              <w:rPr>
                <w:rFonts w:ascii="Arial" w:cs="Arial" w:eastAsia="Arial" w:hAnsi="Arial"/>
                <w:sz w:val="18"/>
                <w:szCs w:val="18"/>
                <w:color w:val="0000EE"/>
              </w:rPr>
            </w:pPr>
            <w:hyperlink w:anchor="page28">
              <w:r>
                <w:rPr>
                  <w:rFonts w:ascii="Arial" w:cs="Arial" w:eastAsia="Arial" w:hAnsi="Arial"/>
                  <w:sz w:val="18"/>
                  <w:szCs w:val="18"/>
                  <w:color w:val="0000EE"/>
                </w:rPr>
                <w:t>Item 2 – Ratification of Independent Auditors</w:t>
              </w:r>
            </w:hyperlink>
          </w:p>
        </w:tc>
        <w:tc>
          <w:tcPr>
            <w:tcW w:w="2060" w:type="dxa"/>
            <w:vAlign w:val="bottom"/>
          </w:tcPr>
          <w:p>
            <w:pPr>
              <w:jc w:val="right"/>
              <w:spacing w:after="0"/>
              <w:rPr>
                <w:sz w:val="20"/>
                <w:szCs w:val="20"/>
                <w:color w:val="auto"/>
              </w:rPr>
            </w:pPr>
            <w:r>
              <w:rPr>
                <w:rFonts w:ascii="Arial" w:cs="Arial" w:eastAsia="Arial" w:hAnsi="Arial"/>
                <w:sz w:val="18"/>
                <w:szCs w:val="18"/>
                <w:color w:val="auto"/>
              </w:rPr>
              <w:t>25</w:t>
            </w:r>
          </w:p>
        </w:tc>
      </w:tr>
      <w:tr>
        <w:trPr>
          <w:trHeight w:val="20"/>
        </w:trPr>
        <w:tc>
          <w:tcPr>
            <w:tcW w:w="160" w:type="dxa"/>
            <w:vAlign w:val="bottom"/>
          </w:tcPr>
          <w:p>
            <w:pPr>
              <w:spacing w:after="0" w:line="20" w:lineRule="exact"/>
              <w:rPr>
                <w:sz w:val="1"/>
                <w:szCs w:val="1"/>
                <w:color w:val="auto"/>
              </w:rPr>
            </w:pPr>
          </w:p>
        </w:tc>
        <w:tc>
          <w:tcPr>
            <w:tcW w:w="760" w:type="dxa"/>
            <w:vAlign w:val="bottom"/>
            <w:shd w:val="clear" w:color="auto" w:fill="0000EE"/>
          </w:tcPr>
          <w:p>
            <w:pPr>
              <w:spacing w:after="0" w:line="20" w:lineRule="exact"/>
              <w:rPr>
                <w:sz w:val="1"/>
                <w:szCs w:val="1"/>
                <w:color w:val="auto"/>
              </w:rPr>
            </w:pPr>
          </w:p>
        </w:tc>
        <w:tc>
          <w:tcPr>
            <w:tcW w:w="1480" w:type="dxa"/>
            <w:vAlign w:val="bottom"/>
            <w:gridSpan w:val="6"/>
            <w:shd w:val="clear" w:color="auto" w:fill="0000EE"/>
          </w:tcPr>
          <w:p>
            <w:pPr>
              <w:spacing w:after="0" w:line="20" w:lineRule="exact"/>
              <w:rPr>
                <w:sz w:val="1"/>
                <w:szCs w:val="1"/>
                <w:color w:val="auto"/>
              </w:rPr>
            </w:pPr>
          </w:p>
        </w:tc>
        <w:tc>
          <w:tcPr>
            <w:tcW w:w="160" w:type="dxa"/>
            <w:vAlign w:val="bottom"/>
            <w:tcBorders>
              <w:left w:val="single" w:sz="8" w:color="0000EE"/>
            </w:tcBorders>
            <w:shd w:val="clear" w:color="auto" w:fill="0000EE"/>
          </w:tcPr>
          <w:p>
            <w:pPr>
              <w:spacing w:after="0" w:line="20" w:lineRule="exact"/>
              <w:rPr>
                <w:sz w:val="1"/>
                <w:szCs w:val="1"/>
                <w:color w:val="auto"/>
              </w:rPr>
            </w:pPr>
          </w:p>
        </w:tc>
        <w:tc>
          <w:tcPr>
            <w:tcW w:w="120" w:type="dxa"/>
            <w:vAlign w:val="bottom"/>
            <w:tcBorders>
              <w:right w:val="single" w:sz="8" w:color="0000EE"/>
            </w:tcBorders>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40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240" w:type="dxa"/>
            <w:vAlign w:val="bottom"/>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900" w:type="dxa"/>
            <w:vAlign w:val="bottom"/>
            <w:gridSpan w:val="2"/>
          </w:tcPr>
          <w:p>
            <w:pPr>
              <w:spacing w:after="0" w:line="20" w:lineRule="exact"/>
              <w:rPr>
                <w:sz w:val="1"/>
                <w:szCs w:val="1"/>
                <w:color w:val="auto"/>
              </w:rPr>
            </w:pPr>
          </w:p>
        </w:tc>
        <w:tc>
          <w:tcPr>
            <w:tcW w:w="2660" w:type="dxa"/>
            <w:vAlign w:val="bottom"/>
          </w:tcPr>
          <w:p>
            <w:pPr>
              <w:spacing w:after="0" w:line="20" w:lineRule="exact"/>
              <w:rPr>
                <w:sz w:val="1"/>
                <w:szCs w:val="1"/>
                <w:color w:val="auto"/>
              </w:rPr>
            </w:pPr>
          </w:p>
        </w:tc>
        <w:tc>
          <w:tcPr>
            <w:tcW w:w="2060" w:type="dxa"/>
            <w:vAlign w:val="bottom"/>
          </w:tcPr>
          <w:p>
            <w:pPr>
              <w:spacing w:after="0" w:line="20" w:lineRule="exact"/>
              <w:rPr>
                <w:sz w:val="1"/>
                <w:szCs w:val="1"/>
                <w:color w:val="auto"/>
              </w:rPr>
            </w:pPr>
          </w:p>
        </w:tc>
      </w:tr>
      <w:tr>
        <w:trPr>
          <w:trHeight w:val="291"/>
        </w:trPr>
        <w:tc>
          <w:tcPr>
            <w:tcW w:w="2860" w:type="dxa"/>
            <w:vAlign w:val="bottom"/>
            <w:tcBorders>
              <w:bottom w:val="single" w:sz="8" w:color="0000EE"/>
            </w:tcBorders>
            <w:gridSpan w:val="11"/>
          </w:tcPr>
          <w:p>
            <w:pPr>
              <w:spacing w:after="0"/>
              <w:rPr>
                <w:rFonts w:ascii="Arial" w:cs="Arial" w:eastAsia="Arial" w:hAnsi="Arial"/>
                <w:sz w:val="18"/>
                <w:szCs w:val="18"/>
                <w:b w:val="1"/>
                <w:bCs w:val="1"/>
                <w:color w:val="0000EE"/>
                <w:w w:val="99"/>
              </w:rPr>
            </w:pPr>
            <w:hyperlink w:anchor="page29">
              <w:r>
                <w:rPr>
                  <w:rFonts w:ascii="Arial" w:cs="Arial" w:eastAsia="Arial" w:hAnsi="Arial"/>
                  <w:sz w:val="18"/>
                  <w:szCs w:val="18"/>
                  <w:b w:val="1"/>
                  <w:bCs w:val="1"/>
                  <w:color w:val="0000EE"/>
                  <w:w w:val="99"/>
                </w:rPr>
                <w:t>Compensation Committee Report</w:t>
              </w:r>
            </w:hyperlink>
          </w:p>
        </w:tc>
        <w:tc>
          <w:tcPr>
            <w:tcW w:w="4700" w:type="dxa"/>
            <w:vAlign w:val="bottom"/>
            <w:gridSpan w:val="8"/>
          </w:tcPr>
          <w:p>
            <w:pPr>
              <w:spacing w:after="0"/>
              <w:rPr>
                <w:sz w:val="24"/>
                <w:szCs w:val="24"/>
                <w:color w:val="auto"/>
              </w:rPr>
            </w:pPr>
          </w:p>
        </w:tc>
        <w:tc>
          <w:tcPr>
            <w:tcW w:w="2060" w:type="dxa"/>
            <w:vAlign w:val="bottom"/>
          </w:tcPr>
          <w:p>
            <w:pPr>
              <w:jc w:val="right"/>
              <w:spacing w:after="0"/>
              <w:rPr>
                <w:sz w:val="20"/>
                <w:szCs w:val="20"/>
                <w:color w:val="auto"/>
              </w:rPr>
            </w:pPr>
            <w:r>
              <w:rPr>
                <w:rFonts w:ascii="Arial" w:cs="Arial" w:eastAsia="Arial" w:hAnsi="Arial"/>
                <w:sz w:val="18"/>
                <w:szCs w:val="18"/>
                <w:color w:val="auto"/>
              </w:rPr>
              <w:t>26</w:t>
            </w:r>
          </w:p>
        </w:tc>
      </w:tr>
      <w:tr>
        <w:trPr>
          <w:trHeight w:val="291"/>
        </w:trPr>
        <w:tc>
          <w:tcPr>
            <w:tcW w:w="160" w:type="dxa"/>
            <w:vAlign w:val="bottom"/>
          </w:tcPr>
          <w:p>
            <w:pPr>
              <w:spacing w:after="0"/>
              <w:rPr>
                <w:sz w:val="24"/>
                <w:szCs w:val="24"/>
                <w:color w:val="auto"/>
              </w:rPr>
            </w:pPr>
          </w:p>
        </w:tc>
        <w:tc>
          <w:tcPr>
            <w:tcW w:w="7400" w:type="dxa"/>
            <w:vAlign w:val="bottom"/>
            <w:gridSpan w:val="18"/>
          </w:tcPr>
          <w:p>
            <w:pPr>
              <w:spacing w:after="0"/>
              <w:rPr>
                <w:rFonts w:ascii="Arial" w:cs="Arial" w:eastAsia="Arial" w:hAnsi="Arial"/>
                <w:sz w:val="18"/>
                <w:szCs w:val="18"/>
                <w:color w:val="0000EE"/>
              </w:rPr>
            </w:pPr>
            <w:hyperlink w:anchor="page29">
              <w:r>
                <w:rPr>
                  <w:rFonts w:ascii="Arial" w:cs="Arial" w:eastAsia="Arial" w:hAnsi="Arial"/>
                  <w:sz w:val="18"/>
                  <w:szCs w:val="18"/>
                  <w:color w:val="0000EE"/>
                </w:rPr>
                <w:t>Item 3 – Advisory Vote to Approve Executive Compensation</w:t>
              </w:r>
            </w:hyperlink>
          </w:p>
        </w:tc>
        <w:tc>
          <w:tcPr>
            <w:tcW w:w="2060" w:type="dxa"/>
            <w:vAlign w:val="bottom"/>
          </w:tcPr>
          <w:p>
            <w:pPr>
              <w:jc w:val="right"/>
              <w:spacing w:after="0"/>
              <w:rPr>
                <w:sz w:val="20"/>
                <w:szCs w:val="20"/>
                <w:color w:val="auto"/>
              </w:rPr>
            </w:pPr>
            <w:r>
              <w:rPr>
                <w:rFonts w:ascii="Arial" w:cs="Arial" w:eastAsia="Arial" w:hAnsi="Arial"/>
                <w:sz w:val="18"/>
                <w:szCs w:val="18"/>
                <w:color w:val="auto"/>
              </w:rPr>
              <w:t>26</w:t>
            </w:r>
          </w:p>
        </w:tc>
      </w:tr>
      <w:tr>
        <w:trPr>
          <w:trHeight w:val="20"/>
        </w:trPr>
        <w:tc>
          <w:tcPr>
            <w:tcW w:w="160" w:type="dxa"/>
            <w:vAlign w:val="bottom"/>
          </w:tcPr>
          <w:p>
            <w:pPr>
              <w:spacing w:after="0" w:line="20" w:lineRule="exact"/>
              <w:rPr>
                <w:sz w:val="1"/>
                <w:szCs w:val="1"/>
                <w:color w:val="auto"/>
              </w:rPr>
            </w:pPr>
          </w:p>
        </w:tc>
        <w:tc>
          <w:tcPr>
            <w:tcW w:w="760" w:type="dxa"/>
            <w:vAlign w:val="bottom"/>
            <w:shd w:val="clear" w:color="auto" w:fill="0000EE"/>
          </w:tcPr>
          <w:p>
            <w:pPr>
              <w:spacing w:after="0" w:line="20" w:lineRule="exact"/>
              <w:rPr>
                <w:sz w:val="1"/>
                <w:szCs w:val="1"/>
                <w:color w:val="auto"/>
              </w:rPr>
            </w:pPr>
          </w:p>
        </w:tc>
        <w:tc>
          <w:tcPr>
            <w:tcW w:w="1480" w:type="dxa"/>
            <w:vAlign w:val="bottom"/>
            <w:gridSpan w:val="6"/>
            <w:shd w:val="clear" w:color="auto" w:fill="0000EE"/>
          </w:tcPr>
          <w:p>
            <w:pPr>
              <w:spacing w:after="0" w:line="20" w:lineRule="exact"/>
              <w:rPr>
                <w:sz w:val="1"/>
                <w:szCs w:val="1"/>
                <w:color w:val="auto"/>
              </w:rPr>
            </w:pPr>
          </w:p>
        </w:tc>
        <w:tc>
          <w:tcPr>
            <w:tcW w:w="160" w:type="dxa"/>
            <w:vAlign w:val="bottom"/>
            <w:tcBorders>
              <w:left w:val="single" w:sz="8" w:color="0000EE"/>
            </w:tcBorders>
            <w:shd w:val="clear" w:color="auto" w:fill="0000EE"/>
          </w:tcPr>
          <w:p>
            <w:pPr>
              <w:spacing w:after="0" w:line="20" w:lineRule="exact"/>
              <w:rPr>
                <w:sz w:val="1"/>
                <w:szCs w:val="1"/>
                <w:color w:val="auto"/>
              </w:rPr>
            </w:pPr>
          </w:p>
        </w:tc>
        <w:tc>
          <w:tcPr>
            <w:tcW w:w="120" w:type="dxa"/>
            <w:vAlign w:val="bottom"/>
            <w:tcBorders>
              <w:right w:val="single" w:sz="8" w:color="0000EE"/>
            </w:tcBorders>
            <w:shd w:val="clear" w:color="auto" w:fill="0000EE"/>
          </w:tcPr>
          <w:p>
            <w:pPr>
              <w:spacing w:after="0" w:line="20" w:lineRule="exact"/>
              <w:rPr>
                <w:sz w:val="1"/>
                <w:szCs w:val="1"/>
                <w:color w:val="auto"/>
              </w:rPr>
            </w:pPr>
          </w:p>
        </w:tc>
        <w:tc>
          <w:tcPr>
            <w:tcW w:w="580" w:type="dxa"/>
            <w:vAlign w:val="bottom"/>
            <w:gridSpan w:val="2"/>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240" w:type="dxa"/>
            <w:vAlign w:val="bottom"/>
            <w:shd w:val="clear" w:color="auto" w:fill="0000EE"/>
          </w:tcPr>
          <w:p>
            <w:pPr>
              <w:spacing w:after="0" w:line="20" w:lineRule="exact"/>
              <w:rPr>
                <w:sz w:val="1"/>
                <w:szCs w:val="1"/>
                <w:color w:val="auto"/>
              </w:rPr>
            </w:pPr>
          </w:p>
        </w:tc>
        <w:tc>
          <w:tcPr>
            <w:tcW w:w="480" w:type="dxa"/>
            <w:vAlign w:val="bottom"/>
            <w:gridSpan w:val="2"/>
            <w:shd w:val="clear" w:color="auto" w:fill="0000EE"/>
          </w:tcPr>
          <w:p>
            <w:pPr>
              <w:spacing w:after="0" w:line="20" w:lineRule="exact"/>
              <w:rPr>
                <w:sz w:val="1"/>
                <w:szCs w:val="1"/>
                <w:color w:val="auto"/>
              </w:rPr>
            </w:pPr>
          </w:p>
        </w:tc>
        <w:tc>
          <w:tcPr>
            <w:tcW w:w="900" w:type="dxa"/>
            <w:vAlign w:val="bottom"/>
            <w:gridSpan w:val="2"/>
            <w:shd w:val="clear" w:color="auto" w:fill="0000EE"/>
          </w:tcPr>
          <w:p>
            <w:pPr>
              <w:spacing w:after="0" w:line="20" w:lineRule="exact"/>
              <w:rPr>
                <w:sz w:val="1"/>
                <w:szCs w:val="1"/>
                <w:color w:val="auto"/>
              </w:rPr>
            </w:pPr>
          </w:p>
        </w:tc>
        <w:tc>
          <w:tcPr>
            <w:tcW w:w="2660" w:type="dxa"/>
            <w:vAlign w:val="bottom"/>
          </w:tcPr>
          <w:p>
            <w:pPr>
              <w:spacing w:after="0" w:line="20" w:lineRule="exact"/>
              <w:rPr>
                <w:sz w:val="1"/>
                <w:szCs w:val="1"/>
                <w:color w:val="auto"/>
              </w:rPr>
            </w:pPr>
          </w:p>
        </w:tc>
        <w:tc>
          <w:tcPr>
            <w:tcW w:w="2060" w:type="dxa"/>
            <w:vAlign w:val="bottom"/>
          </w:tcPr>
          <w:p>
            <w:pPr>
              <w:spacing w:after="0" w:line="20" w:lineRule="exact"/>
              <w:rPr>
                <w:sz w:val="1"/>
                <w:szCs w:val="1"/>
                <w:color w:val="auto"/>
              </w:rPr>
            </w:pPr>
          </w:p>
        </w:tc>
      </w:tr>
      <w:tr>
        <w:trPr>
          <w:trHeight w:val="291"/>
        </w:trPr>
        <w:tc>
          <w:tcPr>
            <w:tcW w:w="7560" w:type="dxa"/>
            <w:vAlign w:val="bottom"/>
            <w:gridSpan w:val="19"/>
          </w:tcPr>
          <w:p>
            <w:pPr>
              <w:spacing w:after="0"/>
              <w:rPr>
                <w:rFonts w:ascii="Arial" w:cs="Arial" w:eastAsia="Arial" w:hAnsi="Arial"/>
                <w:sz w:val="18"/>
                <w:szCs w:val="18"/>
                <w:b w:val="1"/>
                <w:bCs w:val="1"/>
                <w:color w:val="0000EE"/>
              </w:rPr>
            </w:pPr>
            <w:hyperlink w:anchor="page30">
              <w:r>
                <w:rPr>
                  <w:rFonts w:ascii="Arial" w:cs="Arial" w:eastAsia="Arial" w:hAnsi="Arial"/>
                  <w:sz w:val="18"/>
                  <w:szCs w:val="18"/>
                  <w:b w:val="1"/>
                  <w:bCs w:val="1"/>
                  <w:color w:val="0000EE"/>
                </w:rPr>
                <w:t>COMPENSATION DISCUSSION AND ANALYSIS</w:t>
              </w:r>
            </w:hyperlink>
          </w:p>
        </w:tc>
        <w:tc>
          <w:tcPr>
            <w:tcW w:w="2060" w:type="dxa"/>
            <w:vAlign w:val="bottom"/>
          </w:tcPr>
          <w:p>
            <w:pPr>
              <w:jc w:val="right"/>
              <w:spacing w:after="0"/>
              <w:rPr>
                <w:sz w:val="20"/>
                <w:szCs w:val="20"/>
                <w:color w:val="auto"/>
              </w:rPr>
            </w:pPr>
            <w:r>
              <w:rPr>
                <w:rFonts w:ascii="Arial" w:cs="Arial" w:eastAsia="Arial" w:hAnsi="Arial"/>
                <w:sz w:val="18"/>
                <w:szCs w:val="18"/>
                <w:color w:val="auto"/>
              </w:rPr>
              <w:t>27</w:t>
            </w:r>
          </w:p>
        </w:tc>
      </w:tr>
      <w:tr>
        <w:trPr>
          <w:trHeight w:val="291"/>
        </w:trPr>
        <w:tc>
          <w:tcPr>
            <w:tcW w:w="3280" w:type="dxa"/>
            <w:vAlign w:val="bottom"/>
            <w:tcBorders>
              <w:top w:val="single" w:sz="8" w:color="0000EE"/>
              <w:bottom w:val="single" w:sz="8" w:color="0000EE"/>
            </w:tcBorders>
            <w:gridSpan w:val="13"/>
          </w:tcPr>
          <w:p>
            <w:pPr>
              <w:spacing w:after="0"/>
              <w:rPr>
                <w:rFonts w:ascii="Arial" w:cs="Arial" w:eastAsia="Arial" w:hAnsi="Arial"/>
                <w:sz w:val="18"/>
                <w:szCs w:val="18"/>
                <w:b w:val="1"/>
                <w:bCs w:val="1"/>
                <w:color w:val="0000EE"/>
                <w:w w:val="98"/>
              </w:rPr>
            </w:pPr>
            <w:hyperlink w:anchor="page48">
              <w:r>
                <w:rPr>
                  <w:rFonts w:ascii="Arial" w:cs="Arial" w:eastAsia="Arial" w:hAnsi="Arial"/>
                  <w:sz w:val="18"/>
                  <w:szCs w:val="18"/>
                  <w:b w:val="1"/>
                  <w:bCs w:val="1"/>
                  <w:color w:val="0000EE"/>
                  <w:w w:val="98"/>
                </w:rPr>
                <w:t>EXECUTIVE COMPENSATION TABLES</w:t>
              </w:r>
            </w:hyperlink>
          </w:p>
        </w:tc>
        <w:tc>
          <w:tcPr>
            <w:tcW w:w="720" w:type="dxa"/>
            <w:vAlign w:val="bottom"/>
            <w:tcBorders>
              <w:top w:val="single" w:sz="8" w:color="0000EE"/>
            </w:tcBorders>
            <w:gridSpan w:val="3"/>
          </w:tcPr>
          <w:p>
            <w:pPr>
              <w:spacing w:after="0"/>
              <w:rPr>
                <w:sz w:val="24"/>
                <w:szCs w:val="24"/>
                <w:color w:val="auto"/>
              </w:rPr>
            </w:pPr>
          </w:p>
        </w:tc>
        <w:tc>
          <w:tcPr>
            <w:tcW w:w="3560" w:type="dxa"/>
            <w:vAlign w:val="bottom"/>
            <w:gridSpan w:val="3"/>
          </w:tcPr>
          <w:p>
            <w:pPr>
              <w:spacing w:after="0"/>
              <w:rPr>
                <w:sz w:val="24"/>
                <w:szCs w:val="24"/>
                <w:color w:val="auto"/>
              </w:rPr>
            </w:pPr>
          </w:p>
        </w:tc>
        <w:tc>
          <w:tcPr>
            <w:tcW w:w="2060" w:type="dxa"/>
            <w:vAlign w:val="bottom"/>
          </w:tcPr>
          <w:p>
            <w:pPr>
              <w:jc w:val="right"/>
              <w:spacing w:after="0"/>
              <w:rPr>
                <w:sz w:val="20"/>
                <w:szCs w:val="20"/>
                <w:color w:val="auto"/>
              </w:rPr>
            </w:pPr>
            <w:r>
              <w:rPr>
                <w:rFonts w:ascii="Arial" w:cs="Arial" w:eastAsia="Arial" w:hAnsi="Arial"/>
                <w:sz w:val="18"/>
                <w:szCs w:val="18"/>
                <w:color w:val="auto"/>
              </w:rPr>
              <w:t>45</w:t>
            </w:r>
          </w:p>
        </w:tc>
      </w:tr>
      <w:tr>
        <w:trPr>
          <w:trHeight w:val="291"/>
        </w:trPr>
        <w:tc>
          <w:tcPr>
            <w:tcW w:w="7560" w:type="dxa"/>
            <w:vAlign w:val="bottom"/>
            <w:gridSpan w:val="19"/>
          </w:tcPr>
          <w:p>
            <w:pPr>
              <w:spacing w:after="0"/>
              <w:rPr>
                <w:rFonts w:ascii="Arial" w:cs="Arial" w:eastAsia="Arial" w:hAnsi="Arial"/>
                <w:sz w:val="18"/>
                <w:szCs w:val="18"/>
                <w:b w:val="1"/>
                <w:bCs w:val="1"/>
                <w:color w:val="0000EE"/>
              </w:rPr>
            </w:pPr>
            <w:hyperlink w:anchor="page57">
              <w:r>
                <w:rPr>
                  <w:rFonts w:ascii="Arial" w:cs="Arial" w:eastAsia="Arial" w:hAnsi="Arial"/>
                  <w:sz w:val="18"/>
                  <w:szCs w:val="18"/>
                  <w:b w:val="1"/>
                  <w:bCs w:val="1"/>
                  <w:color w:val="0000EE"/>
                </w:rPr>
                <w:t>SHAREHOLDER PROPOSALS</w:t>
              </w:r>
            </w:hyperlink>
          </w:p>
        </w:tc>
        <w:tc>
          <w:tcPr>
            <w:tcW w:w="2060" w:type="dxa"/>
            <w:vAlign w:val="bottom"/>
          </w:tcPr>
          <w:p>
            <w:pPr>
              <w:jc w:val="right"/>
              <w:spacing w:after="0"/>
              <w:rPr>
                <w:sz w:val="20"/>
                <w:szCs w:val="20"/>
                <w:color w:val="auto"/>
              </w:rPr>
            </w:pPr>
            <w:r>
              <w:rPr>
                <w:rFonts w:ascii="Arial" w:cs="Arial" w:eastAsia="Arial" w:hAnsi="Arial"/>
                <w:sz w:val="18"/>
                <w:szCs w:val="18"/>
                <w:color w:val="auto"/>
              </w:rPr>
              <w:t>54</w:t>
            </w:r>
          </w:p>
        </w:tc>
      </w:tr>
      <w:tr>
        <w:trPr>
          <w:trHeight w:val="20"/>
        </w:trPr>
        <w:tc>
          <w:tcPr>
            <w:tcW w:w="160" w:type="dxa"/>
            <w:vAlign w:val="bottom"/>
            <w:shd w:val="clear" w:color="auto" w:fill="0000EE"/>
          </w:tcPr>
          <w:p>
            <w:pPr>
              <w:spacing w:after="0" w:line="20" w:lineRule="exact"/>
              <w:rPr>
                <w:sz w:val="1"/>
                <w:szCs w:val="1"/>
                <w:color w:val="auto"/>
              </w:rPr>
            </w:pPr>
          </w:p>
        </w:tc>
        <w:tc>
          <w:tcPr>
            <w:tcW w:w="760" w:type="dxa"/>
            <w:vAlign w:val="bottom"/>
            <w:shd w:val="clear" w:color="auto" w:fill="0000EE"/>
          </w:tcPr>
          <w:p>
            <w:pPr>
              <w:spacing w:after="0" w:line="20" w:lineRule="exact"/>
              <w:rPr>
                <w:sz w:val="1"/>
                <w:szCs w:val="1"/>
                <w:color w:val="auto"/>
              </w:rPr>
            </w:pPr>
          </w:p>
        </w:tc>
        <w:tc>
          <w:tcPr>
            <w:tcW w:w="1480" w:type="dxa"/>
            <w:vAlign w:val="bottom"/>
            <w:gridSpan w:val="6"/>
            <w:shd w:val="clear" w:color="auto" w:fill="0000EE"/>
          </w:tcPr>
          <w:p>
            <w:pPr>
              <w:spacing w:after="0" w:line="20" w:lineRule="exact"/>
              <w:rPr>
                <w:sz w:val="1"/>
                <w:szCs w:val="1"/>
                <w:color w:val="auto"/>
              </w:rPr>
            </w:pPr>
          </w:p>
        </w:tc>
        <w:tc>
          <w:tcPr>
            <w:tcW w:w="160" w:type="dxa"/>
            <w:vAlign w:val="bottom"/>
            <w:tcBorders>
              <w:left w:val="single" w:sz="8" w:color="0000EE"/>
            </w:tcBorders>
            <w:shd w:val="clear" w:color="auto" w:fill="0000EE"/>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80" w:type="dxa"/>
            <w:vAlign w:val="bottom"/>
            <w:gridSpan w:val="2"/>
          </w:tcPr>
          <w:p>
            <w:pPr>
              <w:spacing w:after="0" w:line="20" w:lineRule="exact"/>
              <w:rPr>
                <w:sz w:val="1"/>
                <w:szCs w:val="1"/>
                <w:color w:val="auto"/>
              </w:rPr>
            </w:pPr>
          </w:p>
        </w:tc>
        <w:tc>
          <w:tcPr>
            <w:tcW w:w="260" w:type="dxa"/>
            <w:vAlign w:val="bottom"/>
            <w:gridSpan w:val="2"/>
          </w:tcPr>
          <w:p>
            <w:pPr>
              <w:spacing w:after="0" w:line="20" w:lineRule="exact"/>
              <w:rPr>
                <w:sz w:val="1"/>
                <w:szCs w:val="1"/>
                <w:color w:val="auto"/>
              </w:rPr>
            </w:pPr>
          </w:p>
        </w:tc>
        <w:tc>
          <w:tcPr>
            <w:tcW w:w="4040" w:type="dxa"/>
            <w:vAlign w:val="bottom"/>
            <w:gridSpan w:val="5"/>
          </w:tcPr>
          <w:p>
            <w:pPr>
              <w:spacing w:after="0" w:line="20" w:lineRule="exact"/>
              <w:rPr>
                <w:sz w:val="1"/>
                <w:szCs w:val="1"/>
                <w:color w:val="auto"/>
              </w:rPr>
            </w:pPr>
          </w:p>
        </w:tc>
        <w:tc>
          <w:tcPr>
            <w:tcW w:w="2060" w:type="dxa"/>
            <w:vAlign w:val="bottom"/>
          </w:tcPr>
          <w:p>
            <w:pPr>
              <w:spacing w:after="0" w:line="20" w:lineRule="exact"/>
              <w:rPr>
                <w:sz w:val="1"/>
                <w:szCs w:val="1"/>
                <w:color w:val="auto"/>
              </w:rPr>
            </w:pPr>
          </w:p>
        </w:tc>
      </w:tr>
      <w:tr>
        <w:trPr>
          <w:trHeight w:val="291"/>
        </w:trPr>
        <w:tc>
          <w:tcPr>
            <w:tcW w:w="160" w:type="dxa"/>
            <w:vAlign w:val="bottom"/>
          </w:tcPr>
          <w:p>
            <w:pPr>
              <w:spacing w:after="0"/>
              <w:rPr>
                <w:sz w:val="24"/>
                <w:szCs w:val="24"/>
                <w:color w:val="auto"/>
              </w:rPr>
            </w:pPr>
          </w:p>
        </w:tc>
        <w:tc>
          <w:tcPr>
            <w:tcW w:w="7400" w:type="dxa"/>
            <w:vAlign w:val="bottom"/>
            <w:gridSpan w:val="18"/>
          </w:tcPr>
          <w:p>
            <w:pPr>
              <w:spacing w:after="0"/>
              <w:rPr>
                <w:rFonts w:ascii="Arial" w:cs="Arial" w:eastAsia="Arial" w:hAnsi="Arial"/>
                <w:sz w:val="18"/>
                <w:szCs w:val="18"/>
                <w:color w:val="0000EE"/>
              </w:rPr>
            </w:pPr>
            <w:hyperlink w:anchor="page57">
              <w:r>
                <w:rPr>
                  <w:rFonts w:ascii="Arial" w:cs="Arial" w:eastAsia="Arial" w:hAnsi="Arial"/>
                  <w:sz w:val="18"/>
                  <w:szCs w:val="18"/>
                  <w:color w:val="0000EE"/>
                </w:rPr>
                <w:t>Item 4 – Independent Chairman</w:t>
              </w:r>
            </w:hyperlink>
          </w:p>
        </w:tc>
        <w:tc>
          <w:tcPr>
            <w:tcW w:w="2060" w:type="dxa"/>
            <w:vAlign w:val="bottom"/>
          </w:tcPr>
          <w:p>
            <w:pPr>
              <w:jc w:val="right"/>
              <w:spacing w:after="0"/>
              <w:rPr>
                <w:sz w:val="20"/>
                <w:szCs w:val="20"/>
                <w:color w:val="auto"/>
              </w:rPr>
            </w:pPr>
            <w:r>
              <w:rPr>
                <w:rFonts w:ascii="Arial" w:cs="Arial" w:eastAsia="Arial" w:hAnsi="Arial"/>
                <w:sz w:val="18"/>
                <w:szCs w:val="18"/>
                <w:color w:val="auto"/>
              </w:rPr>
              <w:t>54</w:t>
            </w:r>
          </w:p>
        </w:tc>
      </w:tr>
      <w:tr>
        <w:trPr>
          <w:trHeight w:val="20"/>
        </w:trPr>
        <w:tc>
          <w:tcPr>
            <w:tcW w:w="160" w:type="dxa"/>
            <w:vAlign w:val="bottom"/>
          </w:tcPr>
          <w:p>
            <w:pPr>
              <w:spacing w:after="0" w:line="20" w:lineRule="exact"/>
              <w:rPr>
                <w:sz w:val="1"/>
                <w:szCs w:val="1"/>
                <w:color w:val="auto"/>
              </w:rPr>
            </w:pPr>
          </w:p>
        </w:tc>
        <w:tc>
          <w:tcPr>
            <w:tcW w:w="760" w:type="dxa"/>
            <w:vAlign w:val="bottom"/>
            <w:shd w:val="clear" w:color="auto" w:fill="0000EE"/>
          </w:tcPr>
          <w:p>
            <w:pPr>
              <w:spacing w:after="0" w:line="20" w:lineRule="exact"/>
              <w:rPr>
                <w:sz w:val="1"/>
                <w:szCs w:val="1"/>
                <w:color w:val="auto"/>
              </w:rPr>
            </w:pPr>
          </w:p>
        </w:tc>
        <w:tc>
          <w:tcPr>
            <w:tcW w:w="1480" w:type="dxa"/>
            <w:vAlign w:val="bottom"/>
            <w:gridSpan w:val="6"/>
            <w:shd w:val="clear" w:color="auto" w:fill="0000EE"/>
          </w:tcPr>
          <w:p>
            <w:pPr>
              <w:spacing w:after="0" w:line="20" w:lineRule="exact"/>
              <w:rPr>
                <w:sz w:val="1"/>
                <w:szCs w:val="1"/>
                <w:color w:val="auto"/>
              </w:rPr>
            </w:pPr>
          </w:p>
        </w:tc>
        <w:tc>
          <w:tcPr>
            <w:tcW w:w="280" w:type="dxa"/>
            <w:vAlign w:val="bottom"/>
            <w:tcBorders>
              <w:left w:val="single" w:sz="8" w:color="0000EE"/>
              <w:right w:val="single" w:sz="8" w:color="0000EE"/>
            </w:tcBorders>
            <w:gridSpan w:val="2"/>
            <w:shd w:val="clear" w:color="auto" w:fill="0000EE"/>
          </w:tcPr>
          <w:p>
            <w:pPr>
              <w:spacing w:after="0" w:line="20" w:lineRule="exact"/>
              <w:rPr>
                <w:sz w:val="1"/>
                <w:szCs w:val="1"/>
                <w:color w:val="auto"/>
              </w:rPr>
            </w:pPr>
          </w:p>
        </w:tc>
        <w:tc>
          <w:tcPr>
            <w:tcW w:w="580" w:type="dxa"/>
            <w:vAlign w:val="bottom"/>
            <w:gridSpan w:val="2"/>
          </w:tcPr>
          <w:p>
            <w:pPr>
              <w:spacing w:after="0" w:line="20" w:lineRule="exact"/>
              <w:rPr>
                <w:sz w:val="1"/>
                <w:szCs w:val="1"/>
                <w:color w:val="auto"/>
              </w:rPr>
            </w:pPr>
          </w:p>
        </w:tc>
        <w:tc>
          <w:tcPr>
            <w:tcW w:w="260" w:type="dxa"/>
            <w:vAlign w:val="bottom"/>
            <w:gridSpan w:val="2"/>
          </w:tcPr>
          <w:p>
            <w:pPr>
              <w:spacing w:after="0" w:line="20" w:lineRule="exact"/>
              <w:rPr>
                <w:sz w:val="1"/>
                <w:szCs w:val="1"/>
                <w:color w:val="auto"/>
              </w:rPr>
            </w:pPr>
          </w:p>
        </w:tc>
        <w:tc>
          <w:tcPr>
            <w:tcW w:w="4040" w:type="dxa"/>
            <w:vAlign w:val="bottom"/>
            <w:gridSpan w:val="5"/>
          </w:tcPr>
          <w:p>
            <w:pPr>
              <w:spacing w:after="0" w:line="20" w:lineRule="exact"/>
              <w:rPr>
                <w:sz w:val="1"/>
                <w:szCs w:val="1"/>
                <w:color w:val="auto"/>
              </w:rPr>
            </w:pPr>
          </w:p>
        </w:tc>
        <w:tc>
          <w:tcPr>
            <w:tcW w:w="2060" w:type="dxa"/>
            <w:vAlign w:val="bottom"/>
          </w:tcPr>
          <w:p>
            <w:pPr>
              <w:spacing w:after="0" w:line="20" w:lineRule="exact"/>
              <w:rPr>
                <w:sz w:val="1"/>
                <w:szCs w:val="1"/>
                <w:color w:val="auto"/>
              </w:rPr>
            </w:pPr>
          </w:p>
        </w:tc>
      </w:tr>
      <w:tr>
        <w:trPr>
          <w:trHeight w:val="291"/>
        </w:trPr>
        <w:tc>
          <w:tcPr>
            <w:tcW w:w="160" w:type="dxa"/>
            <w:vAlign w:val="bottom"/>
          </w:tcPr>
          <w:p>
            <w:pPr>
              <w:spacing w:after="0"/>
              <w:rPr>
                <w:sz w:val="24"/>
                <w:szCs w:val="24"/>
                <w:color w:val="auto"/>
              </w:rPr>
            </w:pPr>
          </w:p>
        </w:tc>
        <w:tc>
          <w:tcPr>
            <w:tcW w:w="3100" w:type="dxa"/>
            <w:vAlign w:val="bottom"/>
            <w:tcBorders>
              <w:bottom w:val="single" w:sz="8" w:color="0000EE"/>
            </w:tcBorders>
            <w:gridSpan w:val="11"/>
          </w:tcPr>
          <w:p>
            <w:pPr>
              <w:spacing w:after="0"/>
              <w:rPr>
                <w:rFonts w:ascii="Arial" w:cs="Arial" w:eastAsia="Arial" w:hAnsi="Arial"/>
                <w:sz w:val="18"/>
                <w:szCs w:val="18"/>
                <w:color w:val="0000EE"/>
                <w:w w:val="99"/>
              </w:rPr>
            </w:pPr>
            <w:hyperlink w:anchor="page58">
              <w:r>
                <w:rPr>
                  <w:rFonts w:ascii="Arial" w:cs="Arial" w:eastAsia="Arial" w:hAnsi="Arial"/>
                  <w:sz w:val="18"/>
                  <w:szCs w:val="18"/>
                  <w:color w:val="0000EE"/>
                  <w:w w:val="99"/>
                </w:rPr>
                <w:t>Item 5 – Special Shareholder Meetings</w:t>
              </w:r>
            </w:hyperlink>
          </w:p>
        </w:tc>
        <w:tc>
          <w:tcPr>
            <w:tcW w:w="4300" w:type="dxa"/>
            <w:vAlign w:val="bottom"/>
            <w:gridSpan w:val="7"/>
          </w:tcPr>
          <w:p>
            <w:pPr>
              <w:spacing w:after="0"/>
              <w:rPr>
                <w:sz w:val="24"/>
                <w:szCs w:val="24"/>
                <w:color w:val="auto"/>
              </w:rPr>
            </w:pPr>
          </w:p>
        </w:tc>
        <w:tc>
          <w:tcPr>
            <w:tcW w:w="2060" w:type="dxa"/>
            <w:vAlign w:val="bottom"/>
          </w:tcPr>
          <w:p>
            <w:pPr>
              <w:jc w:val="right"/>
              <w:spacing w:after="0"/>
              <w:rPr>
                <w:sz w:val="20"/>
                <w:szCs w:val="20"/>
                <w:color w:val="auto"/>
              </w:rPr>
            </w:pPr>
            <w:r>
              <w:rPr>
                <w:rFonts w:ascii="Arial" w:cs="Arial" w:eastAsia="Arial" w:hAnsi="Arial"/>
                <w:sz w:val="18"/>
                <w:szCs w:val="18"/>
                <w:color w:val="auto"/>
              </w:rPr>
              <w:t>55</w:t>
            </w:r>
          </w:p>
        </w:tc>
      </w:tr>
      <w:tr>
        <w:trPr>
          <w:trHeight w:val="291"/>
        </w:trPr>
        <w:tc>
          <w:tcPr>
            <w:tcW w:w="160" w:type="dxa"/>
            <w:vAlign w:val="bottom"/>
          </w:tcPr>
          <w:p>
            <w:pPr>
              <w:spacing w:after="0"/>
              <w:rPr>
                <w:sz w:val="24"/>
                <w:szCs w:val="24"/>
                <w:color w:val="auto"/>
              </w:rPr>
            </w:pPr>
          </w:p>
        </w:tc>
        <w:tc>
          <w:tcPr>
            <w:tcW w:w="2520" w:type="dxa"/>
            <w:vAlign w:val="bottom"/>
            <w:tcBorders>
              <w:bottom w:val="single" w:sz="8" w:color="0000EE"/>
            </w:tcBorders>
            <w:gridSpan w:val="9"/>
          </w:tcPr>
          <w:p>
            <w:pPr>
              <w:spacing w:after="0"/>
              <w:rPr>
                <w:rFonts w:ascii="Arial" w:cs="Arial" w:eastAsia="Arial" w:hAnsi="Arial"/>
                <w:sz w:val="18"/>
                <w:szCs w:val="18"/>
                <w:color w:val="0000EE"/>
              </w:rPr>
            </w:pPr>
            <w:hyperlink w:anchor="page59">
              <w:r>
                <w:rPr>
                  <w:rFonts w:ascii="Arial" w:cs="Arial" w:eastAsia="Arial" w:hAnsi="Arial"/>
                  <w:sz w:val="18"/>
                  <w:szCs w:val="18"/>
                  <w:color w:val="0000EE"/>
                </w:rPr>
                <w:t>Item 6 – Board Diversity Matrix</w:t>
              </w:r>
            </w:hyperlink>
          </w:p>
        </w:tc>
        <w:tc>
          <w:tcPr>
            <w:tcW w:w="4880" w:type="dxa"/>
            <w:vAlign w:val="bottom"/>
            <w:gridSpan w:val="9"/>
          </w:tcPr>
          <w:p>
            <w:pPr>
              <w:spacing w:after="0"/>
              <w:rPr>
                <w:sz w:val="24"/>
                <w:szCs w:val="24"/>
                <w:color w:val="auto"/>
              </w:rPr>
            </w:pPr>
          </w:p>
        </w:tc>
        <w:tc>
          <w:tcPr>
            <w:tcW w:w="2060" w:type="dxa"/>
            <w:vAlign w:val="bottom"/>
          </w:tcPr>
          <w:p>
            <w:pPr>
              <w:jc w:val="right"/>
              <w:spacing w:after="0"/>
              <w:rPr>
                <w:sz w:val="20"/>
                <w:szCs w:val="20"/>
                <w:color w:val="auto"/>
              </w:rPr>
            </w:pPr>
            <w:r>
              <w:rPr>
                <w:rFonts w:ascii="Arial" w:cs="Arial" w:eastAsia="Arial" w:hAnsi="Arial"/>
                <w:sz w:val="18"/>
                <w:szCs w:val="18"/>
                <w:color w:val="auto"/>
              </w:rPr>
              <w:t>56</w:t>
            </w:r>
          </w:p>
        </w:tc>
      </w:tr>
      <w:tr>
        <w:trPr>
          <w:trHeight w:val="291"/>
        </w:trPr>
        <w:tc>
          <w:tcPr>
            <w:tcW w:w="160" w:type="dxa"/>
            <w:vAlign w:val="bottom"/>
          </w:tcPr>
          <w:p>
            <w:pPr>
              <w:spacing w:after="0"/>
              <w:rPr>
                <w:sz w:val="24"/>
                <w:szCs w:val="24"/>
                <w:color w:val="auto"/>
              </w:rPr>
            </w:pPr>
          </w:p>
        </w:tc>
        <w:tc>
          <w:tcPr>
            <w:tcW w:w="7400" w:type="dxa"/>
            <w:vAlign w:val="bottom"/>
            <w:gridSpan w:val="18"/>
          </w:tcPr>
          <w:p>
            <w:pPr>
              <w:spacing w:after="0"/>
              <w:rPr>
                <w:rFonts w:ascii="Arial" w:cs="Arial" w:eastAsia="Arial" w:hAnsi="Arial"/>
                <w:sz w:val="18"/>
                <w:szCs w:val="18"/>
                <w:color w:val="0000EE"/>
              </w:rPr>
            </w:pPr>
            <w:hyperlink w:anchor="page61">
              <w:r>
                <w:rPr>
                  <w:rFonts w:ascii="Arial" w:cs="Arial" w:eastAsia="Arial" w:hAnsi="Arial"/>
                  <w:sz w:val="18"/>
                  <w:szCs w:val="18"/>
                  <w:color w:val="0000EE"/>
                </w:rPr>
                <w:t>Item 7 – Report on Lobbying</w:t>
              </w:r>
            </w:hyperlink>
          </w:p>
        </w:tc>
        <w:tc>
          <w:tcPr>
            <w:tcW w:w="2060" w:type="dxa"/>
            <w:vAlign w:val="bottom"/>
          </w:tcPr>
          <w:p>
            <w:pPr>
              <w:jc w:val="right"/>
              <w:spacing w:after="0"/>
              <w:rPr>
                <w:sz w:val="20"/>
                <w:szCs w:val="20"/>
                <w:color w:val="auto"/>
              </w:rPr>
            </w:pPr>
            <w:r>
              <w:rPr>
                <w:rFonts w:ascii="Arial" w:cs="Arial" w:eastAsia="Arial" w:hAnsi="Arial"/>
                <w:sz w:val="18"/>
                <w:szCs w:val="18"/>
                <w:color w:val="auto"/>
              </w:rPr>
              <w:t>58</w:t>
            </w:r>
          </w:p>
        </w:tc>
      </w:tr>
      <w:tr>
        <w:trPr>
          <w:trHeight w:val="20"/>
        </w:trPr>
        <w:tc>
          <w:tcPr>
            <w:tcW w:w="160" w:type="dxa"/>
            <w:vAlign w:val="bottom"/>
          </w:tcPr>
          <w:p>
            <w:pPr>
              <w:spacing w:after="0" w:line="20" w:lineRule="exact"/>
              <w:rPr>
                <w:sz w:val="1"/>
                <w:szCs w:val="1"/>
                <w:color w:val="auto"/>
              </w:rPr>
            </w:pPr>
          </w:p>
        </w:tc>
        <w:tc>
          <w:tcPr>
            <w:tcW w:w="760" w:type="dxa"/>
            <w:vAlign w:val="bottom"/>
            <w:shd w:val="clear" w:color="auto" w:fill="0000EE"/>
          </w:tcPr>
          <w:p>
            <w:pPr>
              <w:spacing w:after="0" w:line="20" w:lineRule="exact"/>
              <w:rPr>
                <w:sz w:val="1"/>
                <w:szCs w:val="1"/>
                <w:color w:val="auto"/>
              </w:rPr>
            </w:pPr>
          </w:p>
        </w:tc>
        <w:tc>
          <w:tcPr>
            <w:tcW w:w="1480" w:type="dxa"/>
            <w:vAlign w:val="bottom"/>
            <w:gridSpan w:val="6"/>
            <w:shd w:val="clear" w:color="auto" w:fill="0000EE"/>
          </w:tcPr>
          <w:p>
            <w:pPr>
              <w:spacing w:after="0" w:line="20" w:lineRule="exact"/>
              <w:rPr>
                <w:sz w:val="1"/>
                <w:szCs w:val="1"/>
                <w:color w:val="auto"/>
              </w:rPr>
            </w:pPr>
          </w:p>
        </w:tc>
        <w:tc>
          <w:tcPr>
            <w:tcW w:w="1120" w:type="dxa"/>
            <w:vAlign w:val="bottom"/>
            <w:gridSpan w:val="6"/>
          </w:tcPr>
          <w:p>
            <w:pPr>
              <w:spacing w:after="0" w:line="20" w:lineRule="exact"/>
              <w:rPr>
                <w:sz w:val="1"/>
                <w:szCs w:val="1"/>
                <w:color w:val="auto"/>
              </w:rPr>
            </w:pPr>
          </w:p>
        </w:tc>
        <w:tc>
          <w:tcPr>
            <w:tcW w:w="4040" w:type="dxa"/>
            <w:vAlign w:val="bottom"/>
            <w:gridSpan w:val="5"/>
          </w:tcPr>
          <w:p>
            <w:pPr>
              <w:spacing w:after="0" w:line="20" w:lineRule="exact"/>
              <w:rPr>
                <w:sz w:val="1"/>
                <w:szCs w:val="1"/>
                <w:color w:val="auto"/>
              </w:rPr>
            </w:pPr>
          </w:p>
        </w:tc>
        <w:tc>
          <w:tcPr>
            <w:tcW w:w="2060" w:type="dxa"/>
            <w:vAlign w:val="bottom"/>
          </w:tcPr>
          <w:p>
            <w:pPr>
              <w:spacing w:after="0" w:line="20" w:lineRule="exact"/>
              <w:rPr>
                <w:sz w:val="1"/>
                <w:szCs w:val="1"/>
                <w:color w:val="auto"/>
              </w:rPr>
            </w:pPr>
          </w:p>
        </w:tc>
      </w:tr>
      <w:tr>
        <w:trPr>
          <w:trHeight w:val="291"/>
        </w:trPr>
        <w:tc>
          <w:tcPr>
            <w:tcW w:w="7560" w:type="dxa"/>
            <w:vAlign w:val="bottom"/>
            <w:gridSpan w:val="19"/>
          </w:tcPr>
          <w:p>
            <w:pPr>
              <w:spacing w:after="0"/>
              <w:rPr>
                <w:rFonts w:ascii="Arial" w:cs="Arial" w:eastAsia="Arial" w:hAnsi="Arial"/>
                <w:sz w:val="18"/>
                <w:szCs w:val="18"/>
                <w:b w:val="1"/>
                <w:bCs w:val="1"/>
                <w:color w:val="0000EE"/>
              </w:rPr>
            </w:pPr>
            <w:hyperlink w:anchor="page63">
              <w:r>
                <w:rPr>
                  <w:rFonts w:ascii="Arial" w:cs="Arial" w:eastAsia="Arial" w:hAnsi="Arial"/>
                  <w:sz w:val="18"/>
                  <w:szCs w:val="18"/>
                  <w:b w:val="1"/>
                  <w:bCs w:val="1"/>
                  <w:color w:val="0000EE"/>
                </w:rPr>
                <w:t>PAY RATIO</w:t>
              </w:r>
            </w:hyperlink>
          </w:p>
        </w:tc>
        <w:tc>
          <w:tcPr>
            <w:tcW w:w="2060" w:type="dxa"/>
            <w:vAlign w:val="bottom"/>
          </w:tcPr>
          <w:p>
            <w:pPr>
              <w:jc w:val="right"/>
              <w:spacing w:after="0"/>
              <w:rPr>
                <w:sz w:val="20"/>
                <w:szCs w:val="20"/>
                <w:color w:val="auto"/>
              </w:rPr>
            </w:pPr>
            <w:r>
              <w:rPr>
                <w:rFonts w:ascii="Arial" w:cs="Arial" w:eastAsia="Arial" w:hAnsi="Arial"/>
                <w:sz w:val="18"/>
                <w:szCs w:val="18"/>
                <w:color w:val="auto"/>
              </w:rPr>
              <w:t>60</w:t>
            </w:r>
          </w:p>
        </w:tc>
      </w:tr>
      <w:tr>
        <w:trPr>
          <w:trHeight w:val="20"/>
        </w:trPr>
        <w:tc>
          <w:tcPr>
            <w:tcW w:w="920" w:type="dxa"/>
            <w:vAlign w:val="bottom"/>
            <w:gridSpan w:val="2"/>
            <w:shd w:val="clear" w:color="auto" w:fill="0000EE"/>
          </w:tcPr>
          <w:p>
            <w:pPr>
              <w:spacing w:after="0" w:line="20" w:lineRule="exact"/>
              <w:rPr>
                <w:sz w:val="1"/>
                <w:szCs w:val="1"/>
                <w:color w:val="auto"/>
              </w:rPr>
            </w:pPr>
          </w:p>
        </w:tc>
        <w:tc>
          <w:tcPr>
            <w:tcW w:w="1480" w:type="dxa"/>
            <w:vAlign w:val="bottom"/>
            <w:gridSpan w:val="6"/>
          </w:tcPr>
          <w:p>
            <w:pPr>
              <w:spacing w:after="0" w:line="20" w:lineRule="exact"/>
              <w:rPr>
                <w:sz w:val="1"/>
                <w:szCs w:val="1"/>
                <w:color w:val="auto"/>
              </w:rPr>
            </w:pPr>
          </w:p>
        </w:tc>
        <w:tc>
          <w:tcPr>
            <w:tcW w:w="1120" w:type="dxa"/>
            <w:vAlign w:val="bottom"/>
            <w:gridSpan w:val="6"/>
          </w:tcPr>
          <w:p>
            <w:pPr>
              <w:spacing w:after="0" w:line="20" w:lineRule="exact"/>
              <w:rPr>
                <w:sz w:val="1"/>
                <w:szCs w:val="1"/>
                <w:color w:val="auto"/>
              </w:rPr>
            </w:pPr>
          </w:p>
        </w:tc>
        <w:tc>
          <w:tcPr>
            <w:tcW w:w="4040" w:type="dxa"/>
            <w:vAlign w:val="bottom"/>
            <w:gridSpan w:val="5"/>
          </w:tcPr>
          <w:p>
            <w:pPr>
              <w:spacing w:after="0" w:line="20" w:lineRule="exact"/>
              <w:rPr>
                <w:sz w:val="1"/>
                <w:szCs w:val="1"/>
                <w:color w:val="auto"/>
              </w:rPr>
            </w:pPr>
          </w:p>
        </w:tc>
        <w:tc>
          <w:tcPr>
            <w:tcW w:w="2060" w:type="dxa"/>
            <w:vAlign w:val="bottom"/>
          </w:tcPr>
          <w:p>
            <w:pPr>
              <w:spacing w:after="0" w:line="20" w:lineRule="exact"/>
              <w:rPr>
                <w:sz w:val="1"/>
                <w:szCs w:val="1"/>
                <w:color w:val="auto"/>
              </w:rPr>
            </w:pPr>
          </w:p>
        </w:tc>
      </w:tr>
      <w:tr>
        <w:trPr>
          <w:trHeight w:val="291"/>
        </w:trPr>
        <w:tc>
          <w:tcPr>
            <w:tcW w:w="7560" w:type="dxa"/>
            <w:vAlign w:val="bottom"/>
            <w:gridSpan w:val="19"/>
          </w:tcPr>
          <w:p>
            <w:pPr>
              <w:spacing w:after="0"/>
              <w:rPr>
                <w:rFonts w:ascii="Arial" w:cs="Arial" w:eastAsia="Arial" w:hAnsi="Arial"/>
                <w:sz w:val="18"/>
                <w:szCs w:val="18"/>
                <w:b w:val="1"/>
                <w:bCs w:val="1"/>
                <w:color w:val="0000EE"/>
              </w:rPr>
            </w:pPr>
            <w:hyperlink w:anchor="page64">
              <w:r>
                <w:rPr>
                  <w:rFonts w:ascii="Arial" w:cs="Arial" w:eastAsia="Arial" w:hAnsi="Arial"/>
                  <w:sz w:val="18"/>
                  <w:szCs w:val="18"/>
                  <w:b w:val="1"/>
                  <w:bCs w:val="1"/>
                  <w:color w:val="0000EE"/>
                </w:rPr>
                <w:t>ADDITIONAL INFORMATION</w:t>
              </w:r>
            </w:hyperlink>
          </w:p>
        </w:tc>
        <w:tc>
          <w:tcPr>
            <w:tcW w:w="2060" w:type="dxa"/>
            <w:vAlign w:val="bottom"/>
          </w:tcPr>
          <w:p>
            <w:pPr>
              <w:jc w:val="right"/>
              <w:spacing w:after="0"/>
              <w:rPr>
                <w:sz w:val="20"/>
                <w:szCs w:val="20"/>
                <w:color w:val="auto"/>
              </w:rPr>
            </w:pPr>
            <w:r>
              <w:rPr>
                <w:rFonts w:ascii="Arial" w:cs="Arial" w:eastAsia="Arial" w:hAnsi="Arial"/>
                <w:sz w:val="18"/>
                <w:szCs w:val="18"/>
                <w:color w:val="auto"/>
              </w:rPr>
              <w:t>61</w:t>
            </w:r>
          </w:p>
        </w:tc>
      </w:tr>
      <w:tr>
        <w:trPr>
          <w:trHeight w:val="20"/>
        </w:trPr>
        <w:tc>
          <w:tcPr>
            <w:tcW w:w="2400" w:type="dxa"/>
            <w:vAlign w:val="bottom"/>
            <w:gridSpan w:val="8"/>
            <w:shd w:val="clear" w:color="auto" w:fill="0000EE"/>
          </w:tcPr>
          <w:p>
            <w:pPr>
              <w:spacing w:after="0" w:line="20" w:lineRule="exact"/>
              <w:rPr>
                <w:sz w:val="1"/>
                <w:szCs w:val="1"/>
                <w:color w:val="auto"/>
              </w:rPr>
            </w:pPr>
          </w:p>
        </w:tc>
        <w:tc>
          <w:tcPr>
            <w:tcW w:w="1120" w:type="dxa"/>
            <w:vAlign w:val="bottom"/>
            <w:gridSpan w:val="6"/>
          </w:tcPr>
          <w:p>
            <w:pPr>
              <w:spacing w:after="0" w:line="20" w:lineRule="exact"/>
              <w:rPr>
                <w:sz w:val="1"/>
                <w:szCs w:val="1"/>
                <w:color w:val="auto"/>
              </w:rPr>
            </w:pPr>
          </w:p>
        </w:tc>
        <w:tc>
          <w:tcPr>
            <w:tcW w:w="4040" w:type="dxa"/>
            <w:vAlign w:val="bottom"/>
            <w:gridSpan w:val="5"/>
          </w:tcPr>
          <w:p>
            <w:pPr>
              <w:spacing w:after="0" w:line="20" w:lineRule="exact"/>
              <w:rPr>
                <w:sz w:val="1"/>
                <w:szCs w:val="1"/>
                <w:color w:val="auto"/>
              </w:rPr>
            </w:pPr>
          </w:p>
        </w:tc>
        <w:tc>
          <w:tcPr>
            <w:tcW w:w="2060" w:type="dxa"/>
            <w:vAlign w:val="bottom"/>
          </w:tcPr>
          <w:p>
            <w:pPr>
              <w:spacing w:after="0" w:line="20" w:lineRule="exact"/>
              <w:rPr>
                <w:sz w:val="1"/>
                <w:szCs w:val="1"/>
                <w:color w:val="auto"/>
              </w:rPr>
            </w:pPr>
          </w:p>
        </w:tc>
      </w:tr>
      <w:tr>
        <w:trPr>
          <w:trHeight w:val="291"/>
        </w:trPr>
        <w:tc>
          <w:tcPr>
            <w:tcW w:w="7560" w:type="dxa"/>
            <w:vAlign w:val="bottom"/>
            <w:gridSpan w:val="19"/>
          </w:tcPr>
          <w:p>
            <w:pPr>
              <w:spacing w:after="0"/>
              <w:rPr>
                <w:rFonts w:ascii="Arial" w:cs="Arial" w:eastAsia="Arial" w:hAnsi="Arial"/>
                <w:sz w:val="18"/>
                <w:szCs w:val="18"/>
                <w:b w:val="1"/>
                <w:bCs w:val="1"/>
                <w:color w:val="0000EE"/>
              </w:rPr>
            </w:pPr>
            <w:hyperlink w:anchor="page66">
              <w:r>
                <w:rPr>
                  <w:rFonts w:ascii="Arial" w:cs="Arial" w:eastAsia="Arial" w:hAnsi="Arial"/>
                  <w:sz w:val="18"/>
                  <w:szCs w:val="18"/>
                  <w:b w:val="1"/>
                  <w:bCs w:val="1"/>
                  <w:color w:val="0000EE"/>
                </w:rPr>
                <w:t>DIRECTIONS TO 2018 ANNUAL MEETING</w:t>
              </w:r>
            </w:hyperlink>
          </w:p>
        </w:tc>
        <w:tc>
          <w:tcPr>
            <w:tcW w:w="2060" w:type="dxa"/>
            <w:vAlign w:val="bottom"/>
          </w:tcPr>
          <w:p>
            <w:pPr>
              <w:jc w:val="right"/>
              <w:spacing w:after="0"/>
              <w:rPr>
                <w:sz w:val="20"/>
                <w:szCs w:val="20"/>
                <w:color w:val="auto"/>
              </w:rPr>
            </w:pPr>
            <w:r>
              <w:rPr>
                <w:rFonts w:ascii="Arial" w:cs="Arial" w:eastAsia="Arial" w:hAnsi="Arial"/>
                <w:sz w:val="18"/>
                <w:szCs w:val="18"/>
                <w:color w:val="auto"/>
              </w:rPr>
              <w:t>63</w:t>
            </w:r>
          </w:p>
        </w:tc>
      </w:tr>
      <w:tr>
        <w:trPr>
          <w:trHeight w:val="20"/>
        </w:trPr>
        <w:tc>
          <w:tcPr>
            <w:tcW w:w="160" w:type="dxa"/>
            <w:vAlign w:val="bottom"/>
            <w:shd w:val="clear" w:color="auto" w:fill="0000EE"/>
          </w:tcPr>
          <w:p>
            <w:pPr>
              <w:spacing w:after="0" w:line="20" w:lineRule="exact"/>
              <w:rPr>
                <w:sz w:val="1"/>
                <w:szCs w:val="1"/>
                <w:color w:val="auto"/>
              </w:rPr>
            </w:pPr>
          </w:p>
        </w:tc>
        <w:tc>
          <w:tcPr>
            <w:tcW w:w="760" w:type="dxa"/>
            <w:vAlign w:val="bottom"/>
            <w:shd w:val="clear" w:color="auto" w:fill="0000EE"/>
          </w:tcPr>
          <w:p>
            <w:pPr>
              <w:spacing w:after="0" w:line="20" w:lineRule="exact"/>
              <w:rPr>
                <w:sz w:val="1"/>
                <w:szCs w:val="1"/>
                <w:color w:val="auto"/>
              </w:rPr>
            </w:pPr>
          </w:p>
        </w:tc>
        <w:tc>
          <w:tcPr>
            <w:tcW w:w="102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160" w:type="dxa"/>
            <w:vAlign w:val="bottom"/>
            <w:tcBorders>
              <w:left w:val="single" w:sz="8" w:color="0000EE"/>
            </w:tcBorders>
            <w:shd w:val="clear" w:color="auto" w:fill="0000EE"/>
          </w:tcPr>
          <w:p>
            <w:pPr>
              <w:spacing w:after="0" w:line="20" w:lineRule="exact"/>
              <w:rPr>
                <w:sz w:val="1"/>
                <w:szCs w:val="1"/>
                <w:color w:val="auto"/>
              </w:rPr>
            </w:pPr>
          </w:p>
        </w:tc>
        <w:tc>
          <w:tcPr>
            <w:tcW w:w="120" w:type="dxa"/>
            <w:vAlign w:val="bottom"/>
            <w:tcBorders>
              <w:right w:val="single" w:sz="8" w:color="0000EE"/>
            </w:tcBorders>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40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240" w:type="dxa"/>
            <w:vAlign w:val="bottom"/>
            <w:shd w:val="clear" w:color="auto" w:fill="0000EE"/>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2660" w:type="dxa"/>
            <w:vAlign w:val="bottom"/>
          </w:tcPr>
          <w:p>
            <w:pPr>
              <w:spacing w:after="0" w:line="20" w:lineRule="exact"/>
              <w:rPr>
                <w:sz w:val="1"/>
                <w:szCs w:val="1"/>
                <w:color w:val="auto"/>
              </w:rPr>
            </w:pPr>
          </w:p>
        </w:tc>
        <w:tc>
          <w:tcPr>
            <w:tcW w:w="2060" w:type="dxa"/>
            <w:vAlign w:val="bottom"/>
          </w:tcPr>
          <w:p>
            <w:pPr>
              <w:spacing w:after="0" w:line="20" w:lineRule="exact"/>
              <w:rPr>
                <w:sz w:val="1"/>
                <w:szCs w:val="1"/>
                <w:color w:val="auto"/>
              </w:rPr>
            </w:pPr>
          </w:p>
        </w:tc>
      </w:tr>
    </w:tbl>
    <w:p>
      <w:pPr>
        <w:sectPr>
          <w:pgSz w:w="11900" w:h="16838" w:orient="portrait"/>
          <w:cols w:equalWidth="0" w:num="1">
            <w:col w:w="10500"/>
          </w:cols>
          <w:pgMar w:left="240" w:top="455" w:right="1159" w:bottom="1440" w:gutter="0" w:footer="0" w:header="0"/>
        </w:sectPr>
      </w:pPr>
    </w:p>
    <w:bookmarkStart w:id="3" w:name="page4"/>
    <w:bookmarkEnd w:id="3"/>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Times New Roman" w:cs="Times New Roman" w:eastAsia="Times New Roman" w:hAnsi="Times New Roman"/>
            <w:sz w:val="18"/>
            <w:szCs w:val="18"/>
            <w:b w:val="1"/>
            <w:bCs w:val="1"/>
            <w:u w:val="single" w:color="auto"/>
            <w:color w:val="0000EE"/>
          </w:rPr>
          <w:t>Table of Contents</w:t>
        </w:r>
      </w:hyperlink>
    </w:p>
    <w:p>
      <w:pPr>
        <w:spacing w:after="0" w:line="300" w:lineRule="exact"/>
        <w:rPr>
          <w:sz w:val="20"/>
          <w:szCs w:val="20"/>
          <w:color w:val="auto"/>
        </w:rPr>
      </w:pPr>
    </w:p>
    <w:p>
      <w:pPr>
        <w:ind w:left="860"/>
        <w:spacing w:after="0"/>
        <w:rPr>
          <w:sz w:val="20"/>
          <w:szCs w:val="20"/>
          <w:color w:val="auto"/>
        </w:rPr>
      </w:pPr>
      <w:r>
        <w:rPr>
          <w:rFonts w:ascii="Arial" w:cs="Arial" w:eastAsia="Arial" w:hAnsi="Arial"/>
          <w:sz w:val="23"/>
          <w:szCs w:val="23"/>
          <w:b w:val="1"/>
          <w:bCs w:val="1"/>
          <w:color w:val="2B4C9B"/>
        </w:rPr>
        <w:t>GENERAL INFORMATION</w:t>
      </w:r>
    </w:p>
    <w:p>
      <w:pPr>
        <w:spacing w:after="0" w:line="387" w:lineRule="exact"/>
        <w:rPr>
          <w:sz w:val="20"/>
          <w:szCs w:val="20"/>
          <w:color w:val="auto"/>
        </w:rPr>
      </w:pPr>
    </w:p>
    <w:p>
      <w:pPr>
        <w:ind w:left="860"/>
        <w:spacing w:after="0"/>
        <w:rPr>
          <w:sz w:val="20"/>
          <w:szCs w:val="20"/>
          <w:color w:val="auto"/>
        </w:rPr>
      </w:pPr>
      <w:r>
        <w:rPr>
          <w:rFonts w:ascii="Arial" w:cs="Arial" w:eastAsia="Arial" w:hAnsi="Arial"/>
          <w:sz w:val="18"/>
          <w:szCs w:val="18"/>
          <w:b w:val="1"/>
          <w:bCs w:val="1"/>
          <w:color w:val="auto"/>
        </w:rPr>
        <w:t>Who May Vote</w:t>
      </w:r>
    </w:p>
    <w:p>
      <w:pPr>
        <w:spacing w:after="0" w:line="106" w:lineRule="exact"/>
        <w:rPr>
          <w:sz w:val="20"/>
          <w:szCs w:val="20"/>
          <w:color w:val="auto"/>
        </w:rPr>
      </w:pPr>
    </w:p>
    <w:p>
      <w:pPr>
        <w:ind w:left="860"/>
        <w:spacing w:after="0"/>
        <w:rPr>
          <w:sz w:val="20"/>
          <w:szCs w:val="20"/>
          <w:color w:val="auto"/>
        </w:rPr>
      </w:pPr>
      <w:r>
        <w:rPr>
          <w:rFonts w:ascii="Arial" w:cs="Arial" w:eastAsia="Arial" w:hAnsi="Arial"/>
          <w:sz w:val="18"/>
          <w:szCs w:val="18"/>
          <w:color w:val="auto"/>
        </w:rPr>
        <w:t>Shareholders of ExxonMobil, as recorded in our stock register on April 4, 2018, may vote at the meeting.</w:t>
      </w:r>
    </w:p>
    <w:p>
      <w:pPr>
        <w:spacing w:after="0" w:line="210" w:lineRule="exact"/>
        <w:rPr>
          <w:sz w:val="20"/>
          <w:szCs w:val="20"/>
          <w:color w:val="auto"/>
        </w:rPr>
      </w:pPr>
    </w:p>
    <w:p>
      <w:pPr>
        <w:ind w:left="860"/>
        <w:spacing w:after="0"/>
        <w:rPr>
          <w:sz w:val="20"/>
          <w:szCs w:val="20"/>
          <w:color w:val="auto"/>
        </w:rPr>
      </w:pPr>
      <w:r>
        <w:rPr>
          <w:rFonts w:ascii="Arial" w:cs="Arial" w:eastAsia="Arial" w:hAnsi="Arial"/>
          <w:sz w:val="18"/>
          <w:szCs w:val="18"/>
          <w:b w:val="1"/>
          <w:bCs w:val="1"/>
          <w:color w:val="auto"/>
        </w:rPr>
        <w:t>How to Vote</w:t>
      </w:r>
    </w:p>
    <w:p>
      <w:pPr>
        <w:spacing w:after="0" w:line="106" w:lineRule="exact"/>
        <w:rPr>
          <w:sz w:val="20"/>
          <w:szCs w:val="20"/>
          <w:color w:val="auto"/>
        </w:rPr>
      </w:pPr>
    </w:p>
    <w:p>
      <w:pPr>
        <w:ind w:left="860" w:right="520"/>
        <w:spacing w:after="0" w:line="276" w:lineRule="auto"/>
        <w:rPr>
          <w:sz w:val="20"/>
          <w:szCs w:val="20"/>
          <w:color w:val="auto"/>
        </w:rPr>
      </w:pPr>
      <w:r>
        <w:rPr>
          <w:rFonts w:ascii="Arial" w:cs="Arial" w:eastAsia="Arial" w:hAnsi="Arial"/>
          <w:sz w:val="18"/>
          <w:szCs w:val="18"/>
          <w:color w:val="auto"/>
        </w:rPr>
        <w:t>You may vote in person at the meeting or by proxy. We recommend you vote by proxy even if you plan to attend the meeting. You can always change your vote at the meeting.</w:t>
      </w:r>
    </w:p>
    <w:p>
      <w:pPr>
        <w:spacing w:after="0" w:line="143" w:lineRule="exact"/>
        <w:rPr>
          <w:sz w:val="20"/>
          <w:szCs w:val="20"/>
          <w:color w:val="auto"/>
        </w:rPr>
      </w:pPr>
    </w:p>
    <w:p>
      <w:pPr>
        <w:ind w:left="860" w:right="120"/>
        <w:spacing w:after="0" w:line="288" w:lineRule="auto"/>
        <w:rPr>
          <w:sz w:val="20"/>
          <w:szCs w:val="20"/>
          <w:color w:val="auto"/>
        </w:rPr>
      </w:pPr>
      <w:r>
        <w:rPr>
          <w:rFonts w:ascii="Arial" w:cs="Arial" w:eastAsia="Arial" w:hAnsi="Arial"/>
          <w:sz w:val="18"/>
          <w:szCs w:val="18"/>
          <w:b w:val="1"/>
          <w:bCs w:val="1"/>
          <w:color w:val="auto"/>
        </w:rPr>
        <w:t>Important Notice Regarding the Availability of Proxy Materials for the Shareholder Meeting to be held on May 30, 2018: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545465</wp:posOffset>
            </wp:positionH>
            <wp:positionV relativeFrom="paragraph">
              <wp:posOffset>34925</wp:posOffset>
            </wp:positionV>
            <wp:extent cx="394335" cy="38608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394335" cy="386080"/>
                    </a:xfrm>
                    <a:prstGeom prst="rect">
                      <a:avLst/>
                    </a:prstGeom>
                    <a:noFill/>
                  </pic:spPr>
                </pic:pic>
              </a:graphicData>
            </a:graphic>
          </wp:anchor>
        </w:drawing>
      </w:r>
    </w:p>
    <w:p>
      <w:pPr>
        <w:spacing w:after="0" w:line="213" w:lineRule="exact"/>
        <w:rPr>
          <w:sz w:val="20"/>
          <w:szCs w:val="20"/>
          <w:color w:val="auto"/>
        </w:rPr>
      </w:pPr>
    </w:p>
    <w:p>
      <w:pPr>
        <w:ind w:left="1640" w:right="160"/>
        <w:spacing w:after="0" w:line="288" w:lineRule="auto"/>
        <w:rPr>
          <w:sz w:val="20"/>
          <w:szCs w:val="20"/>
          <w:color w:val="auto"/>
        </w:rPr>
      </w:pPr>
      <w:r>
        <w:rPr>
          <w:rFonts w:ascii="Arial" w:cs="Arial" w:eastAsia="Arial" w:hAnsi="Arial"/>
          <w:sz w:val="18"/>
          <w:szCs w:val="18"/>
          <w:b w:val="1"/>
          <w:bCs w:val="1"/>
          <w:color w:val="auto"/>
        </w:rPr>
        <w:t xml:space="preserve">The 2018 Proxy Statement, 2017 Summary Annual Report, and 2017 Financial Statements are available at </w:t>
      </w:r>
      <w:r>
        <w:rPr>
          <w:rFonts w:ascii="Arial" w:cs="Arial" w:eastAsia="Arial" w:hAnsi="Arial"/>
          <w:sz w:val="18"/>
          <w:szCs w:val="18"/>
          <w:b w:val="1"/>
          <w:bCs w:val="1"/>
          <w:i w:val="1"/>
          <w:iCs w:val="1"/>
          <w:color w:val="auto"/>
        </w:rPr>
        <w:t>www.edocumentview.com/xom.</w:t>
      </w:r>
    </w:p>
    <w:p>
      <w:pPr>
        <w:spacing w:after="0" w:line="124" w:lineRule="exact"/>
        <w:rPr>
          <w:sz w:val="20"/>
          <w:szCs w:val="20"/>
          <w:color w:val="auto"/>
        </w:rPr>
      </w:pPr>
    </w:p>
    <w:p>
      <w:pPr>
        <w:ind w:left="860"/>
        <w:spacing w:after="0"/>
        <w:rPr>
          <w:sz w:val="20"/>
          <w:szCs w:val="20"/>
          <w:color w:val="auto"/>
        </w:rPr>
      </w:pPr>
      <w:r>
        <w:rPr>
          <w:rFonts w:ascii="Arial" w:cs="Arial" w:eastAsia="Arial" w:hAnsi="Arial"/>
          <w:sz w:val="18"/>
          <w:szCs w:val="18"/>
          <w:b w:val="1"/>
          <w:bCs w:val="1"/>
          <w:color w:val="auto"/>
        </w:rPr>
        <w:t>Notice and Access</w:t>
      </w:r>
    </w:p>
    <w:p>
      <w:pPr>
        <w:spacing w:after="0" w:line="106" w:lineRule="exact"/>
        <w:rPr>
          <w:sz w:val="20"/>
          <w:szCs w:val="20"/>
          <w:color w:val="auto"/>
        </w:rPr>
      </w:pPr>
    </w:p>
    <w:p>
      <w:pPr>
        <w:ind w:left="860"/>
        <w:spacing w:after="0" w:line="245" w:lineRule="auto"/>
        <w:rPr>
          <w:sz w:val="20"/>
          <w:szCs w:val="20"/>
          <w:color w:val="auto"/>
        </w:rPr>
      </w:pPr>
      <w:r>
        <w:rPr>
          <w:rFonts w:ascii="Arial" w:cs="Arial" w:eastAsia="Arial" w:hAnsi="Arial"/>
          <w:sz w:val="18"/>
          <w:szCs w:val="18"/>
          <w:color w:val="auto"/>
        </w:rPr>
        <w:t>We distribute proxy materials to many shareholders via the Internet under the Securities and Exchange Commission’s (SEC’s) “Notice and Access” rules, thereby capturing cost and environmental benefits. On or about April 12, 2018, we mailed a Notice Regarding the Availability of Proxy Materials (“Notice”) that contains information about our 2018 Annual Shareholders Meeting and instructions on how to view all proxy materials on the Internet. Also included are instructions on how to vote and how to request a paper or e-mail copy of the proxy materials.</w:t>
      </w:r>
    </w:p>
    <w:p>
      <w:pPr>
        <w:spacing w:after="0" w:line="170" w:lineRule="exact"/>
        <w:rPr>
          <w:sz w:val="20"/>
          <w:szCs w:val="20"/>
          <w:color w:val="auto"/>
        </w:rPr>
      </w:pPr>
    </w:p>
    <w:p>
      <w:pPr>
        <w:ind w:left="860"/>
        <w:spacing w:after="0"/>
        <w:rPr>
          <w:sz w:val="20"/>
          <w:szCs w:val="20"/>
          <w:color w:val="auto"/>
        </w:rPr>
      </w:pPr>
      <w:r>
        <w:rPr>
          <w:rFonts w:ascii="Arial" w:cs="Arial" w:eastAsia="Arial" w:hAnsi="Arial"/>
          <w:sz w:val="18"/>
          <w:szCs w:val="18"/>
          <w:b w:val="1"/>
          <w:bCs w:val="1"/>
          <w:color w:val="auto"/>
        </w:rPr>
        <w:t>Electronic Delivery of Proxy Statement and Annual Report Documents</w:t>
      </w:r>
    </w:p>
    <w:p>
      <w:pPr>
        <w:spacing w:after="0" w:line="106" w:lineRule="exact"/>
        <w:rPr>
          <w:sz w:val="20"/>
          <w:szCs w:val="20"/>
          <w:color w:val="auto"/>
        </w:rPr>
      </w:pPr>
    </w:p>
    <w:p>
      <w:pPr>
        <w:ind w:left="860" w:right="240"/>
        <w:spacing w:after="0" w:line="248" w:lineRule="auto"/>
        <w:rPr>
          <w:sz w:val="20"/>
          <w:szCs w:val="20"/>
          <w:color w:val="auto"/>
        </w:rPr>
      </w:pPr>
      <w:r>
        <w:rPr>
          <w:rFonts w:ascii="Arial" w:cs="Arial" w:eastAsia="Arial" w:hAnsi="Arial"/>
          <w:sz w:val="18"/>
          <w:szCs w:val="18"/>
          <w:color w:val="auto"/>
        </w:rPr>
        <w:t>For shareholders receiving proxy materials by mail, you can elect to receive an e-mail in the future that will provide electronic links to these documents. Opting to receive your proxy materials online will save the Company the cost of producing and mailing documents to your home or business, and will also give you an electronic link to the proxy voting site.</w:t>
      </w:r>
    </w:p>
    <w:p>
      <w:pPr>
        <w:spacing w:after="0" w:line="74" w:lineRule="exact"/>
        <w:rPr>
          <w:sz w:val="20"/>
          <w:szCs w:val="20"/>
          <w:color w:val="auto"/>
        </w:rPr>
      </w:pPr>
    </w:p>
    <w:p>
      <w:pPr>
        <w:ind w:left="1240" w:hanging="388"/>
        <w:spacing w:after="0" w:line="249" w:lineRule="auto"/>
        <w:tabs>
          <w:tab w:leader="none" w:pos="1240" w:val="left"/>
        </w:tabs>
        <w:numPr>
          <w:ilvl w:val="0"/>
          <w:numId w:val="5"/>
        </w:numPr>
        <w:rPr>
          <w:rFonts w:ascii="Times New Roman" w:cs="Times New Roman" w:eastAsia="Times New Roman" w:hAnsi="Times New Roman"/>
          <w:sz w:val="18"/>
          <w:szCs w:val="18"/>
          <w:color w:val="auto"/>
        </w:rPr>
      </w:pPr>
      <w:r>
        <w:rPr>
          <w:rFonts w:ascii="Arial" w:cs="Arial" w:eastAsia="Arial" w:hAnsi="Arial"/>
          <w:sz w:val="18"/>
          <w:szCs w:val="18"/>
          <w:b w:val="1"/>
          <w:bCs w:val="1"/>
          <w:color w:val="auto"/>
        </w:rPr>
        <w:t xml:space="preserve">Shareholders of Record: </w:t>
      </w:r>
      <w:r>
        <w:rPr>
          <w:rFonts w:ascii="Arial" w:cs="Arial" w:eastAsia="Arial" w:hAnsi="Arial"/>
          <w:sz w:val="18"/>
          <w:szCs w:val="18"/>
          <w:color w:val="auto"/>
        </w:rPr>
        <w:t>If you vote on the Internet at</w:t>
      </w:r>
      <w:r>
        <w:rPr>
          <w:rFonts w:ascii="Arial" w:cs="Arial" w:eastAsia="Arial" w:hAnsi="Arial"/>
          <w:sz w:val="18"/>
          <w:szCs w:val="18"/>
          <w:b w:val="1"/>
          <w:bCs w:val="1"/>
          <w:color w:val="auto"/>
        </w:rPr>
        <w:t xml:space="preserve"> </w:t>
      </w:r>
      <w:r>
        <w:rPr>
          <w:rFonts w:ascii="Arial" w:cs="Arial" w:eastAsia="Arial" w:hAnsi="Arial"/>
          <w:sz w:val="18"/>
          <w:szCs w:val="18"/>
          <w:i w:val="1"/>
          <w:iCs w:val="1"/>
          <w:color w:val="auto"/>
        </w:rPr>
        <w:t>www.investorvote.com/exxonmobil,</w:t>
      </w:r>
      <w:r>
        <w:rPr>
          <w:rFonts w:ascii="Arial" w:cs="Arial" w:eastAsia="Arial" w:hAnsi="Arial"/>
          <w:sz w:val="18"/>
          <w:szCs w:val="18"/>
          <w:b w:val="1"/>
          <w:bCs w:val="1"/>
          <w:color w:val="auto"/>
        </w:rPr>
        <w:t xml:space="preserve"> </w:t>
      </w:r>
      <w:r>
        <w:rPr>
          <w:rFonts w:ascii="Arial" w:cs="Arial" w:eastAsia="Arial" w:hAnsi="Arial"/>
          <w:sz w:val="18"/>
          <w:szCs w:val="18"/>
          <w:color w:val="auto"/>
        </w:rPr>
        <w:t>simply follow the prompts</w:t>
      </w:r>
      <w:r>
        <w:rPr>
          <w:rFonts w:ascii="Arial" w:cs="Arial" w:eastAsia="Arial" w:hAnsi="Arial"/>
          <w:sz w:val="18"/>
          <w:szCs w:val="18"/>
          <w:b w:val="1"/>
          <w:bCs w:val="1"/>
          <w:color w:val="auto"/>
        </w:rPr>
        <w:t xml:space="preserve"> </w:t>
      </w:r>
      <w:r>
        <w:rPr>
          <w:rFonts w:ascii="Arial" w:cs="Arial" w:eastAsia="Arial" w:hAnsi="Arial"/>
          <w:sz w:val="18"/>
          <w:szCs w:val="18"/>
          <w:color w:val="auto"/>
        </w:rPr>
        <w:t xml:space="preserve">for enrolling in the electronic proxy delivery service. You may enroll in the electronic proxy delivery service at any time in the future by going directly to </w:t>
      </w:r>
      <w:r>
        <w:rPr>
          <w:rFonts w:ascii="Arial" w:cs="Arial" w:eastAsia="Arial" w:hAnsi="Arial"/>
          <w:sz w:val="18"/>
          <w:szCs w:val="18"/>
          <w:i w:val="1"/>
          <w:iCs w:val="1"/>
          <w:color w:val="auto"/>
        </w:rPr>
        <w:t>www.computershare.com/exxonmobil</w:t>
      </w:r>
      <w:r>
        <w:rPr>
          <w:rFonts w:ascii="Arial" w:cs="Arial" w:eastAsia="Arial" w:hAnsi="Arial"/>
          <w:sz w:val="18"/>
          <w:szCs w:val="18"/>
          <w:color w:val="auto"/>
        </w:rPr>
        <w:t>. You may also revoke an electronic delivery election at this site at any time.</w:t>
      </w:r>
    </w:p>
    <w:p>
      <w:pPr>
        <w:spacing w:after="0" w:line="72" w:lineRule="exact"/>
        <w:rPr>
          <w:rFonts w:ascii="Times New Roman" w:cs="Times New Roman" w:eastAsia="Times New Roman" w:hAnsi="Times New Roman"/>
          <w:sz w:val="18"/>
          <w:szCs w:val="18"/>
          <w:color w:val="auto"/>
        </w:rPr>
      </w:pPr>
    </w:p>
    <w:p>
      <w:pPr>
        <w:jc w:val="both"/>
        <w:ind w:left="1240" w:right="420" w:hanging="388"/>
        <w:spacing w:after="0" w:line="256" w:lineRule="auto"/>
        <w:tabs>
          <w:tab w:leader="none" w:pos="1240" w:val="left"/>
        </w:tabs>
        <w:numPr>
          <w:ilvl w:val="0"/>
          <w:numId w:val="5"/>
        </w:numPr>
        <w:rPr>
          <w:rFonts w:ascii="Times New Roman" w:cs="Times New Roman" w:eastAsia="Times New Roman" w:hAnsi="Times New Roman"/>
          <w:sz w:val="18"/>
          <w:szCs w:val="18"/>
          <w:color w:val="auto"/>
        </w:rPr>
      </w:pPr>
      <w:r>
        <w:rPr>
          <w:rFonts w:ascii="Arial" w:cs="Arial" w:eastAsia="Arial" w:hAnsi="Arial"/>
          <w:sz w:val="18"/>
          <w:szCs w:val="18"/>
          <w:b w:val="1"/>
          <w:bCs w:val="1"/>
          <w:color w:val="auto"/>
        </w:rPr>
        <w:t xml:space="preserve">Beneficial Shareholders: </w:t>
      </w:r>
      <w:r>
        <w:rPr>
          <w:rFonts w:ascii="Arial" w:cs="Arial" w:eastAsia="Arial" w:hAnsi="Arial"/>
          <w:sz w:val="18"/>
          <w:szCs w:val="18"/>
          <w:color w:val="auto"/>
        </w:rPr>
        <w:t>If you hold your shares in a brokerage account, you may also have the opportunity to</w:t>
      </w:r>
      <w:r>
        <w:rPr>
          <w:rFonts w:ascii="Arial" w:cs="Arial" w:eastAsia="Arial" w:hAnsi="Arial"/>
          <w:sz w:val="18"/>
          <w:szCs w:val="18"/>
          <w:b w:val="1"/>
          <w:bCs w:val="1"/>
          <w:color w:val="auto"/>
        </w:rPr>
        <w:t xml:space="preserve"> </w:t>
      </w:r>
      <w:r>
        <w:rPr>
          <w:rFonts w:ascii="Arial" w:cs="Arial" w:eastAsia="Arial" w:hAnsi="Arial"/>
          <w:sz w:val="18"/>
          <w:szCs w:val="18"/>
          <w:color w:val="auto"/>
        </w:rPr>
        <w:t>receive copies of the proxy materials electronically. Please check the information provided in the proxy materials mailed to you by your bank or broker regarding the availability of this service.</w:t>
      </w:r>
    </w:p>
    <w:p>
      <w:pPr>
        <w:spacing w:after="0" w:line="161" w:lineRule="exact"/>
        <w:rPr>
          <w:sz w:val="20"/>
          <w:szCs w:val="20"/>
          <w:color w:val="auto"/>
        </w:rPr>
      </w:pPr>
    </w:p>
    <w:p>
      <w:pPr>
        <w:ind w:left="860"/>
        <w:spacing w:after="0"/>
        <w:rPr>
          <w:sz w:val="20"/>
          <w:szCs w:val="20"/>
          <w:color w:val="auto"/>
        </w:rPr>
      </w:pPr>
      <w:r>
        <w:rPr>
          <w:rFonts w:ascii="Arial" w:cs="Arial" w:eastAsia="Arial" w:hAnsi="Arial"/>
          <w:sz w:val="18"/>
          <w:szCs w:val="18"/>
          <w:b w:val="1"/>
          <w:bCs w:val="1"/>
          <w:color w:val="auto"/>
        </w:rPr>
        <w:t>How Proxies Work</w:t>
      </w:r>
    </w:p>
    <w:p>
      <w:pPr>
        <w:spacing w:after="0" w:line="106" w:lineRule="exact"/>
        <w:rPr>
          <w:sz w:val="20"/>
          <w:szCs w:val="20"/>
          <w:color w:val="auto"/>
        </w:rPr>
      </w:pPr>
    </w:p>
    <w:p>
      <w:pPr>
        <w:ind w:left="860" w:right="580"/>
        <w:spacing w:after="0" w:line="276" w:lineRule="auto"/>
        <w:rPr>
          <w:sz w:val="20"/>
          <w:szCs w:val="20"/>
          <w:color w:val="auto"/>
        </w:rPr>
      </w:pPr>
      <w:r>
        <w:rPr>
          <w:rFonts w:ascii="Arial" w:cs="Arial" w:eastAsia="Arial" w:hAnsi="Arial"/>
          <w:sz w:val="18"/>
          <w:szCs w:val="18"/>
          <w:color w:val="auto"/>
        </w:rPr>
        <w:t>ExxonMobil’s Board of Directors is asking for your proxy. Giving us your proxy means you authorize us to vote your shares at the meeting in the manner you direct.</w:t>
      </w:r>
    </w:p>
    <w:p>
      <w:pPr>
        <w:spacing w:after="0" w:line="78" w:lineRule="exact"/>
        <w:rPr>
          <w:sz w:val="20"/>
          <w:szCs w:val="20"/>
          <w:color w:val="auto"/>
        </w:rPr>
      </w:pPr>
    </w:p>
    <w:tbl>
      <w:tblPr>
        <w:tblLayout w:type="fixed"/>
        <w:tblInd w:w="7060" w:type="dxa"/>
        <w:tblCellMar>
          <w:top w:w="0" w:type="dxa"/>
          <w:left w:w="0" w:type="dxa"/>
          <w:bottom w:w="0" w:type="dxa"/>
          <w:right w:w="0" w:type="dxa"/>
        </w:tblCellMar>
      </w:tblPr>
      <w:tr>
        <w:trPr>
          <w:trHeight w:val="243"/>
        </w:trPr>
        <w:tc>
          <w:tcPr>
            <w:tcW w:w="2440" w:type="dxa"/>
            <w:vAlign w:val="bottom"/>
          </w:tcPr>
          <w:p>
            <w:pPr>
              <w:spacing w:after="0"/>
              <w:rPr>
                <w:sz w:val="20"/>
                <w:szCs w:val="20"/>
                <w:color w:val="auto"/>
              </w:rPr>
            </w:pPr>
            <w:r>
              <w:rPr>
                <w:rFonts w:ascii="Times New Roman" w:cs="Times New Roman" w:eastAsia="Times New Roman" w:hAnsi="Times New Roman"/>
                <w:sz w:val="18"/>
                <w:szCs w:val="18"/>
                <w:i w:val="1"/>
                <w:iCs w:val="1"/>
                <w:color w:val="auto"/>
              </w:rPr>
              <w:t>2018 Proxy Statement</w:t>
            </w:r>
          </w:p>
        </w:tc>
        <w:tc>
          <w:tcPr>
            <w:tcW w:w="960" w:type="dxa"/>
            <w:vAlign w:val="bottom"/>
          </w:tcPr>
          <w:p>
            <w:pPr>
              <w:jc w:val="right"/>
              <w:spacing w:after="0"/>
              <w:rPr>
                <w:sz w:val="20"/>
                <w:szCs w:val="20"/>
                <w:color w:val="auto"/>
              </w:rPr>
            </w:pPr>
            <w:r>
              <w:rPr>
                <w:rFonts w:ascii="Arial" w:cs="Arial" w:eastAsia="Arial" w:hAnsi="Arial"/>
                <w:sz w:val="18"/>
                <w:szCs w:val="18"/>
                <w:color w:val="auto"/>
              </w:rPr>
              <w:t>1</w:t>
            </w:r>
          </w:p>
        </w:tc>
      </w:tr>
    </w:tbl>
    <w:p>
      <w:pPr>
        <w:sectPr>
          <w:pgSz w:w="11900" w:h="16838" w:orient="portrait"/>
          <w:cols w:equalWidth="0" w:num="1">
            <w:col w:w="10560"/>
          </w:cols>
          <w:pgMar w:left="240" w:top="455" w:right="1099" w:bottom="1440" w:gutter="0" w:footer="0" w:header="0"/>
        </w:sectPr>
      </w:pPr>
    </w:p>
    <w:bookmarkStart w:id="4" w:name="page5"/>
    <w:bookmarkEnd w:id="4"/>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Times New Roman" w:cs="Times New Roman" w:eastAsia="Times New Roman" w:hAnsi="Times New Roman"/>
            <w:sz w:val="18"/>
            <w:szCs w:val="18"/>
            <w:b w:val="1"/>
            <w:bCs w:val="1"/>
            <w:u w:val="single" w:color="auto"/>
            <w:color w:val="0000EE"/>
          </w:rPr>
          <w:t>Table of Contents</w:t>
        </w:r>
      </w:hyperlink>
    </w:p>
    <w:p>
      <w:pPr>
        <w:spacing w:after="0" w:line="305" w:lineRule="exact"/>
        <w:rPr>
          <w:sz w:val="20"/>
          <w:szCs w:val="20"/>
          <w:color w:val="auto"/>
        </w:rPr>
      </w:pPr>
    </w:p>
    <w:p>
      <w:pPr>
        <w:ind w:left="860"/>
        <w:spacing w:after="0"/>
        <w:rPr>
          <w:sz w:val="20"/>
          <w:szCs w:val="20"/>
          <w:color w:val="auto"/>
        </w:rPr>
      </w:pPr>
      <w:r>
        <w:rPr>
          <w:rFonts w:ascii="Arial" w:cs="Arial" w:eastAsia="Arial" w:hAnsi="Arial"/>
          <w:sz w:val="18"/>
          <w:szCs w:val="18"/>
          <w:color w:val="auto"/>
        </w:rPr>
        <w:t>If your shares are held in your name, you can vote by proxy in one of three convenient ways:</w:t>
      </w:r>
    </w:p>
    <w:p>
      <w:pPr>
        <w:spacing w:after="0" w:line="242" w:lineRule="exact"/>
        <w:rPr>
          <w:sz w:val="20"/>
          <w:szCs w:val="20"/>
          <w:color w:val="auto"/>
        </w:rPr>
      </w:pPr>
    </w:p>
    <w:tbl>
      <w:tblPr>
        <w:tblLayout w:type="fixed"/>
        <w:tblInd w:w="850" w:type="dxa"/>
        <w:tblCellMar>
          <w:top w:w="0" w:type="dxa"/>
          <w:left w:w="0" w:type="dxa"/>
          <w:bottom w:w="0" w:type="dxa"/>
          <w:right w:w="0" w:type="dxa"/>
        </w:tblCellMar>
      </w:tblPr>
      <w:tr>
        <w:trPr>
          <w:trHeight w:val="1341"/>
        </w:trPr>
        <w:tc>
          <w:tcPr>
            <w:tcW w:w="3320" w:type="dxa"/>
            <w:vAlign w:val="bottom"/>
            <w:tcBorders>
              <w:top w:val="single" w:sz="8" w:color="2B4C9B"/>
              <w:left w:val="single" w:sz="8" w:color="2B4C9B"/>
              <w:right w:val="single" w:sz="8" w:color="2B4C9B"/>
            </w:tcBorders>
          </w:tcPr>
          <w:p>
            <w:pPr>
              <w:jc w:val="center"/>
              <w:ind w:left="70"/>
              <w:spacing w:after="0"/>
              <w:rPr>
                <w:sz w:val="20"/>
                <w:szCs w:val="20"/>
                <w:color w:val="auto"/>
              </w:rPr>
            </w:pPr>
            <w:r>
              <w:rPr>
                <w:rFonts w:ascii="Arial" w:cs="Arial" w:eastAsia="Arial" w:hAnsi="Arial"/>
                <w:sz w:val="18"/>
                <w:szCs w:val="18"/>
                <w:color w:val="2B4C9B"/>
                <w:w w:val="99"/>
              </w:rPr>
              <w:t>Via Internet</w:t>
            </w:r>
          </w:p>
        </w:tc>
        <w:tc>
          <w:tcPr>
            <w:tcW w:w="3400" w:type="dxa"/>
            <w:vAlign w:val="bottom"/>
            <w:tcBorders>
              <w:top w:val="single" w:sz="8" w:color="2B4C9B"/>
              <w:right w:val="single" w:sz="8" w:color="2B4C9B"/>
            </w:tcBorders>
          </w:tcPr>
          <w:p>
            <w:pPr>
              <w:jc w:val="center"/>
              <w:spacing w:after="0"/>
              <w:rPr>
                <w:sz w:val="20"/>
                <w:szCs w:val="20"/>
                <w:color w:val="auto"/>
              </w:rPr>
            </w:pPr>
            <w:r>
              <w:rPr>
                <w:rFonts w:ascii="Arial" w:cs="Arial" w:eastAsia="Arial" w:hAnsi="Arial"/>
                <w:sz w:val="18"/>
                <w:szCs w:val="18"/>
                <w:color w:val="2B4C9B"/>
                <w:w w:val="98"/>
              </w:rPr>
              <w:t>By telephone</w:t>
            </w:r>
          </w:p>
        </w:tc>
        <w:tc>
          <w:tcPr>
            <w:tcW w:w="3040" w:type="dxa"/>
            <w:vAlign w:val="bottom"/>
            <w:tcBorders>
              <w:top w:val="single" w:sz="8" w:color="2B4C9B"/>
              <w:right w:val="single" w:sz="8" w:color="2B4C9B"/>
            </w:tcBorders>
          </w:tcPr>
          <w:p>
            <w:pPr>
              <w:jc w:val="center"/>
              <w:spacing w:after="0"/>
              <w:rPr>
                <w:sz w:val="20"/>
                <w:szCs w:val="20"/>
                <w:color w:val="auto"/>
              </w:rPr>
            </w:pPr>
            <w:r>
              <w:rPr>
                <w:rFonts w:ascii="Arial" w:cs="Arial" w:eastAsia="Arial" w:hAnsi="Arial"/>
                <w:sz w:val="18"/>
                <w:szCs w:val="18"/>
                <w:color w:val="2B4C9B"/>
                <w:w w:val="99"/>
              </w:rPr>
              <w:t>In writing</w:t>
            </w:r>
          </w:p>
        </w:tc>
      </w:tr>
      <w:tr>
        <w:trPr>
          <w:trHeight w:val="475"/>
        </w:trPr>
        <w:tc>
          <w:tcPr>
            <w:tcW w:w="3320" w:type="dxa"/>
            <w:vAlign w:val="bottom"/>
            <w:tcBorders>
              <w:left w:val="single" w:sz="8" w:color="2B4C9B"/>
              <w:right w:val="single" w:sz="8" w:color="2B4C9B"/>
            </w:tcBorders>
          </w:tcPr>
          <w:p>
            <w:pPr>
              <w:jc w:val="center"/>
              <w:ind w:left="50"/>
              <w:spacing w:after="0"/>
              <w:rPr>
                <w:sz w:val="20"/>
                <w:szCs w:val="20"/>
                <w:color w:val="auto"/>
              </w:rPr>
            </w:pPr>
            <w:r>
              <w:rPr>
                <w:rFonts w:ascii="Times New Roman" w:cs="Times New Roman" w:eastAsia="Times New Roman" w:hAnsi="Times New Roman"/>
                <w:sz w:val="18"/>
                <w:szCs w:val="18"/>
                <w:color w:val="auto"/>
                <w:w w:val="99"/>
              </w:rPr>
              <w:t>Follow the instructions at</w:t>
            </w:r>
          </w:p>
        </w:tc>
        <w:tc>
          <w:tcPr>
            <w:tcW w:w="3400" w:type="dxa"/>
            <w:vAlign w:val="bottom"/>
            <w:tcBorders>
              <w:right w:val="single" w:sz="8" w:color="2B4C9B"/>
            </w:tcBorders>
          </w:tcPr>
          <w:p>
            <w:pPr>
              <w:jc w:val="center"/>
              <w:spacing w:after="0"/>
              <w:rPr>
                <w:sz w:val="20"/>
                <w:szCs w:val="20"/>
                <w:color w:val="auto"/>
              </w:rPr>
            </w:pPr>
            <w:r>
              <w:rPr>
                <w:rFonts w:ascii="Times New Roman" w:cs="Times New Roman" w:eastAsia="Times New Roman" w:hAnsi="Times New Roman"/>
                <w:sz w:val="18"/>
                <w:szCs w:val="18"/>
                <w:color w:val="auto"/>
              </w:rPr>
              <w:t>Call toll-free 1-800-652-8683 or</w:t>
            </w:r>
          </w:p>
        </w:tc>
        <w:tc>
          <w:tcPr>
            <w:tcW w:w="3040" w:type="dxa"/>
            <w:vAlign w:val="bottom"/>
            <w:tcBorders>
              <w:right w:val="single" w:sz="8" w:color="2B4C9B"/>
            </w:tcBorders>
          </w:tcPr>
          <w:p>
            <w:pPr>
              <w:jc w:val="center"/>
              <w:spacing w:after="0"/>
              <w:rPr>
                <w:sz w:val="20"/>
                <w:szCs w:val="20"/>
                <w:color w:val="auto"/>
              </w:rPr>
            </w:pPr>
            <w:r>
              <w:rPr>
                <w:rFonts w:ascii="Times New Roman" w:cs="Times New Roman" w:eastAsia="Times New Roman" w:hAnsi="Times New Roman"/>
                <w:sz w:val="18"/>
                <w:szCs w:val="18"/>
                <w:color w:val="auto"/>
                <w:w w:val="99"/>
              </w:rPr>
              <w:t>Complete, sign, date, and return your</w:t>
            </w:r>
          </w:p>
        </w:tc>
      </w:tr>
      <w:tr>
        <w:trPr>
          <w:trHeight w:val="218"/>
        </w:trPr>
        <w:tc>
          <w:tcPr>
            <w:tcW w:w="3320" w:type="dxa"/>
            <w:vAlign w:val="bottom"/>
            <w:tcBorders>
              <w:left w:val="single" w:sz="8" w:color="2B4C9B"/>
              <w:right w:val="single" w:sz="8" w:color="2B4C9B"/>
            </w:tcBorders>
          </w:tcPr>
          <w:p>
            <w:pPr>
              <w:jc w:val="center"/>
              <w:ind w:left="50"/>
              <w:spacing w:after="0"/>
              <w:rPr>
                <w:sz w:val="20"/>
                <w:szCs w:val="20"/>
                <w:color w:val="auto"/>
              </w:rPr>
            </w:pPr>
            <w:r>
              <w:rPr>
                <w:rFonts w:ascii="Times New Roman" w:cs="Times New Roman" w:eastAsia="Times New Roman" w:hAnsi="Times New Roman"/>
                <w:sz w:val="18"/>
                <w:szCs w:val="18"/>
                <w:i w:val="1"/>
                <w:iCs w:val="1"/>
                <w:color w:val="auto"/>
                <w:w w:val="99"/>
              </w:rPr>
              <w:t>www.investorvote.com/exxonmobil.</w:t>
            </w:r>
          </w:p>
        </w:tc>
        <w:tc>
          <w:tcPr>
            <w:tcW w:w="3400" w:type="dxa"/>
            <w:vAlign w:val="bottom"/>
            <w:tcBorders>
              <w:right w:val="single" w:sz="8" w:color="2B4C9B"/>
            </w:tcBorders>
          </w:tcPr>
          <w:p>
            <w:pPr>
              <w:jc w:val="center"/>
              <w:spacing w:after="0"/>
              <w:rPr>
                <w:sz w:val="20"/>
                <w:szCs w:val="20"/>
                <w:color w:val="auto"/>
              </w:rPr>
            </w:pPr>
            <w:r>
              <w:rPr>
                <w:rFonts w:ascii="Times New Roman" w:cs="Times New Roman" w:eastAsia="Times New Roman" w:hAnsi="Times New Roman"/>
                <w:sz w:val="18"/>
                <w:szCs w:val="18"/>
                <w:color w:val="auto"/>
              </w:rPr>
              <w:t>1-781-575-2300 (outside the United</w:t>
            </w:r>
          </w:p>
        </w:tc>
        <w:tc>
          <w:tcPr>
            <w:tcW w:w="3040" w:type="dxa"/>
            <w:vAlign w:val="bottom"/>
            <w:tcBorders>
              <w:right w:val="single" w:sz="8" w:color="2B4C9B"/>
            </w:tcBorders>
          </w:tcPr>
          <w:p>
            <w:pPr>
              <w:jc w:val="center"/>
              <w:spacing w:after="0"/>
              <w:rPr>
                <w:sz w:val="20"/>
                <w:szCs w:val="20"/>
                <w:color w:val="auto"/>
              </w:rPr>
            </w:pPr>
            <w:r>
              <w:rPr>
                <w:rFonts w:ascii="Times New Roman" w:cs="Times New Roman" w:eastAsia="Times New Roman" w:hAnsi="Times New Roman"/>
                <w:sz w:val="18"/>
                <w:szCs w:val="18"/>
                <w:color w:val="auto"/>
                <w:w w:val="99"/>
              </w:rPr>
              <w:t>proxy card in the enclosed envelope. If</w:t>
            </w:r>
          </w:p>
        </w:tc>
      </w:tr>
      <w:tr>
        <w:trPr>
          <w:trHeight w:val="216"/>
        </w:trPr>
        <w:tc>
          <w:tcPr>
            <w:tcW w:w="3320" w:type="dxa"/>
            <w:vAlign w:val="bottom"/>
            <w:tcBorders>
              <w:left w:val="single" w:sz="8" w:color="2B4C9B"/>
              <w:right w:val="single" w:sz="8" w:color="2B4C9B"/>
            </w:tcBorders>
          </w:tcPr>
          <w:p>
            <w:pPr>
              <w:jc w:val="center"/>
              <w:ind w:left="70"/>
              <w:spacing w:after="0"/>
              <w:rPr>
                <w:sz w:val="20"/>
                <w:szCs w:val="20"/>
                <w:color w:val="auto"/>
              </w:rPr>
            </w:pPr>
            <w:r>
              <w:rPr>
                <w:rFonts w:ascii="Times New Roman" w:cs="Times New Roman" w:eastAsia="Times New Roman" w:hAnsi="Times New Roman"/>
                <w:sz w:val="18"/>
                <w:szCs w:val="18"/>
                <w:color w:val="auto"/>
                <w:w w:val="99"/>
              </w:rPr>
              <w:t>You will need to have your proxy card or</w:t>
            </w:r>
          </w:p>
        </w:tc>
        <w:tc>
          <w:tcPr>
            <w:tcW w:w="3400" w:type="dxa"/>
            <w:vAlign w:val="bottom"/>
            <w:tcBorders>
              <w:right w:val="single" w:sz="8" w:color="2B4C9B"/>
            </w:tcBorders>
          </w:tcPr>
          <w:p>
            <w:pPr>
              <w:jc w:val="center"/>
              <w:spacing w:after="0"/>
              <w:rPr>
                <w:sz w:val="20"/>
                <w:szCs w:val="20"/>
                <w:color w:val="auto"/>
              </w:rPr>
            </w:pPr>
            <w:r>
              <w:rPr>
                <w:rFonts w:ascii="Times New Roman" w:cs="Times New Roman" w:eastAsia="Times New Roman" w:hAnsi="Times New Roman"/>
                <w:sz w:val="18"/>
                <w:szCs w:val="18"/>
                <w:color w:val="auto"/>
                <w:w w:val="99"/>
              </w:rPr>
              <w:t>States, Canada, and Puerto Rico), and</w:t>
            </w:r>
          </w:p>
        </w:tc>
        <w:tc>
          <w:tcPr>
            <w:tcW w:w="3040" w:type="dxa"/>
            <w:vAlign w:val="bottom"/>
            <w:tcBorders>
              <w:right w:val="single" w:sz="8" w:color="2B4C9B"/>
            </w:tcBorders>
          </w:tcPr>
          <w:p>
            <w:pPr>
              <w:jc w:val="center"/>
              <w:spacing w:after="0"/>
              <w:rPr>
                <w:sz w:val="20"/>
                <w:szCs w:val="20"/>
                <w:color w:val="auto"/>
              </w:rPr>
            </w:pPr>
            <w:r>
              <w:rPr>
                <w:rFonts w:ascii="Times New Roman" w:cs="Times New Roman" w:eastAsia="Times New Roman" w:hAnsi="Times New Roman"/>
                <w:sz w:val="18"/>
                <w:szCs w:val="18"/>
                <w:color w:val="auto"/>
                <w:w w:val="99"/>
              </w:rPr>
              <w:t>you receive a Notice and would like to</w:t>
            </w:r>
          </w:p>
        </w:tc>
      </w:tr>
      <w:tr>
        <w:trPr>
          <w:trHeight w:val="216"/>
        </w:trPr>
        <w:tc>
          <w:tcPr>
            <w:tcW w:w="3320" w:type="dxa"/>
            <w:vAlign w:val="bottom"/>
            <w:tcBorders>
              <w:left w:val="single" w:sz="8" w:color="2B4C9B"/>
              <w:right w:val="single" w:sz="8" w:color="2B4C9B"/>
            </w:tcBorders>
          </w:tcPr>
          <w:p>
            <w:pPr>
              <w:jc w:val="center"/>
              <w:ind w:left="50"/>
              <w:spacing w:after="0"/>
              <w:rPr>
                <w:sz w:val="20"/>
                <w:szCs w:val="20"/>
                <w:color w:val="auto"/>
              </w:rPr>
            </w:pPr>
            <w:r>
              <w:rPr>
                <w:rFonts w:ascii="Times New Roman" w:cs="Times New Roman" w:eastAsia="Times New Roman" w:hAnsi="Times New Roman"/>
                <w:sz w:val="18"/>
                <w:szCs w:val="18"/>
                <w:color w:val="auto"/>
              </w:rPr>
              <w:t>Notice in hand. At this website, you can</w:t>
            </w:r>
          </w:p>
        </w:tc>
        <w:tc>
          <w:tcPr>
            <w:tcW w:w="3400" w:type="dxa"/>
            <w:vAlign w:val="bottom"/>
            <w:tcBorders>
              <w:right w:val="single" w:sz="8" w:color="2B4C9B"/>
            </w:tcBorders>
          </w:tcPr>
          <w:p>
            <w:pPr>
              <w:jc w:val="center"/>
              <w:spacing w:after="0"/>
              <w:rPr>
                <w:sz w:val="20"/>
                <w:szCs w:val="20"/>
                <w:color w:val="auto"/>
              </w:rPr>
            </w:pPr>
            <w:r>
              <w:rPr>
                <w:rFonts w:ascii="Times New Roman" w:cs="Times New Roman" w:eastAsia="Times New Roman" w:hAnsi="Times New Roman"/>
                <w:sz w:val="18"/>
                <w:szCs w:val="18"/>
                <w:color w:val="auto"/>
                <w:w w:val="99"/>
              </w:rPr>
              <w:t>follow the instructions. You will need to</w:t>
            </w:r>
          </w:p>
        </w:tc>
        <w:tc>
          <w:tcPr>
            <w:tcW w:w="3040" w:type="dxa"/>
            <w:vAlign w:val="bottom"/>
            <w:tcBorders>
              <w:right w:val="single" w:sz="8" w:color="2B4C9B"/>
            </w:tcBorders>
          </w:tcPr>
          <w:p>
            <w:pPr>
              <w:jc w:val="center"/>
              <w:spacing w:after="0"/>
              <w:rPr>
                <w:sz w:val="20"/>
                <w:szCs w:val="20"/>
                <w:color w:val="auto"/>
              </w:rPr>
            </w:pPr>
            <w:r>
              <w:rPr>
                <w:rFonts w:ascii="Times New Roman" w:cs="Times New Roman" w:eastAsia="Times New Roman" w:hAnsi="Times New Roman"/>
                <w:sz w:val="18"/>
                <w:szCs w:val="18"/>
                <w:color w:val="auto"/>
                <w:w w:val="99"/>
              </w:rPr>
              <w:t>vote in writing, please follow the</w:t>
            </w:r>
          </w:p>
        </w:tc>
      </w:tr>
      <w:tr>
        <w:trPr>
          <w:trHeight w:val="216"/>
        </w:trPr>
        <w:tc>
          <w:tcPr>
            <w:tcW w:w="3320" w:type="dxa"/>
            <w:vAlign w:val="bottom"/>
            <w:tcBorders>
              <w:left w:val="single" w:sz="8" w:color="2B4C9B"/>
              <w:right w:val="single" w:sz="8" w:color="2B4C9B"/>
            </w:tcBorders>
          </w:tcPr>
          <w:p>
            <w:pPr>
              <w:jc w:val="center"/>
              <w:ind w:left="50"/>
              <w:spacing w:after="0"/>
              <w:rPr>
                <w:sz w:val="20"/>
                <w:szCs w:val="20"/>
                <w:color w:val="auto"/>
              </w:rPr>
            </w:pPr>
            <w:r>
              <w:rPr>
                <w:rFonts w:ascii="Times New Roman" w:cs="Times New Roman" w:eastAsia="Times New Roman" w:hAnsi="Times New Roman"/>
                <w:sz w:val="18"/>
                <w:szCs w:val="18"/>
                <w:color w:val="auto"/>
              </w:rPr>
              <w:t>elect to access future proxy statements</w:t>
            </w:r>
          </w:p>
        </w:tc>
        <w:tc>
          <w:tcPr>
            <w:tcW w:w="3400" w:type="dxa"/>
            <w:vAlign w:val="bottom"/>
            <w:tcBorders>
              <w:right w:val="single" w:sz="8" w:color="2B4C9B"/>
            </w:tcBorders>
          </w:tcPr>
          <w:p>
            <w:pPr>
              <w:jc w:val="center"/>
              <w:spacing w:after="0"/>
              <w:rPr>
                <w:sz w:val="20"/>
                <w:szCs w:val="20"/>
                <w:color w:val="auto"/>
              </w:rPr>
            </w:pPr>
            <w:r>
              <w:rPr>
                <w:rFonts w:ascii="Times New Roman" w:cs="Times New Roman" w:eastAsia="Times New Roman" w:hAnsi="Times New Roman"/>
                <w:sz w:val="18"/>
                <w:szCs w:val="18"/>
                <w:color w:val="auto"/>
              </w:rPr>
              <w:t>have your proxy card or Notice in hand.</w:t>
            </w:r>
          </w:p>
        </w:tc>
        <w:tc>
          <w:tcPr>
            <w:tcW w:w="3040" w:type="dxa"/>
            <w:vAlign w:val="bottom"/>
            <w:tcBorders>
              <w:right w:val="single" w:sz="8" w:color="2B4C9B"/>
            </w:tcBorders>
          </w:tcPr>
          <w:p>
            <w:pPr>
              <w:jc w:val="center"/>
              <w:spacing w:after="0"/>
              <w:rPr>
                <w:sz w:val="20"/>
                <w:szCs w:val="20"/>
                <w:color w:val="auto"/>
              </w:rPr>
            </w:pPr>
            <w:r>
              <w:rPr>
                <w:rFonts w:ascii="Times New Roman" w:cs="Times New Roman" w:eastAsia="Times New Roman" w:hAnsi="Times New Roman"/>
                <w:sz w:val="18"/>
                <w:szCs w:val="18"/>
                <w:color w:val="auto"/>
              </w:rPr>
              <w:t>instructions in the Notice to obtain</w:t>
            </w:r>
          </w:p>
        </w:tc>
      </w:tr>
      <w:tr>
        <w:trPr>
          <w:trHeight w:val="234"/>
        </w:trPr>
        <w:tc>
          <w:tcPr>
            <w:tcW w:w="3320" w:type="dxa"/>
            <w:vAlign w:val="bottom"/>
            <w:tcBorders>
              <w:left w:val="single" w:sz="8" w:color="2B4C9B"/>
              <w:right w:val="single" w:sz="8" w:color="2B4C9B"/>
            </w:tcBorders>
          </w:tcPr>
          <w:p>
            <w:pPr>
              <w:jc w:val="center"/>
              <w:ind w:left="50"/>
              <w:spacing w:after="0"/>
              <w:rPr>
                <w:sz w:val="20"/>
                <w:szCs w:val="20"/>
                <w:color w:val="auto"/>
              </w:rPr>
            </w:pPr>
            <w:r>
              <w:rPr>
                <w:rFonts w:ascii="Times New Roman" w:cs="Times New Roman" w:eastAsia="Times New Roman" w:hAnsi="Times New Roman"/>
                <w:sz w:val="18"/>
                <w:szCs w:val="18"/>
                <w:color w:val="auto"/>
                <w:w w:val="99"/>
              </w:rPr>
              <w:t>and annual reports via the Internet.</w:t>
            </w:r>
          </w:p>
        </w:tc>
        <w:tc>
          <w:tcPr>
            <w:tcW w:w="3400" w:type="dxa"/>
            <w:vAlign w:val="bottom"/>
            <w:tcBorders>
              <w:right w:val="single" w:sz="8" w:color="2B4C9B"/>
            </w:tcBorders>
          </w:tcPr>
          <w:p>
            <w:pPr>
              <w:spacing w:after="0"/>
              <w:rPr>
                <w:sz w:val="20"/>
                <w:szCs w:val="20"/>
                <w:color w:val="auto"/>
              </w:rPr>
            </w:pPr>
          </w:p>
        </w:tc>
        <w:tc>
          <w:tcPr>
            <w:tcW w:w="3040" w:type="dxa"/>
            <w:vAlign w:val="bottom"/>
            <w:tcBorders>
              <w:right w:val="single" w:sz="8" w:color="2B4C9B"/>
            </w:tcBorders>
          </w:tcPr>
          <w:p>
            <w:pPr>
              <w:jc w:val="center"/>
              <w:spacing w:after="0"/>
              <w:rPr>
                <w:sz w:val="20"/>
                <w:szCs w:val="20"/>
                <w:color w:val="auto"/>
              </w:rPr>
            </w:pPr>
            <w:r>
              <w:rPr>
                <w:rFonts w:ascii="Times New Roman" w:cs="Times New Roman" w:eastAsia="Times New Roman" w:hAnsi="Times New Roman"/>
                <w:sz w:val="18"/>
                <w:szCs w:val="18"/>
                <w:color w:val="auto"/>
              </w:rPr>
              <w:t>paper proxy materials.</w:t>
            </w:r>
          </w:p>
        </w:tc>
      </w:tr>
      <w:tr>
        <w:trPr>
          <w:trHeight w:val="264"/>
        </w:trPr>
        <w:tc>
          <w:tcPr>
            <w:tcW w:w="3320" w:type="dxa"/>
            <w:vAlign w:val="bottom"/>
            <w:tcBorders>
              <w:left w:val="single" w:sz="8" w:color="2B4C9B"/>
              <w:bottom w:val="single" w:sz="8" w:color="2B4C9B"/>
              <w:right w:val="single" w:sz="8" w:color="2B4C9B"/>
            </w:tcBorders>
          </w:tcPr>
          <w:p>
            <w:pPr>
              <w:spacing w:after="0"/>
              <w:rPr>
                <w:sz w:val="22"/>
                <w:szCs w:val="22"/>
                <w:color w:val="auto"/>
              </w:rPr>
            </w:pPr>
          </w:p>
        </w:tc>
        <w:tc>
          <w:tcPr>
            <w:tcW w:w="3400" w:type="dxa"/>
            <w:vAlign w:val="bottom"/>
            <w:tcBorders>
              <w:bottom w:val="single" w:sz="8" w:color="2B4C9B"/>
              <w:right w:val="single" w:sz="8" w:color="2B4C9B"/>
            </w:tcBorders>
          </w:tcPr>
          <w:p>
            <w:pPr>
              <w:spacing w:after="0"/>
              <w:rPr>
                <w:sz w:val="22"/>
                <w:szCs w:val="22"/>
                <w:color w:val="auto"/>
              </w:rPr>
            </w:pPr>
          </w:p>
        </w:tc>
        <w:tc>
          <w:tcPr>
            <w:tcW w:w="3040" w:type="dxa"/>
            <w:vAlign w:val="bottom"/>
            <w:tcBorders>
              <w:bottom w:val="single" w:sz="8" w:color="2B4C9B"/>
              <w:right w:val="single" w:sz="8" w:color="2B4C9B"/>
            </w:tcBorders>
          </w:tcPr>
          <w:p>
            <w:pPr>
              <w:spacing w:after="0"/>
              <w:rPr>
                <w:sz w:val="22"/>
                <w:szCs w:val="22"/>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1343025</wp:posOffset>
            </wp:positionH>
            <wp:positionV relativeFrom="paragraph">
              <wp:posOffset>-1740535</wp:posOffset>
            </wp:positionV>
            <wp:extent cx="582930" cy="42037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582930" cy="420370"/>
                    </a:xfrm>
                    <a:prstGeom prst="rect">
                      <a:avLst/>
                    </a:prstGeom>
                    <a:noFill/>
                  </pic:spPr>
                </pic:pic>
              </a:graphicData>
            </a:graphic>
          </wp:anchor>
        </w:drawing>
        <w:drawing>
          <wp:anchor simplePos="0" relativeHeight="251657728" behindDoc="1" locked="0" layoutInCell="0" allowOverlap="1">
            <wp:simplePos x="0" y="0"/>
            <wp:positionH relativeFrom="column">
              <wp:posOffset>3572510</wp:posOffset>
            </wp:positionH>
            <wp:positionV relativeFrom="paragraph">
              <wp:posOffset>-1911985</wp:posOffset>
            </wp:positionV>
            <wp:extent cx="325755" cy="58293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325755" cy="582930"/>
                    </a:xfrm>
                    <a:prstGeom prst="rect">
                      <a:avLst/>
                    </a:prstGeom>
                    <a:noFill/>
                  </pic:spPr>
                </pic:pic>
              </a:graphicData>
            </a:graphic>
          </wp:anchor>
        </w:drawing>
        <w:drawing>
          <wp:anchor simplePos="0" relativeHeight="251657728" behindDoc="1" locked="0" layoutInCell="0" allowOverlap="1">
            <wp:simplePos x="0" y="0"/>
            <wp:positionH relativeFrom="column">
              <wp:posOffset>5536565</wp:posOffset>
            </wp:positionH>
            <wp:positionV relativeFrom="paragraph">
              <wp:posOffset>-1800225</wp:posOffset>
            </wp:positionV>
            <wp:extent cx="471805" cy="48006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471805" cy="480060"/>
                    </a:xfrm>
                    <a:prstGeom prst="rect">
                      <a:avLst/>
                    </a:prstGeom>
                    <a:noFill/>
                  </pic:spPr>
                </pic:pic>
              </a:graphicData>
            </a:graphic>
          </wp:anchor>
        </w:drawing>
      </w:r>
    </w:p>
    <w:p>
      <w:pPr>
        <w:spacing w:after="0" w:line="173" w:lineRule="exact"/>
        <w:rPr>
          <w:sz w:val="20"/>
          <w:szCs w:val="20"/>
          <w:color w:val="auto"/>
        </w:rPr>
      </w:pPr>
    </w:p>
    <w:p>
      <w:pPr>
        <w:ind w:left="860" w:right="60"/>
        <w:spacing w:after="0" w:line="255" w:lineRule="auto"/>
        <w:rPr>
          <w:sz w:val="20"/>
          <w:szCs w:val="20"/>
          <w:color w:val="auto"/>
        </w:rPr>
      </w:pPr>
      <w:r>
        <w:rPr>
          <w:rFonts w:ascii="Arial" w:cs="Arial" w:eastAsia="Arial" w:hAnsi="Arial"/>
          <w:sz w:val="18"/>
          <w:szCs w:val="18"/>
          <w:color w:val="auto"/>
        </w:rPr>
        <w:t>Your proxy card covers all shares registered in your name and shares held in your Computershare Investment Plan account. If you own shares in the ExxonMobil Savings Plan for employees and retirees, your proxy card also covers those shares.</w:t>
      </w:r>
    </w:p>
    <w:p>
      <w:pPr>
        <w:spacing w:after="0" w:line="164" w:lineRule="exact"/>
        <w:rPr>
          <w:sz w:val="20"/>
          <w:szCs w:val="20"/>
          <w:color w:val="auto"/>
        </w:rPr>
      </w:pPr>
    </w:p>
    <w:p>
      <w:pPr>
        <w:ind w:left="860"/>
        <w:spacing w:after="0"/>
        <w:rPr>
          <w:sz w:val="20"/>
          <w:szCs w:val="20"/>
          <w:color w:val="auto"/>
        </w:rPr>
      </w:pPr>
      <w:r>
        <w:rPr>
          <w:rFonts w:ascii="Arial" w:cs="Arial" w:eastAsia="Arial" w:hAnsi="Arial"/>
          <w:sz w:val="18"/>
          <w:szCs w:val="18"/>
          <w:color w:val="auto"/>
        </w:rPr>
        <w:t>If you give us your signed proxy but do not specify how to vote, we will vote your shares as follows:</w:t>
      </w:r>
    </w:p>
    <w:p>
      <w:pPr>
        <w:spacing w:after="0" w:line="117" w:lineRule="exact"/>
        <w:rPr>
          <w:sz w:val="20"/>
          <w:szCs w:val="20"/>
          <w:color w:val="auto"/>
        </w:rPr>
      </w:pPr>
    </w:p>
    <w:p>
      <w:pPr>
        <w:ind w:left="1240" w:hanging="388"/>
        <w:spacing w:after="0"/>
        <w:tabs>
          <w:tab w:leader="none" w:pos="1240" w:val="left"/>
        </w:tabs>
        <w:numPr>
          <w:ilvl w:val="0"/>
          <w:numId w:val="6"/>
        </w:numPr>
        <w:rPr>
          <w:rFonts w:ascii="Times New Roman" w:cs="Times New Roman" w:eastAsia="Times New Roman" w:hAnsi="Times New Roman"/>
          <w:sz w:val="18"/>
          <w:szCs w:val="18"/>
          <w:color w:val="auto"/>
        </w:rPr>
      </w:pPr>
      <w:r>
        <w:rPr>
          <w:rFonts w:ascii="Arial" w:cs="Arial" w:eastAsia="Arial" w:hAnsi="Arial"/>
          <w:sz w:val="18"/>
          <w:szCs w:val="18"/>
          <w:color w:val="auto"/>
        </w:rPr>
        <w:t>For the election of our director candidates;</w:t>
      </w:r>
    </w:p>
    <w:p>
      <w:pPr>
        <w:spacing w:after="0" w:line="129" w:lineRule="exact"/>
        <w:rPr>
          <w:rFonts w:ascii="Times New Roman" w:cs="Times New Roman" w:eastAsia="Times New Roman" w:hAnsi="Times New Roman"/>
          <w:sz w:val="18"/>
          <w:szCs w:val="18"/>
          <w:color w:val="auto"/>
        </w:rPr>
      </w:pPr>
    </w:p>
    <w:p>
      <w:pPr>
        <w:ind w:left="1240" w:hanging="388"/>
        <w:spacing w:after="0"/>
        <w:tabs>
          <w:tab w:leader="none" w:pos="1240" w:val="left"/>
        </w:tabs>
        <w:numPr>
          <w:ilvl w:val="0"/>
          <w:numId w:val="6"/>
        </w:numPr>
        <w:rPr>
          <w:rFonts w:ascii="Times New Roman" w:cs="Times New Roman" w:eastAsia="Times New Roman" w:hAnsi="Times New Roman"/>
          <w:sz w:val="18"/>
          <w:szCs w:val="18"/>
          <w:color w:val="auto"/>
        </w:rPr>
      </w:pPr>
      <w:r>
        <w:rPr>
          <w:rFonts w:ascii="Arial" w:cs="Arial" w:eastAsia="Arial" w:hAnsi="Arial"/>
          <w:sz w:val="18"/>
          <w:szCs w:val="18"/>
          <w:color w:val="auto"/>
        </w:rPr>
        <w:t>For ratification of the appointment of independent auditors;</w:t>
      </w:r>
    </w:p>
    <w:p>
      <w:pPr>
        <w:spacing w:after="0" w:line="129" w:lineRule="exact"/>
        <w:rPr>
          <w:rFonts w:ascii="Times New Roman" w:cs="Times New Roman" w:eastAsia="Times New Roman" w:hAnsi="Times New Roman"/>
          <w:sz w:val="18"/>
          <w:szCs w:val="18"/>
          <w:color w:val="auto"/>
        </w:rPr>
      </w:pPr>
    </w:p>
    <w:p>
      <w:pPr>
        <w:ind w:left="1240" w:hanging="388"/>
        <w:spacing w:after="0"/>
        <w:tabs>
          <w:tab w:leader="none" w:pos="1240" w:val="left"/>
        </w:tabs>
        <w:numPr>
          <w:ilvl w:val="0"/>
          <w:numId w:val="6"/>
        </w:numPr>
        <w:rPr>
          <w:rFonts w:ascii="Times New Roman" w:cs="Times New Roman" w:eastAsia="Times New Roman" w:hAnsi="Times New Roman"/>
          <w:sz w:val="18"/>
          <w:szCs w:val="18"/>
          <w:color w:val="auto"/>
        </w:rPr>
      </w:pPr>
      <w:r>
        <w:rPr>
          <w:rFonts w:ascii="Arial" w:cs="Arial" w:eastAsia="Arial" w:hAnsi="Arial"/>
          <w:sz w:val="18"/>
          <w:szCs w:val="18"/>
          <w:color w:val="auto"/>
        </w:rPr>
        <w:t>For approval of the compensation of the Named Executive Officers; and</w:t>
      </w:r>
    </w:p>
    <w:p>
      <w:pPr>
        <w:spacing w:after="0" w:line="129" w:lineRule="exact"/>
        <w:rPr>
          <w:rFonts w:ascii="Times New Roman" w:cs="Times New Roman" w:eastAsia="Times New Roman" w:hAnsi="Times New Roman"/>
          <w:sz w:val="18"/>
          <w:szCs w:val="18"/>
          <w:color w:val="auto"/>
        </w:rPr>
      </w:pPr>
    </w:p>
    <w:p>
      <w:pPr>
        <w:ind w:left="1240" w:hanging="388"/>
        <w:spacing w:after="0"/>
        <w:tabs>
          <w:tab w:leader="none" w:pos="1240" w:val="left"/>
        </w:tabs>
        <w:numPr>
          <w:ilvl w:val="0"/>
          <w:numId w:val="6"/>
        </w:numPr>
        <w:rPr>
          <w:rFonts w:ascii="Times New Roman" w:cs="Times New Roman" w:eastAsia="Times New Roman" w:hAnsi="Times New Roman"/>
          <w:sz w:val="18"/>
          <w:szCs w:val="18"/>
          <w:color w:val="auto"/>
        </w:rPr>
      </w:pPr>
      <w:r>
        <w:rPr>
          <w:rFonts w:ascii="Arial" w:cs="Arial" w:eastAsia="Arial" w:hAnsi="Arial"/>
          <w:sz w:val="18"/>
          <w:szCs w:val="18"/>
          <w:color w:val="auto"/>
        </w:rPr>
        <w:t>As recommended by the Board with respect to shareholder proposals.</w:t>
      </w:r>
    </w:p>
    <w:p>
      <w:pPr>
        <w:spacing w:after="0" w:line="224" w:lineRule="exact"/>
        <w:rPr>
          <w:sz w:val="20"/>
          <w:szCs w:val="20"/>
          <w:color w:val="auto"/>
        </w:rPr>
      </w:pPr>
    </w:p>
    <w:p>
      <w:pPr>
        <w:ind w:left="860" w:right="240"/>
        <w:spacing w:after="0" w:line="276" w:lineRule="auto"/>
        <w:rPr>
          <w:sz w:val="20"/>
          <w:szCs w:val="20"/>
          <w:color w:val="auto"/>
        </w:rPr>
      </w:pPr>
      <w:r>
        <w:rPr>
          <w:rFonts w:ascii="Arial" w:cs="Arial" w:eastAsia="Arial" w:hAnsi="Arial"/>
          <w:sz w:val="18"/>
          <w:szCs w:val="18"/>
          <w:color w:val="auto"/>
        </w:rPr>
        <w:t>If you hold shares through someone else, such as a stockbroker, you will receive material from that firm asking how you want to vote. Check the voting form used by that firm to see if it offers Internet or telephone voting.</w:t>
      </w:r>
    </w:p>
    <w:p>
      <w:pPr>
        <w:spacing w:after="0" w:line="143" w:lineRule="exact"/>
        <w:rPr>
          <w:sz w:val="20"/>
          <w:szCs w:val="20"/>
          <w:color w:val="auto"/>
        </w:rPr>
      </w:pPr>
    </w:p>
    <w:p>
      <w:pPr>
        <w:ind w:left="860"/>
        <w:spacing w:after="0"/>
        <w:rPr>
          <w:sz w:val="20"/>
          <w:szCs w:val="20"/>
          <w:color w:val="auto"/>
        </w:rPr>
      </w:pPr>
      <w:r>
        <w:rPr>
          <w:rFonts w:ascii="Arial" w:cs="Arial" w:eastAsia="Arial" w:hAnsi="Arial"/>
          <w:sz w:val="18"/>
          <w:szCs w:val="18"/>
          <w:b w:val="1"/>
          <w:bCs w:val="1"/>
          <w:color w:val="auto"/>
        </w:rPr>
        <w:t>Voting Shares in the ExxonMobil Savings Plan</w:t>
      </w:r>
    </w:p>
    <w:p>
      <w:pPr>
        <w:spacing w:after="0" w:line="106" w:lineRule="exact"/>
        <w:rPr>
          <w:sz w:val="20"/>
          <w:szCs w:val="20"/>
          <w:color w:val="auto"/>
        </w:rPr>
      </w:pPr>
    </w:p>
    <w:p>
      <w:pPr>
        <w:ind w:left="860" w:right="160"/>
        <w:spacing w:after="0" w:line="255" w:lineRule="auto"/>
        <w:rPr>
          <w:sz w:val="20"/>
          <w:szCs w:val="20"/>
          <w:color w:val="auto"/>
        </w:rPr>
      </w:pPr>
      <w:r>
        <w:rPr>
          <w:rFonts w:ascii="Arial" w:cs="Arial" w:eastAsia="Arial" w:hAnsi="Arial"/>
          <w:sz w:val="18"/>
          <w:szCs w:val="18"/>
          <w:color w:val="auto"/>
        </w:rPr>
        <w:t>The Trustee of the ExxonMobil Savings Plan will vote Plan shares as participants direct. To the extent participants do not give instructions, the Trustee will vote shares as it thinks best. The proxy card serves to give voting instructions to the Trustee.</w:t>
      </w:r>
    </w:p>
    <w:p>
      <w:pPr>
        <w:spacing w:after="0" w:line="162" w:lineRule="exact"/>
        <w:rPr>
          <w:sz w:val="20"/>
          <w:szCs w:val="20"/>
          <w:color w:val="auto"/>
        </w:rPr>
      </w:pPr>
    </w:p>
    <w:p>
      <w:pPr>
        <w:ind w:left="860"/>
        <w:spacing w:after="0"/>
        <w:rPr>
          <w:sz w:val="20"/>
          <w:szCs w:val="20"/>
          <w:color w:val="auto"/>
        </w:rPr>
      </w:pPr>
      <w:r>
        <w:rPr>
          <w:rFonts w:ascii="Arial" w:cs="Arial" w:eastAsia="Arial" w:hAnsi="Arial"/>
          <w:sz w:val="18"/>
          <w:szCs w:val="18"/>
          <w:b w:val="1"/>
          <w:bCs w:val="1"/>
          <w:color w:val="auto"/>
        </w:rPr>
        <w:t>Revoking a Proxy</w:t>
      </w:r>
    </w:p>
    <w:p>
      <w:pPr>
        <w:spacing w:after="0" w:line="106" w:lineRule="exact"/>
        <w:rPr>
          <w:sz w:val="20"/>
          <w:szCs w:val="20"/>
          <w:color w:val="auto"/>
        </w:rPr>
      </w:pPr>
    </w:p>
    <w:p>
      <w:pPr>
        <w:ind w:left="860"/>
        <w:spacing w:after="0"/>
        <w:rPr>
          <w:sz w:val="20"/>
          <w:szCs w:val="20"/>
          <w:color w:val="auto"/>
        </w:rPr>
      </w:pPr>
      <w:r>
        <w:rPr>
          <w:rFonts w:ascii="Arial" w:cs="Arial" w:eastAsia="Arial" w:hAnsi="Arial"/>
          <w:sz w:val="18"/>
          <w:szCs w:val="18"/>
          <w:color w:val="auto"/>
        </w:rPr>
        <w:t>You may revoke your proxy before it is voted at the meeting by:</w:t>
      </w:r>
    </w:p>
    <w:p>
      <w:pPr>
        <w:spacing w:after="0" w:line="117" w:lineRule="exact"/>
        <w:rPr>
          <w:sz w:val="20"/>
          <w:szCs w:val="20"/>
          <w:color w:val="auto"/>
        </w:rPr>
      </w:pPr>
    </w:p>
    <w:p>
      <w:pPr>
        <w:ind w:left="1240" w:hanging="388"/>
        <w:spacing w:after="0"/>
        <w:tabs>
          <w:tab w:leader="none" w:pos="1240" w:val="left"/>
        </w:tabs>
        <w:numPr>
          <w:ilvl w:val="0"/>
          <w:numId w:val="7"/>
        </w:numPr>
        <w:rPr>
          <w:rFonts w:ascii="Times New Roman" w:cs="Times New Roman" w:eastAsia="Times New Roman" w:hAnsi="Times New Roman"/>
          <w:sz w:val="18"/>
          <w:szCs w:val="18"/>
          <w:color w:val="auto"/>
        </w:rPr>
      </w:pPr>
      <w:r>
        <w:rPr>
          <w:rFonts w:ascii="Arial" w:cs="Arial" w:eastAsia="Arial" w:hAnsi="Arial"/>
          <w:sz w:val="18"/>
          <w:szCs w:val="18"/>
          <w:color w:val="auto"/>
        </w:rPr>
        <w:t>Submitting a new proxy with a later date via a proxy card, the Internet, or by telephone;</w:t>
      </w:r>
    </w:p>
    <w:p>
      <w:pPr>
        <w:spacing w:after="0" w:line="129" w:lineRule="exact"/>
        <w:rPr>
          <w:rFonts w:ascii="Times New Roman" w:cs="Times New Roman" w:eastAsia="Times New Roman" w:hAnsi="Times New Roman"/>
          <w:sz w:val="18"/>
          <w:szCs w:val="18"/>
          <w:color w:val="auto"/>
        </w:rPr>
      </w:pPr>
    </w:p>
    <w:p>
      <w:pPr>
        <w:ind w:left="1240" w:hanging="388"/>
        <w:spacing w:after="0"/>
        <w:tabs>
          <w:tab w:leader="none" w:pos="1240" w:val="left"/>
        </w:tabs>
        <w:numPr>
          <w:ilvl w:val="0"/>
          <w:numId w:val="7"/>
        </w:numPr>
        <w:rPr>
          <w:rFonts w:ascii="Times New Roman" w:cs="Times New Roman" w:eastAsia="Times New Roman" w:hAnsi="Times New Roman"/>
          <w:sz w:val="18"/>
          <w:szCs w:val="18"/>
          <w:color w:val="auto"/>
        </w:rPr>
      </w:pPr>
      <w:r>
        <w:rPr>
          <w:rFonts w:ascii="Arial" w:cs="Arial" w:eastAsia="Arial" w:hAnsi="Arial"/>
          <w:sz w:val="18"/>
          <w:szCs w:val="18"/>
          <w:color w:val="auto"/>
        </w:rPr>
        <w:t>Notifying ExxonMobil’s Secretary in writing before the meeting; or</w:t>
      </w:r>
    </w:p>
    <w:p>
      <w:pPr>
        <w:spacing w:after="0" w:line="129" w:lineRule="exact"/>
        <w:rPr>
          <w:rFonts w:ascii="Times New Roman" w:cs="Times New Roman" w:eastAsia="Times New Roman" w:hAnsi="Times New Roman"/>
          <w:sz w:val="18"/>
          <w:szCs w:val="18"/>
          <w:color w:val="auto"/>
        </w:rPr>
      </w:pPr>
    </w:p>
    <w:p>
      <w:pPr>
        <w:ind w:left="1240" w:hanging="388"/>
        <w:spacing w:after="0"/>
        <w:tabs>
          <w:tab w:leader="none" w:pos="1240" w:val="left"/>
        </w:tabs>
        <w:numPr>
          <w:ilvl w:val="0"/>
          <w:numId w:val="7"/>
        </w:numPr>
        <w:rPr>
          <w:rFonts w:ascii="Times New Roman" w:cs="Times New Roman" w:eastAsia="Times New Roman" w:hAnsi="Times New Roman"/>
          <w:sz w:val="18"/>
          <w:szCs w:val="18"/>
          <w:color w:val="auto"/>
        </w:rPr>
      </w:pPr>
      <w:r>
        <w:rPr>
          <w:rFonts w:ascii="Arial" w:cs="Arial" w:eastAsia="Arial" w:hAnsi="Arial"/>
          <w:sz w:val="18"/>
          <w:szCs w:val="18"/>
          <w:color w:val="auto"/>
        </w:rPr>
        <w:t>Voting in person at the meeting.</w:t>
      </w:r>
    </w:p>
    <w:p>
      <w:pPr>
        <w:spacing w:after="0" w:line="222" w:lineRule="exact"/>
        <w:rPr>
          <w:sz w:val="20"/>
          <w:szCs w:val="20"/>
          <w:color w:val="auto"/>
        </w:rPr>
      </w:pPr>
    </w:p>
    <w:p>
      <w:pPr>
        <w:ind w:left="860"/>
        <w:spacing w:after="0"/>
        <w:rPr>
          <w:sz w:val="20"/>
          <w:szCs w:val="20"/>
          <w:color w:val="auto"/>
        </w:rPr>
      </w:pPr>
      <w:r>
        <w:rPr>
          <w:rFonts w:ascii="Arial" w:cs="Arial" w:eastAsia="Arial" w:hAnsi="Arial"/>
          <w:sz w:val="18"/>
          <w:szCs w:val="18"/>
          <w:b w:val="1"/>
          <w:bCs w:val="1"/>
          <w:color w:val="auto"/>
        </w:rPr>
        <w:t>Confidential Voting</w:t>
      </w:r>
    </w:p>
    <w:p>
      <w:pPr>
        <w:spacing w:after="0" w:line="106" w:lineRule="exact"/>
        <w:rPr>
          <w:sz w:val="20"/>
          <w:szCs w:val="20"/>
          <w:color w:val="auto"/>
        </w:rPr>
      </w:pPr>
    </w:p>
    <w:p>
      <w:pPr>
        <w:ind w:left="860" w:right="380"/>
        <w:spacing w:after="0" w:line="276" w:lineRule="auto"/>
        <w:rPr>
          <w:sz w:val="20"/>
          <w:szCs w:val="20"/>
          <w:color w:val="auto"/>
        </w:rPr>
      </w:pPr>
      <w:r>
        <w:rPr>
          <w:rFonts w:ascii="Arial" w:cs="Arial" w:eastAsia="Arial" w:hAnsi="Arial"/>
          <w:sz w:val="18"/>
          <w:szCs w:val="18"/>
          <w:color w:val="auto"/>
        </w:rPr>
        <w:t>Independent inspectors count the votes. Your individual vote is kept confidential from us unless special circumstances exist. For example, a copy of your proxy card will be sent to us if you write comments on the card.</w:t>
      </w:r>
    </w:p>
    <w:p>
      <w:pPr>
        <w:spacing w:after="0" w:line="143" w:lineRule="exact"/>
        <w:rPr>
          <w:sz w:val="20"/>
          <w:szCs w:val="20"/>
          <w:color w:val="auto"/>
        </w:rPr>
      </w:pPr>
    </w:p>
    <w:p>
      <w:pPr>
        <w:ind w:left="860"/>
        <w:spacing w:after="0"/>
        <w:rPr>
          <w:sz w:val="20"/>
          <w:szCs w:val="20"/>
          <w:color w:val="auto"/>
        </w:rPr>
      </w:pPr>
      <w:r>
        <w:rPr>
          <w:rFonts w:ascii="Arial" w:cs="Arial" w:eastAsia="Arial" w:hAnsi="Arial"/>
          <w:sz w:val="18"/>
          <w:szCs w:val="18"/>
          <w:b w:val="1"/>
          <w:bCs w:val="1"/>
          <w:color w:val="auto"/>
        </w:rPr>
        <w:t>Quorum</w:t>
      </w:r>
    </w:p>
    <w:p>
      <w:pPr>
        <w:spacing w:after="0" w:line="106" w:lineRule="exact"/>
        <w:rPr>
          <w:sz w:val="20"/>
          <w:szCs w:val="20"/>
          <w:color w:val="auto"/>
        </w:rPr>
      </w:pPr>
    </w:p>
    <w:p>
      <w:pPr>
        <w:ind w:left="860" w:right="400"/>
        <w:spacing w:after="0" w:line="255" w:lineRule="auto"/>
        <w:rPr>
          <w:sz w:val="20"/>
          <w:szCs w:val="20"/>
          <w:color w:val="auto"/>
        </w:rPr>
      </w:pPr>
      <w:r>
        <w:rPr>
          <w:rFonts w:ascii="Arial" w:cs="Arial" w:eastAsia="Arial" w:hAnsi="Arial"/>
          <w:sz w:val="18"/>
          <w:szCs w:val="18"/>
          <w:color w:val="auto"/>
        </w:rPr>
        <w:t>In order to carry on the business of the meeting, we must have a quorum. This means at least a majority of the outstanding shares eligible to vote must be represented at the meeting, either by proxy or in person. Treasury shares, which are shares owned by ExxonMobil itself, are not voted and do not count for this purpose.</w:t>
      </w:r>
    </w:p>
    <w:p>
      <w:pPr>
        <w:spacing w:after="0" w:line="97" w:lineRule="exact"/>
        <w:rPr>
          <w:sz w:val="20"/>
          <w:szCs w:val="20"/>
          <w:color w:val="auto"/>
        </w:rPr>
      </w:pPr>
    </w:p>
    <w:p>
      <w:pPr>
        <w:ind w:left="880"/>
        <w:spacing w:after="0"/>
        <w:tabs>
          <w:tab w:leader="none" w:pos="2680" w:val="left"/>
        </w:tabs>
        <w:rPr>
          <w:sz w:val="20"/>
          <w:szCs w:val="20"/>
          <w:color w:val="auto"/>
        </w:rPr>
      </w:pPr>
      <w:r>
        <w:rPr>
          <w:rFonts w:ascii="Arial" w:cs="Arial" w:eastAsia="Arial" w:hAnsi="Arial"/>
          <w:sz w:val="18"/>
          <w:szCs w:val="18"/>
          <w:color w:val="auto"/>
        </w:rPr>
        <w:t>2</w:t>
      </w:r>
      <w:r>
        <w:rPr>
          <w:sz w:val="20"/>
          <w:szCs w:val="20"/>
          <w:color w:val="auto"/>
        </w:rPr>
        <w:tab/>
      </w:r>
      <w:r>
        <w:rPr>
          <w:rFonts w:ascii="Times New Roman" w:cs="Times New Roman" w:eastAsia="Times New Roman" w:hAnsi="Times New Roman"/>
          <w:sz w:val="18"/>
          <w:szCs w:val="18"/>
          <w:i w:val="1"/>
          <w:iCs w:val="1"/>
          <w:color w:val="auto"/>
        </w:rPr>
        <w:t>2018 Proxy Statement</w:t>
      </w:r>
    </w:p>
    <w:p>
      <w:pPr>
        <w:sectPr>
          <w:pgSz w:w="11900" w:h="16838" w:orient="portrait"/>
          <w:cols w:equalWidth="0" w:num="1">
            <w:col w:w="10600"/>
          </w:cols>
          <w:pgMar w:left="240" w:top="455" w:right="1059" w:bottom="1440" w:gutter="0" w:footer="0" w:header="0"/>
        </w:sectPr>
      </w:pPr>
    </w:p>
    <w:bookmarkStart w:id="5" w:name="page6"/>
    <w:bookmarkEnd w:id="5"/>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Times New Roman" w:cs="Times New Roman" w:eastAsia="Times New Roman" w:hAnsi="Times New Roman"/>
            <w:sz w:val="18"/>
            <w:szCs w:val="18"/>
            <w:b w:val="1"/>
            <w:bCs w:val="1"/>
            <w:u w:val="single" w:color="auto"/>
            <w:color w:val="0000EE"/>
          </w:rPr>
          <w:t>Table of Contents</w:t>
        </w:r>
      </w:hyperlink>
    </w:p>
    <w:p>
      <w:pPr>
        <w:spacing w:after="0" w:line="303" w:lineRule="exact"/>
        <w:rPr>
          <w:sz w:val="20"/>
          <w:szCs w:val="20"/>
          <w:color w:val="auto"/>
        </w:rPr>
      </w:pPr>
    </w:p>
    <w:p>
      <w:pPr>
        <w:ind w:left="860"/>
        <w:spacing w:after="0"/>
        <w:rPr>
          <w:sz w:val="20"/>
          <w:szCs w:val="20"/>
          <w:color w:val="auto"/>
        </w:rPr>
      </w:pPr>
      <w:r>
        <w:rPr>
          <w:rFonts w:ascii="Arial" w:cs="Arial" w:eastAsia="Arial" w:hAnsi="Arial"/>
          <w:sz w:val="18"/>
          <w:szCs w:val="18"/>
          <w:b w:val="1"/>
          <w:bCs w:val="1"/>
          <w:color w:val="auto"/>
        </w:rPr>
        <w:t>Votes Required</w:t>
      </w:r>
    </w:p>
    <w:p>
      <w:pPr>
        <w:spacing w:after="0" w:line="239" w:lineRule="exact"/>
        <w:rPr>
          <w:sz w:val="20"/>
          <w:szCs w:val="20"/>
          <w:color w:val="auto"/>
        </w:rPr>
      </w:pPr>
    </w:p>
    <w:p>
      <w:pPr>
        <w:ind w:left="1240" w:right="80" w:hanging="388"/>
        <w:spacing w:after="0"/>
        <w:tabs>
          <w:tab w:leader="none" w:pos="1240" w:val="left"/>
        </w:tabs>
        <w:numPr>
          <w:ilvl w:val="0"/>
          <w:numId w:val="8"/>
        </w:numPr>
        <w:rPr>
          <w:rFonts w:ascii="Times New Roman" w:cs="Times New Roman" w:eastAsia="Times New Roman" w:hAnsi="Times New Roman"/>
          <w:sz w:val="18"/>
          <w:szCs w:val="18"/>
          <w:color w:val="auto"/>
        </w:rPr>
      </w:pPr>
      <w:r>
        <w:rPr>
          <w:rFonts w:ascii="Arial" w:cs="Arial" w:eastAsia="Arial" w:hAnsi="Arial"/>
          <w:sz w:val="18"/>
          <w:szCs w:val="18"/>
          <w:b w:val="1"/>
          <w:bCs w:val="1"/>
          <w:color w:val="auto"/>
        </w:rPr>
        <w:t xml:space="preserve">Election of Directors Proposal: </w:t>
      </w:r>
      <w:r>
        <w:rPr>
          <w:rFonts w:ascii="Arial" w:cs="Arial" w:eastAsia="Arial" w:hAnsi="Arial"/>
          <w:sz w:val="18"/>
          <w:szCs w:val="18"/>
          <w:color w:val="auto"/>
        </w:rPr>
        <w:t>Under ExxonMobil’s bylaws, a director nominee must receive a majority of votes</w:t>
      </w:r>
      <w:r>
        <w:rPr>
          <w:rFonts w:ascii="Arial" w:cs="Arial" w:eastAsia="Arial" w:hAnsi="Arial"/>
          <w:sz w:val="18"/>
          <w:szCs w:val="18"/>
          <w:b w:val="1"/>
          <w:bCs w:val="1"/>
          <w:color w:val="auto"/>
        </w:rPr>
        <w:t xml:space="preserve"> </w:t>
      </w:r>
      <w:r>
        <w:rPr>
          <w:rFonts w:ascii="Arial" w:cs="Arial" w:eastAsia="Arial" w:hAnsi="Arial"/>
          <w:sz w:val="18"/>
          <w:szCs w:val="18"/>
          <w:color w:val="auto"/>
        </w:rPr>
        <w:t xml:space="preserve">cast in order to be elected to the Board of Directors in a non-contested election. In a contested election (in which the number of nominees exceeds the number of directors to be elected), the plurality vote standard under New Jersey law would apply. Under plurality voting, the director nominee with the most votes for a particular seat is elected for that seat. Abstentions and broker non-votes are not counted for purposes of the election of directors. A broker non-vote occurs when a bank, broker, or other holder of record that is holding shares for a beneficial owner does not vote on a particular proposal because the record holder does not have discretionary voting power for that particular item and has not received instructions from the beneficial owner. </w:t>
      </w:r>
      <w:r>
        <w:rPr>
          <w:rFonts w:ascii="Arial" w:cs="Arial" w:eastAsia="Arial" w:hAnsi="Arial"/>
          <w:sz w:val="18"/>
          <w:szCs w:val="18"/>
          <w:b w:val="1"/>
          <w:bCs w:val="1"/>
          <w:color w:val="auto"/>
        </w:rPr>
        <w:t>If you own shares through a broker, you must</w:t>
      </w:r>
      <w:r>
        <w:rPr>
          <w:rFonts w:ascii="Arial" w:cs="Arial" w:eastAsia="Arial" w:hAnsi="Arial"/>
          <w:sz w:val="18"/>
          <w:szCs w:val="18"/>
          <w:color w:val="auto"/>
        </w:rPr>
        <w:t xml:space="preserve"> </w:t>
      </w:r>
      <w:r>
        <w:rPr>
          <w:rFonts w:ascii="Arial" w:cs="Arial" w:eastAsia="Arial" w:hAnsi="Arial"/>
          <w:sz w:val="18"/>
          <w:szCs w:val="18"/>
          <w:b w:val="1"/>
          <w:bCs w:val="1"/>
          <w:color w:val="auto"/>
        </w:rPr>
        <w:t>give the broker instructions to vote your shares in the election of directors. Otherwise, your shares will not be voted.</w:t>
      </w:r>
    </w:p>
    <w:p>
      <w:pPr>
        <w:spacing w:after="0" w:line="146" w:lineRule="exact"/>
        <w:rPr>
          <w:rFonts w:ascii="Times New Roman" w:cs="Times New Roman" w:eastAsia="Times New Roman" w:hAnsi="Times New Roman"/>
          <w:sz w:val="18"/>
          <w:szCs w:val="18"/>
          <w:color w:val="auto"/>
        </w:rPr>
      </w:pPr>
    </w:p>
    <w:p>
      <w:pPr>
        <w:ind w:left="1240" w:right="80"/>
        <w:spacing w:after="0"/>
        <w:rPr>
          <w:rFonts w:ascii="Times New Roman" w:cs="Times New Roman" w:eastAsia="Times New Roman" w:hAnsi="Times New Roman"/>
          <w:sz w:val="18"/>
          <w:szCs w:val="18"/>
          <w:color w:val="auto"/>
        </w:rPr>
      </w:pPr>
      <w:r>
        <w:rPr>
          <w:rFonts w:ascii="Arial" w:cs="Arial" w:eastAsia="Arial" w:hAnsi="Arial"/>
          <w:sz w:val="18"/>
          <w:szCs w:val="18"/>
          <w:color w:val="auto"/>
        </w:rPr>
        <w:t xml:space="preserve">Our Corporate Governance Guidelines, which can be found in the Corporate Governance section of our website at </w:t>
      </w:r>
      <w:r>
        <w:rPr>
          <w:rFonts w:ascii="Arial" w:cs="Arial" w:eastAsia="Arial" w:hAnsi="Arial"/>
          <w:sz w:val="18"/>
          <w:szCs w:val="18"/>
          <w:i w:val="1"/>
          <w:iCs w:val="1"/>
          <w:color w:val="auto"/>
        </w:rPr>
        <w:t xml:space="preserve">exxonmobil.com/guidelines, </w:t>
      </w:r>
      <w:r>
        <w:rPr>
          <w:rFonts w:ascii="Arial" w:cs="Arial" w:eastAsia="Arial" w:hAnsi="Arial"/>
          <w:sz w:val="18"/>
          <w:szCs w:val="18"/>
          <w:color w:val="auto"/>
        </w:rPr>
        <w:t>state that all directors will stand for election at the annual meeting of shareholders. In</w:t>
      </w:r>
      <w:r>
        <w:rPr>
          <w:rFonts w:ascii="Arial" w:cs="Arial" w:eastAsia="Arial" w:hAnsi="Arial"/>
          <w:sz w:val="18"/>
          <w:szCs w:val="18"/>
          <w:i w:val="1"/>
          <w:iCs w:val="1"/>
          <w:color w:val="auto"/>
        </w:rPr>
        <w:t xml:space="preserve"> </w:t>
      </w:r>
      <w:r>
        <w:rPr>
          <w:rFonts w:ascii="Arial" w:cs="Arial" w:eastAsia="Arial" w:hAnsi="Arial"/>
          <w:sz w:val="18"/>
          <w:szCs w:val="18"/>
          <w:color w:val="auto"/>
        </w:rPr>
        <w:t>any non-contested election of directors, any director nominee who receives a greater number of votes AGAINST his or her election than votes FOR such election shall tender his or her resignation. Within 90 days after certification of the election results, the Board of Directors will decide, through a process managed by the Board Affairs Committee and excluding the nominee in question, whether to accept the resignation. Absent a compelling reason for the director to remain on the Board, the Board shall accept the resignation. The Board will promptly disclose its decision and, if applicable, the reasons for rejecting the tendered resignation on Form 8-K filed with the Securities and Exchange Commission (SEC).</w:t>
      </w:r>
    </w:p>
    <w:p>
      <w:pPr>
        <w:spacing w:after="0" w:line="295" w:lineRule="exact"/>
        <w:rPr>
          <w:rFonts w:ascii="Times New Roman" w:cs="Times New Roman" w:eastAsia="Times New Roman" w:hAnsi="Times New Roman"/>
          <w:sz w:val="18"/>
          <w:szCs w:val="18"/>
          <w:color w:val="auto"/>
        </w:rPr>
      </w:pPr>
    </w:p>
    <w:p>
      <w:pPr>
        <w:ind w:left="1240" w:right="260" w:hanging="388"/>
        <w:spacing w:after="0" w:line="256" w:lineRule="auto"/>
        <w:tabs>
          <w:tab w:leader="none" w:pos="1240" w:val="left"/>
        </w:tabs>
        <w:numPr>
          <w:ilvl w:val="0"/>
          <w:numId w:val="8"/>
        </w:numPr>
        <w:rPr>
          <w:rFonts w:ascii="Times New Roman" w:cs="Times New Roman" w:eastAsia="Times New Roman" w:hAnsi="Times New Roman"/>
          <w:sz w:val="18"/>
          <w:szCs w:val="18"/>
          <w:color w:val="auto"/>
        </w:rPr>
      </w:pPr>
      <w:r>
        <w:rPr>
          <w:rFonts w:ascii="Arial" w:cs="Arial" w:eastAsia="Arial" w:hAnsi="Arial"/>
          <w:sz w:val="18"/>
          <w:szCs w:val="18"/>
          <w:b w:val="1"/>
          <w:bCs w:val="1"/>
          <w:color w:val="auto"/>
        </w:rPr>
        <w:t xml:space="preserve">Other Proposals: </w:t>
      </w:r>
      <w:r>
        <w:rPr>
          <w:rFonts w:ascii="Arial" w:cs="Arial" w:eastAsia="Arial" w:hAnsi="Arial"/>
          <w:sz w:val="18"/>
          <w:szCs w:val="18"/>
          <w:color w:val="auto"/>
        </w:rPr>
        <w:t>Approval of the ratification of the appointment of independent auditors, the advisory vote to</w:t>
      </w:r>
      <w:r>
        <w:rPr>
          <w:rFonts w:ascii="Arial" w:cs="Arial" w:eastAsia="Arial" w:hAnsi="Arial"/>
          <w:sz w:val="18"/>
          <w:szCs w:val="18"/>
          <w:b w:val="1"/>
          <w:bCs w:val="1"/>
          <w:color w:val="auto"/>
        </w:rPr>
        <w:t xml:space="preserve"> </w:t>
      </w:r>
      <w:r>
        <w:rPr>
          <w:rFonts w:ascii="Arial" w:cs="Arial" w:eastAsia="Arial" w:hAnsi="Arial"/>
          <w:sz w:val="18"/>
          <w:szCs w:val="18"/>
          <w:color w:val="auto"/>
        </w:rPr>
        <w:t>approve executive compensation, and the shareholder proposals requires the favorable vote of a majority of votes cast. Only votes FOR or AGAINST these proposals count.</w:t>
      </w:r>
    </w:p>
    <w:p>
      <w:pPr>
        <w:spacing w:after="0" w:line="54" w:lineRule="exact"/>
        <w:rPr>
          <w:rFonts w:ascii="Times New Roman" w:cs="Times New Roman" w:eastAsia="Times New Roman" w:hAnsi="Times New Roman"/>
          <w:sz w:val="18"/>
          <w:szCs w:val="18"/>
          <w:color w:val="auto"/>
        </w:rPr>
      </w:pPr>
    </w:p>
    <w:p>
      <w:pPr>
        <w:ind w:left="1240" w:right="240"/>
        <w:spacing w:after="0" w:line="276" w:lineRule="auto"/>
        <w:rPr>
          <w:rFonts w:ascii="Times New Roman" w:cs="Times New Roman" w:eastAsia="Times New Roman" w:hAnsi="Times New Roman"/>
          <w:sz w:val="18"/>
          <w:szCs w:val="18"/>
          <w:color w:val="auto"/>
        </w:rPr>
      </w:pPr>
      <w:r>
        <w:rPr>
          <w:rFonts w:ascii="Arial" w:cs="Arial" w:eastAsia="Arial" w:hAnsi="Arial"/>
          <w:sz w:val="18"/>
          <w:szCs w:val="18"/>
          <w:color w:val="auto"/>
        </w:rPr>
        <w:t>Abstentions count for quorum purposes, but not for voting. Broker non-votes count as votes FOR the ratification of the appointment of independent auditors but do not count for voting on any of the other proposals.</w:t>
      </w:r>
    </w:p>
    <w:p>
      <w:pPr>
        <w:spacing w:after="0" w:line="143" w:lineRule="exact"/>
        <w:rPr>
          <w:sz w:val="20"/>
          <w:szCs w:val="20"/>
          <w:color w:val="auto"/>
        </w:rPr>
      </w:pPr>
    </w:p>
    <w:p>
      <w:pPr>
        <w:ind w:left="860"/>
        <w:spacing w:after="0"/>
        <w:rPr>
          <w:sz w:val="20"/>
          <w:szCs w:val="20"/>
          <w:color w:val="auto"/>
        </w:rPr>
      </w:pPr>
      <w:r>
        <w:rPr>
          <w:rFonts w:ascii="Arial" w:cs="Arial" w:eastAsia="Arial" w:hAnsi="Arial"/>
          <w:sz w:val="18"/>
          <w:szCs w:val="18"/>
          <w:b w:val="1"/>
          <w:bCs w:val="1"/>
          <w:color w:val="auto"/>
        </w:rPr>
        <w:t>Annual Meeting Admission</w:t>
      </w:r>
    </w:p>
    <w:p>
      <w:pPr>
        <w:spacing w:after="0" w:line="106" w:lineRule="exact"/>
        <w:rPr>
          <w:sz w:val="20"/>
          <w:szCs w:val="20"/>
          <w:color w:val="auto"/>
        </w:rPr>
      </w:pPr>
    </w:p>
    <w:p>
      <w:pPr>
        <w:ind w:left="860"/>
        <w:spacing w:after="0"/>
        <w:rPr>
          <w:sz w:val="20"/>
          <w:szCs w:val="20"/>
          <w:color w:val="auto"/>
        </w:rPr>
      </w:pPr>
      <w:r>
        <w:rPr>
          <w:rFonts w:ascii="Arial" w:cs="Arial" w:eastAsia="Arial" w:hAnsi="Arial"/>
          <w:sz w:val="18"/>
          <w:szCs w:val="18"/>
          <w:color w:val="auto"/>
        </w:rPr>
        <w:t>Only shareholders or their proxy holders and ExxonMobil guests may attend the meeting.</w:t>
      </w:r>
    </w:p>
    <w:p>
      <w:pPr>
        <w:spacing w:after="0" w:line="210" w:lineRule="exact"/>
        <w:rPr>
          <w:sz w:val="20"/>
          <w:szCs w:val="20"/>
          <w:color w:val="auto"/>
        </w:rPr>
      </w:pPr>
    </w:p>
    <w:p>
      <w:pPr>
        <w:ind w:left="860" w:right="40"/>
        <w:spacing w:after="0" w:line="249" w:lineRule="auto"/>
        <w:rPr>
          <w:sz w:val="20"/>
          <w:szCs w:val="20"/>
          <w:color w:val="auto"/>
        </w:rPr>
      </w:pPr>
      <w:r>
        <w:rPr>
          <w:rFonts w:ascii="Arial" w:cs="Arial" w:eastAsia="Arial" w:hAnsi="Arial"/>
          <w:sz w:val="18"/>
          <w:szCs w:val="18"/>
          <w:b w:val="1"/>
          <w:bCs w:val="1"/>
          <w:color w:val="auto"/>
        </w:rPr>
        <w:t>For safety and security reasons, cameras, smartphones, recording equipment, electronic devices, computers, large bags, briefcases, packages, and firearms or other weapons will not be permitted in the building</w:t>
      </w:r>
      <w:r>
        <w:rPr>
          <w:rFonts w:ascii="Arial" w:cs="Arial" w:eastAsia="Arial" w:hAnsi="Arial"/>
          <w:sz w:val="18"/>
          <w:szCs w:val="18"/>
          <w:color w:val="auto"/>
        </w:rPr>
        <w:t>. In addition,</w:t>
      </w:r>
      <w:r>
        <w:rPr>
          <w:rFonts w:ascii="Arial" w:cs="Arial" w:eastAsia="Arial" w:hAnsi="Arial"/>
          <w:sz w:val="18"/>
          <w:szCs w:val="18"/>
          <w:b w:val="1"/>
          <w:bCs w:val="1"/>
          <w:color w:val="auto"/>
        </w:rPr>
        <w:t xml:space="preserve"> </w:t>
      </w:r>
      <w:r>
        <w:rPr>
          <w:rFonts w:ascii="Arial" w:cs="Arial" w:eastAsia="Arial" w:hAnsi="Arial"/>
          <w:sz w:val="18"/>
          <w:szCs w:val="18"/>
          <w:color w:val="auto"/>
        </w:rPr>
        <w:t>each shareholder and ExxonMobil guest will be asked to present valid government-issued picture identification, such as a driver’s license, before being admitted to the meeting.</w:t>
      </w:r>
    </w:p>
    <w:p>
      <w:pPr>
        <w:spacing w:after="0" w:line="169" w:lineRule="exact"/>
        <w:rPr>
          <w:sz w:val="20"/>
          <w:szCs w:val="20"/>
          <w:color w:val="auto"/>
        </w:rPr>
      </w:pPr>
    </w:p>
    <w:p>
      <w:pPr>
        <w:ind w:left="860" w:right="260"/>
        <w:spacing w:after="0" w:line="276" w:lineRule="auto"/>
        <w:rPr>
          <w:sz w:val="20"/>
          <w:szCs w:val="20"/>
          <w:color w:val="auto"/>
        </w:rPr>
      </w:pPr>
      <w:r>
        <w:rPr>
          <w:rFonts w:ascii="Arial" w:cs="Arial" w:eastAsia="Arial" w:hAnsi="Arial"/>
          <w:sz w:val="18"/>
          <w:szCs w:val="18"/>
          <w:color w:val="auto"/>
        </w:rPr>
        <w:t>For registered shareholders, an admission ticket is the upper part of your proxy card or the full Notice. Please bring the admission ticket with you to the meeting.</w:t>
      </w:r>
    </w:p>
    <w:p>
      <w:pPr>
        <w:spacing w:after="0" w:line="145" w:lineRule="exact"/>
        <w:rPr>
          <w:sz w:val="20"/>
          <w:szCs w:val="20"/>
          <w:color w:val="auto"/>
        </w:rPr>
      </w:pPr>
    </w:p>
    <w:p>
      <w:pPr>
        <w:ind w:left="860"/>
        <w:spacing w:after="0" w:line="248" w:lineRule="auto"/>
        <w:rPr>
          <w:sz w:val="20"/>
          <w:szCs w:val="20"/>
          <w:color w:val="auto"/>
        </w:rPr>
      </w:pPr>
      <w:r>
        <w:rPr>
          <w:rFonts w:ascii="Arial" w:cs="Arial" w:eastAsia="Arial" w:hAnsi="Arial"/>
          <w:sz w:val="18"/>
          <w:szCs w:val="18"/>
          <w:color w:val="auto"/>
        </w:rPr>
        <w:t>If your shares are held in the name of your broker, bank, or other nominee, you must bring to the meeting an account statement or letter from the nominee indicating that you beneficially owned the shares on April 4, 2018, the record date for voting. You may receive an admission ticket in advance by sending a written request with proof of ownership to the address listed below under Contact Information.</w:t>
      </w:r>
    </w:p>
    <w:p>
      <w:pPr>
        <w:spacing w:after="0" w:line="171" w:lineRule="exact"/>
        <w:rPr>
          <w:sz w:val="20"/>
          <w:szCs w:val="20"/>
          <w:color w:val="auto"/>
        </w:rPr>
      </w:pPr>
    </w:p>
    <w:p>
      <w:pPr>
        <w:ind w:left="860" w:right="120"/>
        <w:spacing w:after="0" w:line="276" w:lineRule="auto"/>
        <w:rPr>
          <w:sz w:val="20"/>
          <w:szCs w:val="20"/>
          <w:color w:val="auto"/>
        </w:rPr>
      </w:pPr>
      <w:r>
        <w:rPr>
          <w:rFonts w:ascii="Arial" w:cs="Arial" w:eastAsia="Arial" w:hAnsi="Arial"/>
          <w:sz w:val="18"/>
          <w:szCs w:val="18"/>
          <w:color w:val="auto"/>
        </w:rPr>
        <w:t>Shareholders who do not present admission tickets at the meeting will be admitted only upon verification of ownership at the admission counter.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545465</wp:posOffset>
            </wp:positionH>
            <wp:positionV relativeFrom="paragraph">
              <wp:posOffset>106680</wp:posOffset>
            </wp:positionV>
            <wp:extent cx="377190" cy="32575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377190" cy="325755"/>
                    </a:xfrm>
                    <a:prstGeom prst="rect">
                      <a:avLst/>
                    </a:prstGeom>
                    <a:noFill/>
                  </pic:spPr>
                </pic:pic>
              </a:graphicData>
            </a:graphic>
          </wp:anchor>
        </w:drawing>
      </w:r>
    </w:p>
    <w:p>
      <w:pPr>
        <w:spacing w:after="0" w:line="200" w:lineRule="exact"/>
        <w:rPr>
          <w:sz w:val="20"/>
          <w:szCs w:val="20"/>
          <w:color w:val="auto"/>
        </w:rPr>
      </w:pPr>
    </w:p>
    <w:p>
      <w:pPr>
        <w:spacing w:after="0" w:line="274" w:lineRule="exact"/>
        <w:rPr>
          <w:sz w:val="20"/>
          <w:szCs w:val="20"/>
          <w:color w:val="auto"/>
        </w:rPr>
      </w:pPr>
    </w:p>
    <w:p>
      <w:pPr>
        <w:ind w:left="1580"/>
        <w:spacing w:after="0"/>
        <w:rPr>
          <w:sz w:val="20"/>
          <w:szCs w:val="20"/>
          <w:color w:val="auto"/>
        </w:rPr>
      </w:pPr>
      <w:r>
        <w:rPr>
          <w:rFonts w:ascii="Arial" w:cs="Arial" w:eastAsia="Arial" w:hAnsi="Arial"/>
          <w:sz w:val="18"/>
          <w:szCs w:val="18"/>
          <w:b w:val="1"/>
          <w:bCs w:val="1"/>
          <w:color w:val="auto"/>
        </w:rPr>
        <w:t>Audio Webcast of the Annual Meeting</w:t>
      </w:r>
    </w:p>
    <w:p>
      <w:pPr>
        <w:spacing w:after="0" w:line="106" w:lineRule="exact"/>
        <w:rPr>
          <w:sz w:val="20"/>
          <w:szCs w:val="20"/>
          <w:color w:val="auto"/>
        </w:rPr>
      </w:pPr>
    </w:p>
    <w:p>
      <w:pPr>
        <w:ind w:left="860" w:right="180"/>
        <w:spacing w:after="0" w:line="255" w:lineRule="auto"/>
        <w:rPr>
          <w:sz w:val="20"/>
          <w:szCs w:val="20"/>
          <w:color w:val="auto"/>
        </w:rPr>
      </w:pPr>
      <w:r>
        <w:rPr>
          <w:rFonts w:ascii="Arial" w:cs="Arial" w:eastAsia="Arial" w:hAnsi="Arial"/>
          <w:sz w:val="18"/>
          <w:szCs w:val="18"/>
          <w:color w:val="auto"/>
        </w:rPr>
        <w:t xml:space="preserve">You are invited to visit our website at </w:t>
      </w:r>
      <w:r>
        <w:rPr>
          <w:rFonts w:ascii="Arial" w:cs="Arial" w:eastAsia="Arial" w:hAnsi="Arial"/>
          <w:sz w:val="18"/>
          <w:szCs w:val="18"/>
          <w:i w:val="1"/>
          <w:iCs w:val="1"/>
          <w:color w:val="auto"/>
        </w:rPr>
        <w:t>exxonmobil.com</w:t>
      </w:r>
      <w:r>
        <w:rPr>
          <w:rFonts w:ascii="Arial" w:cs="Arial" w:eastAsia="Arial" w:hAnsi="Arial"/>
          <w:sz w:val="18"/>
          <w:szCs w:val="18"/>
          <w:color w:val="auto"/>
        </w:rPr>
        <w:t xml:space="preserve"> to hear the audio webcast with slide presentation at 9:30 a.m. Central Time, on Wednesday, May 30, 2018. An archived copy of this audio webcast will be available on our website for one year.</w:t>
      </w:r>
    </w:p>
    <w:p>
      <w:pPr>
        <w:spacing w:after="0" w:line="97" w:lineRule="exact"/>
        <w:rPr>
          <w:sz w:val="20"/>
          <w:szCs w:val="20"/>
          <w:color w:val="auto"/>
        </w:rPr>
      </w:pPr>
    </w:p>
    <w:tbl>
      <w:tblPr>
        <w:tblLayout w:type="fixed"/>
        <w:tblInd w:w="7060" w:type="dxa"/>
        <w:tblCellMar>
          <w:top w:w="0" w:type="dxa"/>
          <w:left w:w="0" w:type="dxa"/>
          <w:bottom w:w="0" w:type="dxa"/>
          <w:right w:w="0" w:type="dxa"/>
        </w:tblCellMar>
      </w:tblPr>
      <w:tr>
        <w:trPr>
          <w:trHeight w:val="243"/>
        </w:trPr>
        <w:tc>
          <w:tcPr>
            <w:tcW w:w="2440" w:type="dxa"/>
            <w:vAlign w:val="bottom"/>
          </w:tcPr>
          <w:p>
            <w:pPr>
              <w:spacing w:after="0"/>
              <w:rPr>
                <w:sz w:val="20"/>
                <w:szCs w:val="20"/>
                <w:color w:val="auto"/>
              </w:rPr>
            </w:pPr>
            <w:r>
              <w:rPr>
                <w:rFonts w:ascii="Times New Roman" w:cs="Times New Roman" w:eastAsia="Times New Roman" w:hAnsi="Times New Roman"/>
                <w:sz w:val="18"/>
                <w:szCs w:val="18"/>
                <w:i w:val="1"/>
                <w:iCs w:val="1"/>
                <w:color w:val="auto"/>
              </w:rPr>
              <w:t>2018 Proxy Statement</w:t>
            </w:r>
          </w:p>
        </w:tc>
        <w:tc>
          <w:tcPr>
            <w:tcW w:w="960" w:type="dxa"/>
            <w:vAlign w:val="bottom"/>
          </w:tcPr>
          <w:p>
            <w:pPr>
              <w:jc w:val="right"/>
              <w:spacing w:after="0"/>
              <w:rPr>
                <w:sz w:val="20"/>
                <w:szCs w:val="20"/>
                <w:color w:val="auto"/>
              </w:rPr>
            </w:pPr>
            <w:r>
              <w:rPr>
                <w:rFonts w:ascii="Arial" w:cs="Arial" w:eastAsia="Arial" w:hAnsi="Arial"/>
                <w:sz w:val="18"/>
                <w:szCs w:val="18"/>
                <w:color w:val="auto"/>
              </w:rPr>
              <w:t>3</w:t>
            </w:r>
          </w:p>
        </w:tc>
      </w:tr>
    </w:tbl>
    <w:p>
      <w:pPr>
        <w:sectPr>
          <w:pgSz w:w="11900" w:h="16838" w:orient="portrait"/>
          <w:cols w:equalWidth="0" w:num="1">
            <w:col w:w="10540"/>
          </w:cols>
          <w:pgMar w:left="240" w:top="455" w:right="1119" w:bottom="1440" w:gutter="0" w:footer="0" w:header="0"/>
        </w:sectPr>
      </w:pPr>
    </w:p>
    <w:bookmarkStart w:id="6" w:name="page7"/>
    <w:bookmarkEnd w:id="6"/>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Times New Roman" w:cs="Times New Roman" w:eastAsia="Times New Roman" w:hAnsi="Times New Roman"/>
            <w:sz w:val="18"/>
            <w:szCs w:val="18"/>
            <w:b w:val="1"/>
            <w:bCs w:val="1"/>
            <w:u w:val="single" w:color="auto"/>
            <w:color w:val="0000EE"/>
          </w:rPr>
          <w:t>Table of Contents</w:t>
        </w:r>
      </w:hyperlink>
    </w:p>
    <w:p>
      <w:pPr>
        <w:spacing w:after="0" w:line="303" w:lineRule="exact"/>
        <w:rPr>
          <w:sz w:val="20"/>
          <w:szCs w:val="20"/>
          <w:color w:val="auto"/>
        </w:rPr>
      </w:pPr>
    </w:p>
    <w:p>
      <w:pPr>
        <w:ind w:left="860"/>
        <w:spacing w:after="0"/>
        <w:rPr>
          <w:sz w:val="20"/>
          <w:szCs w:val="20"/>
          <w:color w:val="auto"/>
        </w:rPr>
      </w:pPr>
      <w:r>
        <w:rPr>
          <w:rFonts w:ascii="Arial" w:cs="Arial" w:eastAsia="Arial" w:hAnsi="Arial"/>
          <w:sz w:val="18"/>
          <w:szCs w:val="18"/>
          <w:b w:val="1"/>
          <w:bCs w:val="1"/>
          <w:color w:val="auto"/>
        </w:rPr>
        <w:t>Conduct of the Meeting</w:t>
      </w:r>
    </w:p>
    <w:p>
      <w:pPr>
        <w:spacing w:after="0" w:line="214" w:lineRule="exact"/>
        <w:rPr>
          <w:sz w:val="20"/>
          <w:szCs w:val="20"/>
          <w:color w:val="auto"/>
        </w:rPr>
      </w:pPr>
    </w:p>
    <w:p>
      <w:pPr>
        <w:ind w:left="860"/>
        <w:spacing w:after="0" w:line="241" w:lineRule="auto"/>
        <w:rPr>
          <w:sz w:val="20"/>
          <w:szCs w:val="20"/>
          <w:color w:val="auto"/>
        </w:rPr>
      </w:pPr>
      <w:r>
        <w:rPr>
          <w:rFonts w:ascii="Arial" w:cs="Arial" w:eastAsia="Arial" w:hAnsi="Arial"/>
          <w:sz w:val="18"/>
          <w:szCs w:val="18"/>
          <w:color w:val="auto"/>
        </w:rPr>
        <w:t>The Chairman has broad responsibility and legal authority to conduct the annual meeting in an orderly and timely manner. This authority includes establishing rules for shareholders who wish to address the meeting. Only shareholders or their valid proxy holders may address the meeting. Copies of these rules will be available at the meeting. The Chairman may also exercise broad discretion in recognizing shareholders who wish to speak and in determining the extent of discussion on each item of business. In light of the number of business items on this year’s agenda and the need to conclude the meeting within a reasonable period of time, we cannot ensure that every shareholder who wishes to speak on an item of business will be able to do so.</w:t>
      </w:r>
    </w:p>
    <w:p>
      <w:pPr>
        <w:spacing w:after="0" w:line="179" w:lineRule="exact"/>
        <w:rPr>
          <w:sz w:val="20"/>
          <w:szCs w:val="20"/>
          <w:color w:val="auto"/>
        </w:rPr>
      </w:pPr>
    </w:p>
    <w:p>
      <w:pPr>
        <w:ind w:left="860" w:right="100"/>
        <w:spacing w:after="0" w:line="243" w:lineRule="auto"/>
        <w:rPr>
          <w:sz w:val="20"/>
          <w:szCs w:val="20"/>
          <w:color w:val="auto"/>
        </w:rPr>
      </w:pPr>
      <w:r>
        <w:rPr>
          <w:rFonts w:ascii="Arial" w:cs="Arial" w:eastAsia="Arial" w:hAnsi="Arial"/>
          <w:sz w:val="18"/>
          <w:szCs w:val="18"/>
          <w:color w:val="auto"/>
        </w:rPr>
        <w:t xml:space="preserve">Dialogue can usually be better accomplished with interested parties outside the meeting and, for this purpose, we have provided a method on our website at </w:t>
      </w:r>
      <w:r>
        <w:rPr>
          <w:rFonts w:ascii="Arial" w:cs="Arial" w:eastAsia="Arial" w:hAnsi="Arial"/>
          <w:sz w:val="18"/>
          <w:szCs w:val="18"/>
          <w:i w:val="1"/>
          <w:iCs w:val="1"/>
          <w:color w:val="auto"/>
        </w:rPr>
        <w:t>exxonmobil.com/directors</w:t>
      </w:r>
      <w:r>
        <w:rPr>
          <w:rFonts w:ascii="Arial" w:cs="Arial" w:eastAsia="Arial" w:hAnsi="Arial"/>
          <w:sz w:val="18"/>
          <w:szCs w:val="18"/>
          <w:color w:val="auto"/>
        </w:rPr>
        <w:t xml:space="preserve"> for raising issues and contacting the non-employee directors either in writing or electronically. The Chairman may also rely on applicable law regarding disruptions or disorderly conduct to ensure that the meeting is conducted in a manner that is fair to all shareholders. Shareholders making comments during the meeting must do so in English so that the majority of shareholders present can understand what is being said.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579755</wp:posOffset>
            </wp:positionH>
            <wp:positionV relativeFrom="paragraph">
              <wp:posOffset>142240</wp:posOffset>
            </wp:positionV>
            <wp:extent cx="6114415" cy="150939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6114415" cy="1509395"/>
                    </a:xfrm>
                    <a:prstGeom prst="rect">
                      <a:avLst/>
                    </a:prstGeom>
                    <a:noFill/>
                  </pic:spPr>
                </pic:pic>
              </a:graphicData>
            </a:graphic>
          </wp:anchor>
        </w:drawing>
      </w:r>
    </w:p>
    <w:p>
      <w:pPr>
        <w:spacing w:after="0" w:line="274" w:lineRule="exact"/>
        <w:rPr>
          <w:sz w:val="20"/>
          <w:szCs w:val="20"/>
          <w:color w:val="auto"/>
        </w:rPr>
      </w:pPr>
    </w:p>
    <w:p>
      <w:pPr>
        <w:ind w:left="1160"/>
        <w:spacing w:after="0"/>
        <w:rPr>
          <w:sz w:val="20"/>
          <w:szCs w:val="20"/>
          <w:color w:val="auto"/>
        </w:rPr>
      </w:pPr>
      <w:r>
        <w:rPr>
          <w:rFonts w:ascii="Arial" w:cs="Arial" w:eastAsia="Arial" w:hAnsi="Arial"/>
          <w:sz w:val="18"/>
          <w:szCs w:val="18"/>
          <w:b w:val="1"/>
          <w:bCs w:val="1"/>
          <w:color w:val="auto"/>
        </w:rPr>
        <w:t>Contact Information</w:t>
      </w:r>
    </w:p>
    <w:p>
      <w:pPr>
        <w:spacing w:after="0" w:line="119" w:lineRule="exact"/>
        <w:rPr>
          <w:sz w:val="20"/>
          <w:szCs w:val="20"/>
          <w:color w:val="auto"/>
        </w:rPr>
      </w:pPr>
    </w:p>
    <w:p>
      <w:pPr>
        <w:ind w:left="1160" w:right="420"/>
        <w:spacing w:after="0" w:line="255" w:lineRule="auto"/>
        <w:rPr>
          <w:sz w:val="20"/>
          <w:szCs w:val="20"/>
          <w:color w:val="auto"/>
        </w:rPr>
      </w:pPr>
      <w:r>
        <w:rPr>
          <w:rFonts w:ascii="Arial" w:cs="Arial" w:eastAsia="Arial" w:hAnsi="Arial"/>
          <w:sz w:val="18"/>
          <w:szCs w:val="18"/>
          <w:color w:val="auto"/>
        </w:rPr>
        <w:t>If you have questions or need more information about the annual meeting, write to Mr. Jeffrey J. Woodbury, Secretary, Exxon Mobil Corporation, 5959 Las Colinas Boulevard, Irving, TX 75039-2298. Alternatively, call us at 1-972-940-6715 or send a fax to 1-972-940-6748.</w:t>
      </w:r>
    </w:p>
    <w:p>
      <w:pPr>
        <w:spacing w:after="0" w:line="191" w:lineRule="exact"/>
        <w:rPr>
          <w:sz w:val="20"/>
          <w:szCs w:val="20"/>
          <w:color w:val="auto"/>
        </w:rPr>
      </w:pPr>
    </w:p>
    <w:p>
      <w:pPr>
        <w:ind w:left="1160" w:right="180"/>
        <w:spacing w:after="0" w:line="245" w:lineRule="auto"/>
        <w:rPr>
          <w:sz w:val="20"/>
          <w:szCs w:val="20"/>
          <w:color w:val="auto"/>
        </w:rPr>
      </w:pPr>
      <w:r>
        <w:rPr>
          <w:rFonts w:ascii="Arial" w:cs="Arial" w:eastAsia="Arial" w:hAnsi="Arial"/>
          <w:sz w:val="18"/>
          <w:szCs w:val="18"/>
          <w:color w:val="auto"/>
        </w:rPr>
        <w:t xml:space="preserve">For information about shares registered in your name or your Computershare Investment Plan account, call ExxonMobil Shareholder Services at 1-800-252-1800 or 1-781-575-2058 (outside the United States, Canada, and Puerto Rico), or access your account via the website at </w:t>
      </w:r>
      <w:r>
        <w:rPr>
          <w:rFonts w:ascii="Arial" w:cs="Arial" w:eastAsia="Arial" w:hAnsi="Arial"/>
          <w:sz w:val="18"/>
          <w:szCs w:val="18"/>
          <w:i w:val="1"/>
          <w:iCs w:val="1"/>
          <w:color w:val="auto"/>
        </w:rPr>
        <w:t>www.computershare.com/exxonmobil.</w:t>
      </w:r>
      <w:r>
        <w:rPr>
          <w:rFonts w:ascii="Arial" w:cs="Arial" w:eastAsia="Arial" w:hAnsi="Arial"/>
          <w:sz w:val="18"/>
          <w:szCs w:val="18"/>
          <w:color w:val="auto"/>
        </w:rPr>
        <w:t xml:space="preserve"> We also invite you to visit ExxonMobil’s website, where investor information can be found at </w:t>
      </w:r>
      <w:r>
        <w:rPr>
          <w:rFonts w:ascii="Arial" w:cs="Arial" w:eastAsia="Arial" w:hAnsi="Arial"/>
          <w:sz w:val="18"/>
          <w:szCs w:val="18"/>
          <w:i w:val="1"/>
          <w:iCs w:val="1"/>
          <w:color w:val="auto"/>
        </w:rPr>
        <w:t>exxonmobil.com/investor.</w:t>
      </w:r>
      <w:r>
        <w:rPr>
          <w:rFonts w:ascii="Arial" w:cs="Arial" w:eastAsia="Arial" w:hAnsi="Arial"/>
          <w:sz w:val="18"/>
          <w:szCs w:val="18"/>
          <w:color w:val="auto"/>
        </w:rPr>
        <w:t xml:space="preserve"> Website materials are not part of this proxy solicitation.</w:t>
      </w:r>
    </w:p>
    <w:p>
      <w:pPr>
        <w:spacing w:after="0" w:line="200" w:lineRule="exact"/>
        <w:rPr>
          <w:sz w:val="20"/>
          <w:szCs w:val="20"/>
          <w:color w:val="auto"/>
        </w:rPr>
      </w:pPr>
    </w:p>
    <w:p>
      <w:pPr>
        <w:spacing w:after="0" w:line="278" w:lineRule="exact"/>
        <w:rPr>
          <w:sz w:val="20"/>
          <w:szCs w:val="20"/>
          <w:color w:val="auto"/>
        </w:rPr>
      </w:pPr>
    </w:p>
    <w:p>
      <w:pPr>
        <w:ind w:left="860"/>
        <w:spacing w:after="0"/>
        <w:rPr>
          <w:sz w:val="20"/>
          <w:szCs w:val="20"/>
          <w:color w:val="auto"/>
        </w:rPr>
      </w:pPr>
      <w:r>
        <w:rPr>
          <w:rFonts w:ascii="Arial" w:cs="Arial" w:eastAsia="Arial" w:hAnsi="Arial"/>
          <w:sz w:val="23"/>
          <w:szCs w:val="23"/>
          <w:b w:val="1"/>
          <w:bCs w:val="1"/>
          <w:color w:val="2B4C9B"/>
        </w:rPr>
        <w:t>BOARD OF DIRECTORS</w:t>
      </w:r>
    </w:p>
    <w:p>
      <w:pPr>
        <w:spacing w:after="0" w:line="380" w:lineRule="exact"/>
        <w:rPr>
          <w:sz w:val="20"/>
          <w:szCs w:val="20"/>
          <w:color w:val="auto"/>
        </w:rPr>
      </w:pPr>
    </w:p>
    <w:p>
      <w:pPr>
        <w:ind w:left="860"/>
        <w:spacing w:after="0"/>
        <w:rPr>
          <w:sz w:val="20"/>
          <w:szCs w:val="20"/>
          <w:color w:val="auto"/>
        </w:rPr>
      </w:pPr>
      <w:r>
        <w:rPr>
          <w:rFonts w:ascii="Arial" w:cs="Arial" w:eastAsia="Arial" w:hAnsi="Arial"/>
          <w:sz w:val="20"/>
          <w:szCs w:val="20"/>
          <w:b w:val="1"/>
          <w:bCs w:val="1"/>
          <w:color w:val="2B4C9B"/>
        </w:rPr>
        <w:t>Corporate Governance</w:t>
      </w:r>
    </w:p>
    <w:p>
      <w:pPr>
        <w:spacing w:after="0" w:line="101" w:lineRule="exact"/>
        <w:rPr>
          <w:sz w:val="20"/>
          <w:szCs w:val="20"/>
          <w:color w:val="auto"/>
        </w:rPr>
      </w:pPr>
    </w:p>
    <w:p>
      <w:pPr>
        <w:ind w:left="860"/>
        <w:spacing w:after="0"/>
        <w:rPr>
          <w:sz w:val="20"/>
          <w:szCs w:val="20"/>
          <w:color w:val="auto"/>
        </w:rPr>
      </w:pPr>
      <w:r>
        <w:rPr>
          <w:rFonts w:ascii="Arial" w:cs="Arial" w:eastAsia="Arial" w:hAnsi="Arial"/>
          <w:sz w:val="18"/>
          <w:szCs w:val="18"/>
          <w:b w:val="1"/>
          <w:bCs w:val="1"/>
          <w:color w:val="auto"/>
        </w:rPr>
        <w:t>Overview</w:t>
      </w:r>
    </w:p>
    <w:p>
      <w:pPr>
        <w:spacing w:after="0" w:line="106" w:lineRule="exact"/>
        <w:rPr>
          <w:sz w:val="20"/>
          <w:szCs w:val="20"/>
          <w:color w:val="auto"/>
        </w:rPr>
      </w:pPr>
    </w:p>
    <w:p>
      <w:pPr>
        <w:ind w:left="860"/>
        <w:spacing w:after="0"/>
        <w:rPr>
          <w:sz w:val="20"/>
          <w:szCs w:val="20"/>
          <w:color w:val="auto"/>
        </w:rPr>
      </w:pPr>
      <w:r>
        <w:rPr>
          <w:rFonts w:ascii="Arial" w:cs="Arial" w:eastAsia="Arial" w:hAnsi="Arial"/>
          <w:sz w:val="18"/>
          <w:szCs w:val="18"/>
          <w:color w:val="auto"/>
        </w:rPr>
        <w:t>The Board of Directors and its committees perform a number of functions for ExxonMobil and its shareholders, including:</w:t>
      </w:r>
    </w:p>
    <w:p>
      <w:pPr>
        <w:spacing w:after="0" w:line="117" w:lineRule="exact"/>
        <w:rPr>
          <w:sz w:val="20"/>
          <w:szCs w:val="20"/>
          <w:color w:val="auto"/>
        </w:rPr>
      </w:pPr>
    </w:p>
    <w:p>
      <w:pPr>
        <w:ind w:left="1240" w:hanging="388"/>
        <w:spacing w:after="0"/>
        <w:tabs>
          <w:tab w:leader="none" w:pos="1240" w:val="left"/>
        </w:tabs>
        <w:numPr>
          <w:ilvl w:val="0"/>
          <w:numId w:val="9"/>
        </w:numPr>
        <w:rPr>
          <w:rFonts w:ascii="Times New Roman" w:cs="Times New Roman" w:eastAsia="Times New Roman" w:hAnsi="Times New Roman"/>
          <w:sz w:val="18"/>
          <w:szCs w:val="18"/>
          <w:color w:val="auto"/>
        </w:rPr>
      </w:pPr>
      <w:r>
        <w:rPr>
          <w:rFonts w:ascii="Arial" w:cs="Arial" w:eastAsia="Arial" w:hAnsi="Arial"/>
          <w:sz w:val="18"/>
          <w:szCs w:val="18"/>
          <w:color w:val="auto"/>
        </w:rPr>
        <w:t>Overseeing the management of the Company on your behalf, including oversight of risk management;</w:t>
      </w:r>
    </w:p>
    <w:p>
      <w:pPr>
        <w:spacing w:after="0" w:line="129" w:lineRule="exact"/>
        <w:rPr>
          <w:rFonts w:ascii="Times New Roman" w:cs="Times New Roman" w:eastAsia="Times New Roman" w:hAnsi="Times New Roman"/>
          <w:sz w:val="18"/>
          <w:szCs w:val="18"/>
          <w:color w:val="auto"/>
        </w:rPr>
      </w:pPr>
    </w:p>
    <w:p>
      <w:pPr>
        <w:ind w:left="1240" w:hanging="388"/>
        <w:spacing w:after="0"/>
        <w:tabs>
          <w:tab w:leader="none" w:pos="1240" w:val="left"/>
        </w:tabs>
        <w:numPr>
          <w:ilvl w:val="0"/>
          <w:numId w:val="9"/>
        </w:numPr>
        <w:rPr>
          <w:rFonts w:ascii="Times New Roman" w:cs="Times New Roman" w:eastAsia="Times New Roman" w:hAnsi="Times New Roman"/>
          <w:sz w:val="18"/>
          <w:szCs w:val="18"/>
          <w:color w:val="auto"/>
        </w:rPr>
      </w:pPr>
      <w:r>
        <w:rPr>
          <w:rFonts w:ascii="Arial" w:cs="Arial" w:eastAsia="Arial" w:hAnsi="Arial"/>
          <w:sz w:val="18"/>
          <w:szCs w:val="18"/>
          <w:color w:val="auto"/>
        </w:rPr>
        <w:t>Reviewing ExxonMobil’s long-term strategic plans;</w:t>
      </w:r>
    </w:p>
    <w:p>
      <w:pPr>
        <w:spacing w:after="0" w:line="129" w:lineRule="exact"/>
        <w:rPr>
          <w:rFonts w:ascii="Times New Roman" w:cs="Times New Roman" w:eastAsia="Times New Roman" w:hAnsi="Times New Roman"/>
          <w:sz w:val="18"/>
          <w:szCs w:val="18"/>
          <w:color w:val="auto"/>
        </w:rPr>
      </w:pPr>
    </w:p>
    <w:p>
      <w:pPr>
        <w:ind w:left="1240" w:hanging="388"/>
        <w:spacing w:after="0"/>
        <w:tabs>
          <w:tab w:leader="none" w:pos="1240" w:val="left"/>
        </w:tabs>
        <w:numPr>
          <w:ilvl w:val="0"/>
          <w:numId w:val="9"/>
        </w:numPr>
        <w:rPr>
          <w:rFonts w:ascii="Times New Roman" w:cs="Times New Roman" w:eastAsia="Times New Roman" w:hAnsi="Times New Roman"/>
          <w:sz w:val="18"/>
          <w:szCs w:val="18"/>
          <w:color w:val="auto"/>
        </w:rPr>
      </w:pPr>
      <w:r>
        <w:rPr>
          <w:rFonts w:ascii="Arial" w:cs="Arial" w:eastAsia="Arial" w:hAnsi="Arial"/>
          <w:sz w:val="18"/>
          <w:szCs w:val="18"/>
          <w:color w:val="auto"/>
        </w:rPr>
        <w:t>Exercising direct decision-making authority in key areas, such as declaring dividends;</w:t>
      </w:r>
    </w:p>
    <w:p>
      <w:pPr>
        <w:spacing w:after="0" w:line="129" w:lineRule="exact"/>
        <w:rPr>
          <w:rFonts w:ascii="Times New Roman" w:cs="Times New Roman" w:eastAsia="Times New Roman" w:hAnsi="Times New Roman"/>
          <w:sz w:val="18"/>
          <w:szCs w:val="18"/>
          <w:color w:val="auto"/>
        </w:rPr>
      </w:pPr>
    </w:p>
    <w:p>
      <w:pPr>
        <w:ind w:left="1240" w:hanging="388"/>
        <w:spacing w:after="0"/>
        <w:tabs>
          <w:tab w:leader="none" w:pos="1240" w:val="left"/>
        </w:tabs>
        <w:numPr>
          <w:ilvl w:val="0"/>
          <w:numId w:val="9"/>
        </w:numPr>
        <w:rPr>
          <w:rFonts w:ascii="Times New Roman" w:cs="Times New Roman" w:eastAsia="Times New Roman" w:hAnsi="Times New Roman"/>
          <w:sz w:val="18"/>
          <w:szCs w:val="18"/>
          <w:color w:val="auto"/>
        </w:rPr>
      </w:pPr>
      <w:r>
        <w:rPr>
          <w:rFonts w:ascii="Arial" w:cs="Arial" w:eastAsia="Arial" w:hAnsi="Arial"/>
          <w:sz w:val="18"/>
          <w:szCs w:val="18"/>
          <w:color w:val="auto"/>
        </w:rPr>
        <w:t>Selecting the CEO and evaluating the CEO’s performance; and</w:t>
      </w:r>
    </w:p>
    <w:p>
      <w:pPr>
        <w:spacing w:after="0" w:line="129" w:lineRule="exact"/>
        <w:rPr>
          <w:rFonts w:ascii="Times New Roman" w:cs="Times New Roman" w:eastAsia="Times New Roman" w:hAnsi="Times New Roman"/>
          <w:sz w:val="18"/>
          <w:szCs w:val="18"/>
          <w:color w:val="auto"/>
        </w:rPr>
      </w:pPr>
    </w:p>
    <w:p>
      <w:pPr>
        <w:ind w:left="1240" w:hanging="388"/>
        <w:spacing w:after="0"/>
        <w:tabs>
          <w:tab w:leader="none" w:pos="1240" w:val="left"/>
        </w:tabs>
        <w:numPr>
          <w:ilvl w:val="0"/>
          <w:numId w:val="9"/>
        </w:numPr>
        <w:rPr>
          <w:rFonts w:ascii="Times New Roman" w:cs="Times New Roman" w:eastAsia="Times New Roman" w:hAnsi="Times New Roman"/>
          <w:sz w:val="18"/>
          <w:szCs w:val="18"/>
          <w:color w:val="auto"/>
        </w:rPr>
      </w:pPr>
      <w:r>
        <w:rPr>
          <w:rFonts w:ascii="Arial" w:cs="Arial" w:eastAsia="Arial" w:hAnsi="Arial"/>
          <w:sz w:val="18"/>
          <w:szCs w:val="18"/>
          <w:color w:val="auto"/>
        </w:rPr>
        <w:t>Reviewing development and succession plans for ExxonMobil’s top executives.</w:t>
      </w:r>
    </w:p>
    <w:p>
      <w:pPr>
        <w:spacing w:after="0" w:line="224" w:lineRule="exact"/>
        <w:rPr>
          <w:sz w:val="20"/>
          <w:szCs w:val="20"/>
          <w:color w:val="auto"/>
        </w:rPr>
      </w:pPr>
    </w:p>
    <w:p>
      <w:pPr>
        <w:ind w:left="860" w:right="60"/>
        <w:spacing w:after="0" w:line="255" w:lineRule="auto"/>
        <w:rPr>
          <w:sz w:val="20"/>
          <w:szCs w:val="20"/>
          <w:color w:val="auto"/>
        </w:rPr>
      </w:pPr>
      <w:r>
        <w:rPr>
          <w:rFonts w:ascii="Arial" w:cs="Arial" w:eastAsia="Arial" w:hAnsi="Arial"/>
          <w:sz w:val="18"/>
          <w:szCs w:val="18"/>
          <w:color w:val="auto"/>
        </w:rPr>
        <w:t xml:space="preserve">The Board has adopted Corporate Governance Guidelines that govern the structure and functioning of the Board and set out the Board’s position on a number of governance issues. A copy of our current Corporate Governance Guidelines is posted on our website at </w:t>
      </w:r>
      <w:r>
        <w:rPr>
          <w:rFonts w:ascii="Arial" w:cs="Arial" w:eastAsia="Arial" w:hAnsi="Arial"/>
          <w:sz w:val="18"/>
          <w:szCs w:val="18"/>
          <w:i w:val="1"/>
          <w:iCs w:val="1"/>
          <w:color w:val="auto"/>
        </w:rPr>
        <w:t>exxonmobil.com/guidelines</w:t>
      </w:r>
      <w:r>
        <w:rPr>
          <w:rFonts w:ascii="Arial" w:cs="Arial" w:eastAsia="Arial" w:hAnsi="Arial"/>
          <w:sz w:val="18"/>
          <w:szCs w:val="18"/>
          <w:color w:val="auto"/>
        </w:rPr>
        <w:t>.</w:t>
      </w:r>
    </w:p>
    <w:p>
      <w:pPr>
        <w:spacing w:after="0" w:line="97" w:lineRule="exact"/>
        <w:rPr>
          <w:sz w:val="20"/>
          <w:szCs w:val="20"/>
          <w:color w:val="auto"/>
        </w:rPr>
      </w:pPr>
    </w:p>
    <w:p>
      <w:pPr>
        <w:ind w:left="880"/>
        <w:spacing w:after="0"/>
        <w:tabs>
          <w:tab w:leader="none" w:pos="2680" w:val="left"/>
        </w:tabs>
        <w:rPr>
          <w:sz w:val="20"/>
          <w:szCs w:val="20"/>
          <w:color w:val="auto"/>
        </w:rPr>
      </w:pPr>
      <w:r>
        <w:rPr>
          <w:rFonts w:ascii="Arial" w:cs="Arial" w:eastAsia="Arial" w:hAnsi="Arial"/>
          <w:sz w:val="18"/>
          <w:szCs w:val="18"/>
          <w:color w:val="auto"/>
        </w:rPr>
        <w:t>4</w:t>
      </w:r>
      <w:r>
        <w:rPr>
          <w:sz w:val="20"/>
          <w:szCs w:val="20"/>
          <w:color w:val="auto"/>
        </w:rPr>
        <w:tab/>
      </w:r>
      <w:r>
        <w:rPr>
          <w:rFonts w:ascii="Times New Roman" w:cs="Times New Roman" w:eastAsia="Times New Roman" w:hAnsi="Times New Roman"/>
          <w:sz w:val="18"/>
          <w:szCs w:val="18"/>
          <w:i w:val="1"/>
          <w:iCs w:val="1"/>
          <w:color w:val="auto"/>
        </w:rPr>
        <w:t>2018 Proxy Statement</w:t>
      </w:r>
    </w:p>
    <w:p>
      <w:pPr>
        <w:sectPr>
          <w:pgSz w:w="11900" w:h="16838" w:orient="portrait"/>
          <w:cols w:equalWidth="0" w:num="1">
            <w:col w:w="10520"/>
          </w:cols>
          <w:pgMar w:left="240" w:top="455" w:right="1139" w:bottom="1440" w:gutter="0" w:footer="0" w:header="0"/>
        </w:sectPr>
      </w:pPr>
    </w:p>
    <w:bookmarkStart w:id="7" w:name="page8"/>
    <w:bookmarkEnd w:id="7"/>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Times New Roman" w:cs="Times New Roman" w:eastAsia="Times New Roman" w:hAnsi="Times New Roman"/>
            <w:sz w:val="18"/>
            <w:szCs w:val="18"/>
            <w:b w:val="1"/>
            <w:bCs w:val="1"/>
            <w:u w:val="single" w:color="auto"/>
            <w:color w:val="0000EE"/>
          </w:rPr>
          <w:t>Table of Contents</w:t>
        </w:r>
      </w:hyperlink>
    </w:p>
    <w:p>
      <w:pPr>
        <w:spacing w:after="0" w:line="303" w:lineRule="exact"/>
        <w:rPr>
          <w:sz w:val="20"/>
          <w:szCs w:val="20"/>
          <w:color w:val="auto"/>
        </w:rPr>
      </w:pPr>
    </w:p>
    <w:p>
      <w:pPr>
        <w:ind w:left="860"/>
        <w:spacing w:after="0"/>
        <w:rPr>
          <w:sz w:val="20"/>
          <w:szCs w:val="20"/>
          <w:color w:val="auto"/>
        </w:rPr>
      </w:pPr>
      <w:r>
        <w:rPr>
          <w:rFonts w:ascii="Arial" w:cs="Arial" w:eastAsia="Arial" w:hAnsi="Arial"/>
          <w:sz w:val="18"/>
          <w:szCs w:val="18"/>
          <w:b w:val="1"/>
          <w:bCs w:val="1"/>
          <w:color w:val="auto"/>
        </w:rPr>
        <w:t>Risk Oversight</w:t>
      </w:r>
    </w:p>
    <w:p>
      <w:pPr>
        <w:spacing w:after="0" w:line="214" w:lineRule="exact"/>
        <w:rPr>
          <w:sz w:val="20"/>
          <w:szCs w:val="20"/>
          <w:color w:val="auto"/>
        </w:rPr>
      </w:pPr>
    </w:p>
    <w:p>
      <w:pPr>
        <w:ind w:left="860" w:right="360"/>
        <w:spacing w:after="0" w:line="245" w:lineRule="auto"/>
        <w:rPr>
          <w:sz w:val="20"/>
          <w:szCs w:val="20"/>
          <w:color w:val="auto"/>
        </w:rPr>
      </w:pPr>
      <w:r>
        <w:rPr>
          <w:rFonts w:ascii="Arial" w:cs="Arial" w:eastAsia="Arial" w:hAnsi="Arial"/>
          <w:sz w:val="18"/>
          <w:szCs w:val="18"/>
          <w:color w:val="auto"/>
        </w:rPr>
        <w:t xml:space="preserve">Risk oversight is the responsibility of the full Board of Directors. The Board throughout the year participates in reviews with management on the Company’s business, including identified risk factors. As a whole, the Board reviews include litigation and other legal matters; political contributions, budget, and policy; lobbying costs; developments in climate science and policy; the </w:t>
      </w:r>
      <w:r>
        <w:rPr>
          <w:rFonts w:ascii="Arial" w:cs="Arial" w:eastAsia="Arial" w:hAnsi="Arial"/>
          <w:sz w:val="18"/>
          <w:szCs w:val="18"/>
          <w:i w:val="1"/>
          <w:iCs w:val="1"/>
          <w:color w:val="auto"/>
        </w:rPr>
        <w:t>Energy Outlook</w:t>
      </w:r>
      <w:r>
        <w:rPr>
          <w:rFonts w:ascii="Arial" w:cs="Arial" w:eastAsia="Arial" w:hAnsi="Arial"/>
          <w:sz w:val="18"/>
          <w:szCs w:val="18"/>
          <w:color w:val="auto"/>
        </w:rPr>
        <w:t>, which projects world supply and demand to 2040; stewardship of business performance; and long-term strategic plans.</w:t>
      </w:r>
    </w:p>
    <w:p>
      <w:pPr>
        <w:spacing w:after="0" w:line="172" w:lineRule="exact"/>
        <w:rPr>
          <w:sz w:val="20"/>
          <w:szCs w:val="20"/>
          <w:color w:val="auto"/>
        </w:rPr>
      </w:pPr>
    </w:p>
    <w:p>
      <w:pPr>
        <w:ind w:left="860" w:right="240"/>
        <w:spacing w:after="0" w:line="277" w:lineRule="auto"/>
        <w:rPr>
          <w:sz w:val="20"/>
          <w:szCs w:val="20"/>
          <w:color w:val="auto"/>
        </w:rPr>
      </w:pPr>
      <w:r>
        <w:rPr>
          <w:rFonts w:ascii="Arial" w:cs="Arial" w:eastAsia="Arial" w:hAnsi="Arial"/>
          <w:sz w:val="17"/>
          <w:szCs w:val="17"/>
          <w:color w:val="auto"/>
        </w:rPr>
        <w:t>The Board and/or the Public Issues and Contributions Committee visit an ExxonMobil operation each year. These visits allow the directors to better understand local issues and to discuss safety, environmental performance, technology, products, industry and corporate standards, and community involvement associated with the Company’s business.</w:t>
      </w:r>
    </w:p>
    <w:p>
      <w:pPr>
        <w:spacing w:after="0" w:line="147" w:lineRule="exact"/>
        <w:rPr>
          <w:sz w:val="20"/>
          <w:szCs w:val="20"/>
          <w:color w:val="auto"/>
        </w:rPr>
      </w:pPr>
    </w:p>
    <w:p>
      <w:pPr>
        <w:ind w:left="860" w:right="340"/>
        <w:spacing w:after="0" w:line="276" w:lineRule="auto"/>
        <w:rPr>
          <w:sz w:val="20"/>
          <w:szCs w:val="20"/>
          <w:color w:val="auto"/>
        </w:rPr>
      </w:pPr>
      <w:r>
        <w:rPr>
          <w:rFonts w:ascii="Arial" w:cs="Arial" w:eastAsia="Arial" w:hAnsi="Arial"/>
          <w:sz w:val="18"/>
          <w:szCs w:val="18"/>
          <w:color w:val="auto"/>
        </w:rPr>
        <w:t>In addition, existing committees help the Board carry out its responsibility for risk oversight by focusing on specific key areas of risk:</w:t>
      </w:r>
    </w:p>
    <w:p>
      <w:pPr>
        <w:spacing w:after="0" w:line="51" w:lineRule="exact"/>
        <w:rPr>
          <w:sz w:val="20"/>
          <w:szCs w:val="20"/>
          <w:color w:val="auto"/>
        </w:rPr>
      </w:pPr>
    </w:p>
    <w:p>
      <w:pPr>
        <w:ind w:left="1240" w:right="380" w:hanging="388"/>
        <w:spacing w:after="0" w:line="275" w:lineRule="auto"/>
        <w:tabs>
          <w:tab w:leader="none" w:pos="1240" w:val="left"/>
        </w:tabs>
        <w:numPr>
          <w:ilvl w:val="0"/>
          <w:numId w:val="10"/>
        </w:numPr>
        <w:rPr>
          <w:rFonts w:ascii="Times New Roman" w:cs="Times New Roman" w:eastAsia="Times New Roman" w:hAnsi="Times New Roman"/>
          <w:sz w:val="18"/>
          <w:szCs w:val="18"/>
          <w:color w:val="auto"/>
        </w:rPr>
      </w:pPr>
      <w:r>
        <w:rPr>
          <w:rFonts w:ascii="Arial" w:cs="Arial" w:eastAsia="Arial" w:hAnsi="Arial"/>
          <w:sz w:val="18"/>
          <w:szCs w:val="18"/>
          <w:color w:val="auto"/>
        </w:rPr>
        <w:t>The Audit Committee oversees risks associated with financial and accounting matters, including compliance with legal and regulatory requirements, and the Company’s financial reporting and internal control systems;</w:t>
      </w:r>
    </w:p>
    <w:p>
      <w:pPr>
        <w:spacing w:after="0" w:line="51" w:lineRule="exact"/>
        <w:rPr>
          <w:rFonts w:ascii="Times New Roman" w:cs="Times New Roman" w:eastAsia="Times New Roman" w:hAnsi="Times New Roman"/>
          <w:sz w:val="18"/>
          <w:szCs w:val="18"/>
          <w:color w:val="auto"/>
        </w:rPr>
      </w:pPr>
    </w:p>
    <w:p>
      <w:pPr>
        <w:ind w:left="1240" w:right="300" w:hanging="388"/>
        <w:spacing w:after="0" w:line="275" w:lineRule="auto"/>
        <w:tabs>
          <w:tab w:leader="none" w:pos="1240" w:val="left"/>
        </w:tabs>
        <w:numPr>
          <w:ilvl w:val="0"/>
          <w:numId w:val="10"/>
        </w:numPr>
        <w:rPr>
          <w:rFonts w:ascii="Times New Roman" w:cs="Times New Roman" w:eastAsia="Times New Roman" w:hAnsi="Times New Roman"/>
          <w:sz w:val="18"/>
          <w:szCs w:val="18"/>
          <w:color w:val="auto"/>
        </w:rPr>
      </w:pPr>
      <w:r>
        <w:rPr>
          <w:rFonts w:ascii="Arial" w:cs="Arial" w:eastAsia="Arial" w:hAnsi="Arial"/>
          <w:sz w:val="18"/>
          <w:szCs w:val="18"/>
          <w:color w:val="auto"/>
        </w:rPr>
        <w:t>The Board Affairs Committee oversees risks associated with corporate governance, including board structure and succession planning;</w:t>
      </w:r>
    </w:p>
    <w:p>
      <w:pPr>
        <w:spacing w:after="0" w:line="51" w:lineRule="exact"/>
        <w:rPr>
          <w:rFonts w:ascii="Times New Roman" w:cs="Times New Roman" w:eastAsia="Times New Roman" w:hAnsi="Times New Roman"/>
          <w:sz w:val="18"/>
          <w:szCs w:val="18"/>
          <w:color w:val="auto"/>
        </w:rPr>
      </w:pPr>
    </w:p>
    <w:p>
      <w:pPr>
        <w:jc w:val="both"/>
        <w:ind w:left="1240" w:right="320" w:hanging="388"/>
        <w:spacing w:after="0" w:line="306" w:lineRule="auto"/>
        <w:tabs>
          <w:tab w:leader="none" w:pos="1240" w:val="left"/>
        </w:tabs>
        <w:numPr>
          <w:ilvl w:val="0"/>
          <w:numId w:val="10"/>
        </w:numPr>
        <w:rPr>
          <w:rFonts w:ascii="Times New Roman" w:cs="Times New Roman" w:eastAsia="Times New Roman" w:hAnsi="Times New Roman"/>
          <w:sz w:val="17"/>
          <w:szCs w:val="17"/>
          <w:color w:val="auto"/>
        </w:rPr>
      </w:pPr>
      <w:r>
        <w:rPr>
          <w:rFonts w:ascii="Arial" w:cs="Arial" w:eastAsia="Arial" w:hAnsi="Arial"/>
          <w:sz w:val="17"/>
          <w:szCs w:val="17"/>
          <w:color w:val="auto"/>
        </w:rPr>
        <w:t>The Compensation Committee helps ensure that the Company’s compensation policies and practices encourage long-term focus, support the retention and development of executive talent, and discourage excessive risk taking;</w:t>
      </w:r>
    </w:p>
    <w:p>
      <w:pPr>
        <w:spacing w:after="0" w:line="27" w:lineRule="exact"/>
        <w:rPr>
          <w:rFonts w:ascii="Times New Roman" w:cs="Times New Roman" w:eastAsia="Times New Roman" w:hAnsi="Times New Roman"/>
          <w:sz w:val="17"/>
          <w:szCs w:val="17"/>
          <w:color w:val="auto"/>
        </w:rPr>
      </w:pPr>
    </w:p>
    <w:p>
      <w:pPr>
        <w:ind w:left="1240" w:right="200" w:hanging="388"/>
        <w:spacing w:after="0" w:line="275" w:lineRule="auto"/>
        <w:tabs>
          <w:tab w:leader="none" w:pos="1240" w:val="left"/>
        </w:tabs>
        <w:numPr>
          <w:ilvl w:val="0"/>
          <w:numId w:val="10"/>
        </w:numPr>
        <w:rPr>
          <w:rFonts w:ascii="Times New Roman" w:cs="Times New Roman" w:eastAsia="Times New Roman" w:hAnsi="Times New Roman"/>
          <w:sz w:val="18"/>
          <w:szCs w:val="18"/>
          <w:color w:val="auto"/>
        </w:rPr>
      </w:pPr>
      <w:r>
        <w:rPr>
          <w:rFonts w:ascii="Arial" w:cs="Arial" w:eastAsia="Arial" w:hAnsi="Arial"/>
          <w:sz w:val="18"/>
          <w:szCs w:val="18"/>
          <w:color w:val="auto"/>
        </w:rPr>
        <w:t>The Public Issues and Contributions Committee oversees operational risks such as those relating to employee and community safety, health, environmental, and security matters; and</w:t>
      </w:r>
    </w:p>
    <w:p>
      <w:pPr>
        <w:spacing w:after="0" w:line="51" w:lineRule="exact"/>
        <w:rPr>
          <w:rFonts w:ascii="Times New Roman" w:cs="Times New Roman" w:eastAsia="Times New Roman" w:hAnsi="Times New Roman"/>
          <w:sz w:val="18"/>
          <w:szCs w:val="18"/>
          <w:color w:val="auto"/>
        </w:rPr>
      </w:pPr>
    </w:p>
    <w:p>
      <w:pPr>
        <w:ind w:left="1240" w:right="340" w:hanging="388"/>
        <w:spacing w:after="0" w:line="275" w:lineRule="auto"/>
        <w:tabs>
          <w:tab w:leader="none" w:pos="1240" w:val="left"/>
        </w:tabs>
        <w:numPr>
          <w:ilvl w:val="0"/>
          <w:numId w:val="10"/>
        </w:numPr>
        <w:rPr>
          <w:rFonts w:ascii="Times New Roman" w:cs="Times New Roman" w:eastAsia="Times New Roman" w:hAnsi="Times New Roman"/>
          <w:sz w:val="18"/>
          <w:szCs w:val="18"/>
          <w:color w:val="auto"/>
        </w:rPr>
      </w:pPr>
      <w:r>
        <w:rPr>
          <w:rFonts w:ascii="Arial" w:cs="Arial" w:eastAsia="Arial" w:hAnsi="Arial"/>
          <w:sz w:val="18"/>
          <w:szCs w:val="18"/>
          <w:color w:val="auto"/>
        </w:rPr>
        <w:t>The Finance Committee oversees risk associated with financial instruments, financial policies and strategies, and capital structure.</w:t>
      </w:r>
    </w:p>
    <w:p>
      <w:pPr>
        <w:spacing w:after="0" w:line="146" w:lineRule="exact"/>
        <w:rPr>
          <w:sz w:val="20"/>
          <w:szCs w:val="20"/>
          <w:color w:val="auto"/>
        </w:rPr>
      </w:pPr>
    </w:p>
    <w:p>
      <w:pPr>
        <w:ind w:left="860"/>
        <w:spacing w:after="0"/>
        <w:rPr>
          <w:sz w:val="20"/>
          <w:szCs w:val="20"/>
          <w:color w:val="auto"/>
        </w:rPr>
      </w:pPr>
      <w:r>
        <w:rPr>
          <w:rFonts w:ascii="Arial" w:cs="Arial" w:eastAsia="Arial" w:hAnsi="Arial"/>
          <w:sz w:val="18"/>
          <w:szCs w:val="18"/>
          <w:color w:val="auto"/>
        </w:rPr>
        <w:t>The Board receives regular updates from the committees, and believes this structure is best for overseeing risk.</w:t>
      </w:r>
    </w:p>
    <w:p>
      <w:pPr>
        <w:spacing w:after="0" w:line="210" w:lineRule="exact"/>
        <w:rPr>
          <w:sz w:val="20"/>
          <w:szCs w:val="20"/>
          <w:color w:val="auto"/>
        </w:rPr>
      </w:pPr>
    </w:p>
    <w:p>
      <w:pPr>
        <w:ind w:left="860"/>
        <w:spacing w:after="0"/>
        <w:rPr>
          <w:sz w:val="20"/>
          <w:szCs w:val="20"/>
          <w:color w:val="auto"/>
        </w:rPr>
      </w:pPr>
      <w:r>
        <w:rPr>
          <w:rFonts w:ascii="Arial" w:cs="Arial" w:eastAsia="Arial" w:hAnsi="Arial"/>
          <w:sz w:val="18"/>
          <w:szCs w:val="18"/>
          <w:b w:val="1"/>
          <w:bCs w:val="1"/>
          <w:color w:val="auto"/>
        </w:rPr>
        <w:t>Board Leadership Structure</w:t>
      </w:r>
    </w:p>
    <w:p>
      <w:pPr>
        <w:spacing w:after="0" w:line="106" w:lineRule="exact"/>
        <w:rPr>
          <w:sz w:val="20"/>
          <w:szCs w:val="20"/>
          <w:color w:val="auto"/>
        </w:rPr>
      </w:pPr>
    </w:p>
    <w:p>
      <w:pPr>
        <w:ind w:left="860"/>
        <w:spacing w:after="0" w:line="247" w:lineRule="auto"/>
        <w:rPr>
          <w:sz w:val="20"/>
          <w:szCs w:val="20"/>
          <w:color w:val="auto"/>
        </w:rPr>
      </w:pPr>
      <w:r>
        <w:rPr>
          <w:rFonts w:ascii="Arial" w:cs="Arial" w:eastAsia="Arial" w:hAnsi="Arial"/>
          <w:sz w:val="18"/>
          <w:szCs w:val="18"/>
          <w:color w:val="auto"/>
        </w:rPr>
        <w:t xml:space="preserve">The Board believes that the decision as to who should serve as Chairman and/or CEO is the proper responsibility of the Board. The Board retains authority to amend the bylaws to separate the positions of Chairman and CEO at any time and will carefully consider the pros and cons of such separation or combination. </w:t>
      </w:r>
      <w:r>
        <w:rPr>
          <w:rFonts w:ascii="Arial" w:cs="Arial" w:eastAsia="Arial" w:hAnsi="Arial"/>
          <w:sz w:val="18"/>
          <w:szCs w:val="18"/>
          <w:b w:val="1"/>
          <w:bCs w:val="1"/>
          <w:color w:val="auto"/>
        </w:rPr>
        <w:t>At the present time, the Board believes the</w:t>
      </w:r>
      <w:r>
        <w:rPr>
          <w:rFonts w:ascii="Arial" w:cs="Arial" w:eastAsia="Arial" w:hAnsi="Arial"/>
          <w:sz w:val="18"/>
          <w:szCs w:val="18"/>
          <w:color w:val="auto"/>
        </w:rPr>
        <w:t xml:space="preserve"> </w:t>
      </w:r>
      <w:r>
        <w:rPr>
          <w:rFonts w:ascii="Arial" w:cs="Arial" w:eastAsia="Arial" w:hAnsi="Arial"/>
          <w:sz w:val="18"/>
          <w:szCs w:val="18"/>
          <w:b w:val="1"/>
          <w:bCs w:val="1"/>
          <w:color w:val="auto"/>
        </w:rPr>
        <w:t>interests of all shareholders are best served through a leadership model with a combined Chairman/CEO position and an independent Presiding Director.</w:t>
      </w:r>
    </w:p>
    <w:p>
      <w:pPr>
        <w:spacing w:after="0" w:line="164" w:lineRule="exact"/>
        <w:rPr>
          <w:sz w:val="20"/>
          <w:szCs w:val="20"/>
          <w:color w:val="auto"/>
        </w:rPr>
      </w:pPr>
    </w:p>
    <w:p>
      <w:pPr>
        <w:ind w:left="860" w:right="80"/>
        <w:spacing w:after="0" w:line="248" w:lineRule="auto"/>
        <w:rPr>
          <w:sz w:val="20"/>
          <w:szCs w:val="20"/>
          <w:color w:val="auto"/>
        </w:rPr>
      </w:pPr>
      <w:r>
        <w:rPr>
          <w:rFonts w:ascii="Arial" w:cs="Arial" w:eastAsia="Arial" w:hAnsi="Arial"/>
          <w:sz w:val="18"/>
          <w:szCs w:val="18"/>
          <w:color w:val="auto"/>
        </w:rPr>
        <w:t>The current CEO possesses an in-depth knowledge of the Company; its integrated, multinational operations; the evolving energy industry supply and demand; and the array of challenges to be faced. This knowledge was gained through more than 25 years of successful experience in progressively more senior positions, including domestic and international responsibilities.</w:t>
      </w:r>
    </w:p>
    <w:p>
      <w:pPr>
        <w:spacing w:after="0" w:line="171" w:lineRule="exact"/>
        <w:rPr>
          <w:sz w:val="20"/>
          <w:szCs w:val="20"/>
          <w:color w:val="auto"/>
        </w:rPr>
      </w:pPr>
    </w:p>
    <w:p>
      <w:pPr>
        <w:ind w:left="860"/>
        <w:spacing w:after="0" w:line="255" w:lineRule="auto"/>
        <w:rPr>
          <w:sz w:val="20"/>
          <w:szCs w:val="20"/>
          <w:color w:val="auto"/>
        </w:rPr>
      </w:pPr>
      <w:r>
        <w:rPr>
          <w:rFonts w:ascii="Arial" w:cs="Arial" w:eastAsia="Arial" w:hAnsi="Arial"/>
          <w:sz w:val="18"/>
          <w:szCs w:val="18"/>
          <w:color w:val="auto"/>
        </w:rPr>
        <w:t>The Board believes that these experiences and other insights put the CEO in the best position to provide broad leadership for the Board as it considers strategy and as it exercises its fiduciary responsibilities to shareholders. Further, the Board has demonstrated its commitment and ability to provide independent oversight of management.</w:t>
      </w:r>
    </w:p>
    <w:p>
      <w:pPr>
        <w:spacing w:after="0" w:line="164" w:lineRule="exact"/>
        <w:rPr>
          <w:sz w:val="20"/>
          <w:szCs w:val="20"/>
          <w:color w:val="auto"/>
        </w:rPr>
      </w:pPr>
    </w:p>
    <w:p>
      <w:pPr>
        <w:ind w:left="860" w:right="80"/>
        <w:spacing w:after="0" w:line="245" w:lineRule="auto"/>
        <w:rPr>
          <w:sz w:val="20"/>
          <w:szCs w:val="20"/>
          <w:color w:val="auto"/>
        </w:rPr>
      </w:pPr>
      <w:r>
        <w:rPr>
          <w:rFonts w:ascii="Arial" w:cs="Arial" w:eastAsia="Arial" w:hAnsi="Arial"/>
          <w:sz w:val="18"/>
          <w:szCs w:val="18"/>
          <w:color w:val="auto"/>
        </w:rPr>
        <w:t>The Board is comprised entirely of independent directors except the CEO, and 100 percent of the Audit, Compensation, Board Affairs, and Public Issues and Contributions Committee members are independent. Each independent director has access to the CEO and other Company executives on request, may call meetings of the independent directors, and may request agenda topics to be added or dealt with in more detail at meetings of the full Board or an appropriate Board committee.</w:t>
      </w:r>
    </w:p>
    <w:p>
      <w:pPr>
        <w:spacing w:after="0" w:line="105" w:lineRule="exact"/>
        <w:rPr>
          <w:sz w:val="20"/>
          <w:szCs w:val="20"/>
          <w:color w:val="auto"/>
        </w:rPr>
      </w:pPr>
    </w:p>
    <w:tbl>
      <w:tblPr>
        <w:tblLayout w:type="fixed"/>
        <w:tblInd w:w="7060" w:type="dxa"/>
        <w:tblCellMar>
          <w:top w:w="0" w:type="dxa"/>
          <w:left w:w="0" w:type="dxa"/>
          <w:bottom w:w="0" w:type="dxa"/>
          <w:right w:w="0" w:type="dxa"/>
        </w:tblCellMar>
      </w:tblPr>
      <w:tr>
        <w:trPr>
          <w:trHeight w:val="243"/>
        </w:trPr>
        <w:tc>
          <w:tcPr>
            <w:tcW w:w="2440" w:type="dxa"/>
            <w:vAlign w:val="bottom"/>
          </w:tcPr>
          <w:p>
            <w:pPr>
              <w:spacing w:after="0"/>
              <w:rPr>
                <w:sz w:val="20"/>
                <w:szCs w:val="20"/>
                <w:color w:val="auto"/>
              </w:rPr>
            </w:pPr>
            <w:r>
              <w:rPr>
                <w:rFonts w:ascii="Times New Roman" w:cs="Times New Roman" w:eastAsia="Times New Roman" w:hAnsi="Times New Roman"/>
                <w:sz w:val="18"/>
                <w:szCs w:val="18"/>
                <w:i w:val="1"/>
                <w:iCs w:val="1"/>
                <w:color w:val="auto"/>
              </w:rPr>
              <w:t>2018 Proxy Statement</w:t>
            </w:r>
          </w:p>
        </w:tc>
        <w:tc>
          <w:tcPr>
            <w:tcW w:w="960" w:type="dxa"/>
            <w:vAlign w:val="bottom"/>
          </w:tcPr>
          <w:p>
            <w:pPr>
              <w:jc w:val="right"/>
              <w:spacing w:after="0"/>
              <w:rPr>
                <w:sz w:val="20"/>
                <w:szCs w:val="20"/>
                <w:color w:val="auto"/>
              </w:rPr>
            </w:pPr>
            <w:r>
              <w:rPr>
                <w:rFonts w:ascii="Arial" w:cs="Arial" w:eastAsia="Arial" w:hAnsi="Arial"/>
                <w:sz w:val="18"/>
                <w:szCs w:val="18"/>
                <w:color w:val="auto"/>
              </w:rPr>
              <w:t>5</w:t>
            </w:r>
          </w:p>
        </w:tc>
      </w:tr>
    </w:tbl>
    <w:p>
      <w:pPr>
        <w:sectPr>
          <w:pgSz w:w="11900" w:h="16838" w:orient="portrait"/>
          <w:cols w:equalWidth="0" w:num="1">
            <w:col w:w="10560"/>
          </w:cols>
          <w:pgMar w:left="240" w:top="455" w:right="1099" w:bottom="1440" w:gutter="0" w:footer="0" w:header="0"/>
        </w:sectPr>
      </w:pPr>
    </w:p>
    <w:bookmarkStart w:id="8" w:name="page9"/>
    <w:bookmarkEnd w:id="8"/>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Times New Roman" w:cs="Times New Roman" w:eastAsia="Times New Roman" w:hAnsi="Times New Roman"/>
            <w:sz w:val="18"/>
            <w:szCs w:val="18"/>
            <w:b w:val="1"/>
            <w:bCs w:val="1"/>
            <w:u w:val="single" w:color="auto"/>
            <w:color w:val="0000EE"/>
          </w:rPr>
          <w:t>Table of Contents</w:t>
        </w:r>
      </w:hyperlink>
    </w:p>
    <w:p>
      <w:pPr>
        <w:spacing w:after="0" w:line="305" w:lineRule="exact"/>
        <w:rPr>
          <w:sz w:val="20"/>
          <w:szCs w:val="20"/>
          <w:color w:val="auto"/>
        </w:rPr>
      </w:pPr>
    </w:p>
    <w:p>
      <w:pPr>
        <w:ind w:left="860" w:right="120"/>
        <w:spacing w:after="0" w:line="257" w:lineRule="auto"/>
        <w:rPr>
          <w:sz w:val="20"/>
          <w:szCs w:val="20"/>
          <w:color w:val="auto"/>
        </w:rPr>
      </w:pPr>
      <w:r>
        <w:rPr>
          <w:rFonts w:ascii="Arial" w:cs="Arial" w:eastAsia="Arial" w:hAnsi="Arial"/>
          <w:sz w:val="17"/>
          <w:szCs w:val="17"/>
          <w:color w:val="auto"/>
        </w:rPr>
        <w:t xml:space="preserve">In addition, after considering evolving governance practices and shareholder input regarding Board independence, the Board established the role of Presiding Director. </w:t>
      </w:r>
      <w:r>
        <w:rPr>
          <w:rFonts w:ascii="Arial" w:cs="Arial" w:eastAsia="Arial" w:hAnsi="Arial"/>
          <w:sz w:val="17"/>
          <w:szCs w:val="17"/>
          <w:b w:val="1"/>
          <w:bCs w:val="1"/>
          <w:color w:val="auto"/>
        </w:rPr>
        <w:t>The Board believes the Presiding Director can provide effective</w:t>
      </w:r>
      <w:r>
        <w:rPr>
          <w:rFonts w:ascii="Arial" w:cs="Arial" w:eastAsia="Arial" w:hAnsi="Arial"/>
          <w:sz w:val="17"/>
          <w:szCs w:val="17"/>
          <w:color w:val="auto"/>
        </w:rPr>
        <w:t xml:space="preserve"> </w:t>
      </w:r>
      <w:r>
        <w:rPr>
          <w:rFonts w:ascii="Arial" w:cs="Arial" w:eastAsia="Arial" w:hAnsi="Arial"/>
          <w:sz w:val="17"/>
          <w:szCs w:val="17"/>
          <w:b w:val="1"/>
          <w:bCs w:val="1"/>
          <w:color w:val="auto"/>
        </w:rPr>
        <w:t xml:space="preserve">independent Board leadership. </w:t>
      </w:r>
      <w:r>
        <w:rPr>
          <w:rFonts w:ascii="Arial" w:cs="Arial" w:eastAsia="Arial" w:hAnsi="Arial"/>
          <w:sz w:val="17"/>
          <w:szCs w:val="17"/>
          <w:color w:val="auto"/>
        </w:rPr>
        <w:t>Steven S Reinemund serves as Presiding Director and is expected to remain in the</w:t>
      </w:r>
      <w:r>
        <w:rPr>
          <w:rFonts w:ascii="Arial" w:cs="Arial" w:eastAsia="Arial" w:hAnsi="Arial"/>
          <w:sz w:val="17"/>
          <w:szCs w:val="17"/>
          <w:b w:val="1"/>
          <w:bCs w:val="1"/>
          <w:color w:val="auto"/>
        </w:rPr>
        <w:t xml:space="preserve"> </w:t>
      </w:r>
      <w:r>
        <w:rPr>
          <w:rFonts w:ascii="Arial" w:cs="Arial" w:eastAsia="Arial" w:hAnsi="Arial"/>
          <w:sz w:val="17"/>
          <w:szCs w:val="17"/>
          <w:color w:val="auto"/>
        </w:rPr>
        <w:t>position at least through the annual meeting of shareholders. In accordance with the specific duties prescribed in the Corporate Governance Guidelines, the Presiding Director chairs and approves the agenda for executive sessions of the independent directors, which are held several times per year, normally coincident with meetings of the Board and without the CEO or other management present; chairs meetings of the Board in the absence of the Chairman; and works closely with the Chairman in developing Board agendas, topics, schedules, and in reviewing materials provided to the directors.</w:t>
      </w:r>
    </w:p>
    <w:p>
      <w:pPr>
        <w:spacing w:after="0" w:line="160" w:lineRule="exact"/>
        <w:rPr>
          <w:sz w:val="20"/>
          <w:szCs w:val="20"/>
          <w:color w:val="auto"/>
        </w:rPr>
      </w:pPr>
    </w:p>
    <w:p>
      <w:pPr>
        <w:ind w:left="860"/>
        <w:spacing w:after="0"/>
        <w:rPr>
          <w:sz w:val="20"/>
          <w:szCs w:val="20"/>
          <w:color w:val="auto"/>
        </w:rPr>
      </w:pPr>
      <w:r>
        <w:rPr>
          <w:rFonts w:ascii="Arial" w:cs="Arial" w:eastAsia="Arial" w:hAnsi="Arial"/>
          <w:sz w:val="18"/>
          <w:szCs w:val="18"/>
          <w:b w:val="1"/>
          <w:bCs w:val="1"/>
          <w:color w:val="auto"/>
        </w:rPr>
        <w:t>Director Qualifications</w:t>
      </w:r>
    </w:p>
    <w:p>
      <w:pPr>
        <w:spacing w:after="0" w:line="106" w:lineRule="exact"/>
        <w:rPr>
          <w:sz w:val="20"/>
          <w:szCs w:val="20"/>
          <w:color w:val="auto"/>
        </w:rPr>
      </w:pPr>
    </w:p>
    <w:p>
      <w:pPr>
        <w:ind w:left="860"/>
        <w:spacing w:after="0" w:line="255" w:lineRule="auto"/>
        <w:rPr>
          <w:sz w:val="20"/>
          <w:szCs w:val="20"/>
          <w:color w:val="auto"/>
        </w:rPr>
      </w:pPr>
      <w:r>
        <w:rPr>
          <w:rFonts w:ascii="Arial" w:cs="Arial" w:eastAsia="Arial" w:hAnsi="Arial"/>
          <w:sz w:val="18"/>
          <w:szCs w:val="18"/>
          <w:color w:val="auto"/>
        </w:rPr>
        <w:t xml:space="preserve">The Board has adopted guidelines outlining the qualifications sought when considering non-employee director candidates. These Guidelines for the Selection of Non-Employee Directors (“Selection Guidelines”), which are published on our website at </w:t>
      </w:r>
      <w:r>
        <w:rPr>
          <w:rFonts w:ascii="Arial" w:cs="Arial" w:eastAsia="Arial" w:hAnsi="Arial"/>
          <w:sz w:val="18"/>
          <w:szCs w:val="18"/>
          <w:i w:val="1"/>
          <w:iCs w:val="1"/>
          <w:color w:val="auto"/>
        </w:rPr>
        <w:t>exxonmobil.com/directorguidelines</w:t>
      </w:r>
      <w:r>
        <w:rPr>
          <w:rFonts w:ascii="Arial" w:cs="Arial" w:eastAsia="Arial" w:hAnsi="Arial"/>
          <w:sz w:val="18"/>
          <w:szCs w:val="18"/>
          <w:color w:val="auto"/>
        </w:rPr>
        <w:t>, are reviewed annually and state in part:</w:t>
      </w:r>
    </w:p>
    <w:p>
      <w:pPr>
        <w:spacing w:after="0" w:line="164" w:lineRule="exact"/>
        <w:rPr>
          <w:sz w:val="20"/>
          <w:szCs w:val="20"/>
          <w:color w:val="auto"/>
        </w:rPr>
      </w:pPr>
    </w:p>
    <w:p>
      <w:pPr>
        <w:ind w:left="860" w:right="60"/>
        <w:spacing w:after="0" w:line="248" w:lineRule="auto"/>
        <w:rPr>
          <w:sz w:val="20"/>
          <w:szCs w:val="20"/>
          <w:color w:val="auto"/>
        </w:rPr>
      </w:pPr>
      <w:r>
        <w:rPr>
          <w:rFonts w:ascii="Arial" w:cs="Arial" w:eastAsia="Arial" w:hAnsi="Arial"/>
          <w:sz w:val="18"/>
          <w:szCs w:val="18"/>
          <w:color w:val="auto"/>
        </w:rPr>
        <w:t>“ExxonMobil recognizes the strength and effectiveness of the Board reflect the balance, experience, and diversity of the individual directors; their commitment; and importantly, the ability of directors to work effectively as a group in carrying out their responsibilities. ExxonMobil seeks candidates with diverse backgrounds who possess knowledge and skills in areas of importance to the Corporation.”</w:t>
      </w:r>
    </w:p>
    <w:p>
      <w:pPr>
        <w:spacing w:after="0" w:line="171" w:lineRule="exact"/>
        <w:rPr>
          <w:sz w:val="20"/>
          <w:szCs w:val="20"/>
          <w:color w:val="auto"/>
        </w:rPr>
      </w:pPr>
    </w:p>
    <w:p>
      <w:pPr>
        <w:ind w:left="860"/>
        <w:spacing w:after="0"/>
        <w:rPr>
          <w:sz w:val="20"/>
          <w:szCs w:val="20"/>
          <w:color w:val="auto"/>
        </w:rPr>
      </w:pPr>
      <w:r>
        <w:rPr>
          <w:rFonts w:ascii="Arial" w:cs="Arial" w:eastAsia="Arial" w:hAnsi="Arial"/>
          <w:sz w:val="18"/>
          <w:szCs w:val="18"/>
          <w:color w:val="auto"/>
        </w:rPr>
        <w:t>The experience, qualifications, and attributes we consider for director candidates include:</w:t>
      </w:r>
    </w:p>
    <w:p>
      <w:pPr>
        <w:spacing w:after="0" w:line="117" w:lineRule="exact"/>
        <w:rPr>
          <w:sz w:val="20"/>
          <w:szCs w:val="20"/>
          <w:color w:val="auto"/>
        </w:rPr>
      </w:pPr>
    </w:p>
    <w:p>
      <w:pPr>
        <w:ind w:left="1240" w:hanging="388"/>
        <w:spacing w:after="0"/>
        <w:tabs>
          <w:tab w:leader="none" w:pos="1240" w:val="left"/>
        </w:tabs>
        <w:numPr>
          <w:ilvl w:val="0"/>
          <w:numId w:val="11"/>
        </w:numPr>
        <w:rPr>
          <w:rFonts w:ascii="Times New Roman" w:cs="Times New Roman" w:eastAsia="Times New Roman" w:hAnsi="Times New Roman"/>
          <w:sz w:val="18"/>
          <w:szCs w:val="18"/>
          <w:color w:val="auto"/>
        </w:rPr>
      </w:pPr>
      <w:r>
        <w:rPr>
          <w:rFonts w:ascii="Arial" w:cs="Arial" w:eastAsia="Arial" w:hAnsi="Arial"/>
          <w:sz w:val="18"/>
          <w:szCs w:val="18"/>
          <w:color w:val="auto"/>
        </w:rPr>
        <w:t>Individuals who have achieved prominence in their fields</w:t>
      </w:r>
    </w:p>
    <w:p>
      <w:pPr>
        <w:spacing w:after="0" w:line="129" w:lineRule="exact"/>
        <w:rPr>
          <w:rFonts w:ascii="Times New Roman" w:cs="Times New Roman" w:eastAsia="Times New Roman" w:hAnsi="Times New Roman"/>
          <w:sz w:val="18"/>
          <w:szCs w:val="18"/>
          <w:color w:val="auto"/>
        </w:rPr>
      </w:pPr>
    </w:p>
    <w:p>
      <w:pPr>
        <w:ind w:left="1240" w:hanging="388"/>
        <w:spacing w:after="0"/>
        <w:tabs>
          <w:tab w:leader="none" w:pos="1240" w:val="left"/>
        </w:tabs>
        <w:numPr>
          <w:ilvl w:val="0"/>
          <w:numId w:val="11"/>
        </w:numPr>
        <w:rPr>
          <w:rFonts w:ascii="Times New Roman" w:cs="Times New Roman" w:eastAsia="Times New Roman" w:hAnsi="Times New Roman"/>
          <w:sz w:val="18"/>
          <w:szCs w:val="18"/>
          <w:color w:val="auto"/>
        </w:rPr>
      </w:pPr>
      <w:r>
        <w:rPr>
          <w:rFonts w:ascii="Arial" w:cs="Arial" w:eastAsia="Arial" w:hAnsi="Arial"/>
          <w:sz w:val="18"/>
          <w:szCs w:val="18"/>
          <w:color w:val="auto"/>
        </w:rPr>
        <w:t>Diversity of life experiences and backgrounds, as well as gender and ethnic diversity</w:t>
      </w:r>
    </w:p>
    <w:p>
      <w:pPr>
        <w:spacing w:after="0" w:line="129" w:lineRule="exact"/>
        <w:rPr>
          <w:rFonts w:ascii="Times New Roman" w:cs="Times New Roman" w:eastAsia="Times New Roman" w:hAnsi="Times New Roman"/>
          <w:sz w:val="18"/>
          <w:szCs w:val="18"/>
          <w:color w:val="auto"/>
        </w:rPr>
      </w:pPr>
    </w:p>
    <w:p>
      <w:pPr>
        <w:ind w:left="1240" w:hanging="388"/>
        <w:spacing w:after="0" w:line="275" w:lineRule="auto"/>
        <w:tabs>
          <w:tab w:leader="none" w:pos="1240" w:val="left"/>
        </w:tabs>
        <w:numPr>
          <w:ilvl w:val="0"/>
          <w:numId w:val="11"/>
        </w:numPr>
        <w:rPr>
          <w:rFonts w:ascii="Times New Roman" w:cs="Times New Roman" w:eastAsia="Times New Roman" w:hAnsi="Times New Roman"/>
          <w:sz w:val="18"/>
          <w:szCs w:val="18"/>
          <w:color w:val="auto"/>
        </w:rPr>
      </w:pPr>
      <w:r>
        <w:rPr>
          <w:rFonts w:ascii="Arial" w:cs="Arial" w:eastAsia="Arial" w:hAnsi="Arial"/>
          <w:sz w:val="18"/>
          <w:szCs w:val="18"/>
          <w:color w:val="auto"/>
        </w:rPr>
        <w:t>Experience and demonstrated expertise in managing large, relatively complex organizations, such as that of CEOs or next-level executives of a significant company or organization with global responsibilities</w:t>
      </w:r>
    </w:p>
    <w:p>
      <w:pPr>
        <w:spacing w:after="0" w:line="51" w:lineRule="exact"/>
        <w:rPr>
          <w:rFonts w:ascii="Times New Roman" w:cs="Times New Roman" w:eastAsia="Times New Roman" w:hAnsi="Times New Roman"/>
          <w:sz w:val="18"/>
          <w:szCs w:val="18"/>
          <w:color w:val="auto"/>
        </w:rPr>
      </w:pPr>
    </w:p>
    <w:p>
      <w:pPr>
        <w:ind w:left="1240" w:hanging="388"/>
        <w:spacing w:after="0"/>
        <w:tabs>
          <w:tab w:leader="none" w:pos="1240" w:val="left"/>
        </w:tabs>
        <w:numPr>
          <w:ilvl w:val="0"/>
          <w:numId w:val="11"/>
        </w:numPr>
        <w:rPr>
          <w:rFonts w:ascii="Times New Roman" w:cs="Times New Roman" w:eastAsia="Times New Roman" w:hAnsi="Times New Roman"/>
          <w:sz w:val="18"/>
          <w:szCs w:val="18"/>
          <w:color w:val="auto"/>
        </w:rPr>
      </w:pPr>
      <w:r>
        <w:rPr>
          <w:rFonts w:ascii="Arial" w:cs="Arial" w:eastAsia="Arial" w:hAnsi="Arial"/>
          <w:sz w:val="18"/>
          <w:szCs w:val="18"/>
          <w:color w:val="auto"/>
        </w:rPr>
        <w:t>Financial and other risk management expertise</w:t>
      </w:r>
    </w:p>
    <w:p>
      <w:pPr>
        <w:spacing w:after="0" w:line="129" w:lineRule="exact"/>
        <w:rPr>
          <w:rFonts w:ascii="Times New Roman" w:cs="Times New Roman" w:eastAsia="Times New Roman" w:hAnsi="Times New Roman"/>
          <w:sz w:val="18"/>
          <w:szCs w:val="18"/>
          <w:color w:val="auto"/>
        </w:rPr>
      </w:pPr>
    </w:p>
    <w:p>
      <w:pPr>
        <w:ind w:left="1240" w:hanging="388"/>
        <w:spacing w:after="0"/>
        <w:tabs>
          <w:tab w:leader="none" w:pos="1240" w:val="left"/>
        </w:tabs>
        <w:numPr>
          <w:ilvl w:val="0"/>
          <w:numId w:val="11"/>
        </w:numPr>
        <w:rPr>
          <w:rFonts w:ascii="Times New Roman" w:cs="Times New Roman" w:eastAsia="Times New Roman" w:hAnsi="Times New Roman"/>
          <w:sz w:val="18"/>
          <w:szCs w:val="18"/>
          <w:color w:val="auto"/>
        </w:rPr>
      </w:pPr>
      <w:r>
        <w:rPr>
          <w:rFonts w:ascii="Arial" w:cs="Arial" w:eastAsia="Arial" w:hAnsi="Arial"/>
          <w:sz w:val="18"/>
          <w:szCs w:val="18"/>
          <w:color w:val="auto"/>
        </w:rPr>
        <w:t>Experience on one or more boards of significant public or nonprofit organizations</w:t>
      </w:r>
    </w:p>
    <w:p>
      <w:pPr>
        <w:spacing w:after="0" w:line="129" w:lineRule="exact"/>
        <w:rPr>
          <w:rFonts w:ascii="Times New Roman" w:cs="Times New Roman" w:eastAsia="Times New Roman" w:hAnsi="Times New Roman"/>
          <w:sz w:val="18"/>
          <w:szCs w:val="18"/>
          <w:color w:val="auto"/>
        </w:rPr>
      </w:pPr>
    </w:p>
    <w:p>
      <w:pPr>
        <w:ind w:left="1240" w:hanging="388"/>
        <w:spacing w:after="0"/>
        <w:tabs>
          <w:tab w:leader="none" w:pos="1240" w:val="left"/>
        </w:tabs>
        <w:numPr>
          <w:ilvl w:val="0"/>
          <w:numId w:val="11"/>
        </w:numPr>
        <w:rPr>
          <w:rFonts w:ascii="Times New Roman" w:cs="Times New Roman" w:eastAsia="Times New Roman" w:hAnsi="Times New Roman"/>
          <w:sz w:val="18"/>
          <w:szCs w:val="18"/>
          <w:color w:val="auto"/>
        </w:rPr>
      </w:pPr>
      <w:r>
        <w:rPr>
          <w:rFonts w:ascii="Arial" w:cs="Arial" w:eastAsia="Arial" w:hAnsi="Arial"/>
          <w:sz w:val="18"/>
          <w:szCs w:val="18"/>
          <w:color w:val="auto"/>
        </w:rPr>
        <w:t>Expertise resulting from significant academic, scientific, or research activities</w:t>
      </w:r>
    </w:p>
    <w:p>
      <w:pPr>
        <w:spacing w:after="0" w:line="129" w:lineRule="exact"/>
        <w:rPr>
          <w:rFonts w:ascii="Times New Roman" w:cs="Times New Roman" w:eastAsia="Times New Roman" w:hAnsi="Times New Roman"/>
          <w:sz w:val="18"/>
          <w:szCs w:val="18"/>
          <w:color w:val="auto"/>
        </w:rPr>
      </w:pPr>
    </w:p>
    <w:p>
      <w:pPr>
        <w:ind w:left="1240" w:hanging="388"/>
        <w:spacing w:after="0"/>
        <w:tabs>
          <w:tab w:leader="none" w:pos="1240" w:val="left"/>
        </w:tabs>
        <w:numPr>
          <w:ilvl w:val="0"/>
          <w:numId w:val="11"/>
        </w:numPr>
        <w:rPr>
          <w:rFonts w:ascii="Times New Roman" w:cs="Times New Roman" w:eastAsia="Times New Roman" w:hAnsi="Times New Roman"/>
          <w:sz w:val="18"/>
          <w:szCs w:val="18"/>
          <w:color w:val="auto"/>
        </w:rPr>
      </w:pPr>
      <w:r>
        <w:rPr>
          <w:rFonts w:ascii="Arial" w:cs="Arial" w:eastAsia="Arial" w:hAnsi="Arial"/>
          <w:sz w:val="18"/>
          <w:szCs w:val="18"/>
          <w:color w:val="auto"/>
        </w:rPr>
        <w:t>Experience with cyclical businesses, such as commodities</w:t>
      </w:r>
    </w:p>
    <w:p>
      <w:pPr>
        <w:spacing w:after="0" w:line="224" w:lineRule="exact"/>
        <w:rPr>
          <w:sz w:val="20"/>
          <w:szCs w:val="20"/>
          <w:color w:val="auto"/>
        </w:rPr>
      </w:pPr>
    </w:p>
    <w:p>
      <w:pPr>
        <w:ind w:left="860"/>
        <w:spacing w:after="0"/>
        <w:rPr>
          <w:sz w:val="20"/>
          <w:szCs w:val="20"/>
          <w:color w:val="auto"/>
        </w:rPr>
      </w:pPr>
      <w:r>
        <w:rPr>
          <w:rFonts w:ascii="Arial" w:cs="Arial" w:eastAsia="Arial" w:hAnsi="Arial"/>
          <w:sz w:val="18"/>
          <w:szCs w:val="18"/>
          <w:color w:val="auto"/>
        </w:rPr>
        <w:t>Other considerations:</w:t>
      </w:r>
    </w:p>
    <w:p>
      <w:pPr>
        <w:spacing w:after="0" w:line="117" w:lineRule="exact"/>
        <w:rPr>
          <w:sz w:val="20"/>
          <w:szCs w:val="20"/>
          <w:color w:val="auto"/>
        </w:rPr>
      </w:pPr>
    </w:p>
    <w:p>
      <w:pPr>
        <w:ind w:left="1240" w:right="240" w:hanging="388"/>
        <w:spacing w:after="0" w:line="275" w:lineRule="auto"/>
        <w:tabs>
          <w:tab w:leader="none" w:pos="1240" w:val="left"/>
        </w:tabs>
        <w:numPr>
          <w:ilvl w:val="0"/>
          <w:numId w:val="12"/>
        </w:numPr>
        <w:rPr>
          <w:rFonts w:ascii="Times New Roman" w:cs="Times New Roman" w:eastAsia="Times New Roman" w:hAnsi="Times New Roman"/>
          <w:sz w:val="18"/>
          <w:szCs w:val="18"/>
          <w:color w:val="auto"/>
        </w:rPr>
      </w:pPr>
      <w:r>
        <w:rPr>
          <w:rFonts w:ascii="Arial" w:cs="Arial" w:eastAsia="Arial" w:hAnsi="Arial"/>
          <w:sz w:val="18"/>
          <w:szCs w:val="18"/>
          <w:color w:val="auto"/>
        </w:rPr>
        <w:t>A substantial majority of the Board must meet independence standards as described in the Corporate Governance Guidelines</w:t>
      </w:r>
    </w:p>
    <w:p>
      <w:pPr>
        <w:spacing w:after="0" w:line="51" w:lineRule="exact"/>
        <w:rPr>
          <w:rFonts w:ascii="Times New Roman" w:cs="Times New Roman" w:eastAsia="Times New Roman" w:hAnsi="Times New Roman"/>
          <w:sz w:val="18"/>
          <w:szCs w:val="18"/>
          <w:color w:val="auto"/>
        </w:rPr>
      </w:pPr>
    </w:p>
    <w:p>
      <w:pPr>
        <w:ind w:left="1240" w:right="220" w:hanging="388"/>
        <w:spacing w:after="0" w:line="275" w:lineRule="auto"/>
        <w:tabs>
          <w:tab w:leader="none" w:pos="1240" w:val="left"/>
        </w:tabs>
        <w:numPr>
          <w:ilvl w:val="0"/>
          <w:numId w:val="12"/>
        </w:numPr>
        <w:rPr>
          <w:rFonts w:ascii="Times New Roman" w:cs="Times New Roman" w:eastAsia="Times New Roman" w:hAnsi="Times New Roman"/>
          <w:sz w:val="18"/>
          <w:szCs w:val="18"/>
          <w:color w:val="auto"/>
        </w:rPr>
      </w:pPr>
      <w:r>
        <w:rPr>
          <w:rFonts w:ascii="Arial" w:cs="Arial" w:eastAsia="Arial" w:hAnsi="Arial"/>
          <w:sz w:val="18"/>
          <w:szCs w:val="18"/>
          <w:color w:val="auto"/>
        </w:rPr>
        <w:t>All candidates must be free from any relationship with management or the Corporation that would interfere with the exercise of independent judgment</w:t>
      </w:r>
    </w:p>
    <w:p>
      <w:pPr>
        <w:spacing w:after="0" w:line="51" w:lineRule="exact"/>
        <w:rPr>
          <w:rFonts w:ascii="Times New Roman" w:cs="Times New Roman" w:eastAsia="Times New Roman" w:hAnsi="Times New Roman"/>
          <w:sz w:val="18"/>
          <w:szCs w:val="18"/>
          <w:color w:val="auto"/>
        </w:rPr>
      </w:pPr>
    </w:p>
    <w:p>
      <w:pPr>
        <w:ind w:left="1240" w:hanging="388"/>
        <w:spacing w:after="0"/>
        <w:tabs>
          <w:tab w:leader="none" w:pos="1240" w:val="left"/>
        </w:tabs>
        <w:numPr>
          <w:ilvl w:val="0"/>
          <w:numId w:val="12"/>
        </w:numPr>
        <w:rPr>
          <w:rFonts w:ascii="Times New Roman" w:cs="Times New Roman" w:eastAsia="Times New Roman" w:hAnsi="Times New Roman"/>
          <w:sz w:val="18"/>
          <w:szCs w:val="18"/>
          <w:color w:val="auto"/>
        </w:rPr>
      </w:pPr>
      <w:r>
        <w:rPr>
          <w:rFonts w:ascii="Arial" w:cs="Arial" w:eastAsia="Arial" w:hAnsi="Arial"/>
          <w:sz w:val="18"/>
          <w:szCs w:val="18"/>
          <w:color w:val="auto"/>
        </w:rPr>
        <w:t>Candidates should be committed to representing the interests of all shareholders and not any particular constituency</w:t>
      </w:r>
    </w:p>
    <w:p>
      <w:pPr>
        <w:spacing w:after="0" w:line="129" w:lineRule="exact"/>
        <w:rPr>
          <w:rFonts w:ascii="Times New Roman" w:cs="Times New Roman" w:eastAsia="Times New Roman" w:hAnsi="Times New Roman"/>
          <w:sz w:val="18"/>
          <w:szCs w:val="18"/>
          <w:color w:val="auto"/>
        </w:rPr>
      </w:pPr>
    </w:p>
    <w:p>
      <w:pPr>
        <w:ind w:left="1240" w:hanging="388"/>
        <w:spacing w:after="0"/>
        <w:tabs>
          <w:tab w:leader="none" w:pos="1240" w:val="left"/>
        </w:tabs>
        <w:numPr>
          <w:ilvl w:val="0"/>
          <w:numId w:val="12"/>
        </w:numPr>
        <w:rPr>
          <w:rFonts w:ascii="Times New Roman" w:cs="Times New Roman" w:eastAsia="Times New Roman" w:hAnsi="Times New Roman"/>
          <w:sz w:val="18"/>
          <w:szCs w:val="18"/>
          <w:color w:val="auto"/>
        </w:rPr>
      </w:pPr>
      <w:r>
        <w:rPr>
          <w:rFonts w:ascii="Arial" w:cs="Arial" w:eastAsia="Arial" w:hAnsi="Arial"/>
          <w:sz w:val="18"/>
          <w:szCs w:val="18"/>
          <w:color w:val="auto"/>
        </w:rPr>
        <w:t>The Board must include members who satisfy legal and stock exchange requirements for certain Board committees</w:t>
      </w:r>
    </w:p>
    <w:p>
      <w:pPr>
        <w:spacing w:after="0" w:line="157" w:lineRule="exact"/>
        <w:rPr>
          <w:sz w:val="20"/>
          <w:szCs w:val="20"/>
          <w:color w:val="auto"/>
        </w:rPr>
      </w:pPr>
    </w:p>
    <w:p>
      <w:pPr>
        <w:ind w:left="880"/>
        <w:spacing w:after="0"/>
        <w:tabs>
          <w:tab w:leader="none" w:pos="2680" w:val="left"/>
        </w:tabs>
        <w:rPr>
          <w:sz w:val="20"/>
          <w:szCs w:val="20"/>
          <w:color w:val="auto"/>
        </w:rPr>
      </w:pPr>
      <w:r>
        <w:rPr>
          <w:rFonts w:ascii="Arial" w:cs="Arial" w:eastAsia="Arial" w:hAnsi="Arial"/>
          <w:sz w:val="18"/>
          <w:szCs w:val="18"/>
          <w:color w:val="auto"/>
        </w:rPr>
        <w:t>6</w:t>
      </w:r>
      <w:r>
        <w:rPr>
          <w:sz w:val="20"/>
          <w:szCs w:val="20"/>
          <w:color w:val="auto"/>
        </w:rPr>
        <w:tab/>
      </w:r>
      <w:r>
        <w:rPr>
          <w:rFonts w:ascii="Times New Roman" w:cs="Times New Roman" w:eastAsia="Times New Roman" w:hAnsi="Times New Roman"/>
          <w:sz w:val="18"/>
          <w:szCs w:val="18"/>
          <w:i w:val="1"/>
          <w:iCs w:val="1"/>
          <w:color w:val="auto"/>
        </w:rPr>
        <w:t>2018 Proxy Statement</w:t>
      </w:r>
    </w:p>
    <w:p>
      <w:pPr>
        <w:sectPr>
          <w:pgSz w:w="11900" w:h="16838" w:orient="portrait"/>
          <w:cols w:equalWidth="0" w:num="1">
            <w:col w:w="10560"/>
          </w:cols>
          <w:pgMar w:left="240" w:top="455" w:right="1099" w:bottom="1440" w:gutter="0" w:footer="0" w:header="0"/>
        </w:sectPr>
      </w:pPr>
    </w:p>
    <w:bookmarkStart w:id="9" w:name="page10"/>
    <w:bookmarkEnd w:id="9"/>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Times New Roman" w:cs="Times New Roman" w:eastAsia="Times New Roman" w:hAnsi="Times New Roman"/>
            <w:sz w:val="18"/>
            <w:szCs w:val="18"/>
            <w:b w:val="1"/>
            <w:bCs w:val="1"/>
            <w:u w:val="single" w:color="auto"/>
            <w:color w:val="0000EE"/>
          </w:rPr>
          <w:t>Table of Contents</w:t>
        </w:r>
      </w:hyperlink>
    </w:p>
    <w:p>
      <w:pPr>
        <w:spacing w:after="0" w:line="305" w:lineRule="exact"/>
        <w:rPr>
          <w:sz w:val="20"/>
          <w:szCs w:val="20"/>
          <w:color w:val="auto"/>
        </w:rPr>
      </w:pPr>
    </w:p>
    <w:p>
      <w:pPr>
        <w:ind w:left="860" w:right="20"/>
        <w:spacing w:after="0" w:line="276" w:lineRule="auto"/>
        <w:rPr>
          <w:sz w:val="20"/>
          <w:szCs w:val="20"/>
          <w:color w:val="auto"/>
        </w:rPr>
      </w:pPr>
      <w:r>
        <w:rPr>
          <w:rFonts w:ascii="Arial" w:cs="Arial" w:eastAsia="Arial" w:hAnsi="Arial"/>
          <w:sz w:val="18"/>
          <w:szCs w:val="18"/>
          <w:color w:val="auto"/>
        </w:rPr>
        <w:t>The Board is comprised of an effective mix of backgrounds, knowledge, and skills. The graph below provides a summary of the collective competencies and diversity of the Board nominees: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768350</wp:posOffset>
            </wp:positionH>
            <wp:positionV relativeFrom="paragraph">
              <wp:posOffset>123825</wp:posOffset>
            </wp:positionV>
            <wp:extent cx="5720080" cy="2495550"/>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5720080" cy="249555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6" w:lineRule="exact"/>
        <w:rPr>
          <w:sz w:val="20"/>
          <w:szCs w:val="20"/>
          <w:color w:val="auto"/>
        </w:rPr>
      </w:pPr>
    </w:p>
    <w:p>
      <w:pPr>
        <w:ind w:left="860"/>
        <w:spacing w:after="0"/>
        <w:rPr>
          <w:sz w:val="20"/>
          <w:szCs w:val="20"/>
          <w:color w:val="auto"/>
        </w:rPr>
      </w:pPr>
      <w:r>
        <w:rPr>
          <w:rFonts w:ascii="Arial" w:cs="Arial" w:eastAsia="Arial" w:hAnsi="Arial"/>
          <w:sz w:val="18"/>
          <w:szCs w:val="18"/>
          <w:b w:val="1"/>
          <w:bCs w:val="1"/>
          <w:color w:val="auto"/>
        </w:rPr>
        <w:t>Board Succession</w:t>
      </w:r>
    </w:p>
    <w:p>
      <w:pPr>
        <w:spacing w:after="0" w:line="106" w:lineRule="exact"/>
        <w:rPr>
          <w:sz w:val="20"/>
          <w:szCs w:val="20"/>
          <w:color w:val="auto"/>
        </w:rPr>
      </w:pPr>
    </w:p>
    <w:p>
      <w:pPr>
        <w:ind w:left="860" w:right="320"/>
        <w:spacing w:after="0" w:line="276" w:lineRule="auto"/>
        <w:rPr>
          <w:sz w:val="20"/>
          <w:szCs w:val="20"/>
          <w:color w:val="auto"/>
        </w:rPr>
      </w:pPr>
      <w:r>
        <w:rPr>
          <w:rFonts w:ascii="Arial" w:cs="Arial" w:eastAsia="Arial" w:hAnsi="Arial"/>
          <w:sz w:val="18"/>
          <w:szCs w:val="18"/>
          <w:color w:val="auto"/>
        </w:rPr>
        <w:t>As noted in the committee information on pages 11 and 12, the Board Affairs Committee is responsible for identifying director candidates. The Committee seeks new candidates in several ways:</w:t>
      </w:r>
    </w:p>
    <w:p>
      <w:pPr>
        <w:spacing w:after="0" w:line="51" w:lineRule="exact"/>
        <w:rPr>
          <w:sz w:val="20"/>
          <w:szCs w:val="20"/>
          <w:color w:val="auto"/>
        </w:rPr>
      </w:pPr>
    </w:p>
    <w:p>
      <w:pPr>
        <w:ind w:left="1240" w:hanging="388"/>
        <w:spacing w:after="0" w:line="255" w:lineRule="auto"/>
        <w:tabs>
          <w:tab w:leader="none" w:pos="1240" w:val="left"/>
        </w:tabs>
        <w:numPr>
          <w:ilvl w:val="0"/>
          <w:numId w:val="13"/>
        </w:numPr>
        <w:rPr>
          <w:rFonts w:ascii="Times New Roman" w:cs="Times New Roman" w:eastAsia="Times New Roman" w:hAnsi="Times New Roman"/>
          <w:sz w:val="18"/>
          <w:szCs w:val="18"/>
          <w:color w:val="auto"/>
        </w:rPr>
      </w:pPr>
      <w:r>
        <w:rPr>
          <w:rFonts w:ascii="Arial" w:cs="Arial" w:eastAsia="Arial" w:hAnsi="Arial"/>
          <w:sz w:val="18"/>
          <w:szCs w:val="18"/>
          <w:color w:val="auto"/>
        </w:rPr>
        <w:t>Recommendations made by the non-employee directors. These recommendations are developed based on the directors’ own knowledge and experience in a variety of fields and on the research conducted by ExxonMobil staff at the Committee’s direction.</w:t>
      </w:r>
    </w:p>
    <w:p>
      <w:pPr>
        <w:spacing w:after="0" w:line="68" w:lineRule="exact"/>
        <w:rPr>
          <w:rFonts w:ascii="Times New Roman" w:cs="Times New Roman" w:eastAsia="Times New Roman" w:hAnsi="Times New Roman"/>
          <w:sz w:val="18"/>
          <w:szCs w:val="18"/>
          <w:color w:val="auto"/>
        </w:rPr>
      </w:pPr>
    </w:p>
    <w:p>
      <w:pPr>
        <w:ind w:left="1240" w:right="80" w:hanging="388"/>
        <w:spacing w:after="0" w:line="275" w:lineRule="auto"/>
        <w:tabs>
          <w:tab w:leader="none" w:pos="1240" w:val="left"/>
        </w:tabs>
        <w:numPr>
          <w:ilvl w:val="0"/>
          <w:numId w:val="13"/>
        </w:numPr>
        <w:rPr>
          <w:rFonts w:ascii="Times New Roman" w:cs="Times New Roman" w:eastAsia="Times New Roman" w:hAnsi="Times New Roman"/>
          <w:sz w:val="18"/>
          <w:szCs w:val="18"/>
          <w:color w:val="auto"/>
        </w:rPr>
      </w:pPr>
      <w:r>
        <w:rPr>
          <w:rFonts w:ascii="Arial" w:cs="Arial" w:eastAsia="Arial" w:hAnsi="Arial"/>
          <w:sz w:val="18"/>
          <w:szCs w:val="18"/>
          <w:color w:val="auto"/>
        </w:rPr>
        <w:t>Engagement of an executive search firm. The firm brings forward potential director candidates for the Committee to consider and helps research candidates identified by the Committee.</w:t>
      </w:r>
    </w:p>
    <w:p>
      <w:pPr>
        <w:spacing w:after="0" w:line="51" w:lineRule="exact"/>
        <w:rPr>
          <w:rFonts w:ascii="Times New Roman" w:cs="Times New Roman" w:eastAsia="Times New Roman" w:hAnsi="Times New Roman"/>
          <w:sz w:val="18"/>
          <w:szCs w:val="18"/>
          <w:color w:val="auto"/>
        </w:rPr>
      </w:pPr>
    </w:p>
    <w:p>
      <w:pPr>
        <w:ind w:left="1240" w:hanging="388"/>
        <w:spacing w:after="0"/>
        <w:tabs>
          <w:tab w:leader="none" w:pos="1240" w:val="left"/>
        </w:tabs>
        <w:numPr>
          <w:ilvl w:val="0"/>
          <w:numId w:val="13"/>
        </w:numPr>
        <w:rPr>
          <w:rFonts w:ascii="Times New Roman" w:cs="Times New Roman" w:eastAsia="Times New Roman" w:hAnsi="Times New Roman"/>
          <w:sz w:val="18"/>
          <w:szCs w:val="18"/>
          <w:color w:val="auto"/>
        </w:rPr>
      </w:pPr>
      <w:r>
        <w:rPr>
          <w:rFonts w:ascii="Arial" w:cs="Arial" w:eastAsia="Arial" w:hAnsi="Arial"/>
          <w:sz w:val="18"/>
          <w:szCs w:val="18"/>
          <w:color w:val="auto"/>
        </w:rPr>
        <w:t>Recommendations made by employee directors, shareholders, and others.</w:t>
      </w:r>
    </w:p>
    <w:p>
      <w:pPr>
        <w:spacing w:after="0" w:line="224" w:lineRule="exact"/>
        <w:rPr>
          <w:sz w:val="20"/>
          <w:szCs w:val="20"/>
          <w:color w:val="auto"/>
        </w:rPr>
      </w:pPr>
    </w:p>
    <w:p>
      <w:pPr>
        <w:ind w:left="860" w:right="360"/>
        <w:spacing w:after="0" w:line="255" w:lineRule="auto"/>
        <w:rPr>
          <w:sz w:val="20"/>
          <w:szCs w:val="20"/>
          <w:color w:val="auto"/>
        </w:rPr>
      </w:pPr>
      <w:r>
        <w:rPr>
          <w:rFonts w:ascii="Arial" w:cs="Arial" w:eastAsia="Arial" w:hAnsi="Arial"/>
          <w:sz w:val="18"/>
          <w:szCs w:val="18"/>
          <w:color w:val="auto"/>
        </w:rPr>
        <w:t>All recommendations, regardless of the source, are evaluated on the same basis against the criteria contained in the Selection Guidelines. The Committee has also instructed its executive search firm to include diversity as part of the candidate search criteria.</w:t>
      </w:r>
    </w:p>
    <w:p>
      <w:pPr>
        <w:spacing w:after="0" w:line="164" w:lineRule="exact"/>
        <w:rPr>
          <w:sz w:val="20"/>
          <w:szCs w:val="20"/>
          <w:color w:val="auto"/>
        </w:rPr>
      </w:pPr>
    </w:p>
    <w:p>
      <w:pPr>
        <w:ind w:left="860" w:right="220"/>
        <w:spacing w:after="0" w:line="276" w:lineRule="auto"/>
        <w:rPr>
          <w:sz w:val="20"/>
          <w:szCs w:val="20"/>
          <w:color w:val="auto"/>
        </w:rPr>
      </w:pPr>
      <w:r>
        <w:rPr>
          <w:rFonts w:ascii="Arial" w:cs="Arial" w:eastAsia="Arial" w:hAnsi="Arial"/>
          <w:sz w:val="18"/>
          <w:szCs w:val="18"/>
          <w:color w:val="auto"/>
        </w:rPr>
        <w:t>Shareholders may send recommendations for director candidates to the Secretary at the address given under Contact Information on page 4. A submission recommending a candidate should include:</w:t>
      </w:r>
    </w:p>
    <w:p>
      <w:pPr>
        <w:spacing w:after="0" w:line="51" w:lineRule="exact"/>
        <w:rPr>
          <w:sz w:val="20"/>
          <w:szCs w:val="20"/>
          <w:color w:val="auto"/>
        </w:rPr>
      </w:pPr>
    </w:p>
    <w:p>
      <w:pPr>
        <w:ind w:left="1240" w:right="720" w:hanging="388"/>
        <w:spacing w:after="0" w:line="275" w:lineRule="auto"/>
        <w:tabs>
          <w:tab w:leader="none" w:pos="1240" w:val="left"/>
        </w:tabs>
        <w:numPr>
          <w:ilvl w:val="0"/>
          <w:numId w:val="14"/>
        </w:numPr>
        <w:rPr>
          <w:rFonts w:ascii="Times New Roman" w:cs="Times New Roman" w:eastAsia="Times New Roman" w:hAnsi="Times New Roman"/>
          <w:sz w:val="18"/>
          <w:szCs w:val="18"/>
          <w:color w:val="auto"/>
        </w:rPr>
      </w:pPr>
      <w:r>
        <w:rPr>
          <w:rFonts w:ascii="Arial" w:cs="Arial" w:eastAsia="Arial" w:hAnsi="Arial"/>
          <w:sz w:val="18"/>
          <w:szCs w:val="18"/>
          <w:color w:val="auto"/>
        </w:rPr>
        <w:t>Sufficient biographical information to allow the Committee to evaluate the candidate in light of the Selection Guidelines;</w:t>
      </w:r>
    </w:p>
    <w:p>
      <w:pPr>
        <w:spacing w:after="0" w:line="51" w:lineRule="exact"/>
        <w:rPr>
          <w:rFonts w:ascii="Times New Roman" w:cs="Times New Roman" w:eastAsia="Times New Roman" w:hAnsi="Times New Roman"/>
          <w:sz w:val="18"/>
          <w:szCs w:val="18"/>
          <w:color w:val="auto"/>
        </w:rPr>
      </w:pPr>
    </w:p>
    <w:p>
      <w:pPr>
        <w:ind w:left="1240" w:right="160" w:hanging="388"/>
        <w:spacing w:after="0" w:line="275" w:lineRule="auto"/>
        <w:tabs>
          <w:tab w:leader="none" w:pos="1240" w:val="left"/>
        </w:tabs>
        <w:numPr>
          <w:ilvl w:val="0"/>
          <w:numId w:val="14"/>
        </w:numPr>
        <w:rPr>
          <w:rFonts w:ascii="Times New Roman" w:cs="Times New Roman" w:eastAsia="Times New Roman" w:hAnsi="Times New Roman"/>
          <w:sz w:val="18"/>
          <w:szCs w:val="18"/>
          <w:color w:val="auto"/>
        </w:rPr>
      </w:pPr>
      <w:r>
        <w:rPr>
          <w:rFonts w:ascii="Arial" w:cs="Arial" w:eastAsia="Arial" w:hAnsi="Arial"/>
          <w:sz w:val="18"/>
          <w:szCs w:val="18"/>
          <w:color w:val="auto"/>
        </w:rPr>
        <w:t>Information concerning any relationship between the candidate and the shareholder recommending the candidate; and</w:t>
      </w:r>
    </w:p>
    <w:p>
      <w:pPr>
        <w:spacing w:after="0" w:line="51" w:lineRule="exact"/>
        <w:rPr>
          <w:rFonts w:ascii="Times New Roman" w:cs="Times New Roman" w:eastAsia="Times New Roman" w:hAnsi="Times New Roman"/>
          <w:sz w:val="18"/>
          <w:szCs w:val="18"/>
          <w:color w:val="auto"/>
        </w:rPr>
      </w:pPr>
    </w:p>
    <w:p>
      <w:pPr>
        <w:ind w:left="1240" w:hanging="388"/>
        <w:spacing w:after="0"/>
        <w:tabs>
          <w:tab w:leader="none" w:pos="1240" w:val="left"/>
        </w:tabs>
        <w:numPr>
          <w:ilvl w:val="0"/>
          <w:numId w:val="14"/>
        </w:numPr>
        <w:rPr>
          <w:rFonts w:ascii="Times New Roman" w:cs="Times New Roman" w:eastAsia="Times New Roman" w:hAnsi="Times New Roman"/>
          <w:sz w:val="18"/>
          <w:szCs w:val="18"/>
          <w:color w:val="auto"/>
        </w:rPr>
      </w:pPr>
      <w:r>
        <w:rPr>
          <w:rFonts w:ascii="Arial" w:cs="Arial" w:eastAsia="Arial" w:hAnsi="Arial"/>
          <w:sz w:val="18"/>
          <w:szCs w:val="18"/>
          <w:color w:val="auto"/>
        </w:rPr>
        <w:t>Material indicating the willingness of the candidate to serve if nominated and elected.</w:t>
      </w:r>
    </w:p>
    <w:p>
      <w:pPr>
        <w:spacing w:after="0" w:line="224" w:lineRule="exact"/>
        <w:rPr>
          <w:sz w:val="20"/>
          <w:szCs w:val="20"/>
          <w:color w:val="auto"/>
        </w:rPr>
      </w:pPr>
    </w:p>
    <w:p>
      <w:pPr>
        <w:ind w:left="860" w:right="160"/>
        <w:spacing w:after="0" w:line="276" w:lineRule="auto"/>
        <w:rPr>
          <w:sz w:val="20"/>
          <w:szCs w:val="20"/>
          <w:color w:val="auto"/>
        </w:rPr>
      </w:pPr>
      <w:r>
        <w:rPr>
          <w:rFonts w:ascii="Arial" w:cs="Arial" w:eastAsia="Arial" w:hAnsi="Arial"/>
          <w:sz w:val="18"/>
          <w:szCs w:val="18"/>
          <w:color w:val="auto"/>
        </w:rPr>
        <w:t>The procedures by which shareholders may recommend nominees have not changed materially since last year’s proxy statement.</w:t>
      </w:r>
    </w:p>
    <w:p>
      <w:pPr>
        <w:spacing w:after="0" w:line="145" w:lineRule="exact"/>
        <w:rPr>
          <w:sz w:val="20"/>
          <w:szCs w:val="20"/>
          <w:color w:val="auto"/>
        </w:rPr>
      </w:pPr>
    </w:p>
    <w:p>
      <w:pPr>
        <w:ind w:left="860" w:right="20"/>
        <w:spacing w:after="0" w:line="248" w:lineRule="auto"/>
        <w:rPr>
          <w:sz w:val="20"/>
          <w:szCs w:val="20"/>
          <w:color w:val="auto"/>
        </w:rPr>
      </w:pPr>
      <w:r>
        <w:rPr>
          <w:rFonts w:ascii="Arial" w:cs="Arial" w:eastAsia="Arial" w:hAnsi="Arial"/>
          <w:sz w:val="18"/>
          <w:szCs w:val="18"/>
          <w:color w:val="auto"/>
        </w:rPr>
        <w:t>The Company seeks to have a diverse Board representing a range of backgrounds, knowledge, and skills relevant to the Company’s business and the needs of the Board, and as part of the search process, considers highly qualified candidates, including women and minorities. The Committee does not use quotas but considers diversity along with the other requirements of the Selection Guidelines when evaluating potential new directors.</w:t>
      </w:r>
    </w:p>
    <w:p>
      <w:pPr>
        <w:spacing w:after="0" w:line="292" w:lineRule="exact"/>
        <w:rPr>
          <w:sz w:val="20"/>
          <w:szCs w:val="20"/>
          <w:color w:val="auto"/>
        </w:rPr>
      </w:pPr>
    </w:p>
    <w:tbl>
      <w:tblPr>
        <w:tblLayout w:type="fixed"/>
        <w:tblInd w:w="7060" w:type="dxa"/>
        <w:tblCellMar>
          <w:top w:w="0" w:type="dxa"/>
          <w:left w:w="0" w:type="dxa"/>
          <w:bottom w:w="0" w:type="dxa"/>
          <w:right w:w="0" w:type="dxa"/>
        </w:tblCellMar>
      </w:tblPr>
      <w:tr>
        <w:trPr>
          <w:trHeight w:val="243"/>
        </w:trPr>
        <w:tc>
          <w:tcPr>
            <w:tcW w:w="2440" w:type="dxa"/>
            <w:vAlign w:val="bottom"/>
          </w:tcPr>
          <w:p>
            <w:pPr>
              <w:spacing w:after="0"/>
              <w:rPr>
                <w:sz w:val="20"/>
                <w:szCs w:val="20"/>
                <w:color w:val="auto"/>
              </w:rPr>
            </w:pPr>
            <w:r>
              <w:rPr>
                <w:rFonts w:ascii="Times New Roman" w:cs="Times New Roman" w:eastAsia="Times New Roman" w:hAnsi="Times New Roman"/>
                <w:sz w:val="18"/>
                <w:szCs w:val="18"/>
                <w:i w:val="1"/>
                <w:iCs w:val="1"/>
                <w:color w:val="auto"/>
              </w:rPr>
              <w:t>2018 Proxy Statement</w:t>
            </w:r>
          </w:p>
        </w:tc>
        <w:tc>
          <w:tcPr>
            <w:tcW w:w="960" w:type="dxa"/>
            <w:vAlign w:val="bottom"/>
          </w:tcPr>
          <w:p>
            <w:pPr>
              <w:jc w:val="right"/>
              <w:spacing w:after="0"/>
              <w:rPr>
                <w:sz w:val="20"/>
                <w:szCs w:val="20"/>
                <w:color w:val="auto"/>
              </w:rPr>
            </w:pPr>
            <w:r>
              <w:rPr>
                <w:rFonts w:ascii="Arial" w:cs="Arial" w:eastAsia="Arial" w:hAnsi="Arial"/>
                <w:sz w:val="18"/>
                <w:szCs w:val="18"/>
                <w:color w:val="auto"/>
              </w:rPr>
              <w:t>7</w:t>
            </w:r>
          </w:p>
        </w:tc>
      </w:tr>
    </w:tbl>
    <w:p>
      <w:pPr>
        <w:sectPr>
          <w:pgSz w:w="11900" w:h="16838" w:orient="portrait"/>
          <w:cols w:equalWidth="0" w:num="1">
            <w:col w:w="10460"/>
          </w:cols>
          <w:pgMar w:left="240" w:top="455" w:right="1199" w:bottom="1440" w:gutter="0" w:footer="0" w:header="0"/>
        </w:sectPr>
      </w:pPr>
    </w:p>
    <w:bookmarkStart w:id="10" w:name="page11"/>
    <w:bookmarkEnd w:id="10"/>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Times New Roman" w:cs="Times New Roman" w:eastAsia="Times New Roman" w:hAnsi="Times New Roman"/>
            <w:sz w:val="18"/>
            <w:szCs w:val="18"/>
            <w:b w:val="1"/>
            <w:bCs w:val="1"/>
            <w:u w:val="single" w:color="auto"/>
            <w:color w:val="0000EE"/>
          </w:rPr>
          <w:t>Table of Contents</w:t>
        </w:r>
      </w:hyperlink>
    </w:p>
    <w:p>
      <w:pPr>
        <w:spacing w:after="0" w:line="305" w:lineRule="exact"/>
        <w:rPr>
          <w:sz w:val="20"/>
          <w:szCs w:val="20"/>
          <w:color w:val="auto"/>
        </w:rPr>
      </w:pPr>
    </w:p>
    <w:p>
      <w:pPr>
        <w:ind w:left="860"/>
        <w:spacing w:after="0"/>
        <w:rPr>
          <w:sz w:val="20"/>
          <w:szCs w:val="20"/>
          <w:color w:val="auto"/>
        </w:rPr>
      </w:pPr>
      <w:r>
        <w:rPr>
          <w:rFonts w:ascii="Arial" w:cs="Arial" w:eastAsia="Arial" w:hAnsi="Arial"/>
          <w:sz w:val="18"/>
          <w:szCs w:val="18"/>
          <w:color w:val="auto"/>
        </w:rPr>
        <w:t>The recommendation of Mr. Kandarian was made by incumbent directors and the executive search firm.</w:t>
      </w:r>
    </w:p>
    <w:p>
      <w:pPr>
        <w:spacing w:after="0" w:line="210" w:lineRule="exact"/>
        <w:rPr>
          <w:sz w:val="20"/>
          <w:szCs w:val="20"/>
          <w:color w:val="auto"/>
        </w:rPr>
      </w:pPr>
    </w:p>
    <w:p>
      <w:pPr>
        <w:ind w:left="860"/>
        <w:spacing w:after="0"/>
        <w:rPr>
          <w:sz w:val="20"/>
          <w:szCs w:val="20"/>
          <w:color w:val="auto"/>
        </w:rPr>
      </w:pPr>
      <w:r>
        <w:rPr>
          <w:rFonts w:ascii="Arial" w:cs="Arial" w:eastAsia="Arial" w:hAnsi="Arial"/>
          <w:sz w:val="18"/>
          <w:szCs w:val="18"/>
          <w:b w:val="1"/>
          <w:bCs w:val="1"/>
          <w:color w:val="auto"/>
        </w:rPr>
        <w:t>Board Tenure</w:t>
      </w:r>
    </w:p>
    <w:p>
      <w:pPr>
        <w:spacing w:after="0" w:line="106" w:lineRule="exact"/>
        <w:rPr>
          <w:sz w:val="20"/>
          <w:szCs w:val="20"/>
          <w:color w:val="auto"/>
        </w:rPr>
      </w:pPr>
    </w:p>
    <w:p>
      <w:pPr>
        <w:ind w:left="860" w:right="60"/>
        <w:spacing w:after="0" w:line="243" w:lineRule="auto"/>
        <w:rPr>
          <w:sz w:val="20"/>
          <w:szCs w:val="20"/>
          <w:color w:val="auto"/>
        </w:rPr>
      </w:pPr>
      <w:r>
        <w:rPr>
          <w:rFonts w:ascii="Arial" w:cs="Arial" w:eastAsia="Arial" w:hAnsi="Arial"/>
          <w:sz w:val="18"/>
          <w:szCs w:val="18"/>
          <w:color w:val="auto"/>
        </w:rPr>
        <w:t>The Board does not impose tenure limits on its directors, other than a mandatory retirement age of 72 and the requirement to stand for election annually. Given the complexity and breadth of our business and its long investment horizons, the Board considers longevity of service and experience of great value. The Board also believes that its director compensation approach, which limits the vesting of restricted shares until retirement, closely aligns directors with the interests of long-term shareholders. The Board seeks to achieve a balance of diversity and experience in the composition of the Board.</w:t>
      </w:r>
    </w:p>
    <w:p>
      <w:pPr>
        <w:spacing w:after="0" w:line="174" w:lineRule="exact"/>
        <w:rPr>
          <w:sz w:val="20"/>
          <w:szCs w:val="20"/>
          <w:color w:val="auto"/>
        </w:rPr>
      </w:pPr>
    </w:p>
    <w:p>
      <w:pPr>
        <w:ind w:left="860" w:right="160"/>
        <w:spacing w:after="0" w:line="255" w:lineRule="auto"/>
        <w:rPr>
          <w:sz w:val="20"/>
          <w:szCs w:val="20"/>
          <w:color w:val="auto"/>
        </w:rPr>
      </w:pPr>
      <w:r>
        <w:rPr>
          <w:rFonts w:ascii="Arial" w:cs="Arial" w:eastAsia="Arial" w:hAnsi="Arial"/>
          <w:sz w:val="18"/>
          <w:szCs w:val="18"/>
          <w:color w:val="auto"/>
        </w:rPr>
        <w:t>All ExxonMobil directors stand for election at the annual meeting. Non-employee directors cannot stand for election after they have reached age 72, unless the Board makes an exception on a case-by-case basis. Employee directors resign from the Board when they are no longer employed by ExxonMobil.</w:t>
      </w:r>
    </w:p>
    <w:p>
      <w:pPr>
        <w:spacing w:after="0" w:line="164" w:lineRule="exact"/>
        <w:rPr>
          <w:sz w:val="20"/>
          <w:szCs w:val="20"/>
          <w:color w:val="auto"/>
        </w:rPr>
      </w:pPr>
    </w:p>
    <w:p>
      <w:pPr>
        <w:ind w:left="860" w:right="640"/>
        <w:spacing w:after="0" w:line="276" w:lineRule="auto"/>
        <w:rPr>
          <w:sz w:val="20"/>
          <w:szCs w:val="20"/>
          <w:color w:val="auto"/>
        </w:rPr>
      </w:pPr>
      <w:r>
        <w:rPr>
          <w:rFonts w:ascii="Arial" w:cs="Arial" w:eastAsia="Arial" w:hAnsi="Arial"/>
          <w:sz w:val="18"/>
          <w:szCs w:val="18"/>
          <w:color w:val="auto"/>
        </w:rPr>
        <w:t xml:space="preserve">As of April 1, 2018, the average tenure of non-employee directors standing for election is 5.3 years, well below the average of S&amp;P 500 companies of 8.2 years (per </w:t>
      </w:r>
      <w:r>
        <w:rPr>
          <w:rFonts w:ascii="Arial" w:cs="Arial" w:eastAsia="Arial" w:hAnsi="Arial"/>
          <w:sz w:val="18"/>
          <w:szCs w:val="18"/>
          <w:i w:val="1"/>
          <w:iCs w:val="1"/>
          <w:color w:val="auto"/>
        </w:rPr>
        <w:t>2017 Spencer Stuart Board Index</w:t>
      </w:r>
      <w:r>
        <w:rPr>
          <w:rFonts w:ascii="Arial" w:cs="Arial" w:eastAsia="Arial" w:hAnsi="Arial"/>
          <w:sz w:val="18"/>
          <w:szCs w:val="18"/>
          <w:color w:val="auto"/>
        </w:rPr>
        <w:t>).</w:t>
      </w:r>
    </w:p>
    <w:p>
      <w:pPr>
        <w:spacing w:after="0" w:line="143" w:lineRule="exact"/>
        <w:rPr>
          <w:sz w:val="20"/>
          <w:szCs w:val="20"/>
          <w:color w:val="auto"/>
        </w:rPr>
      </w:pPr>
    </w:p>
    <w:p>
      <w:pPr>
        <w:ind w:left="860"/>
        <w:spacing w:after="0"/>
        <w:rPr>
          <w:sz w:val="20"/>
          <w:szCs w:val="20"/>
          <w:color w:val="auto"/>
        </w:rPr>
      </w:pPr>
      <w:r>
        <w:rPr>
          <w:rFonts w:ascii="Arial" w:cs="Arial" w:eastAsia="Arial" w:hAnsi="Arial"/>
          <w:sz w:val="18"/>
          <w:szCs w:val="18"/>
          <w:b w:val="1"/>
          <w:bCs w:val="1"/>
          <w:color w:val="auto"/>
        </w:rPr>
        <w:t>Director Independence</w:t>
      </w:r>
    </w:p>
    <w:p>
      <w:pPr>
        <w:spacing w:after="0" w:line="106" w:lineRule="exact"/>
        <w:rPr>
          <w:sz w:val="20"/>
          <w:szCs w:val="20"/>
          <w:color w:val="auto"/>
        </w:rPr>
      </w:pPr>
    </w:p>
    <w:p>
      <w:pPr>
        <w:ind w:left="860"/>
        <w:spacing w:after="0" w:line="245" w:lineRule="auto"/>
        <w:rPr>
          <w:sz w:val="20"/>
          <w:szCs w:val="20"/>
          <w:color w:val="auto"/>
        </w:rPr>
      </w:pPr>
      <w:r>
        <w:rPr>
          <w:rFonts w:ascii="Arial" w:cs="Arial" w:eastAsia="Arial" w:hAnsi="Arial"/>
          <w:sz w:val="18"/>
          <w:szCs w:val="18"/>
          <w:color w:val="auto"/>
        </w:rPr>
        <w:t>Our Corporate Governance Guidelines require that a substantial majority of the Board consist of independent directors. In general, the Guidelines require that an independent director must have no material relationship with ExxonMobil, directly or indirectly, except as a director. The Board determines independence on the basis of the standards specified by the New York Stock Exchange (NYSE), the additional standards referenced in our Corporate Governance Guidelines, and other facts and circumstances the Board considers relevant.</w:t>
      </w:r>
    </w:p>
    <w:p>
      <w:pPr>
        <w:spacing w:after="0" w:line="172" w:lineRule="exact"/>
        <w:rPr>
          <w:sz w:val="20"/>
          <w:szCs w:val="20"/>
          <w:color w:val="auto"/>
        </w:rPr>
      </w:pPr>
    </w:p>
    <w:p>
      <w:pPr>
        <w:ind w:left="860" w:right="180"/>
        <w:spacing w:after="0" w:line="245" w:lineRule="auto"/>
        <w:rPr>
          <w:sz w:val="20"/>
          <w:szCs w:val="20"/>
          <w:color w:val="auto"/>
        </w:rPr>
      </w:pPr>
      <w:r>
        <w:rPr>
          <w:rFonts w:ascii="Arial" w:cs="Arial" w:eastAsia="Arial" w:hAnsi="Arial"/>
          <w:sz w:val="18"/>
          <w:szCs w:val="18"/>
          <w:color w:val="auto"/>
        </w:rPr>
        <w:t>Under ExxonMobil’s Corporate Governance Guidelines, a director will not be independent if a reportable “related person transaction” exists with respect to that director or a member of the director’s family for the current or most recently completed fiscal year. See the Guidelines for Review of Related Person Transactions posted on the Corporate Governance section of our website and described in more detail under Related Person Transactions and Procedures on pages 8 to 10.</w:t>
      </w:r>
    </w:p>
    <w:p>
      <w:pPr>
        <w:spacing w:after="0" w:line="172" w:lineRule="exact"/>
        <w:rPr>
          <w:sz w:val="20"/>
          <w:szCs w:val="20"/>
          <w:color w:val="auto"/>
        </w:rPr>
      </w:pPr>
    </w:p>
    <w:p>
      <w:pPr>
        <w:ind w:left="860"/>
        <w:spacing w:after="0"/>
        <w:rPr>
          <w:sz w:val="20"/>
          <w:szCs w:val="20"/>
          <w:color w:val="auto"/>
        </w:rPr>
      </w:pPr>
      <w:r>
        <w:rPr>
          <w:rFonts w:ascii="Arial" w:cs="Arial" w:eastAsia="Arial" w:hAnsi="Arial"/>
          <w:sz w:val="18"/>
          <w:szCs w:val="18"/>
          <w:color w:val="auto"/>
        </w:rPr>
        <w:t xml:space="preserve">The Board has reviewed relevant relationships between ExxonMobil and each non-employee director and director nominee to determine compliance with the NYSE standards and ExxonMobil’s additional standards. The Board has also evaluated whether there are any other facts or circumstances that might impair a director’s independence. </w:t>
      </w:r>
      <w:r>
        <w:rPr>
          <w:rFonts w:ascii="Arial" w:cs="Arial" w:eastAsia="Arial" w:hAnsi="Arial"/>
          <w:sz w:val="18"/>
          <w:szCs w:val="18"/>
          <w:b w:val="1"/>
          <w:bCs w:val="1"/>
          <w:color w:val="auto"/>
        </w:rPr>
        <w:t>Based on that</w:t>
      </w:r>
      <w:r>
        <w:rPr>
          <w:rFonts w:ascii="Arial" w:cs="Arial" w:eastAsia="Arial" w:hAnsi="Arial"/>
          <w:sz w:val="18"/>
          <w:szCs w:val="18"/>
          <w:color w:val="auto"/>
        </w:rPr>
        <w:t xml:space="preserve"> </w:t>
      </w:r>
      <w:r>
        <w:rPr>
          <w:rFonts w:ascii="Arial" w:cs="Arial" w:eastAsia="Arial" w:hAnsi="Arial"/>
          <w:sz w:val="18"/>
          <w:szCs w:val="18"/>
          <w:b w:val="1"/>
          <w:bCs w:val="1"/>
          <w:color w:val="auto"/>
        </w:rPr>
        <w:t xml:space="preserve">review, the Board has determined that all ExxonMobil non-employee directors and nominees are independent. </w:t>
      </w:r>
      <w:r>
        <w:rPr>
          <w:rFonts w:ascii="Arial" w:cs="Arial" w:eastAsia="Arial" w:hAnsi="Arial"/>
          <w:sz w:val="18"/>
          <w:szCs w:val="18"/>
          <w:color w:val="auto"/>
        </w:rPr>
        <w:t xml:space="preserve">The Board has also determined that each member of the Audit, Board Affairs, Compensation, and Public Issues and Contributions Committees (see membership table on page 11) is independent based on both applicable NYSE standards and the Company’s independence standards for each of these committees. The Company’s standards for each committee are included in their respective charters and are posted on our website at </w:t>
      </w:r>
      <w:r>
        <w:rPr>
          <w:rFonts w:ascii="Arial" w:cs="Arial" w:eastAsia="Arial" w:hAnsi="Arial"/>
          <w:sz w:val="18"/>
          <w:szCs w:val="18"/>
          <w:i w:val="1"/>
          <w:iCs w:val="1"/>
          <w:color w:val="auto"/>
        </w:rPr>
        <w:t>exxonmobil.com/governance</w:t>
      </w:r>
      <w:r>
        <w:rPr>
          <w:rFonts w:ascii="Arial" w:cs="Arial" w:eastAsia="Arial" w:hAnsi="Arial"/>
          <w:sz w:val="18"/>
          <w:szCs w:val="18"/>
          <w:color w:val="auto"/>
        </w:rPr>
        <w:t>. Website materials are not part of this proxy statement or the accompanying solicitation.</w:t>
      </w:r>
    </w:p>
    <w:p>
      <w:pPr>
        <w:spacing w:after="0" w:line="176" w:lineRule="exact"/>
        <w:rPr>
          <w:sz w:val="20"/>
          <w:szCs w:val="20"/>
          <w:color w:val="auto"/>
        </w:rPr>
      </w:pPr>
    </w:p>
    <w:p>
      <w:pPr>
        <w:ind w:left="860" w:right="200"/>
        <w:spacing w:after="0" w:line="255" w:lineRule="auto"/>
        <w:rPr>
          <w:sz w:val="20"/>
          <w:szCs w:val="20"/>
          <w:color w:val="auto"/>
        </w:rPr>
      </w:pPr>
      <w:r>
        <w:rPr>
          <w:rFonts w:ascii="Arial" w:cs="Arial" w:eastAsia="Arial" w:hAnsi="Arial"/>
          <w:sz w:val="18"/>
          <w:szCs w:val="18"/>
          <w:color w:val="auto"/>
        </w:rPr>
        <w:t>In recommending that each director and nominee be found independent, the Board Affairs Committee reviewed the following transactions, relationships, or arrangements. All matters described below fall within the NYSE and ExxonMobil independence standards.</w:t>
      </w:r>
    </w:p>
    <w:p>
      <w:pPr>
        <w:spacing w:after="0" w:line="194" w:lineRule="exact"/>
        <w:rPr>
          <w:sz w:val="20"/>
          <w:szCs w:val="20"/>
          <w:color w:val="auto"/>
        </w:rPr>
      </w:pPr>
    </w:p>
    <w:tbl>
      <w:tblPr>
        <w:tblLayout w:type="fixed"/>
        <w:tblInd w:w="870" w:type="dxa"/>
        <w:tblCellMar>
          <w:top w:w="0" w:type="dxa"/>
          <w:left w:w="0" w:type="dxa"/>
          <w:bottom w:w="0" w:type="dxa"/>
          <w:right w:w="0" w:type="dxa"/>
        </w:tblCellMar>
      </w:tblPr>
      <w:tr>
        <w:trPr>
          <w:trHeight w:val="216"/>
        </w:trPr>
        <w:tc>
          <w:tcPr>
            <w:tcW w:w="1700" w:type="dxa"/>
            <w:vAlign w:val="bottom"/>
            <w:tcBorders>
              <w:top w:val="single" w:sz="8" w:color="auto"/>
              <w:left w:val="single" w:sz="8" w:color="auto"/>
              <w:bottom w:val="single" w:sz="8" w:color="auto"/>
              <w:right w:val="single" w:sz="8" w:color="auto"/>
            </w:tcBorders>
          </w:tcPr>
          <w:p>
            <w:pPr>
              <w:ind w:left="140"/>
              <w:spacing w:after="0"/>
              <w:rPr>
                <w:sz w:val="20"/>
                <w:szCs w:val="20"/>
                <w:color w:val="auto"/>
              </w:rPr>
            </w:pPr>
            <w:r>
              <w:rPr>
                <w:rFonts w:ascii="Arial" w:cs="Arial" w:eastAsia="Arial" w:hAnsi="Arial"/>
                <w:sz w:val="14"/>
                <w:szCs w:val="14"/>
                <w:b w:val="1"/>
                <w:bCs w:val="1"/>
                <w:color w:val="auto"/>
              </w:rPr>
              <w:t>Name</w:t>
            </w:r>
          </w:p>
        </w:tc>
        <w:tc>
          <w:tcPr>
            <w:tcW w:w="7660" w:type="dxa"/>
            <w:vAlign w:val="bottom"/>
            <w:tcBorders>
              <w:top w:val="single" w:sz="8" w:color="auto"/>
              <w:bottom w:val="single" w:sz="8" w:color="auto"/>
              <w:right w:val="single" w:sz="8" w:color="auto"/>
            </w:tcBorders>
          </w:tcPr>
          <w:p>
            <w:pPr>
              <w:ind w:left="260"/>
              <w:spacing w:after="0"/>
              <w:rPr>
                <w:sz w:val="20"/>
                <w:szCs w:val="20"/>
                <w:color w:val="auto"/>
              </w:rPr>
            </w:pPr>
            <w:r>
              <w:rPr>
                <w:rFonts w:ascii="Arial" w:cs="Arial" w:eastAsia="Arial" w:hAnsi="Arial"/>
                <w:sz w:val="14"/>
                <w:szCs w:val="14"/>
                <w:b w:val="1"/>
                <w:bCs w:val="1"/>
                <w:color w:val="auto"/>
              </w:rPr>
              <w:t>Matters Considered</w:t>
            </w:r>
          </w:p>
        </w:tc>
      </w:tr>
      <w:tr>
        <w:trPr>
          <w:trHeight w:val="237"/>
        </w:trPr>
        <w:tc>
          <w:tcPr>
            <w:tcW w:w="1700" w:type="dxa"/>
            <w:vAlign w:val="bottom"/>
            <w:tcBorders>
              <w:left w:val="single" w:sz="8" w:color="auto"/>
              <w:right w:val="single" w:sz="8" w:color="auto"/>
            </w:tcBorders>
            <w:shd w:val="clear" w:color="auto" w:fill="D4DBEB"/>
          </w:tcPr>
          <w:p>
            <w:pPr>
              <w:ind w:left="140"/>
              <w:spacing w:after="0"/>
              <w:rPr>
                <w:sz w:val="20"/>
                <w:szCs w:val="20"/>
                <w:color w:val="auto"/>
              </w:rPr>
            </w:pPr>
            <w:r>
              <w:rPr>
                <w:rFonts w:ascii="Arial" w:cs="Arial" w:eastAsia="Arial" w:hAnsi="Arial"/>
                <w:sz w:val="16"/>
                <w:szCs w:val="16"/>
                <w:color w:val="auto"/>
              </w:rPr>
              <w:t>K.C. Frazier</w:t>
            </w:r>
          </w:p>
        </w:tc>
        <w:tc>
          <w:tcPr>
            <w:tcW w:w="7660" w:type="dxa"/>
            <w:vAlign w:val="bottom"/>
            <w:tcBorders>
              <w:right w:val="single" w:sz="8" w:color="auto"/>
            </w:tcBorders>
            <w:shd w:val="clear" w:color="auto" w:fill="D4DBEB"/>
          </w:tcPr>
          <w:p>
            <w:pPr>
              <w:ind w:left="260"/>
              <w:spacing w:after="0"/>
              <w:rPr>
                <w:sz w:val="20"/>
                <w:szCs w:val="20"/>
                <w:color w:val="auto"/>
              </w:rPr>
            </w:pPr>
            <w:r>
              <w:rPr>
                <w:rFonts w:ascii="Arial" w:cs="Arial" w:eastAsia="Arial" w:hAnsi="Arial"/>
                <w:sz w:val="16"/>
                <w:szCs w:val="16"/>
                <w:color w:val="auto"/>
              </w:rPr>
              <w:t>Ordinary course business with Merck (purchases of pharmaceuticals; sales of chemicals and oils)</w:t>
            </w:r>
          </w:p>
        </w:tc>
      </w:tr>
      <w:tr>
        <w:trPr>
          <w:trHeight w:val="224"/>
        </w:trPr>
        <w:tc>
          <w:tcPr>
            <w:tcW w:w="1700" w:type="dxa"/>
            <w:vAlign w:val="bottom"/>
            <w:tcBorders>
              <w:left w:val="single" w:sz="8" w:color="auto"/>
              <w:bottom w:val="single" w:sz="8" w:color="auto"/>
              <w:right w:val="single" w:sz="8" w:color="auto"/>
            </w:tcBorders>
          </w:tcPr>
          <w:p>
            <w:pPr>
              <w:ind w:left="140"/>
              <w:spacing w:after="0"/>
              <w:rPr>
                <w:sz w:val="20"/>
                <w:szCs w:val="20"/>
                <w:color w:val="auto"/>
              </w:rPr>
            </w:pPr>
            <w:r>
              <w:rPr>
                <w:rFonts w:ascii="Arial" w:cs="Arial" w:eastAsia="Arial" w:hAnsi="Arial"/>
                <w:sz w:val="16"/>
                <w:szCs w:val="16"/>
                <w:color w:val="auto"/>
              </w:rPr>
              <w:t>S.A. Kandarian</w:t>
            </w:r>
          </w:p>
        </w:tc>
        <w:tc>
          <w:tcPr>
            <w:tcW w:w="7660" w:type="dxa"/>
            <w:vAlign w:val="bottom"/>
            <w:tcBorders>
              <w:bottom w:val="single" w:sz="8" w:color="auto"/>
              <w:right w:val="single" w:sz="8" w:color="auto"/>
            </w:tcBorders>
          </w:tcPr>
          <w:p>
            <w:pPr>
              <w:ind w:left="260"/>
              <w:spacing w:after="0"/>
              <w:rPr>
                <w:sz w:val="20"/>
                <w:szCs w:val="20"/>
                <w:color w:val="auto"/>
              </w:rPr>
            </w:pPr>
            <w:r>
              <w:rPr>
                <w:rFonts w:ascii="Arial" w:cs="Arial" w:eastAsia="Arial" w:hAnsi="Arial"/>
                <w:sz w:val="16"/>
                <w:szCs w:val="16"/>
                <w:color w:val="auto"/>
              </w:rPr>
              <w:t>Ordinary course business with MetLife (purchases of employee life insurance, other benefits)</w:t>
            </w:r>
          </w:p>
        </w:tc>
      </w:tr>
    </w:tbl>
    <w:p>
      <w:pPr>
        <w:spacing w:after="0" w:line="191" w:lineRule="exact"/>
        <w:rPr>
          <w:sz w:val="20"/>
          <w:szCs w:val="20"/>
          <w:color w:val="auto"/>
        </w:rPr>
      </w:pPr>
    </w:p>
    <w:p>
      <w:pPr>
        <w:ind w:left="860"/>
        <w:spacing w:after="0"/>
        <w:rPr>
          <w:sz w:val="20"/>
          <w:szCs w:val="20"/>
          <w:color w:val="auto"/>
        </w:rPr>
      </w:pPr>
      <w:r>
        <w:rPr>
          <w:rFonts w:ascii="Arial" w:cs="Arial" w:eastAsia="Arial" w:hAnsi="Arial"/>
          <w:sz w:val="18"/>
          <w:szCs w:val="18"/>
          <w:b w:val="1"/>
          <w:bCs w:val="1"/>
          <w:color w:val="auto"/>
        </w:rPr>
        <w:t>Related Person Transactions and Procedures</w:t>
      </w:r>
    </w:p>
    <w:p>
      <w:pPr>
        <w:spacing w:after="0" w:line="106" w:lineRule="exact"/>
        <w:rPr>
          <w:sz w:val="20"/>
          <w:szCs w:val="20"/>
          <w:color w:val="auto"/>
        </w:rPr>
      </w:pPr>
    </w:p>
    <w:p>
      <w:pPr>
        <w:ind w:left="860" w:right="540"/>
        <w:spacing w:after="0" w:line="276" w:lineRule="auto"/>
        <w:rPr>
          <w:sz w:val="20"/>
          <w:szCs w:val="20"/>
          <w:color w:val="auto"/>
        </w:rPr>
      </w:pPr>
      <w:r>
        <w:rPr>
          <w:rFonts w:ascii="Arial" w:cs="Arial" w:eastAsia="Arial" w:hAnsi="Arial"/>
          <w:sz w:val="18"/>
          <w:szCs w:val="18"/>
          <w:color w:val="auto"/>
        </w:rPr>
        <w:t>In accordance with SEC rules, ExxonMobil maintains Guidelines for Review of Related Person Transactions. These Guidelines are available on the Corporate Governance section of our website.</w:t>
      </w:r>
    </w:p>
    <w:p>
      <w:pPr>
        <w:spacing w:after="0" w:line="78" w:lineRule="exact"/>
        <w:rPr>
          <w:sz w:val="20"/>
          <w:szCs w:val="20"/>
          <w:color w:val="auto"/>
        </w:rPr>
      </w:pPr>
    </w:p>
    <w:p>
      <w:pPr>
        <w:ind w:left="880"/>
        <w:spacing w:after="0"/>
        <w:tabs>
          <w:tab w:leader="none" w:pos="2680" w:val="left"/>
        </w:tabs>
        <w:rPr>
          <w:sz w:val="20"/>
          <w:szCs w:val="20"/>
          <w:color w:val="auto"/>
        </w:rPr>
      </w:pPr>
      <w:r>
        <w:rPr>
          <w:rFonts w:ascii="Arial" w:cs="Arial" w:eastAsia="Arial" w:hAnsi="Arial"/>
          <w:sz w:val="18"/>
          <w:szCs w:val="18"/>
          <w:color w:val="auto"/>
        </w:rPr>
        <w:t>8</w:t>
      </w:r>
      <w:r>
        <w:rPr>
          <w:sz w:val="20"/>
          <w:szCs w:val="20"/>
          <w:color w:val="auto"/>
        </w:rPr>
        <w:tab/>
      </w:r>
      <w:r>
        <w:rPr>
          <w:rFonts w:ascii="Times New Roman" w:cs="Times New Roman" w:eastAsia="Times New Roman" w:hAnsi="Times New Roman"/>
          <w:sz w:val="18"/>
          <w:szCs w:val="18"/>
          <w:i w:val="1"/>
          <w:iCs w:val="1"/>
          <w:color w:val="auto"/>
        </w:rPr>
        <w:t>2018 Proxy Statement</w:t>
      </w:r>
    </w:p>
    <w:p>
      <w:pPr>
        <w:sectPr>
          <w:pgSz w:w="11900" w:h="16838" w:orient="portrait"/>
          <w:cols w:equalWidth="0" w:num="1">
            <w:col w:w="10560"/>
          </w:cols>
          <w:pgMar w:left="240" w:top="455" w:right="1099" w:bottom="1440" w:gutter="0" w:footer="0" w:header="0"/>
        </w:sectPr>
      </w:pPr>
    </w:p>
    <w:bookmarkStart w:id="11" w:name="page12"/>
    <w:bookmarkEnd w:id="11"/>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Times New Roman" w:cs="Times New Roman" w:eastAsia="Times New Roman" w:hAnsi="Times New Roman"/>
            <w:sz w:val="18"/>
            <w:szCs w:val="18"/>
            <w:b w:val="1"/>
            <w:bCs w:val="1"/>
            <w:u w:val="single" w:color="auto"/>
            <w:color w:val="0000EE"/>
          </w:rPr>
          <w:t>Table of Contents</w:t>
        </w:r>
      </w:hyperlink>
    </w:p>
    <w:p>
      <w:pPr>
        <w:spacing w:after="0" w:line="305" w:lineRule="exact"/>
        <w:rPr>
          <w:sz w:val="20"/>
          <w:szCs w:val="20"/>
          <w:color w:val="auto"/>
        </w:rPr>
      </w:pPr>
    </w:p>
    <w:p>
      <w:pPr>
        <w:ind w:left="860" w:right="20"/>
        <w:spacing w:after="0" w:line="245" w:lineRule="auto"/>
        <w:rPr>
          <w:sz w:val="20"/>
          <w:szCs w:val="20"/>
          <w:color w:val="auto"/>
        </w:rPr>
      </w:pPr>
      <w:r>
        <w:rPr>
          <w:rFonts w:ascii="Arial" w:cs="Arial" w:eastAsia="Arial" w:hAnsi="Arial"/>
          <w:sz w:val="18"/>
          <w:szCs w:val="18"/>
          <w:color w:val="auto"/>
        </w:rPr>
        <w:t>In accordance with the Related Person Transaction Guidelines, all executive officers, directors, and director nominees are required to identify, to the best of their knowledge after reasonable inquiry, business and financial affiliations involving themselves or their immediate family members that could reasonably be expected to give rise to a reportable related person transaction. Covered persons must also advise the Secretary of the Corporation promptly of any change in the information provided, and will be asked periodically to review and reaffirm their information.</w:t>
      </w:r>
    </w:p>
    <w:p>
      <w:pPr>
        <w:spacing w:after="0" w:line="172" w:lineRule="exact"/>
        <w:rPr>
          <w:sz w:val="20"/>
          <w:szCs w:val="20"/>
          <w:color w:val="auto"/>
        </w:rPr>
      </w:pPr>
    </w:p>
    <w:p>
      <w:pPr>
        <w:ind w:left="860" w:right="100"/>
        <w:spacing w:after="0" w:line="276" w:lineRule="auto"/>
        <w:rPr>
          <w:sz w:val="20"/>
          <w:szCs w:val="20"/>
          <w:color w:val="auto"/>
        </w:rPr>
      </w:pPr>
      <w:r>
        <w:rPr>
          <w:rFonts w:ascii="Arial" w:cs="Arial" w:eastAsia="Arial" w:hAnsi="Arial"/>
          <w:sz w:val="18"/>
          <w:szCs w:val="18"/>
          <w:color w:val="auto"/>
        </w:rPr>
        <w:t>For the above purposes, “immediate family member” includes a person’s spouse, parents, siblings, children, in-laws, and step-relatives.</w:t>
      </w:r>
    </w:p>
    <w:p>
      <w:pPr>
        <w:spacing w:after="0" w:line="145" w:lineRule="exact"/>
        <w:rPr>
          <w:sz w:val="20"/>
          <w:szCs w:val="20"/>
          <w:color w:val="auto"/>
        </w:rPr>
      </w:pPr>
    </w:p>
    <w:p>
      <w:pPr>
        <w:ind w:left="860" w:right="200"/>
        <w:spacing w:after="0" w:line="248" w:lineRule="auto"/>
        <w:rPr>
          <w:sz w:val="20"/>
          <w:szCs w:val="20"/>
          <w:color w:val="auto"/>
        </w:rPr>
      </w:pPr>
      <w:r>
        <w:rPr>
          <w:rFonts w:ascii="Arial" w:cs="Arial" w:eastAsia="Arial" w:hAnsi="Arial"/>
          <w:sz w:val="18"/>
          <w:szCs w:val="18"/>
          <w:color w:val="auto"/>
        </w:rPr>
        <w:t>Based on this information, we review the Company’s own records and make follow-up inquiries as may be necessary to identify potentially reportable transactions. A report summarizing such transactions and including a reasonable level of detail is then provided to the Board Affairs Committee. The Committee oversees the Related Person Transaction Guidelines generally and reviews specific items to assess materiality.</w:t>
      </w:r>
    </w:p>
    <w:p>
      <w:pPr>
        <w:spacing w:after="0" w:line="171" w:lineRule="exact"/>
        <w:rPr>
          <w:sz w:val="20"/>
          <w:szCs w:val="20"/>
          <w:color w:val="auto"/>
        </w:rPr>
      </w:pPr>
    </w:p>
    <w:p>
      <w:pPr>
        <w:ind w:left="860" w:right="140"/>
        <w:spacing w:after="0" w:line="248" w:lineRule="auto"/>
        <w:rPr>
          <w:sz w:val="20"/>
          <w:szCs w:val="20"/>
          <w:color w:val="auto"/>
        </w:rPr>
      </w:pPr>
      <w:r>
        <w:rPr>
          <w:rFonts w:ascii="Arial" w:cs="Arial" w:eastAsia="Arial" w:hAnsi="Arial"/>
          <w:sz w:val="18"/>
          <w:szCs w:val="18"/>
          <w:color w:val="auto"/>
        </w:rPr>
        <w:t>In assessing materiality for this purpose, information will be considered material if, in light of all circumstances, there is a substantial likelihood a reasonable investor would consider the information important in deciding whether to buy or sell ExxonMobil stock or in deciding how to vote shares of ExxonMobil stock. A director will abstain from the decision on any transactions involving that director or his or her immediate family members.</w:t>
      </w:r>
    </w:p>
    <w:p>
      <w:pPr>
        <w:spacing w:after="0" w:line="171" w:lineRule="exact"/>
        <w:rPr>
          <w:sz w:val="20"/>
          <w:szCs w:val="20"/>
          <w:color w:val="auto"/>
        </w:rPr>
      </w:pPr>
    </w:p>
    <w:p>
      <w:pPr>
        <w:ind w:left="860" w:right="100"/>
        <w:spacing w:after="0" w:line="245" w:lineRule="auto"/>
        <w:rPr>
          <w:sz w:val="20"/>
          <w:szCs w:val="20"/>
          <w:color w:val="auto"/>
        </w:rPr>
      </w:pPr>
      <w:r>
        <w:rPr>
          <w:rFonts w:ascii="Arial" w:cs="Arial" w:eastAsia="Arial" w:hAnsi="Arial"/>
          <w:sz w:val="18"/>
          <w:szCs w:val="18"/>
          <w:color w:val="auto"/>
        </w:rPr>
        <w:t>Under SEC rules, certain transactions are deemed not to involve a material interest (including transactions in which the amount involved in any 12-month period is less than $120,000 and transactions with entities where a related person’s interest is limited to service as a non-employee director). In addition, based on a consideration of ExxonMobil’s facts and circumstances, the Committee will presume that the following transactions do not involve a material interest for purposes of reporting under SEC rules:</w:t>
      </w:r>
    </w:p>
    <w:p>
      <w:pPr>
        <w:spacing w:after="0" w:line="78" w:lineRule="exact"/>
        <w:rPr>
          <w:sz w:val="20"/>
          <w:szCs w:val="20"/>
          <w:color w:val="auto"/>
        </w:rPr>
      </w:pPr>
    </w:p>
    <w:p>
      <w:pPr>
        <w:ind w:left="1240" w:right="160" w:hanging="388"/>
        <w:spacing w:after="0" w:line="248" w:lineRule="auto"/>
        <w:tabs>
          <w:tab w:leader="none" w:pos="1240" w:val="left"/>
        </w:tabs>
        <w:numPr>
          <w:ilvl w:val="0"/>
          <w:numId w:val="15"/>
        </w:numPr>
        <w:rPr>
          <w:rFonts w:ascii="Times New Roman" w:cs="Times New Roman" w:eastAsia="Times New Roman" w:hAnsi="Times New Roman"/>
          <w:sz w:val="18"/>
          <w:szCs w:val="18"/>
          <w:color w:val="auto"/>
        </w:rPr>
      </w:pPr>
      <w:r>
        <w:rPr>
          <w:rFonts w:ascii="Arial" w:cs="Arial" w:eastAsia="Arial" w:hAnsi="Arial"/>
          <w:sz w:val="18"/>
          <w:szCs w:val="18"/>
          <w:color w:val="auto"/>
        </w:rPr>
        <w:t xml:space="preserve">Transactions in the ordinary course of business with an entity for which a related person serves as an executive officer, </w:t>
      </w:r>
      <w:r>
        <w:rPr>
          <w:rFonts w:ascii="Arial" w:cs="Arial" w:eastAsia="Arial" w:hAnsi="Arial"/>
          <w:sz w:val="18"/>
          <w:szCs w:val="18"/>
          <w:i w:val="1"/>
          <w:iCs w:val="1"/>
          <w:color w:val="auto"/>
        </w:rPr>
        <w:t>provided:</w:t>
      </w:r>
      <w:r>
        <w:rPr>
          <w:rFonts w:ascii="Arial" w:cs="Arial" w:eastAsia="Arial" w:hAnsi="Arial"/>
          <w:sz w:val="18"/>
          <w:szCs w:val="18"/>
          <w:color w:val="auto"/>
        </w:rPr>
        <w:t xml:space="preserve"> (1) the affected director or executive officer did not participate in the decision on the part of ExxonMobil to enter into such transactions; and (2) the amount involved in any related category of transactions in a 12-month period is less than 1 percent of the entity’s gross revenues.</w:t>
      </w:r>
    </w:p>
    <w:p>
      <w:pPr>
        <w:spacing w:after="0" w:line="75" w:lineRule="exact"/>
        <w:rPr>
          <w:rFonts w:ascii="Times New Roman" w:cs="Times New Roman" w:eastAsia="Times New Roman" w:hAnsi="Times New Roman"/>
          <w:sz w:val="18"/>
          <w:szCs w:val="18"/>
          <w:color w:val="auto"/>
        </w:rPr>
      </w:pPr>
    </w:p>
    <w:p>
      <w:pPr>
        <w:ind w:left="1240" w:hanging="388"/>
        <w:spacing w:after="0" w:line="248" w:lineRule="auto"/>
        <w:tabs>
          <w:tab w:leader="none" w:pos="1240" w:val="left"/>
        </w:tabs>
        <w:numPr>
          <w:ilvl w:val="0"/>
          <w:numId w:val="15"/>
        </w:numPr>
        <w:rPr>
          <w:rFonts w:ascii="Times New Roman" w:cs="Times New Roman" w:eastAsia="Times New Roman" w:hAnsi="Times New Roman"/>
          <w:sz w:val="18"/>
          <w:szCs w:val="18"/>
          <w:color w:val="auto"/>
        </w:rPr>
      </w:pPr>
      <w:r>
        <w:rPr>
          <w:rFonts w:ascii="Arial" w:cs="Arial" w:eastAsia="Arial" w:hAnsi="Arial"/>
          <w:sz w:val="18"/>
          <w:szCs w:val="18"/>
          <w:color w:val="auto"/>
        </w:rPr>
        <w:t xml:space="preserve">Grants or membership payments in the ordinary course of business to nonprofit organizations, </w:t>
      </w:r>
      <w:r>
        <w:rPr>
          <w:rFonts w:ascii="Arial" w:cs="Arial" w:eastAsia="Arial" w:hAnsi="Arial"/>
          <w:sz w:val="18"/>
          <w:szCs w:val="18"/>
          <w:i w:val="1"/>
          <w:iCs w:val="1"/>
          <w:color w:val="auto"/>
        </w:rPr>
        <w:t>provided:</w:t>
      </w:r>
      <w:r>
        <w:rPr>
          <w:rFonts w:ascii="Arial" w:cs="Arial" w:eastAsia="Arial" w:hAnsi="Arial"/>
          <w:sz w:val="18"/>
          <w:szCs w:val="18"/>
          <w:color w:val="auto"/>
        </w:rPr>
        <w:t xml:space="preserve"> (1) the affected director or executive officer did not participate in the decision on the part of ExxonMobil to make such payments; and (2) the amount of general purpose grants in a 12-month period is less than 1 percent of the recipient’s gross revenues.</w:t>
      </w:r>
    </w:p>
    <w:p>
      <w:pPr>
        <w:spacing w:after="0" w:line="75" w:lineRule="exact"/>
        <w:rPr>
          <w:rFonts w:ascii="Times New Roman" w:cs="Times New Roman" w:eastAsia="Times New Roman" w:hAnsi="Times New Roman"/>
          <w:sz w:val="18"/>
          <w:szCs w:val="18"/>
          <w:color w:val="auto"/>
        </w:rPr>
      </w:pPr>
    </w:p>
    <w:p>
      <w:pPr>
        <w:ind w:left="1240" w:right="300" w:hanging="388"/>
        <w:spacing w:after="0" w:line="255" w:lineRule="auto"/>
        <w:tabs>
          <w:tab w:leader="none" w:pos="1240" w:val="left"/>
        </w:tabs>
        <w:numPr>
          <w:ilvl w:val="0"/>
          <w:numId w:val="15"/>
        </w:numPr>
        <w:rPr>
          <w:rFonts w:ascii="Times New Roman" w:cs="Times New Roman" w:eastAsia="Times New Roman" w:hAnsi="Times New Roman"/>
          <w:sz w:val="18"/>
          <w:szCs w:val="18"/>
          <w:color w:val="auto"/>
        </w:rPr>
      </w:pPr>
      <w:r>
        <w:rPr>
          <w:rFonts w:ascii="Arial" w:cs="Arial" w:eastAsia="Arial" w:hAnsi="Arial"/>
          <w:sz w:val="18"/>
          <w:szCs w:val="18"/>
          <w:color w:val="auto"/>
        </w:rPr>
        <w:t>Payments under ExxonMobil plans and arrangements that are available generally to U.S. salaried employees (including contributions under the ExxonMobil Foundation’s Educational and Cultural Matching Gift Programs and payments to providers under ExxonMobil health care plans).</w:t>
      </w:r>
    </w:p>
    <w:p>
      <w:pPr>
        <w:spacing w:after="0" w:line="68" w:lineRule="exact"/>
        <w:rPr>
          <w:rFonts w:ascii="Times New Roman" w:cs="Times New Roman" w:eastAsia="Times New Roman" w:hAnsi="Times New Roman"/>
          <w:sz w:val="18"/>
          <w:szCs w:val="18"/>
          <w:color w:val="auto"/>
        </w:rPr>
      </w:pPr>
    </w:p>
    <w:p>
      <w:pPr>
        <w:ind w:left="1240" w:right="540" w:hanging="388"/>
        <w:spacing w:after="0" w:line="306" w:lineRule="auto"/>
        <w:tabs>
          <w:tab w:leader="none" w:pos="1240" w:val="left"/>
        </w:tabs>
        <w:numPr>
          <w:ilvl w:val="0"/>
          <w:numId w:val="15"/>
        </w:numPr>
        <w:rPr>
          <w:rFonts w:ascii="Times New Roman" w:cs="Times New Roman" w:eastAsia="Times New Roman" w:hAnsi="Times New Roman"/>
          <w:sz w:val="17"/>
          <w:szCs w:val="17"/>
          <w:color w:val="auto"/>
        </w:rPr>
      </w:pPr>
      <w:r>
        <w:rPr>
          <w:rFonts w:ascii="Arial" w:cs="Arial" w:eastAsia="Arial" w:hAnsi="Arial"/>
          <w:sz w:val="17"/>
          <w:szCs w:val="17"/>
          <w:color w:val="auto"/>
        </w:rPr>
        <w:t xml:space="preserve">Employment by ExxonMobil of a family member of an executive officer, </w:t>
      </w:r>
      <w:r>
        <w:rPr>
          <w:rFonts w:ascii="Arial" w:cs="Arial" w:eastAsia="Arial" w:hAnsi="Arial"/>
          <w:sz w:val="17"/>
          <w:szCs w:val="17"/>
          <w:i w:val="1"/>
          <w:iCs w:val="1"/>
          <w:color w:val="auto"/>
        </w:rPr>
        <w:t>provided</w:t>
      </w:r>
      <w:r>
        <w:rPr>
          <w:rFonts w:ascii="Arial" w:cs="Arial" w:eastAsia="Arial" w:hAnsi="Arial"/>
          <w:sz w:val="17"/>
          <w:szCs w:val="17"/>
          <w:color w:val="auto"/>
        </w:rPr>
        <w:t xml:space="preserve"> the executive officer does not participate in decisions regarding the hiring, performance evaluation, or compensation of the family member.</w:t>
      </w:r>
    </w:p>
    <w:p>
      <w:pPr>
        <w:spacing w:after="0" w:line="122" w:lineRule="exact"/>
        <w:rPr>
          <w:sz w:val="20"/>
          <w:szCs w:val="20"/>
          <w:color w:val="auto"/>
        </w:rPr>
      </w:pPr>
    </w:p>
    <w:p>
      <w:pPr>
        <w:ind w:left="860" w:right="140"/>
        <w:spacing w:after="0" w:line="276" w:lineRule="auto"/>
        <w:rPr>
          <w:sz w:val="20"/>
          <w:szCs w:val="20"/>
          <w:color w:val="auto"/>
        </w:rPr>
      </w:pPr>
      <w:r>
        <w:rPr>
          <w:rFonts w:ascii="Arial" w:cs="Arial" w:eastAsia="Arial" w:hAnsi="Arial"/>
          <w:sz w:val="18"/>
          <w:szCs w:val="18"/>
          <w:color w:val="auto"/>
        </w:rPr>
        <w:t>Transactions or relationships not covered by the above standards will be assessed by the Committee on the basis of the specific facts and circumstances.</w:t>
      </w:r>
    </w:p>
    <w:p>
      <w:pPr>
        <w:spacing w:after="0" w:line="145" w:lineRule="exact"/>
        <w:rPr>
          <w:sz w:val="20"/>
          <w:szCs w:val="20"/>
          <w:color w:val="auto"/>
        </w:rPr>
      </w:pPr>
    </w:p>
    <w:p>
      <w:pPr>
        <w:ind w:left="860" w:right="80"/>
        <w:spacing w:after="0" w:line="276" w:lineRule="auto"/>
        <w:rPr>
          <w:sz w:val="20"/>
          <w:szCs w:val="20"/>
          <w:color w:val="auto"/>
        </w:rPr>
      </w:pPr>
      <w:r>
        <w:rPr>
          <w:rFonts w:ascii="Arial" w:cs="Arial" w:eastAsia="Arial" w:hAnsi="Arial"/>
          <w:sz w:val="18"/>
          <w:szCs w:val="18"/>
          <w:color w:val="auto"/>
        </w:rPr>
        <w:t>The following disclosures are made as of February 28, 2018, the date of the most recent Board Affairs Committee review of potential related person transactions.</w:t>
      </w:r>
    </w:p>
    <w:p>
      <w:pPr>
        <w:spacing w:after="0" w:line="145" w:lineRule="exact"/>
        <w:rPr>
          <w:sz w:val="20"/>
          <w:szCs w:val="20"/>
          <w:color w:val="auto"/>
        </w:rPr>
      </w:pPr>
    </w:p>
    <w:p>
      <w:pPr>
        <w:ind w:left="860" w:right="60"/>
        <w:spacing w:after="0" w:line="241" w:lineRule="auto"/>
        <w:rPr>
          <w:sz w:val="20"/>
          <w:szCs w:val="20"/>
          <w:color w:val="auto"/>
        </w:rPr>
      </w:pPr>
      <w:r>
        <w:rPr>
          <w:rFonts w:ascii="Arial" w:cs="Arial" w:eastAsia="Arial" w:hAnsi="Arial"/>
          <w:sz w:val="18"/>
          <w:szCs w:val="18"/>
          <w:color w:val="auto"/>
        </w:rPr>
        <w:t>ExxonMobil and its affiliates have more than 70,000 employees around the world and employees related by birth or marriage may be found at all levels of the organization. ExxonMobil employees do not receive preferential treatment by reason of being related to an executive officer, and executive officers do not participate in hiring, performance evaluation, or compensation decisions for family members. ExxonMobil’s employment guidelines state, “Relatives of Company employees may be employed on a non-preferential basis. However, an employee should not be employed by or assigned to work under the direct supervision of a relative, or to report to a supervisor who in turn reports to a relative of the employee.”</w:t>
      </w:r>
    </w:p>
    <w:p>
      <w:pPr>
        <w:spacing w:after="0" w:line="112" w:lineRule="exact"/>
        <w:rPr>
          <w:sz w:val="20"/>
          <w:szCs w:val="20"/>
          <w:color w:val="auto"/>
        </w:rPr>
      </w:pPr>
    </w:p>
    <w:tbl>
      <w:tblPr>
        <w:tblLayout w:type="fixed"/>
        <w:tblInd w:w="7060" w:type="dxa"/>
        <w:tblCellMar>
          <w:top w:w="0" w:type="dxa"/>
          <w:left w:w="0" w:type="dxa"/>
          <w:bottom w:w="0" w:type="dxa"/>
          <w:right w:w="0" w:type="dxa"/>
        </w:tblCellMar>
      </w:tblPr>
      <w:tr>
        <w:trPr>
          <w:trHeight w:val="243"/>
        </w:trPr>
        <w:tc>
          <w:tcPr>
            <w:tcW w:w="2440" w:type="dxa"/>
            <w:vAlign w:val="bottom"/>
          </w:tcPr>
          <w:p>
            <w:pPr>
              <w:spacing w:after="0"/>
              <w:rPr>
                <w:sz w:val="20"/>
                <w:szCs w:val="20"/>
                <w:color w:val="auto"/>
              </w:rPr>
            </w:pPr>
            <w:r>
              <w:rPr>
                <w:rFonts w:ascii="Times New Roman" w:cs="Times New Roman" w:eastAsia="Times New Roman" w:hAnsi="Times New Roman"/>
                <w:sz w:val="18"/>
                <w:szCs w:val="18"/>
                <w:i w:val="1"/>
                <w:iCs w:val="1"/>
                <w:color w:val="auto"/>
              </w:rPr>
              <w:t>2018 Proxy Statement</w:t>
            </w:r>
          </w:p>
        </w:tc>
        <w:tc>
          <w:tcPr>
            <w:tcW w:w="960" w:type="dxa"/>
            <w:vAlign w:val="bottom"/>
          </w:tcPr>
          <w:p>
            <w:pPr>
              <w:jc w:val="right"/>
              <w:spacing w:after="0"/>
              <w:rPr>
                <w:sz w:val="20"/>
                <w:szCs w:val="20"/>
                <w:color w:val="auto"/>
              </w:rPr>
            </w:pPr>
            <w:r>
              <w:rPr>
                <w:rFonts w:ascii="Arial" w:cs="Arial" w:eastAsia="Arial" w:hAnsi="Arial"/>
                <w:sz w:val="18"/>
                <w:szCs w:val="18"/>
                <w:color w:val="auto"/>
              </w:rPr>
              <w:t>9</w:t>
            </w:r>
          </w:p>
        </w:tc>
      </w:tr>
    </w:tbl>
    <w:p>
      <w:pPr>
        <w:sectPr>
          <w:pgSz w:w="11900" w:h="16838" w:orient="portrait"/>
          <w:cols w:equalWidth="0" w:num="1">
            <w:col w:w="10540"/>
          </w:cols>
          <w:pgMar w:left="240" w:top="455" w:right="1119" w:bottom="1440" w:gutter="0" w:footer="0" w:header="0"/>
        </w:sectPr>
      </w:pPr>
    </w:p>
    <w:bookmarkStart w:id="12" w:name="page13"/>
    <w:bookmarkEnd w:id="12"/>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Times New Roman" w:cs="Times New Roman" w:eastAsia="Times New Roman" w:hAnsi="Times New Roman"/>
            <w:sz w:val="18"/>
            <w:szCs w:val="18"/>
            <w:b w:val="1"/>
            <w:bCs w:val="1"/>
            <w:u w:val="single" w:color="auto"/>
            <w:color w:val="0000EE"/>
          </w:rPr>
          <w:t>Table of Contents</w:t>
        </w:r>
      </w:hyperlink>
    </w:p>
    <w:p>
      <w:pPr>
        <w:spacing w:after="0" w:line="305" w:lineRule="exact"/>
        <w:rPr>
          <w:sz w:val="20"/>
          <w:szCs w:val="20"/>
          <w:color w:val="auto"/>
        </w:rPr>
      </w:pPr>
    </w:p>
    <w:p>
      <w:pPr>
        <w:ind w:left="860" w:right="100"/>
        <w:spacing w:after="0" w:line="239" w:lineRule="auto"/>
        <w:rPr>
          <w:sz w:val="20"/>
          <w:szCs w:val="20"/>
          <w:color w:val="auto"/>
        </w:rPr>
      </w:pPr>
      <w:r>
        <w:rPr>
          <w:rFonts w:ascii="Arial" w:cs="Arial" w:eastAsia="Arial" w:hAnsi="Arial"/>
          <w:sz w:val="18"/>
          <w:szCs w:val="18"/>
          <w:color w:val="auto"/>
        </w:rPr>
        <w:t>Several current ExxonMobil executive officers have family members who are employed by the Corporation or its affiliates and whose current annualized compensation (including benefits) exceeds the SEC disclosure threshold: M.W. Albers (Senior Vice President) has a daughter employed by ExxonMobil Global Services Company; R.N. Schleckser (Vice President and Treasurer) has a brother employed by ExxonMobil Research and Engineering Company; S.M. Greenlee (Vice President) has a son-in-law employed by ExxonMobil Chemical Company; L.M. Mallon (President, ExxonMobil Development Company) has a son employed by ExxonMobil Research and Engineering Company; J.M. Spellings (Vice President and General Tax Counsel) has a son employed by ExxonMobil Pipeline Company; and J.J. Woodbury (Vice President – Investor Relations and Secretary) has a son employed by XTO Energy Inc. Consistent with ExxonMobil’s Related Person Transaction Guidelines as described above, we do not consider any of these relationships to be material within the meaning of the related person transaction disclosure rules.</w:t>
      </w:r>
    </w:p>
    <w:p>
      <w:pPr>
        <w:spacing w:after="0" w:line="181" w:lineRule="exact"/>
        <w:rPr>
          <w:sz w:val="20"/>
          <w:szCs w:val="20"/>
          <w:color w:val="auto"/>
        </w:rPr>
      </w:pPr>
    </w:p>
    <w:p>
      <w:pPr>
        <w:ind w:left="860"/>
        <w:spacing w:after="0"/>
        <w:rPr>
          <w:sz w:val="20"/>
          <w:szCs w:val="20"/>
          <w:color w:val="auto"/>
        </w:rPr>
      </w:pPr>
      <w:r>
        <w:rPr>
          <w:rFonts w:ascii="Arial" w:cs="Arial" w:eastAsia="Arial" w:hAnsi="Arial"/>
          <w:sz w:val="18"/>
          <w:szCs w:val="18"/>
          <w:color w:val="auto"/>
        </w:rPr>
        <w:t>S.N. Ortwein (President, XTO Energy Inc.) has a brother-in-law currently serving as Chief Executive Officer of Oracle Corporation. In the ordinary course of our business, ExxonMobil purchases a variety of computer technology and services from Oracle. Ms. Ortwein has no involvement in decisions regarding ExxonMobil’s business with Oracle and the annual volume of such business is well below the categorical threshold established in ExxonMobil’s Related Person Transaction Guidelines. R.M. Ebner (Vice President and General Counsel) has a brother-in-law who is a partner of a law firm that performs limited work for ExxonMobil. Mr. Ebner’s brother-in-law does not work on ExxonMobil’s account and Mr. Ebner is recused from any involvement in decisions to retain the firm. Therefore, we do not consider these relationships to be material within the meaning of the related person transaction disclosure rules.</w:t>
      </w:r>
    </w:p>
    <w:p>
      <w:pPr>
        <w:spacing w:after="0" w:line="181" w:lineRule="exact"/>
        <w:rPr>
          <w:sz w:val="20"/>
          <w:szCs w:val="20"/>
          <w:color w:val="auto"/>
        </w:rPr>
      </w:pPr>
    </w:p>
    <w:p>
      <w:pPr>
        <w:ind w:left="860" w:right="60"/>
        <w:spacing w:after="0" w:line="248" w:lineRule="auto"/>
        <w:rPr>
          <w:sz w:val="20"/>
          <w:szCs w:val="20"/>
          <w:color w:val="auto"/>
        </w:rPr>
      </w:pPr>
      <w:r>
        <w:rPr>
          <w:rFonts w:ascii="Arial" w:cs="Arial" w:eastAsia="Arial" w:hAnsi="Arial"/>
          <w:sz w:val="18"/>
          <w:szCs w:val="18"/>
          <w:color w:val="auto"/>
        </w:rPr>
        <w:t>The Board Affairs Committee also reviewed ExxonMobil’s ordinary course business with companies for which non-employee directors or their immediate family members serve as executive officers. The Committee determined that, in accordance with the categorical standards described above, none of those matters represent reportable related person transactions. See Director Independence on page 8.</w:t>
      </w:r>
    </w:p>
    <w:p>
      <w:pPr>
        <w:spacing w:after="0" w:line="171" w:lineRule="exact"/>
        <w:rPr>
          <w:sz w:val="20"/>
          <w:szCs w:val="20"/>
          <w:color w:val="auto"/>
        </w:rPr>
      </w:pPr>
    </w:p>
    <w:p>
      <w:pPr>
        <w:ind w:left="860" w:right="280"/>
        <w:spacing w:after="0" w:line="255" w:lineRule="auto"/>
        <w:rPr>
          <w:sz w:val="20"/>
          <w:szCs w:val="20"/>
          <w:color w:val="auto"/>
        </w:rPr>
      </w:pPr>
      <w:r>
        <w:rPr>
          <w:rFonts w:ascii="Arial" w:cs="Arial" w:eastAsia="Arial" w:hAnsi="Arial"/>
          <w:sz w:val="18"/>
          <w:szCs w:val="18"/>
          <w:color w:val="auto"/>
        </w:rPr>
        <w:t>The Committee also determined that no related person transactions occurred during the year involving any of the investors who have reported ownership of 5 percent or more of ExxonMobil’s outstanding common stock. See “Certain Beneficial Owners” on page 23.</w:t>
      </w:r>
    </w:p>
    <w:p>
      <w:pPr>
        <w:spacing w:after="0" w:line="164" w:lineRule="exact"/>
        <w:rPr>
          <w:sz w:val="20"/>
          <w:szCs w:val="20"/>
          <w:color w:val="auto"/>
        </w:rPr>
      </w:pPr>
    </w:p>
    <w:p>
      <w:pPr>
        <w:ind w:left="860" w:right="420"/>
        <w:spacing w:after="0" w:line="255" w:lineRule="auto"/>
        <w:rPr>
          <w:sz w:val="20"/>
          <w:szCs w:val="20"/>
          <w:color w:val="auto"/>
        </w:rPr>
      </w:pPr>
      <w:r>
        <w:rPr>
          <w:rFonts w:ascii="Arial" w:cs="Arial" w:eastAsia="Arial" w:hAnsi="Arial"/>
          <w:sz w:val="18"/>
          <w:szCs w:val="18"/>
          <w:color w:val="auto"/>
        </w:rPr>
        <w:t>We are not aware of any related person transactions required to be reported under applicable SEC rules since the beginning of the last fiscal year where our policies and procedures did not require review, or where such policies and procedures were not followed.</w:t>
      </w:r>
    </w:p>
    <w:p>
      <w:pPr>
        <w:spacing w:after="0" w:line="164" w:lineRule="exact"/>
        <w:rPr>
          <w:sz w:val="20"/>
          <w:szCs w:val="20"/>
          <w:color w:val="auto"/>
        </w:rPr>
      </w:pPr>
    </w:p>
    <w:p>
      <w:pPr>
        <w:jc w:val="both"/>
        <w:ind w:left="860" w:right="380"/>
        <w:spacing w:after="0" w:line="255" w:lineRule="auto"/>
        <w:rPr>
          <w:sz w:val="20"/>
          <w:szCs w:val="20"/>
          <w:color w:val="auto"/>
        </w:rPr>
      </w:pPr>
      <w:r>
        <w:rPr>
          <w:rFonts w:ascii="Arial" w:cs="Arial" w:eastAsia="Arial" w:hAnsi="Arial"/>
          <w:sz w:val="18"/>
          <w:szCs w:val="18"/>
          <w:color w:val="auto"/>
        </w:rPr>
        <w:t>The Corporation’s Related Person Transaction Guidelines are intended to assist the Corporation in complying with its disclosure obligations under SEC rules. These procedures are in addition to, not in lieu of, the Corporation’s Code of Ethics and Business Conduct.</w:t>
      </w:r>
    </w:p>
    <w:p>
      <w:pPr>
        <w:spacing w:after="0" w:line="162" w:lineRule="exact"/>
        <w:rPr>
          <w:sz w:val="20"/>
          <w:szCs w:val="20"/>
          <w:color w:val="auto"/>
        </w:rPr>
      </w:pPr>
    </w:p>
    <w:p>
      <w:pPr>
        <w:ind w:left="860"/>
        <w:spacing w:after="0"/>
        <w:rPr>
          <w:sz w:val="20"/>
          <w:szCs w:val="20"/>
          <w:color w:val="auto"/>
        </w:rPr>
      </w:pPr>
      <w:r>
        <w:rPr>
          <w:rFonts w:ascii="Arial" w:cs="Arial" w:eastAsia="Arial" w:hAnsi="Arial"/>
          <w:sz w:val="18"/>
          <w:szCs w:val="18"/>
          <w:b w:val="1"/>
          <w:bCs w:val="1"/>
          <w:color w:val="auto"/>
        </w:rPr>
        <w:t>Code of Ethics and Business Conduct</w:t>
      </w:r>
    </w:p>
    <w:p>
      <w:pPr>
        <w:spacing w:after="0" w:line="106" w:lineRule="exact"/>
        <w:rPr>
          <w:sz w:val="20"/>
          <w:szCs w:val="20"/>
          <w:color w:val="auto"/>
        </w:rPr>
      </w:pPr>
    </w:p>
    <w:p>
      <w:pPr>
        <w:ind w:left="860"/>
        <w:spacing w:after="0" w:line="243" w:lineRule="auto"/>
        <w:rPr>
          <w:sz w:val="20"/>
          <w:szCs w:val="20"/>
          <w:color w:val="auto"/>
        </w:rPr>
      </w:pPr>
      <w:r>
        <w:rPr>
          <w:rFonts w:ascii="Arial" w:cs="Arial" w:eastAsia="Arial" w:hAnsi="Arial"/>
          <w:sz w:val="18"/>
          <w:szCs w:val="18"/>
          <w:color w:val="auto"/>
        </w:rPr>
        <w:t>The Board maintains policies and procedures (which we refer to in this proxy statement as the “Code”) that represent both the code of ethics for the principal executive officer, principal financial officer, and principal accounting officer under SEC rules, and the code of business conduct and ethics for directors, officers, and employees under NYSE listing standards. The Code applies to all directors, officers, and employees. The Code includes a Conflicts of Interest Policy under which directors, officers, and employees are expected to avoid any actual or apparent conflict between their own personal interests and the interests of the Corporation.</w:t>
      </w:r>
    </w:p>
    <w:p>
      <w:pPr>
        <w:spacing w:after="0" w:line="174" w:lineRule="exact"/>
        <w:rPr>
          <w:sz w:val="20"/>
          <w:szCs w:val="20"/>
          <w:color w:val="auto"/>
        </w:rPr>
      </w:pPr>
    </w:p>
    <w:p>
      <w:pPr>
        <w:ind w:left="860" w:right="200"/>
        <w:spacing w:after="0" w:line="276" w:lineRule="auto"/>
        <w:rPr>
          <w:sz w:val="20"/>
          <w:szCs w:val="20"/>
          <w:color w:val="auto"/>
        </w:rPr>
      </w:pPr>
      <w:r>
        <w:rPr>
          <w:rFonts w:ascii="Arial" w:cs="Arial" w:eastAsia="Arial" w:hAnsi="Arial"/>
          <w:sz w:val="18"/>
          <w:szCs w:val="18"/>
          <w:color w:val="auto"/>
        </w:rPr>
        <w:t xml:space="preserve">The Code is posted on the ExxonMobil website at </w:t>
      </w:r>
      <w:r>
        <w:rPr>
          <w:rFonts w:ascii="Arial" w:cs="Arial" w:eastAsia="Arial" w:hAnsi="Arial"/>
          <w:sz w:val="18"/>
          <w:szCs w:val="18"/>
          <w:i w:val="1"/>
          <w:iCs w:val="1"/>
          <w:color w:val="auto"/>
        </w:rPr>
        <w:t>exxonmobil.com/code</w:t>
      </w:r>
      <w:r>
        <w:rPr>
          <w:rFonts w:ascii="Arial" w:cs="Arial" w:eastAsia="Arial" w:hAnsi="Arial"/>
          <w:sz w:val="18"/>
          <w:szCs w:val="18"/>
          <w:color w:val="auto"/>
        </w:rPr>
        <w:t xml:space="preserve">. The Code is also included as an exhibit to our </w:t>
      </w:r>
      <w:r>
        <w:rPr>
          <w:rFonts w:ascii="Arial" w:cs="Arial" w:eastAsia="Arial" w:hAnsi="Arial"/>
          <w:sz w:val="18"/>
          <w:szCs w:val="18"/>
          <w:i w:val="1"/>
          <w:iCs w:val="1"/>
          <w:color w:val="auto"/>
        </w:rPr>
        <w:t>Annual Report on Form 10-K</w:t>
      </w:r>
      <w:r>
        <w:rPr>
          <w:rFonts w:ascii="Arial" w:cs="Arial" w:eastAsia="Arial" w:hAnsi="Arial"/>
          <w:sz w:val="18"/>
          <w:szCs w:val="18"/>
          <w:color w:val="auto"/>
        </w:rPr>
        <w:t>. Any amendment of the Code will be posted promptly on our website.</w:t>
      </w:r>
    </w:p>
    <w:p>
      <w:pPr>
        <w:spacing w:after="0" w:line="145" w:lineRule="exact"/>
        <w:rPr>
          <w:sz w:val="20"/>
          <w:szCs w:val="20"/>
          <w:color w:val="auto"/>
        </w:rPr>
      </w:pPr>
    </w:p>
    <w:p>
      <w:pPr>
        <w:ind w:left="860" w:right="220"/>
        <w:spacing w:after="0" w:line="248" w:lineRule="auto"/>
        <w:rPr>
          <w:sz w:val="20"/>
          <w:szCs w:val="20"/>
          <w:color w:val="auto"/>
        </w:rPr>
      </w:pPr>
      <w:r>
        <w:rPr>
          <w:rFonts w:ascii="Arial" w:cs="Arial" w:eastAsia="Arial" w:hAnsi="Arial"/>
          <w:sz w:val="18"/>
          <w:szCs w:val="18"/>
          <w:color w:val="auto"/>
        </w:rPr>
        <w:t>The Corporation maintains procedures for administering and reviewing potential issues under the Code, including procedures that allow employees to make complaints without identifying themselves. The Corporation also conducts periodic mandatory business practice training sessions, and requires regular employees and non-employee directors to complete annual compliance certifications.</w:t>
      </w:r>
    </w:p>
    <w:p>
      <w:pPr>
        <w:spacing w:after="0" w:line="103" w:lineRule="exact"/>
        <w:rPr>
          <w:sz w:val="20"/>
          <w:szCs w:val="20"/>
          <w:color w:val="auto"/>
        </w:rPr>
      </w:pPr>
    </w:p>
    <w:p>
      <w:pPr>
        <w:ind w:left="880"/>
        <w:spacing w:after="0"/>
        <w:tabs>
          <w:tab w:leader="none" w:pos="2780" w:val="left"/>
        </w:tabs>
        <w:rPr>
          <w:sz w:val="20"/>
          <w:szCs w:val="20"/>
          <w:color w:val="auto"/>
        </w:rPr>
      </w:pPr>
      <w:r>
        <w:rPr>
          <w:rFonts w:ascii="Arial" w:cs="Arial" w:eastAsia="Arial" w:hAnsi="Arial"/>
          <w:sz w:val="18"/>
          <w:szCs w:val="18"/>
          <w:color w:val="auto"/>
        </w:rPr>
        <w:t>10</w:t>
      </w:r>
      <w:r>
        <w:rPr>
          <w:sz w:val="20"/>
          <w:szCs w:val="20"/>
          <w:color w:val="auto"/>
        </w:rPr>
        <w:tab/>
      </w:r>
      <w:r>
        <w:rPr>
          <w:rFonts w:ascii="Times New Roman" w:cs="Times New Roman" w:eastAsia="Times New Roman" w:hAnsi="Times New Roman"/>
          <w:sz w:val="18"/>
          <w:szCs w:val="18"/>
          <w:i w:val="1"/>
          <w:iCs w:val="1"/>
          <w:color w:val="auto"/>
        </w:rPr>
        <w:t>2018 Proxy Statement</w:t>
      </w:r>
    </w:p>
    <w:p>
      <w:pPr>
        <w:sectPr>
          <w:pgSz w:w="11900" w:h="16838" w:orient="portrait"/>
          <w:cols w:equalWidth="0" w:num="1">
            <w:col w:w="10540"/>
          </w:cols>
          <w:pgMar w:left="240" w:top="455" w:right="1119" w:bottom="1440" w:gutter="0" w:footer="0" w:header="0"/>
        </w:sectPr>
      </w:pPr>
    </w:p>
    <w:bookmarkStart w:id="13" w:name="page14"/>
    <w:bookmarkEnd w:id="13"/>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Times New Roman" w:cs="Times New Roman" w:eastAsia="Times New Roman" w:hAnsi="Times New Roman"/>
            <w:sz w:val="18"/>
            <w:szCs w:val="18"/>
            <w:b w:val="1"/>
            <w:bCs w:val="1"/>
            <w:u w:val="single" w:color="auto"/>
            <w:color w:val="0000EE"/>
          </w:rPr>
          <w:t>Table of Contents</w:t>
        </w:r>
      </w:hyperlink>
    </w:p>
    <w:p>
      <w:pPr>
        <w:spacing w:after="0" w:line="305" w:lineRule="exact"/>
        <w:rPr>
          <w:sz w:val="20"/>
          <w:szCs w:val="20"/>
          <w:color w:val="auto"/>
        </w:rPr>
      </w:pPr>
    </w:p>
    <w:p>
      <w:pPr>
        <w:ind w:left="860" w:right="20"/>
        <w:spacing w:after="0" w:line="255" w:lineRule="auto"/>
        <w:rPr>
          <w:sz w:val="20"/>
          <w:szCs w:val="20"/>
          <w:color w:val="auto"/>
        </w:rPr>
      </w:pPr>
      <w:r>
        <w:rPr>
          <w:rFonts w:ascii="Arial" w:cs="Arial" w:eastAsia="Arial" w:hAnsi="Arial"/>
          <w:sz w:val="18"/>
          <w:szCs w:val="18"/>
          <w:color w:val="auto"/>
        </w:rPr>
        <w:t>The Board Affairs Committee will initially review any suspected violation of the Code involving an executive officer or director and will report its findings to the Board. The Board does not envision that any waiver of the Code will be granted. Should such a waiver occur, it will be promptly disclosed on our website.</w:t>
      </w:r>
    </w:p>
    <w:p>
      <w:pPr>
        <w:spacing w:after="0" w:line="162" w:lineRule="exact"/>
        <w:rPr>
          <w:sz w:val="20"/>
          <w:szCs w:val="20"/>
          <w:color w:val="auto"/>
        </w:rPr>
      </w:pPr>
    </w:p>
    <w:p>
      <w:pPr>
        <w:ind w:left="860"/>
        <w:spacing w:after="0"/>
        <w:rPr>
          <w:sz w:val="20"/>
          <w:szCs w:val="20"/>
          <w:color w:val="auto"/>
        </w:rPr>
      </w:pPr>
      <w:r>
        <w:rPr>
          <w:rFonts w:ascii="Arial" w:cs="Arial" w:eastAsia="Arial" w:hAnsi="Arial"/>
          <w:sz w:val="18"/>
          <w:szCs w:val="18"/>
          <w:b w:val="1"/>
          <w:bCs w:val="1"/>
          <w:color w:val="auto"/>
        </w:rPr>
        <w:t>Board Meetings and Annual Meeting Attendance</w:t>
      </w:r>
    </w:p>
    <w:p>
      <w:pPr>
        <w:spacing w:after="0" w:line="106" w:lineRule="exact"/>
        <w:rPr>
          <w:sz w:val="20"/>
          <w:szCs w:val="20"/>
          <w:color w:val="auto"/>
        </w:rPr>
      </w:pPr>
    </w:p>
    <w:p>
      <w:pPr>
        <w:jc w:val="both"/>
        <w:ind w:left="860" w:right="140"/>
        <w:spacing w:after="0" w:line="255" w:lineRule="auto"/>
        <w:rPr>
          <w:sz w:val="20"/>
          <w:szCs w:val="20"/>
          <w:color w:val="auto"/>
        </w:rPr>
      </w:pPr>
      <w:r>
        <w:rPr>
          <w:rFonts w:ascii="Arial" w:cs="Arial" w:eastAsia="Arial" w:hAnsi="Arial"/>
          <w:sz w:val="18"/>
          <w:szCs w:val="18"/>
          <w:color w:val="auto"/>
        </w:rPr>
        <w:t>The Board met 11 times in 2017. ExxonMobil’s incumbent directors, on average, attended approximately 98 percent of Board and committee meetings during 2017. No director attended less than 75 percent of such meetings. ExxonMobil’s non-employee directors held six executive sessions in 2017.</w:t>
      </w:r>
    </w:p>
    <w:p>
      <w:pPr>
        <w:spacing w:after="0" w:line="164" w:lineRule="exact"/>
        <w:rPr>
          <w:sz w:val="20"/>
          <w:szCs w:val="20"/>
          <w:color w:val="auto"/>
        </w:rPr>
      </w:pPr>
    </w:p>
    <w:p>
      <w:pPr>
        <w:ind w:left="860" w:right="60"/>
        <w:spacing w:after="0" w:line="255" w:lineRule="auto"/>
        <w:rPr>
          <w:sz w:val="20"/>
          <w:szCs w:val="20"/>
          <w:color w:val="auto"/>
        </w:rPr>
      </w:pPr>
      <w:r>
        <w:rPr>
          <w:rFonts w:ascii="Arial" w:cs="Arial" w:eastAsia="Arial" w:hAnsi="Arial"/>
          <w:sz w:val="18"/>
          <w:szCs w:val="18"/>
          <w:color w:val="auto"/>
        </w:rPr>
        <w:t>As specified in our Corporate Governance Guidelines, it is ExxonMobil’s policy that directors should make every effort to attend the annual meeting of shareholders. All incumbent directors attended last year’s meeting except Mr. Kandarian, who was first elected to the Board effective February 1, 2018.</w:t>
      </w:r>
    </w:p>
    <w:p>
      <w:pPr>
        <w:spacing w:after="0" w:line="162" w:lineRule="exact"/>
        <w:rPr>
          <w:sz w:val="20"/>
          <w:szCs w:val="20"/>
          <w:color w:val="auto"/>
        </w:rPr>
      </w:pPr>
    </w:p>
    <w:p>
      <w:pPr>
        <w:ind w:left="860"/>
        <w:spacing w:after="0"/>
        <w:rPr>
          <w:sz w:val="20"/>
          <w:szCs w:val="20"/>
          <w:color w:val="auto"/>
        </w:rPr>
      </w:pPr>
      <w:r>
        <w:rPr>
          <w:rFonts w:ascii="Arial" w:cs="Arial" w:eastAsia="Arial" w:hAnsi="Arial"/>
          <w:sz w:val="18"/>
          <w:szCs w:val="18"/>
          <w:b w:val="1"/>
          <w:bCs w:val="1"/>
          <w:color w:val="auto"/>
        </w:rPr>
        <w:t>Board Committees</w:t>
      </w:r>
    </w:p>
    <w:p>
      <w:pPr>
        <w:spacing w:after="0" w:line="106" w:lineRule="exact"/>
        <w:rPr>
          <w:sz w:val="20"/>
          <w:szCs w:val="20"/>
          <w:color w:val="auto"/>
        </w:rPr>
      </w:pPr>
    </w:p>
    <w:p>
      <w:pPr>
        <w:ind w:left="860" w:right="40"/>
        <w:spacing w:after="0" w:line="248" w:lineRule="auto"/>
        <w:rPr>
          <w:sz w:val="20"/>
          <w:szCs w:val="20"/>
          <w:color w:val="auto"/>
        </w:rPr>
      </w:pPr>
      <w:r>
        <w:rPr>
          <w:rFonts w:ascii="Arial" w:cs="Arial" w:eastAsia="Arial" w:hAnsi="Arial"/>
          <w:sz w:val="18"/>
          <w:szCs w:val="18"/>
          <w:color w:val="auto"/>
        </w:rPr>
        <w:t xml:space="preserve">The Board appoints committees to help carry out its duties. Board committees work on key issues in greater detail than would be possible at full Board meetings. Only non-employee directors may serve on the Audit, Compensation, Board Affairs, and Public Issues and Contributions Committees. Each committee has a written charter. The charters are posted on the Corporate Governance section of our website at </w:t>
      </w:r>
      <w:r>
        <w:rPr>
          <w:rFonts w:ascii="Arial" w:cs="Arial" w:eastAsia="Arial" w:hAnsi="Arial"/>
          <w:sz w:val="18"/>
          <w:szCs w:val="18"/>
          <w:i w:val="1"/>
          <w:iCs w:val="1"/>
          <w:color w:val="auto"/>
        </w:rPr>
        <w:t>exxonmobil.com/governance</w:t>
      </w:r>
      <w:r>
        <w:rPr>
          <w:rFonts w:ascii="Arial" w:cs="Arial" w:eastAsia="Arial" w:hAnsi="Arial"/>
          <w:sz w:val="18"/>
          <w:szCs w:val="18"/>
          <w:color w:val="auto"/>
        </w:rPr>
        <w:t>.</w:t>
      </w:r>
    </w:p>
    <w:p>
      <w:pPr>
        <w:spacing w:after="0" w:line="171" w:lineRule="exact"/>
        <w:rPr>
          <w:sz w:val="20"/>
          <w:szCs w:val="20"/>
          <w:color w:val="auto"/>
        </w:rPr>
      </w:pPr>
    </w:p>
    <w:p>
      <w:pPr>
        <w:ind w:left="860" w:right="160"/>
        <w:spacing w:after="0" w:line="276" w:lineRule="auto"/>
        <w:rPr>
          <w:sz w:val="20"/>
          <w:szCs w:val="20"/>
          <w:color w:val="auto"/>
        </w:rPr>
      </w:pPr>
      <w:r>
        <w:rPr>
          <w:rFonts w:ascii="Arial" w:cs="Arial" w:eastAsia="Arial" w:hAnsi="Arial"/>
          <w:sz w:val="18"/>
          <w:szCs w:val="18"/>
          <w:color w:val="auto"/>
        </w:rPr>
        <w:t>The table below shows the current membership of each Board committee and the number of meetings each committee held in 2017.</w:t>
      </w:r>
    </w:p>
    <w:p>
      <w:pPr>
        <w:spacing w:after="0" w:line="175" w:lineRule="exact"/>
        <w:rPr>
          <w:sz w:val="20"/>
          <w:szCs w:val="20"/>
          <w:color w:val="auto"/>
        </w:rPr>
      </w:pPr>
    </w:p>
    <w:tbl>
      <w:tblPr>
        <w:tblLayout w:type="fixed"/>
        <w:tblInd w:w="870" w:type="dxa"/>
        <w:tblCellMar>
          <w:top w:w="0" w:type="dxa"/>
          <w:left w:w="0" w:type="dxa"/>
          <w:bottom w:w="0" w:type="dxa"/>
          <w:right w:w="0" w:type="dxa"/>
        </w:tblCellMar>
      </w:tblPr>
      <w:tr>
        <w:trPr>
          <w:trHeight w:val="174"/>
        </w:trPr>
        <w:tc>
          <w:tcPr>
            <w:tcW w:w="1820" w:type="dxa"/>
            <w:vAlign w:val="bottom"/>
            <w:tcBorders>
              <w:top w:val="single" w:sz="8" w:color="auto"/>
              <w:left w:val="single" w:sz="8" w:color="auto"/>
              <w:right w:val="single" w:sz="8" w:color="auto"/>
            </w:tcBorders>
          </w:tcPr>
          <w:p>
            <w:pPr>
              <w:spacing w:after="0"/>
              <w:rPr>
                <w:sz w:val="15"/>
                <w:szCs w:val="15"/>
                <w:color w:val="auto"/>
              </w:rPr>
            </w:pPr>
          </w:p>
        </w:tc>
        <w:tc>
          <w:tcPr>
            <w:tcW w:w="1080" w:type="dxa"/>
            <w:vAlign w:val="bottom"/>
            <w:tcBorders>
              <w:top w:val="single" w:sz="8" w:color="auto"/>
              <w:right w:val="single" w:sz="8" w:color="auto"/>
            </w:tcBorders>
          </w:tcPr>
          <w:p>
            <w:pPr>
              <w:spacing w:after="0"/>
              <w:rPr>
                <w:sz w:val="15"/>
                <w:szCs w:val="15"/>
                <w:color w:val="auto"/>
              </w:rPr>
            </w:pPr>
          </w:p>
        </w:tc>
        <w:tc>
          <w:tcPr>
            <w:tcW w:w="1260" w:type="dxa"/>
            <w:vAlign w:val="bottom"/>
            <w:tcBorders>
              <w:top w:val="single" w:sz="8" w:color="auto"/>
              <w:right w:val="single" w:sz="8" w:color="auto"/>
            </w:tcBorders>
          </w:tcPr>
          <w:p>
            <w:pPr>
              <w:spacing w:after="0"/>
              <w:rPr>
                <w:sz w:val="15"/>
                <w:szCs w:val="15"/>
                <w:color w:val="auto"/>
              </w:rPr>
            </w:pPr>
          </w:p>
        </w:tc>
        <w:tc>
          <w:tcPr>
            <w:tcW w:w="1160" w:type="dxa"/>
            <w:vAlign w:val="bottom"/>
            <w:tcBorders>
              <w:top w:val="single" w:sz="8" w:color="auto"/>
              <w:right w:val="single" w:sz="8" w:color="auto"/>
            </w:tcBorders>
          </w:tcPr>
          <w:p>
            <w:pPr>
              <w:jc w:val="center"/>
              <w:spacing w:after="0"/>
              <w:rPr>
                <w:sz w:val="20"/>
                <w:szCs w:val="20"/>
                <w:color w:val="auto"/>
              </w:rPr>
            </w:pPr>
            <w:r>
              <w:rPr>
                <w:rFonts w:ascii="Arial" w:cs="Arial" w:eastAsia="Arial" w:hAnsi="Arial"/>
                <w:sz w:val="14"/>
                <w:szCs w:val="14"/>
                <w:b w:val="1"/>
                <w:bCs w:val="1"/>
                <w:color w:val="auto"/>
              </w:rPr>
              <w:t>Board</w:t>
            </w:r>
          </w:p>
        </w:tc>
        <w:tc>
          <w:tcPr>
            <w:tcW w:w="1280" w:type="dxa"/>
            <w:vAlign w:val="bottom"/>
            <w:tcBorders>
              <w:top w:val="single" w:sz="8" w:color="auto"/>
              <w:right w:val="single" w:sz="8" w:color="auto"/>
            </w:tcBorders>
          </w:tcPr>
          <w:p>
            <w:pPr>
              <w:spacing w:after="0"/>
              <w:rPr>
                <w:sz w:val="15"/>
                <w:szCs w:val="15"/>
                <w:color w:val="auto"/>
              </w:rPr>
            </w:pPr>
          </w:p>
        </w:tc>
        <w:tc>
          <w:tcPr>
            <w:tcW w:w="1480" w:type="dxa"/>
            <w:vAlign w:val="bottom"/>
            <w:tcBorders>
              <w:top w:val="single" w:sz="8" w:color="auto"/>
              <w:right w:val="single" w:sz="8" w:color="auto"/>
            </w:tcBorders>
          </w:tcPr>
          <w:p>
            <w:pPr>
              <w:jc w:val="center"/>
              <w:spacing w:after="0"/>
              <w:rPr>
                <w:sz w:val="20"/>
                <w:szCs w:val="20"/>
                <w:color w:val="auto"/>
              </w:rPr>
            </w:pPr>
            <w:r>
              <w:rPr>
                <w:rFonts w:ascii="Arial" w:cs="Arial" w:eastAsia="Arial" w:hAnsi="Arial"/>
                <w:sz w:val="14"/>
                <w:szCs w:val="14"/>
                <w:b w:val="1"/>
                <w:bCs w:val="1"/>
                <w:color w:val="auto"/>
              </w:rPr>
              <w:t>Public Issues</w:t>
            </w:r>
          </w:p>
        </w:tc>
        <w:tc>
          <w:tcPr>
            <w:tcW w:w="1280" w:type="dxa"/>
            <w:vAlign w:val="bottom"/>
            <w:tcBorders>
              <w:top w:val="single" w:sz="8" w:color="auto"/>
              <w:right w:val="single" w:sz="8" w:color="auto"/>
            </w:tcBorders>
            <w:vMerge w:val="restart"/>
          </w:tcPr>
          <w:p>
            <w:pPr>
              <w:jc w:val="center"/>
              <w:spacing w:after="0"/>
              <w:rPr>
                <w:sz w:val="20"/>
                <w:szCs w:val="20"/>
                <w:color w:val="auto"/>
              </w:rPr>
            </w:pPr>
            <w:r>
              <w:rPr>
                <w:rFonts w:ascii="Arial" w:cs="Arial" w:eastAsia="Arial" w:hAnsi="Arial"/>
                <w:sz w:val="14"/>
                <w:szCs w:val="14"/>
                <w:b w:val="1"/>
                <w:bCs w:val="1"/>
                <w:color w:val="auto"/>
                <w:w w:val="96"/>
              </w:rPr>
              <w:t>Executive</w:t>
            </w:r>
            <w:r>
              <w:rPr>
                <w:rFonts w:ascii="Arial" w:cs="Arial" w:eastAsia="Arial" w:hAnsi="Arial"/>
                <w:sz w:val="24"/>
                <w:szCs w:val="24"/>
                <w:b w:val="1"/>
                <w:bCs w:val="1"/>
                <w:color w:val="auto"/>
                <w:w w:val="96"/>
                <w:vertAlign w:val="superscript"/>
              </w:rPr>
              <w:t>(1)</w:t>
            </w:r>
          </w:p>
        </w:tc>
        <w:tc>
          <w:tcPr>
            <w:tcW w:w="0" w:type="dxa"/>
            <w:vAlign w:val="bottom"/>
          </w:tcPr>
          <w:p>
            <w:pPr>
              <w:spacing w:after="0"/>
              <w:rPr>
                <w:sz w:val="1"/>
                <w:szCs w:val="1"/>
                <w:color w:val="auto"/>
              </w:rPr>
            </w:pPr>
          </w:p>
        </w:tc>
      </w:tr>
      <w:tr>
        <w:trPr>
          <w:trHeight w:val="204"/>
        </w:trPr>
        <w:tc>
          <w:tcPr>
            <w:tcW w:w="1820" w:type="dxa"/>
            <w:vAlign w:val="bottom"/>
            <w:tcBorders>
              <w:left w:val="single" w:sz="8" w:color="auto"/>
              <w:bottom w:val="single" w:sz="8" w:color="auto"/>
              <w:right w:val="single" w:sz="8" w:color="auto"/>
            </w:tcBorders>
          </w:tcPr>
          <w:p>
            <w:pPr>
              <w:ind w:left="140"/>
              <w:spacing w:after="0"/>
              <w:rPr>
                <w:sz w:val="20"/>
                <w:szCs w:val="20"/>
                <w:color w:val="auto"/>
              </w:rPr>
            </w:pPr>
            <w:r>
              <w:rPr>
                <w:rFonts w:ascii="Arial" w:cs="Arial" w:eastAsia="Arial" w:hAnsi="Arial"/>
                <w:sz w:val="14"/>
                <w:szCs w:val="14"/>
                <w:b w:val="1"/>
                <w:bCs w:val="1"/>
                <w:color w:val="auto"/>
              </w:rPr>
              <w:t>Director</w:t>
            </w:r>
          </w:p>
        </w:tc>
        <w:tc>
          <w:tcPr>
            <w:tcW w:w="108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4"/>
                <w:szCs w:val="14"/>
                <w:b w:val="1"/>
                <w:bCs w:val="1"/>
                <w:color w:val="auto"/>
              </w:rPr>
              <w:t>Audit</w:t>
            </w:r>
          </w:p>
        </w:tc>
        <w:tc>
          <w:tcPr>
            <w:tcW w:w="126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4"/>
                <w:szCs w:val="14"/>
                <w:b w:val="1"/>
                <w:bCs w:val="1"/>
                <w:color w:val="auto"/>
              </w:rPr>
              <w:t>Compensation</w:t>
            </w:r>
          </w:p>
        </w:tc>
        <w:tc>
          <w:tcPr>
            <w:tcW w:w="116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4"/>
                <w:szCs w:val="14"/>
                <w:b w:val="1"/>
                <w:bCs w:val="1"/>
                <w:color w:val="auto"/>
              </w:rPr>
              <w:t>Affairs</w:t>
            </w:r>
          </w:p>
        </w:tc>
        <w:tc>
          <w:tcPr>
            <w:tcW w:w="128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4"/>
                <w:szCs w:val="14"/>
                <w:b w:val="1"/>
                <w:bCs w:val="1"/>
                <w:color w:val="auto"/>
              </w:rPr>
              <w:t>Finance</w:t>
            </w:r>
          </w:p>
        </w:tc>
        <w:tc>
          <w:tcPr>
            <w:tcW w:w="148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4"/>
                <w:szCs w:val="14"/>
                <w:b w:val="1"/>
                <w:bCs w:val="1"/>
                <w:color w:val="auto"/>
              </w:rPr>
              <w:t>and Contributions</w:t>
            </w:r>
          </w:p>
        </w:tc>
        <w:tc>
          <w:tcPr>
            <w:tcW w:w="1280" w:type="dxa"/>
            <w:vAlign w:val="bottom"/>
            <w:tcBorders>
              <w:bottom w:val="single" w:sz="8" w:color="auto"/>
              <w:right w:val="single" w:sz="8" w:color="auto"/>
            </w:tcBorders>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64"/>
        </w:trPr>
        <w:tc>
          <w:tcPr>
            <w:tcW w:w="1820" w:type="dxa"/>
            <w:vAlign w:val="bottom"/>
            <w:tcBorders>
              <w:left w:val="single" w:sz="8" w:color="auto"/>
              <w:right w:val="single" w:sz="8" w:color="auto"/>
            </w:tcBorders>
            <w:shd w:val="clear" w:color="auto" w:fill="D4DBEB"/>
          </w:tcPr>
          <w:p>
            <w:pPr>
              <w:ind w:left="160"/>
              <w:spacing w:after="0"/>
              <w:rPr>
                <w:sz w:val="20"/>
                <w:szCs w:val="20"/>
                <w:color w:val="auto"/>
              </w:rPr>
            </w:pPr>
            <w:r>
              <w:rPr>
                <w:rFonts w:ascii="Arial" w:cs="Arial" w:eastAsia="Arial" w:hAnsi="Arial"/>
                <w:sz w:val="16"/>
                <w:szCs w:val="16"/>
                <w:color w:val="auto"/>
              </w:rPr>
              <w:t>S.K. Avery</w:t>
            </w:r>
          </w:p>
        </w:tc>
        <w:tc>
          <w:tcPr>
            <w:tcW w:w="1080" w:type="dxa"/>
            <w:vAlign w:val="bottom"/>
            <w:tcBorders>
              <w:right w:val="single" w:sz="8" w:color="auto"/>
            </w:tcBorders>
            <w:shd w:val="clear" w:color="auto" w:fill="D4DBEB"/>
          </w:tcPr>
          <w:p>
            <w:pPr>
              <w:spacing w:after="0"/>
              <w:rPr>
                <w:sz w:val="22"/>
                <w:szCs w:val="22"/>
                <w:color w:val="auto"/>
              </w:rPr>
            </w:pPr>
          </w:p>
        </w:tc>
        <w:tc>
          <w:tcPr>
            <w:tcW w:w="1260" w:type="dxa"/>
            <w:vAlign w:val="bottom"/>
            <w:tcBorders>
              <w:right w:val="single" w:sz="8" w:color="auto"/>
            </w:tcBorders>
            <w:shd w:val="clear" w:color="auto" w:fill="D4DBEB"/>
          </w:tcPr>
          <w:p>
            <w:pPr>
              <w:spacing w:after="0"/>
              <w:rPr>
                <w:sz w:val="22"/>
                <w:szCs w:val="22"/>
                <w:color w:val="auto"/>
              </w:rPr>
            </w:pPr>
          </w:p>
        </w:tc>
        <w:tc>
          <w:tcPr>
            <w:tcW w:w="1160" w:type="dxa"/>
            <w:vAlign w:val="bottom"/>
            <w:tcBorders>
              <w:right w:val="single" w:sz="8" w:color="auto"/>
            </w:tcBorders>
            <w:shd w:val="clear" w:color="auto" w:fill="D4DBEB"/>
          </w:tcPr>
          <w:p>
            <w:pPr>
              <w:jc w:val="center"/>
              <w:spacing w:after="0" w:line="161" w:lineRule="exact"/>
              <w:rPr>
                <w:sz w:val="20"/>
                <w:szCs w:val="20"/>
                <w:color w:val="auto"/>
              </w:rPr>
            </w:pPr>
            <w:r>
              <w:rPr>
                <w:rFonts w:ascii="MS PGothic" w:cs="MS PGothic" w:eastAsia="MS PGothic" w:hAnsi="MS PGothic"/>
                <w:sz w:val="16"/>
                <w:szCs w:val="16"/>
                <w:color w:val="auto"/>
                <w:w w:val="87"/>
              </w:rPr>
              <w:t>✓</w:t>
            </w:r>
          </w:p>
        </w:tc>
        <w:tc>
          <w:tcPr>
            <w:tcW w:w="1280" w:type="dxa"/>
            <w:vAlign w:val="bottom"/>
            <w:tcBorders>
              <w:right w:val="single" w:sz="8" w:color="auto"/>
            </w:tcBorders>
            <w:shd w:val="clear" w:color="auto" w:fill="D4DBEB"/>
          </w:tcPr>
          <w:p>
            <w:pPr>
              <w:spacing w:after="0"/>
              <w:rPr>
                <w:sz w:val="22"/>
                <w:szCs w:val="22"/>
                <w:color w:val="auto"/>
              </w:rPr>
            </w:pPr>
          </w:p>
        </w:tc>
        <w:tc>
          <w:tcPr>
            <w:tcW w:w="1480" w:type="dxa"/>
            <w:vAlign w:val="bottom"/>
            <w:tcBorders>
              <w:right w:val="single" w:sz="8" w:color="auto"/>
            </w:tcBorders>
            <w:shd w:val="clear" w:color="auto" w:fill="D4DBEB"/>
          </w:tcPr>
          <w:p>
            <w:pPr>
              <w:jc w:val="center"/>
              <w:spacing w:after="0" w:line="161" w:lineRule="exact"/>
              <w:rPr>
                <w:sz w:val="20"/>
                <w:szCs w:val="20"/>
                <w:color w:val="auto"/>
              </w:rPr>
            </w:pPr>
            <w:r>
              <w:rPr>
                <w:rFonts w:ascii="MS PGothic" w:cs="MS PGothic" w:eastAsia="MS PGothic" w:hAnsi="MS PGothic"/>
                <w:sz w:val="16"/>
                <w:szCs w:val="16"/>
                <w:color w:val="auto"/>
                <w:w w:val="87"/>
              </w:rPr>
              <w:t>✓</w:t>
            </w:r>
          </w:p>
        </w:tc>
        <w:tc>
          <w:tcPr>
            <w:tcW w:w="1280" w:type="dxa"/>
            <w:vAlign w:val="bottom"/>
            <w:tcBorders>
              <w:right w:val="single" w:sz="8" w:color="auto"/>
            </w:tcBorders>
            <w:shd w:val="clear" w:color="auto" w:fill="D4DBEB"/>
          </w:tcPr>
          <w:p>
            <w:pPr>
              <w:spacing w:after="0"/>
              <w:rPr>
                <w:sz w:val="22"/>
                <w:szCs w:val="22"/>
                <w:color w:val="auto"/>
              </w:rPr>
            </w:pPr>
          </w:p>
        </w:tc>
        <w:tc>
          <w:tcPr>
            <w:tcW w:w="0" w:type="dxa"/>
            <w:vAlign w:val="bottom"/>
          </w:tcPr>
          <w:p>
            <w:pPr>
              <w:spacing w:after="0"/>
              <w:rPr>
                <w:sz w:val="1"/>
                <w:szCs w:val="1"/>
                <w:color w:val="auto"/>
              </w:rPr>
            </w:pPr>
          </w:p>
        </w:tc>
      </w:tr>
      <w:tr>
        <w:trPr>
          <w:trHeight w:val="266"/>
        </w:trPr>
        <w:tc>
          <w:tcPr>
            <w:tcW w:w="1820" w:type="dxa"/>
            <w:vAlign w:val="bottom"/>
            <w:tcBorders>
              <w:left w:val="single" w:sz="8" w:color="auto"/>
              <w:right w:val="single" w:sz="8" w:color="auto"/>
            </w:tcBorders>
          </w:tcPr>
          <w:p>
            <w:pPr>
              <w:ind w:left="160"/>
              <w:spacing w:after="0"/>
              <w:rPr>
                <w:sz w:val="20"/>
                <w:szCs w:val="20"/>
                <w:color w:val="auto"/>
              </w:rPr>
            </w:pPr>
            <w:r>
              <w:rPr>
                <w:rFonts w:ascii="Arial" w:cs="Arial" w:eastAsia="Arial" w:hAnsi="Arial"/>
                <w:sz w:val="16"/>
                <w:szCs w:val="16"/>
                <w:color w:val="auto"/>
              </w:rPr>
              <w:t>M.J. Boskin</w:t>
            </w:r>
          </w:p>
        </w:tc>
        <w:tc>
          <w:tcPr>
            <w:tcW w:w="1080" w:type="dxa"/>
            <w:vAlign w:val="bottom"/>
            <w:tcBorders>
              <w:right w:val="single" w:sz="8" w:color="auto"/>
            </w:tcBorders>
          </w:tcPr>
          <w:p>
            <w:pPr>
              <w:spacing w:after="0"/>
              <w:rPr>
                <w:sz w:val="23"/>
                <w:szCs w:val="23"/>
                <w:color w:val="auto"/>
              </w:rPr>
            </w:pPr>
          </w:p>
        </w:tc>
        <w:tc>
          <w:tcPr>
            <w:tcW w:w="1260" w:type="dxa"/>
            <w:vAlign w:val="bottom"/>
            <w:tcBorders>
              <w:right w:val="single" w:sz="8" w:color="auto"/>
            </w:tcBorders>
          </w:tcPr>
          <w:p>
            <w:pPr>
              <w:jc w:val="center"/>
              <w:spacing w:after="0" w:line="161" w:lineRule="exact"/>
              <w:rPr>
                <w:sz w:val="20"/>
                <w:szCs w:val="20"/>
                <w:color w:val="auto"/>
              </w:rPr>
            </w:pPr>
            <w:r>
              <w:rPr>
                <w:rFonts w:ascii="MS PGothic" w:cs="MS PGothic" w:eastAsia="MS PGothic" w:hAnsi="MS PGothic"/>
                <w:sz w:val="16"/>
                <w:szCs w:val="16"/>
                <w:color w:val="auto"/>
                <w:w w:val="87"/>
              </w:rPr>
              <w:t>✓</w:t>
            </w:r>
          </w:p>
        </w:tc>
        <w:tc>
          <w:tcPr>
            <w:tcW w:w="1160" w:type="dxa"/>
            <w:vAlign w:val="bottom"/>
            <w:tcBorders>
              <w:right w:val="single" w:sz="8" w:color="auto"/>
            </w:tcBorders>
          </w:tcPr>
          <w:p>
            <w:pPr>
              <w:spacing w:after="0"/>
              <w:rPr>
                <w:sz w:val="23"/>
                <w:szCs w:val="23"/>
                <w:color w:val="auto"/>
              </w:rPr>
            </w:pPr>
          </w:p>
        </w:tc>
        <w:tc>
          <w:tcPr>
            <w:tcW w:w="1280" w:type="dxa"/>
            <w:vAlign w:val="bottom"/>
            <w:tcBorders>
              <w:right w:val="single" w:sz="8" w:color="auto"/>
            </w:tcBorders>
          </w:tcPr>
          <w:p>
            <w:pPr>
              <w:spacing w:after="0"/>
              <w:rPr>
                <w:sz w:val="23"/>
                <w:szCs w:val="23"/>
                <w:color w:val="auto"/>
              </w:rPr>
            </w:pPr>
          </w:p>
        </w:tc>
        <w:tc>
          <w:tcPr>
            <w:tcW w:w="1480" w:type="dxa"/>
            <w:vAlign w:val="bottom"/>
            <w:tcBorders>
              <w:right w:val="single" w:sz="8" w:color="auto"/>
            </w:tcBorders>
          </w:tcPr>
          <w:p>
            <w:pPr>
              <w:jc w:val="center"/>
              <w:spacing w:after="0"/>
              <w:rPr>
                <w:sz w:val="20"/>
                <w:szCs w:val="20"/>
                <w:color w:val="auto"/>
              </w:rPr>
            </w:pPr>
            <w:r>
              <w:rPr>
                <w:rFonts w:ascii="Arial" w:cs="Arial" w:eastAsia="Arial" w:hAnsi="Arial"/>
                <w:sz w:val="16"/>
                <w:szCs w:val="16"/>
                <w:b w:val="1"/>
                <w:bCs w:val="1"/>
                <w:color w:val="auto"/>
              </w:rPr>
              <w:t>C</w:t>
            </w:r>
          </w:p>
        </w:tc>
        <w:tc>
          <w:tcPr>
            <w:tcW w:w="1280" w:type="dxa"/>
            <w:vAlign w:val="bottom"/>
            <w:tcBorders>
              <w:right w:val="single" w:sz="8" w:color="auto"/>
            </w:tcBorders>
          </w:tcPr>
          <w:p>
            <w:pPr>
              <w:jc w:val="center"/>
              <w:spacing w:after="0" w:line="161" w:lineRule="exact"/>
              <w:rPr>
                <w:sz w:val="20"/>
                <w:szCs w:val="20"/>
                <w:color w:val="auto"/>
              </w:rPr>
            </w:pPr>
            <w:r>
              <w:rPr>
                <w:rFonts w:ascii="MS PGothic" w:cs="MS PGothic" w:eastAsia="MS PGothic" w:hAnsi="MS PGothic"/>
                <w:sz w:val="16"/>
                <w:szCs w:val="16"/>
                <w:color w:val="auto"/>
                <w:w w:val="87"/>
              </w:rPr>
              <w:t>✓</w:t>
            </w:r>
          </w:p>
        </w:tc>
        <w:tc>
          <w:tcPr>
            <w:tcW w:w="0" w:type="dxa"/>
            <w:vAlign w:val="bottom"/>
          </w:tcPr>
          <w:p>
            <w:pPr>
              <w:spacing w:after="0"/>
              <w:rPr>
                <w:sz w:val="1"/>
                <w:szCs w:val="1"/>
                <w:color w:val="auto"/>
              </w:rPr>
            </w:pPr>
          </w:p>
        </w:tc>
      </w:tr>
      <w:tr>
        <w:trPr>
          <w:trHeight w:val="274"/>
        </w:trPr>
        <w:tc>
          <w:tcPr>
            <w:tcW w:w="1820" w:type="dxa"/>
            <w:vAlign w:val="bottom"/>
            <w:tcBorders>
              <w:left w:val="single" w:sz="8" w:color="auto"/>
              <w:right w:val="single" w:sz="8" w:color="auto"/>
            </w:tcBorders>
            <w:shd w:val="clear" w:color="auto" w:fill="D4DBEB"/>
          </w:tcPr>
          <w:p>
            <w:pPr>
              <w:ind w:left="160"/>
              <w:spacing w:after="0"/>
              <w:rPr>
                <w:sz w:val="20"/>
                <w:szCs w:val="20"/>
                <w:color w:val="auto"/>
              </w:rPr>
            </w:pPr>
            <w:r>
              <w:rPr>
                <w:rFonts w:ascii="Arial" w:cs="Arial" w:eastAsia="Arial" w:hAnsi="Arial"/>
                <w:sz w:val="16"/>
                <w:szCs w:val="16"/>
                <w:color w:val="auto"/>
              </w:rPr>
              <w:t>A.F. Braly</w:t>
            </w:r>
          </w:p>
        </w:tc>
        <w:tc>
          <w:tcPr>
            <w:tcW w:w="1080" w:type="dxa"/>
            <w:vAlign w:val="bottom"/>
            <w:tcBorders>
              <w:right w:val="single" w:sz="8" w:color="auto"/>
            </w:tcBorders>
            <w:shd w:val="clear" w:color="auto" w:fill="D4DBEB"/>
          </w:tcPr>
          <w:p>
            <w:pPr>
              <w:spacing w:after="0"/>
              <w:rPr>
                <w:sz w:val="23"/>
                <w:szCs w:val="23"/>
                <w:color w:val="auto"/>
              </w:rPr>
            </w:pPr>
          </w:p>
        </w:tc>
        <w:tc>
          <w:tcPr>
            <w:tcW w:w="1260" w:type="dxa"/>
            <w:vAlign w:val="bottom"/>
            <w:tcBorders>
              <w:right w:val="single" w:sz="8" w:color="auto"/>
            </w:tcBorders>
            <w:shd w:val="clear" w:color="auto" w:fill="D4DBEB"/>
          </w:tcPr>
          <w:p>
            <w:pPr>
              <w:jc w:val="center"/>
              <w:spacing w:after="0" w:line="161" w:lineRule="exact"/>
              <w:rPr>
                <w:sz w:val="20"/>
                <w:szCs w:val="20"/>
                <w:color w:val="auto"/>
              </w:rPr>
            </w:pPr>
            <w:r>
              <w:rPr>
                <w:rFonts w:ascii="MS PGothic" w:cs="MS PGothic" w:eastAsia="MS PGothic" w:hAnsi="MS PGothic"/>
                <w:sz w:val="16"/>
                <w:szCs w:val="16"/>
                <w:color w:val="auto"/>
                <w:w w:val="87"/>
              </w:rPr>
              <w:t>✓</w:t>
            </w:r>
          </w:p>
        </w:tc>
        <w:tc>
          <w:tcPr>
            <w:tcW w:w="1160" w:type="dxa"/>
            <w:vAlign w:val="bottom"/>
            <w:tcBorders>
              <w:right w:val="single" w:sz="8" w:color="auto"/>
            </w:tcBorders>
            <w:shd w:val="clear" w:color="auto" w:fill="D4DBEB"/>
          </w:tcPr>
          <w:p>
            <w:pPr>
              <w:spacing w:after="0"/>
              <w:rPr>
                <w:sz w:val="23"/>
                <w:szCs w:val="23"/>
                <w:color w:val="auto"/>
              </w:rPr>
            </w:pPr>
          </w:p>
        </w:tc>
        <w:tc>
          <w:tcPr>
            <w:tcW w:w="1280" w:type="dxa"/>
            <w:vAlign w:val="bottom"/>
            <w:tcBorders>
              <w:right w:val="single" w:sz="8" w:color="auto"/>
            </w:tcBorders>
            <w:shd w:val="clear" w:color="auto" w:fill="D4DBEB"/>
          </w:tcPr>
          <w:p>
            <w:pPr>
              <w:spacing w:after="0"/>
              <w:rPr>
                <w:sz w:val="23"/>
                <w:szCs w:val="23"/>
                <w:color w:val="auto"/>
              </w:rPr>
            </w:pPr>
          </w:p>
        </w:tc>
        <w:tc>
          <w:tcPr>
            <w:tcW w:w="1480" w:type="dxa"/>
            <w:vAlign w:val="bottom"/>
            <w:tcBorders>
              <w:right w:val="single" w:sz="8" w:color="auto"/>
            </w:tcBorders>
            <w:shd w:val="clear" w:color="auto" w:fill="D4DBEB"/>
          </w:tcPr>
          <w:p>
            <w:pPr>
              <w:jc w:val="center"/>
              <w:spacing w:after="0" w:line="161" w:lineRule="exact"/>
              <w:rPr>
                <w:sz w:val="20"/>
                <w:szCs w:val="20"/>
                <w:color w:val="auto"/>
              </w:rPr>
            </w:pPr>
            <w:r>
              <w:rPr>
                <w:rFonts w:ascii="MS PGothic" w:cs="MS PGothic" w:eastAsia="MS PGothic" w:hAnsi="MS PGothic"/>
                <w:sz w:val="16"/>
                <w:szCs w:val="16"/>
                <w:color w:val="auto"/>
                <w:w w:val="87"/>
              </w:rPr>
              <w:t>✓</w:t>
            </w:r>
          </w:p>
        </w:tc>
        <w:tc>
          <w:tcPr>
            <w:tcW w:w="1280" w:type="dxa"/>
            <w:vAlign w:val="bottom"/>
            <w:tcBorders>
              <w:right w:val="single" w:sz="8" w:color="auto"/>
            </w:tcBorders>
            <w:shd w:val="clear" w:color="auto" w:fill="D4DBEB"/>
          </w:tcPr>
          <w:p>
            <w:pPr>
              <w:spacing w:after="0"/>
              <w:rPr>
                <w:sz w:val="23"/>
                <w:szCs w:val="23"/>
                <w:color w:val="auto"/>
              </w:rPr>
            </w:pPr>
          </w:p>
        </w:tc>
        <w:tc>
          <w:tcPr>
            <w:tcW w:w="0" w:type="dxa"/>
            <w:vAlign w:val="bottom"/>
          </w:tcPr>
          <w:p>
            <w:pPr>
              <w:spacing w:after="0"/>
              <w:rPr>
                <w:sz w:val="1"/>
                <w:szCs w:val="1"/>
                <w:color w:val="auto"/>
              </w:rPr>
            </w:pPr>
          </w:p>
        </w:tc>
      </w:tr>
      <w:tr>
        <w:trPr>
          <w:trHeight w:val="266"/>
        </w:trPr>
        <w:tc>
          <w:tcPr>
            <w:tcW w:w="1820" w:type="dxa"/>
            <w:vAlign w:val="bottom"/>
            <w:tcBorders>
              <w:left w:val="single" w:sz="8" w:color="auto"/>
              <w:right w:val="single" w:sz="8" w:color="auto"/>
            </w:tcBorders>
          </w:tcPr>
          <w:p>
            <w:pPr>
              <w:ind w:left="160"/>
              <w:spacing w:after="0"/>
              <w:rPr>
                <w:sz w:val="20"/>
                <w:szCs w:val="20"/>
                <w:color w:val="auto"/>
              </w:rPr>
            </w:pPr>
            <w:r>
              <w:rPr>
                <w:rFonts w:ascii="Arial" w:cs="Arial" w:eastAsia="Arial" w:hAnsi="Arial"/>
                <w:sz w:val="16"/>
                <w:szCs w:val="16"/>
                <w:color w:val="auto"/>
              </w:rPr>
              <w:t>U.M. Burns</w:t>
            </w:r>
          </w:p>
        </w:tc>
        <w:tc>
          <w:tcPr>
            <w:tcW w:w="1080" w:type="dxa"/>
            <w:vAlign w:val="bottom"/>
            <w:tcBorders>
              <w:right w:val="single" w:sz="8" w:color="auto"/>
            </w:tcBorders>
          </w:tcPr>
          <w:p>
            <w:pPr>
              <w:jc w:val="center"/>
              <w:spacing w:after="0"/>
              <w:rPr>
                <w:sz w:val="20"/>
                <w:szCs w:val="20"/>
                <w:color w:val="auto"/>
              </w:rPr>
            </w:pPr>
            <w:r>
              <w:rPr>
                <w:rFonts w:ascii="Arial" w:cs="Arial" w:eastAsia="Arial" w:hAnsi="Arial"/>
                <w:sz w:val="16"/>
                <w:szCs w:val="16"/>
                <w:b w:val="1"/>
                <w:bCs w:val="1"/>
                <w:color w:val="auto"/>
              </w:rPr>
              <w:t>C</w:t>
            </w:r>
          </w:p>
        </w:tc>
        <w:tc>
          <w:tcPr>
            <w:tcW w:w="1260" w:type="dxa"/>
            <w:vAlign w:val="bottom"/>
            <w:tcBorders>
              <w:right w:val="single" w:sz="8" w:color="auto"/>
            </w:tcBorders>
          </w:tcPr>
          <w:p>
            <w:pPr>
              <w:spacing w:after="0"/>
              <w:rPr>
                <w:sz w:val="23"/>
                <w:szCs w:val="23"/>
                <w:color w:val="auto"/>
              </w:rPr>
            </w:pPr>
          </w:p>
        </w:tc>
        <w:tc>
          <w:tcPr>
            <w:tcW w:w="1160" w:type="dxa"/>
            <w:vAlign w:val="bottom"/>
            <w:tcBorders>
              <w:right w:val="single" w:sz="8" w:color="auto"/>
            </w:tcBorders>
          </w:tcPr>
          <w:p>
            <w:pPr>
              <w:spacing w:after="0"/>
              <w:rPr>
                <w:sz w:val="23"/>
                <w:szCs w:val="23"/>
                <w:color w:val="auto"/>
              </w:rPr>
            </w:pPr>
          </w:p>
        </w:tc>
        <w:tc>
          <w:tcPr>
            <w:tcW w:w="1280" w:type="dxa"/>
            <w:vAlign w:val="bottom"/>
            <w:tcBorders>
              <w:right w:val="single" w:sz="8" w:color="auto"/>
            </w:tcBorders>
          </w:tcPr>
          <w:p>
            <w:pPr>
              <w:jc w:val="center"/>
              <w:spacing w:after="0" w:line="161" w:lineRule="exact"/>
              <w:rPr>
                <w:sz w:val="20"/>
                <w:szCs w:val="20"/>
                <w:color w:val="auto"/>
              </w:rPr>
            </w:pPr>
            <w:r>
              <w:rPr>
                <w:rFonts w:ascii="MS PGothic" w:cs="MS PGothic" w:eastAsia="MS PGothic" w:hAnsi="MS PGothic"/>
                <w:sz w:val="16"/>
                <w:szCs w:val="16"/>
                <w:color w:val="auto"/>
                <w:w w:val="87"/>
              </w:rPr>
              <w:t>✓</w:t>
            </w:r>
          </w:p>
        </w:tc>
        <w:tc>
          <w:tcPr>
            <w:tcW w:w="1480" w:type="dxa"/>
            <w:vAlign w:val="bottom"/>
            <w:tcBorders>
              <w:right w:val="single" w:sz="8" w:color="auto"/>
            </w:tcBorders>
          </w:tcPr>
          <w:p>
            <w:pPr>
              <w:spacing w:after="0"/>
              <w:rPr>
                <w:sz w:val="23"/>
                <w:szCs w:val="23"/>
                <w:color w:val="auto"/>
              </w:rPr>
            </w:pPr>
          </w:p>
        </w:tc>
        <w:tc>
          <w:tcPr>
            <w:tcW w:w="1280" w:type="dxa"/>
            <w:vAlign w:val="bottom"/>
            <w:tcBorders>
              <w:right w:val="single" w:sz="8" w:color="auto"/>
            </w:tcBorders>
          </w:tcPr>
          <w:p>
            <w:pPr>
              <w:spacing w:after="0"/>
              <w:rPr>
                <w:sz w:val="23"/>
                <w:szCs w:val="23"/>
                <w:color w:val="auto"/>
              </w:rPr>
            </w:pPr>
          </w:p>
        </w:tc>
        <w:tc>
          <w:tcPr>
            <w:tcW w:w="0" w:type="dxa"/>
            <w:vAlign w:val="bottom"/>
          </w:tcPr>
          <w:p>
            <w:pPr>
              <w:spacing w:after="0"/>
              <w:rPr>
                <w:sz w:val="1"/>
                <w:szCs w:val="1"/>
                <w:color w:val="auto"/>
              </w:rPr>
            </w:pPr>
          </w:p>
        </w:tc>
      </w:tr>
      <w:tr>
        <w:trPr>
          <w:trHeight w:val="274"/>
        </w:trPr>
        <w:tc>
          <w:tcPr>
            <w:tcW w:w="1820" w:type="dxa"/>
            <w:vAlign w:val="bottom"/>
            <w:tcBorders>
              <w:left w:val="single" w:sz="8" w:color="auto"/>
              <w:right w:val="single" w:sz="8" w:color="auto"/>
            </w:tcBorders>
            <w:shd w:val="clear" w:color="auto" w:fill="D4DBEB"/>
          </w:tcPr>
          <w:p>
            <w:pPr>
              <w:ind w:left="160"/>
              <w:spacing w:after="0"/>
              <w:rPr>
                <w:sz w:val="20"/>
                <w:szCs w:val="20"/>
                <w:color w:val="auto"/>
              </w:rPr>
            </w:pPr>
            <w:r>
              <w:rPr>
                <w:rFonts w:ascii="Arial" w:cs="Arial" w:eastAsia="Arial" w:hAnsi="Arial"/>
                <w:sz w:val="16"/>
                <w:szCs w:val="16"/>
                <w:color w:val="auto"/>
              </w:rPr>
              <w:t>K.C. Frazier</w:t>
            </w:r>
          </w:p>
        </w:tc>
        <w:tc>
          <w:tcPr>
            <w:tcW w:w="1080" w:type="dxa"/>
            <w:vAlign w:val="bottom"/>
            <w:tcBorders>
              <w:right w:val="single" w:sz="8" w:color="auto"/>
            </w:tcBorders>
            <w:shd w:val="clear" w:color="auto" w:fill="D4DBEB"/>
          </w:tcPr>
          <w:p>
            <w:pPr>
              <w:spacing w:after="0"/>
              <w:rPr>
                <w:sz w:val="23"/>
                <w:szCs w:val="23"/>
                <w:color w:val="auto"/>
              </w:rPr>
            </w:pPr>
          </w:p>
        </w:tc>
        <w:tc>
          <w:tcPr>
            <w:tcW w:w="1260" w:type="dxa"/>
            <w:vAlign w:val="bottom"/>
            <w:tcBorders>
              <w:right w:val="single" w:sz="8" w:color="auto"/>
            </w:tcBorders>
            <w:shd w:val="clear" w:color="auto" w:fill="D4DBEB"/>
          </w:tcPr>
          <w:p>
            <w:pPr>
              <w:jc w:val="center"/>
              <w:spacing w:after="0" w:line="161" w:lineRule="exact"/>
              <w:rPr>
                <w:sz w:val="20"/>
                <w:szCs w:val="20"/>
                <w:color w:val="auto"/>
              </w:rPr>
            </w:pPr>
            <w:r>
              <w:rPr>
                <w:rFonts w:ascii="MS PGothic" w:cs="MS PGothic" w:eastAsia="MS PGothic" w:hAnsi="MS PGothic"/>
                <w:sz w:val="16"/>
                <w:szCs w:val="16"/>
                <w:color w:val="auto"/>
                <w:w w:val="87"/>
              </w:rPr>
              <w:t>✓</w:t>
            </w:r>
          </w:p>
        </w:tc>
        <w:tc>
          <w:tcPr>
            <w:tcW w:w="1160" w:type="dxa"/>
            <w:vAlign w:val="bottom"/>
            <w:tcBorders>
              <w:right w:val="single" w:sz="8" w:color="auto"/>
            </w:tcBorders>
            <w:shd w:val="clear" w:color="auto" w:fill="D4DBEB"/>
          </w:tcPr>
          <w:p>
            <w:pPr>
              <w:jc w:val="center"/>
              <w:spacing w:after="0"/>
              <w:rPr>
                <w:sz w:val="20"/>
                <w:szCs w:val="20"/>
                <w:color w:val="auto"/>
              </w:rPr>
            </w:pPr>
            <w:r>
              <w:rPr>
                <w:rFonts w:ascii="Arial" w:cs="Arial" w:eastAsia="Arial" w:hAnsi="Arial"/>
                <w:sz w:val="16"/>
                <w:szCs w:val="16"/>
                <w:b w:val="1"/>
                <w:bCs w:val="1"/>
                <w:color w:val="auto"/>
              </w:rPr>
              <w:t>C</w:t>
            </w:r>
          </w:p>
        </w:tc>
        <w:tc>
          <w:tcPr>
            <w:tcW w:w="1280" w:type="dxa"/>
            <w:vAlign w:val="bottom"/>
            <w:tcBorders>
              <w:right w:val="single" w:sz="8" w:color="auto"/>
            </w:tcBorders>
            <w:shd w:val="clear" w:color="auto" w:fill="D4DBEB"/>
          </w:tcPr>
          <w:p>
            <w:pPr>
              <w:spacing w:after="0"/>
              <w:rPr>
                <w:sz w:val="23"/>
                <w:szCs w:val="23"/>
                <w:color w:val="auto"/>
              </w:rPr>
            </w:pPr>
          </w:p>
        </w:tc>
        <w:tc>
          <w:tcPr>
            <w:tcW w:w="1480" w:type="dxa"/>
            <w:vAlign w:val="bottom"/>
            <w:tcBorders>
              <w:right w:val="single" w:sz="8" w:color="auto"/>
            </w:tcBorders>
            <w:shd w:val="clear" w:color="auto" w:fill="D4DBEB"/>
          </w:tcPr>
          <w:p>
            <w:pPr>
              <w:spacing w:after="0"/>
              <w:rPr>
                <w:sz w:val="23"/>
                <w:szCs w:val="23"/>
                <w:color w:val="auto"/>
              </w:rPr>
            </w:pPr>
          </w:p>
        </w:tc>
        <w:tc>
          <w:tcPr>
            <w:tcW w:w="1280" w:type="dxa"/>
            <w:vAlign w:val="bottom"/>
            <w:tcBorders>
              <w:right w:val="single" w:sz="8" w:color="auto"/>
            </w:tcBorders>
            <w:shd w:val="clear" w:color="auto" w:fill="D4DBEB"/>
          </w:tcPr>
          <w:p>
            <w:pPr>
              <w:jc w:val="center"/>
              <w:spacing w:after="0" w:line="161" w:lineRule="exact"/>
              <w:rPr>
                <w:sz w:val="20"/>
                <w:szCs w:val="20"/>
                <w:color w:val="auto"/>
              </w:rPr>
            </w:pPr>
            <w:r>
              <w:rPr>
                <w:rFonts w:ascii="MS PGothic" w:cs="MS PGothic" w:eastAsia="MS PGothic" w:hAnsi="MS PGothic"/>
                <w:sz w:val="16"/>
                <w:szCs w:val="16"/>
                <w:color w:val="auto"/>
                <w:w w:val="87"/>
              </w:rPr>
              <w:t>✓</w:t>
            </w:r>
          </w:p>
        </w:tc>
        <w:tc>
          <w:tcPr>
            <w:tcW w:w="0" w:type="dxa"/>
            <w:vAlign w:val="bottom"/>
          </w:tcPr>
          <w:p>
            <w:pPr>
              <w:spacing w:after="0"/>
              <w:rPr>
                <w:sz w:val="1"/>
                <w:szCs w:val="1"/>
                <w:color w:val="auto"/>
              </w:rPr>
            </w:pPr>
          </w:p>
        </w:tc>
      </w:tr>
      <w:tr>
        <w:trPr>
          <w:trHeight w:val="263"/>
        </w:trPr>
        <w:tc>
          <w:tcPr>
            <w:tcW w:w="1820" w:type="dxa"/>
            <w:vAlign w:val="bottom"/>
            <w:tcBorders>
              <w:left w:val="single" w:sz="8" w:color="auto"/>
              <w:right w:val="single" w:sz="8" w:color="auto"/>
            </w:tcBorders>
          </w:tcPr>
          <w:p>
            <w:pPr>
              <w:ind w:left="160"/>
              <w:spacing w:after="0"/>
              <w:rPr>
                <w:sz w:val="20"/>
                <w:szCs w:val="20"/>
                <w:color w:val="auto"/>
              </w:rPr>
            </w:pPr>
            <w:r>
              <w:rPr>
                <w:rFonts w:ascii="Arial" w:cs="Arial" w:eastAsia="Arial" w:hAnsi="Arial"/>
                <w:sz w:val="16"/>
                <w:szCs w:val="16"/>
                <w:color w:val="auto"/>
              </w:rPr>
              <w:t>S.A. Kandarian</w:t>
            </w:r>
          </w:p>
        </w:tc>
        <w:tc>
          <w:tcPr>
            <w:tcW w:w="1080" w:type="dxa"/>
            <w:vAlign w:val="bottom"/>
            <w:tcBorders>
              <w:right w:val="single" w:sz="8" w:color="auto"/>
            </w:tcBorders>
          </w:tcPr>
          <w:p>
            <w:pPr>
              <w:spacing w:after="0"/>
              <w:rPr>
                <w:sz w:val="22"/>
                <w:szCs w:val="22"/>
                <w:color w:val="auto"/>
              </w:rPr>
            </w:pPr>
          </w:p>
        </w:tc>
        <w:tc>
          <w:tcPr>
            <w:tcW w:w="1260" w:type="dxa"/>
            <w:vAlign w:val="bottom"/>
            <w:tcBorders>
              <w:right w:val="single" w:sz="8" w:color="auto"/>
            </w:tcBorders>
          </w:tcPr>
          <w:p>
            <w:pPr>
              <w:jc w:val="center"/>
              <w:spacing w:after="0" w:line="161" w:lineRule="exact"/>
              <w:rPr>
                <w:sz w:val="20"/>
                <w:szCs w:val="20"/>
                <w:color w:val="auto"/>
              </w:rPr>
            </w:pPr>
            <w:r>
              <w:rPr>
                <w:rFonts w:ascii="MS PGothic" w:cs="MS PGothic" w:eastAsia="MS PGothic" w:hAnsi="MS PGothic"/>
                <w:sz w:val="16"/>
                <w:szCs w:val="16"/>
                <w:color w:val="auto"/>
                <w:w w:val="87"/>
              </w:rPr>
              <w:t>✓</w:t>
            </w:r>
          </w:p>
        </w:tc>
        <w:tc>
          <w:tcPr>
            <w:tcW w:w="1160" w:type="dxa"/>
            <w:vAlign w:val="bottom"/>
            <w:tcBorders>
              <w:right w:val="single" w:sz="8" w:color="auto"/>
            </w:tcBorders>
          </w:tcPr>
          <w:p>
            <w:pPr>
              <w:spacing w:after="0"/>
              <w:rPr>
                <w:sz w:val="22"/>
                <w:szCs w:val="22"/>
                <w:color w:val="auto"/>
              </w:rPr>
            </w:pPr>
          </w:p>
        </w:tc>
        <w:tc>
          <w:tcPr>
            <w:tcW w:w="1280" w:type="dxa"/>
            <w:vAlign w:val="bottom"/>
            <w:tcBorders>
              <w:right w:val="single" w:sz="8" w:color="auto"/>
            </w:tcBorders>
          </w:tcPr>
          <w:p>
            <w:pPr>
              <w:spacing w:after="0"/>
              <w:rPr>
                <w:sz w:val="22"/>
                <w:szCs w:val="22"/>
                <w:color w:val="auto"/>
              </w:rPr>
            </w:pPr>
          </w:p>
        </w:tc>
        <w:tc>
          <w:tcPr>
            <w:tcW w:w="1480" w:type="dxa"/>
            <w:vAlign w:val="bottom"/>
            <w:tcBorders>
              <w:right w:val="single" w:sz="8" w:color="auto"/>
            </w:tcBorders>
          </w:tcPr>
          <w:p>
            <w:pPr>
              <w:jc w:val="center"/>
              <w:spacing w:after="0" w:line="161" w:lineRule="exact"/>
              <w:rPr>
                <w:sz w:val="20"/>
                <w:szCs w:val="20"/>
                <w:color w:val="auto"/>
              </w:rPr>
            </w:pPr>
            <w:r>
              <w:rPr>
                <w:rFonts w:ascii="MS PGothic" w:cs="MS PGothic" w:eastAsia="MS PGothic" w:hAnsi="MS PGothic"/>
                <w:sz w:val="16"/>
                <w:szCs w:val="16"/>
                <w:color w:val="auto"/>
                <w:w w:val="87"/>
              </w:rPr>
              <w:t>✓</w:t>
            </w:r>
          </w:p>
        </w:tc>
        <w:tc>
          <w:tcPr>
            <w:tcW w:w="1280" w:type="dxa"/>
            <w:vAlign w:val="bottom"/>
            <w:tcBorders>
              <w:right w:val="single" w:sz="8" w:color="auto"/>
            </w:tcBorders>
          </w:tcPr>
          <w:p>
            <w:pPr>
              <w:spacing w:after="0"/>
              <w:rPr>
                <w:sz w:val="22"/>
                <w:szCs w:val="22"/>
                <w:color w:val="auto"/>
              </w:rPr>
            </w:pPr>
          </w:p>
        </w:tc>
        <w:tc>
          <w:tcPr>
            <w:tcW w:w="0" w:type="dxa"/>
            <w:vAlign w:val="bottom"/>
          </w:tcPr>
          <w:p>
            <w:pPr>
              <w:spacing w:after="0"/>
              <w:rPr>
                <w:sz w:val="1"/>
                <w:szCs w:val="1"/>
                <w:color w:val="auto"/>
              </w:rPr>
            </w:pPr>
          </w:p>
        </w:tc>
      </w:tr>
      <w:tr>
        <w:trPr>
          <w:trHeight w:val="278"/>
        </w:trPr>
        <w:tc>
          <w:tcPr>
            <w:tcW w:w="1820" w:type="dxa"/>
            <w:vAlign w:val="bottom"/>
            <w:tcBorders>
              <w:left w:val="single" w:sz="8" w:color="auto"/>
              <w:right w:val="single" w:sz="8" w:color="auto"/>
            </w:tcBorders>
            <w:shd w:val="clear" w:color="auto" w:fill="D4DBEB"/>
          </w:tcPr>
          <w:p>
            <w:pPr>
              <w:ind w:left="160"/>
              <w:spacing w:after="0"/>
              <w:rPr>
                <w:sz w:val="20"/>
                <w:szCs w:val="20"/>
                <w:color w:val="auto"/>
              </w:rPr>
            </w:pPr>
            <w:r>
              <w:rPr>
                <w:rFonts w:ascii="Arial" w:cs="Arial" w:eastAsia="Arial" w:hAnsi="Arial"/>
                <w:sz w:val="16"/>
                <w:szCs w:val="16"/>
                <w:color w:val="auto"/>
              </w:rPr>
              <w:t>D.R. Oberhelman</w:t>
            </w:r>
          </w:p>
        </w:tc>
        <w:tc>
          <w:tcPr>
            <w:tcW w:w="1080" w:type="dxa"/>
            <w:vAlign w:val="bottom"/>
            <w:tcBorders>
              <w:right w:val="single" w:sz="8" w:color="auto"/>
            </w:tcBorders>
            <w:shd w:val="clear" w:color="auto" w:fill="D4DBEB"/>
          </w:tcPr>
          <w:p>
            <w:pPr>
              <w:jc w:val="center"/>
              <w:spacing w:after="0" w:line="161" w:lineRule="exact"/>
              <w:rPr>
                <w:sz w:val="20"/>
                <w:szCs w:val="20"/>
                <w:color w:val="auto"/>
              </w:rPr>
            </w:pPr>
            <w:r>
              <w:rPr>
                <w:rFonts w:ascii="MS PGothic" w:cs="MS PGothic" w:eastAsia="MS PGothic" w:hAnsi="MS PGothic"/>
                <w:sz w:val="16"/>
                <w:szCs w:val="16"/>
                <w:color w:val="auto"/>
                <w:w w:val="87"/>
              </w:rPr>
              <w:t>✓</w:t>
            </w:r>
          </w:p>
        </w:tc>
        <w:tc>
          <w:tcPr>
            <w:tcW w:w="1260" w:type="dxa"/>
            <w:vAlign w:val="bottom"/>
            <w:tcBorders>
              <w:right w:val="single" w:sz="8" w:color="auto"/>
            </w:tcBorders>
            <w:shd w:val="clear" w:color="auto" w:fill="D4DBEB"/>
          </w:tcPr>
          <w:p>
            <w:pPr>
              <w:spacing w:after="0"/>
              <w:rPr>
                <w:sz w:val="24"/>
                <w:szCs w:val="24"/>
                <w:color w:val="auto"/>
              </w:rPr>
            </w:pPr>
          </w:p>
        </w:tc>
        <w:tc>
          <w:tcPr>
            <w:tcW w:w="1160" w:type="dxa"/>
            <w:vAlign w:val="bottom"/>
            <w:tcBorders>
              <w:right w:val="single" w:sz="8" w:color="auto"/>
            </w:tcBorders>
            <w:shd w:val="clear" w:color="auto" w:fill="D4DBEB"/>
          </w:tcPr>
          <w:p>
            <w:pPr>
              <w:spacing w:after="0"/>
              <w:rPr>
                <w:sz w:val="24"/>
                <w:szCs w:val="24"/>
                <w:color w:val="auto"/>
              </w:rPr>
            </w:pPr>
          </w:p>
        </w:tc>
        <w:tc>
          <w:tcPr>
            <w:tcW w:w="1280" w:type="dxa"/>
            <w:vAlign w:val="bottom"/>
            <w:tcBorders>
              <w:right w:val="single" w:sz="8" w:color="auto"/>
            </w:tcBorders>
            <w:shd w:val="clear" w:color="auto" w:fill="D4DBEB"/>
          </w:tcPr>
          <w:p>
            <w:pPr>
              <w:jc w:val="center"/>
              <w:spacing w:after="0" w:line="161" w:lineRule="exact"/>
              <w:rPr>
                <w:sz w:val="20"/>
                <w:szCs w:val="20"/>
                <w:color w:val="auto"/>
              </w:rPr>
            </w:pPr>
            <w:r>
              <w:rPr>
                <w:rFonts w:ascii="MS PGothic" w:cs="MS PGothic" w:eastAsia="MS PGothic" w:hAnsi="MS PGothic"/>
                <w:sz w:val="16"/>
                <w:szCs w:val="16"/>
                <w:color w:val="auto"/>
                <w:w w:val="87"/>
              </w:rPr>
              <w:t>✓</w:t>
            </w:r>
          </w:p>
        </w:tc>
        <w:tc>
          <w:tcPr>
            <w:tcW w:w="1480" w:type="dxa"/>
            <w:vAlign w:val="bottom"/>
            <w:tcBorders>
              <w:right w:val="single" w:sz="8" w:color="auto"/>
            </w:tcBorders>
            <w:shd w:val="clear" w:color="auto" w:fill="D4DBEB"/>
          </w:tcPr>
          <w:p>
            <w:pPr>
              <w:spacing w:after="0"/>
              <w:rPr>
                <w:sz w:val="24"/>
                <w:szCs w:val="24"/>
                <w:color w:val="auto"/>
              </w:rPr>
            </w:pPr>
          </w:p>
        </w:tc>
        <w:tc>
          <w:tcPr>
            <w:tcW w:w="1280" w:type="dxa"/>
            <w:vAlign w:val="bottom"/>
            <w:tcBorders>
              <w:right w:val="single" w:sz="8" w:color="auto"/>
            </w:tcBorders>
            <w:shd w:val="clear" w:color="auto" w:fill="D4DBEB"/>
          </w:tcPr>
          <w:p>
            <w:pPr>
              <w:spacing w:after="0"/>
              <w:rPr>
                <w:sz w:val="24"/>
                <w:szCs w:val="24"/>
                <w:color w:val="auto"/>
              </w:rPr>
            </w:pPr>
          </w:p>
        </w:tc>
        <w:tc>
          <w:tcPr>
            <w:tcW w:w="0" w:type="dxa"/>
            <w:vAlign w:val="bottom"/>
          </w:tcPr>
          <w:p>
            <w:pPr>
              <w:spacing w:after="0"/>
              <w:rPr>
                <w:sz w:val="1"/>
                <w:szCs w:val="1"/>
                <w:color w:val="auto"/>
              </w:rPr>
            </w:pPr>
          </w:p>
        </w:tc>
      </w:tr>
      <w:tr>
        <w:trPr>
          <w:trHeight w:val="266"/>
        </w:trPr>
        <w:tc>
          <w:tcPr>
            <w:tcW w:w="1820" w:type="dxa"/>
            <w:vAlign w:val="bottom"/>
            <w:tcBorders>
              <w:left w:val="single" w:sz="8" w:color="auto"/>
              <w:right w:val="single" w:sz="8" w:color="auto"/>
            </w:tcBorders>
          </w:tcPr>
          <w:p>
            <w:pPr>
              <w:ind w:left="160"/>
              <w:spacing w:after="0"/>
              <w:rPr>
                <w:sz w:val="20"/>
                <w:szCs w:val="20"/>
                <w:color w:val="auto"/>
              </w:rPr>
            </w:pPr>
            <w:r>
              <w:rPr>
                <w:rFonts w:ascii="Arial" w:cs="Arial" w:eastAsia="Arial" w:hAnsi="Arial"/>
                <w:sz w:val="16"/>
                <w:szCs w:val="16"/>
                <w:color w:val="auto"/>
              </w:rPr>
              <w:t>S.J. Palmisano</w:t>
            </w:r>
          </w:p>
        </w:tc>
        <w:tc>
          <w:tcPr>
            <w:tcW w:w="1080" w:type="dxa"/>
            <w:vAlign w:val="bottom"/>
            <w:tcBorders>
              <w:right w:val="single" w:sz="8" w:color="auto"/>
            </w:tcBorders>
          </w:tcPr>
          <w:p>
            <w:pPr>
              <w:spacing w:after="0"/>
              <w:rPr>
                <w:sz w:val="23"/>
                <w:szCs w:val="23"/>
                <w:color w:val="auto"/>
              </w:rPr>
            </w:pPr>
          </w:p>
        </w:tc>
        <w:tc>
          <w:tcPr>
            <w:tcW w:w="1260" w:type="dxa"/>
            <w:vAlign w:val="bottom"/>
            <w:tcBorders>
              <w:right w:val="single" w:sz="8" w:color="auto"/>
            </w:tcBorders>
          </w:tcPr>
          <w:p>
            <w:pPr>
              <w:jc w:val="center"/>
              <w:spacing w:after="0"/>
              <w:rPr>
                <w:sz w:val="20"/>
                <w:szCs w:val="20"/>
                <w:color w:val="auto"/>
              </w:rPr>
            </w:pPr>
            <w:r>
              <w:rPr>
                <w:rFonts w:ascii="Arial" w:cs="Arial" w:eastAsia="Arial" w:hAnsi="Arial"/>
                <w:sz w:val="16"/>
                <w:szCs w:val="16"/>
                <w:b w:val="1"/>
                <w:bCs w:val="1"/>
                <w:color w:val="auto"/>
              </w:rPr>
              <w:t>C</w:t>
            </w:r>
          </w:p>
        </w:tc>
        <w:tc>
          <w:tcPr>
            <w:tcW w:w="1160" w:type="dxa"/>
            <w:vAlign w:val="bottom"/>
            <w:tcBorders>
              <w:right w:val="single" w:sz="8" w:color="auto"/>
            </w:tcBorders>
          </w:tcPr>
          <w:p>
            <w:pPr>
              <w:jc w:val="center"/>
              <w:spacing w:after="0" w:line="161" w:lineRule="exact"/>
              <w:rPr>
                <w:sz w:val="20"/>
                <w:szCs w:val="20"/>
                <w:color w:val="auto"/>
              </w:rPr>
            </w:pPr>
            <w:r>
              <w:rPr>
                <w:rFonts w:ascii="MS PGothic" w:cs="MS PGothic" w:eastAsia="MS PGothic" w:hAnsi="MS PGothic"/>
                <w:sz w:val="16"/>
                <w:szCs w:val="16"/>
                <w:color w:val="auto"/>
                <w:w w:val="87"/>
              </w:rPr>
              <w:t>✓</w:t>
            </w:r>
          </w:p>
        </w:tc>
        <w:tc>
          <w:tcPr>
            <w:tcW w:w="1280" w:type="dxa"/>
            <w:vAlign w:val="bottom"/>
            <w:tcBorders>
              <w:right w:val="single" w:sz="8" w:color="auto"/>
            </w:tcBorders>
          </w:tcPr>
          <w:p>
            <w:pPr>
              <w:spacing w:after="0"/>
              <w:rPr>
                <w:sz w:val="23"/>
                <w:szCs w:val="23"/>
                <w:color w:val="auto"/>
              </w:rPr>
            </w:pPr>
          </w:p>
        </w:tc>
        <w:tc>
          <w:tcPr>
            <w:tcW w:w="1480" w:type="dxa"/>
            <w:vAlign w:val="bottom"/>
            <w:tcBorders>
              <w:right w:val="single" w:sz="8" w:color="auto"/>
            </w:tcBorders>
          </w:tcPr>
          <w:p>
            <w:pPr>
              <w:spacing w:after="0"/>
              <w:rPr>
                <w:sz w:val="23"/>
                <w:szCs w:val="23"/>
                <w:color w:val="auto"/>
              </w:rPr>
            </w:pPr>
          </w:p>
        </w:tc>
        <w:tc>
          <w:tcPr>
            <w:tcW w:w="1280" w:type="dxa"/>
            <w:vAlign w:val="bottom"/>
            <w:tcBorders>
              <w:right w:val="single" w:sz="8" w:color="auto"/>
            </w:tcBorders>
          </w:tcPr>
          <w:p>
            <w:pPr>
              <w:jc w:val="center"/>
              <w:spacing w:after="0" w:line="161" w:lineRule="exact"/>
              <w:rPr>
                <w:sz w:val="20"/>
                <w:szCs w:val="20"/>
                <w:color w:val="auto"/>
              </w:rPr>
            </w:pPr>
            <w:r>
              <w:rPr>
                <w:rFonts w:ascii="MS PGothic" w:cs="MS PGothic" w:eastAsia="MS PGothic" w:hAnsi="MS PGothic"/>
                <w:sz w:val="16"/>
                <w:szCs w:val="16"/>
                <w:color w:val="auto"/>
                <w:w w:val="87"/>
              </w:rPr>
              <w:t>✓</w:t>
            </w:r>
          </w:p>
        </w:tc>
        <w:tc>
          <w:tcPr>
            <w:tcW w:w="0" w:type="dxa"/>
            <w:vAlign w:val="bottom"/>
          </w:tcPr>
          <w:p>
            <w:pPr>
              <w:spacing w:after="0"/>
              <w:rPr>
                <w:sz w:val="1"/>
                <w:szCs w:val="1"/>
                <w:color w:val="auto"/>
              </w:rPr>
            </w:pPr>
          </w:p>
        </w:tc>
      </w:tr>
      <w:tr>
        <w:trPr>
          <w:trHeight w:val="274"/>
        </w:trPr>
        <w:tc>
          <w:tcPr>
            <w:tcW w:w="1820" w:type="dxa"/>
            <w:vAlign w:val="bottom"/>
            <w:tcBorders>
              <w:left w:val="single" w:sz="8" w:color="auto"/>
              <w:right w:val="single" w:sz="8" w:color="auto"/>
            </w:tcBorders>
            <w:shd w:val="clear" w:color="auto" w:fill="D4DBEB"/>
          </w:tcPr>
          <w:p>
            <w:pPr>
              <w:ind w:left="160"/>
              <w:spacing w:after="0"/>
              <w:rPr>
                <w:sz w:val="20"/>
                <w:szCs w:val="20"/>
                <w:color w:val="auto"/>
              </w:rPr>
            </w:pPr>
            <w:r>
              <w:rPr>
                <w:rFonts w:ascii="Arial" w:cs="Arial" w:eastAsia="Arial" w:hAnsi="Arial"/>
                <w:sz w:val="16"/>
                <w:szCs w:val="16"/>
                <w:color w:val="auto"/>
              </w:rPr>
              <w:t>S.S Reinemund</w:t>
            </w:r>
          </w:p>
        </w:tc>
        <w:tc>
          <w:tcPr>
            <w:tcW w:w="1080" w:type="dxa"/>
            <w:vAlign w:val="bottom"/>
            <w:tcBorders>
              <w:right w:val="single" w:sz="8" w:color="auto"/>
            </w:tcBorders>
            <w:shd w:val="clear" w:color="auto" w:fill="D4DBEB"/>
          </w:tcPr>
          <w:p>
            <w:pPr>
              <w:spacing w:after="0"/>
              <w:rPr>
                <w:sz w:val="23"/>
                <w:szCs w:val="23"/>
                <w:color w:val="auto"/>
              </w:rPr>
            </w:pPr>
          </w:p>
        </w:tc>
        <w:tc>
          <w:tcPr>
            <w:tcW w:w="1260" w:type="dxa"/>
            <w:vAlign w:val="bottom"/>
            <w:tcBorders>
              <w:right w:val="single" w:sz="8" w:color="auto"/>
            </w:tcBorders>
            <w:shd w:val="clear" w:color="auto" w:fill="D4DBEB"/>
          </w:tcPr>
          <w:p>
            <w:pPr>
              <w:spacing w:after="0"/>
              <w:rPr>
                <w:sz w:val="23"/>
                <w:szCs w:val="23"/>
                <w:color w:val="auto"/>
              </w:rPr>
            </w:pPr>
          </w:p>
        </w:tc>
        <w:tc>
          <w:tcPr>
            <w:tcW w:w="1160" w:type="dxa"/>
            <w:vAlign w:val="bottom"/>
            <w:tcBorders>
              <w:right w:val="single" w:sz="8" w:color="auto"/>
            </w:tcBorders>
            <w:shd w:val="clear" w:color="auto" w:fill="D4DBEB"/>
          </w:tcPr>
          <w:p>
            <w:pPr>
              <w:jc w:val="center"/>
              <w:spacing w:after="0" w:line="161" w:lineRule="exact"/>
              <w:rPr>
                <w:sz w:val="20"/>
                <w:szCs w:val="20"/>
                <w:color w:val="auto"/>
              </w:rPr>
            </w:pPr>
            <w:r>
              <w:rPr>
                <w:rFonts w:ascii="MS PGothic" w:cs="MS PGothic" w:eastAsia="MS PGothic" w:hAnsi="MS PGothic"/>
                <w:sz w:val="16"/>
                <w:szCs w:val="16"/>
                <w:color w:val="auto"/>
                <w:w w:val="87"/>
              </w:rPr>
              <w:t>✓</w:t>
            </w:r>
          </w:p>
        </w:tc>
        <w:tc>
          <w:tcPr>
            <w:tcW w:w="1280" w:type="dxa"/>
            <w:vAlign w:val="bottom"/>
            <w:tcBorders>
              <w:right w:val="single" w:sz="8" w:color="auto"/>
            </w:tcBorders>
            <w:shd w:val="clear" w:color="auto" w:fill="D4DBEB"/>
          </w:tcPr>
          <w:p>
            <w:pPr>
              <w:spacing w:after="0"/>
              <w:rPr>
                <w:sz w:val="23"/>
                <w:szCs w:val="23"/>
                <w:color w:val="auto"/>
              </w:rPr>
            </w:pPr>
          </w:p>
        </w:tc>
        <w:tc>
          <w:tcPr>
            <w:tcW w:w="1480" w:type="dxa"/>
            <w:vAlign w:val="bottom"/>
            <w:tcBorders>
              <w:right w:val="single" w:sz="8" w:color="auto"/>
            </w:tcBorders>
            <w:shd w:val="clear" w:color="auto" w:fill="D4DBEB"/>
          </w:tcPr>
          <w:p>
            <w:pPr>
              <w:jc w:val="center"/>
              <w:spacing w:after="0" w:line="161" w:lineRule="exact"/>
              <w:rPr>
                <w:sz w:val="20"/>
                <w:szCs w:val="20"/>
                <w:color w:val="auto"/>
              </w:rPr>
            </w:pPr>
            <w:r>
              <w:rPr>
                <w:rFonts w:ascii="MS PGothic" w:cs="MS PGothic" w:eastAsia="MS PGothic" w:hAnsi="MS PGothic"/>
                <w:sz w:val="16"/>
                <w:szCs w:val="16"/>
                <w:color w:val="auto"/>
                <w:w w:val="87"/>
              </w:rPr>
              <w:t>✓</w:t>
            </w:r>
          </w:p>
        </w:tc>
        <w:tc>
          <w:tcPr>
            <w:tcW w:w="1280" w:type="dxa"/>
            <w:vAlign w:val="bottom"/>
            <w:tcBorders>
              <w:right w:val="single" w:sz="8" w:color="auto"/>
            </w:tcBorders>
            <w:shd w:val="clear" w:color="auto" w:fill="D4DBEB"/>
          </w:tcPr>
          <w:p>
            <w:pPr>
              <w:jc w:val="center"/>
              <w:spacing w:after="0" w:line="161" w:lineRule="exact"/>
              <w:rPr>
                <w:sz w:val="20"/>
                <w:szCs w:val="20"/>
                <w:color w:val="auto"/>
              </w:rPr>
            </w:pPr>
            <w:r>
              <w:rPr>
                <w:rFonts w:ascii="MS PGothic" w:cs="MS PGothic" w:eastAsia="MS PGothic" w:hAnsi="MS PGothic"/>
                <w:sz w:val="16"/>
                <w:szCs w:val="16"/>
                <w:color w:val="auto"/>
                <w:w w:val="87"/>
              </w:rPr>
              <w:t>✓</w:t>
            </w:r>
          </w:p>
        </w:tc>
        <w:tc>
          <w:tcPr>
            <w:tcW w:w="0" w:type="dxa"/>
            <w:vAlign w:val="bottom"/>
          </w:tcPr>
          <w:p>
            <w:pPr>
              <w:spacing w:after="0"/>
              <w:rPr>
                <w:sz w:val="1"/>
                <w:szCs w:val="1"/>
                <w:color w:val="auto"/>
              </w:rPr>
            </w:pPr>
          </w:p>
        </w:tc>
      </w:tr>
      <w:tr>
        <w:trPr>
          <w:trHeight w:val="263"/>
        </w:trPr>
        <w:tc>
          <w:tcPr>
            <w:tcW w:w="1820" w:type="dxa"/>
            <w:vAlign w:val="bottom"/>
            <w:tcBorders>
              <w:left w:val="single" w:sz="8" w:color="auto"/>
              <w:right w:val="single" w:sz="8" w:color="auto"/>
            </w:tcBorders>
          </w:tcPr>
          <w:p>
            <w:pPr>
              <w:ind w:left="160"/>
              <w:spacing w:after="0"/>
              <w:rPr>
                <w:sz w:val="20"/>
                <w:szCs w:val="20"/>
                <w:color w:val="auto"/>
              </w:rPr>
            </w:pPr>
            <w:r>
              <w:rPr>
                <w:rFonts w:ascii="Arial" w:cs="Arial" w:eastAsia="Arial" w:hAnsi="Arial"/>
                <w:sz w:val="16"/>
                <w:szCs w:val="16"/>
                <w:color w:val="auto"/>
              </w:rPr>
              <w:t>W.C. Weldon</w:t>
            </w:r>
          </w:p>
        </w:tc>
        <w:tc>
          <w:tcPr>
            <w:tcW w:w="1080" w:type="dxa"/>
            <w:vAlign w:val="bottom"/>
            <w:tcBorders>
              <w:right w:val="single" w:sz="8" w:color="auto"/>
            </w:tcBorders>
          </w:tcPr>
          <w:p>
            <w:pPr>
              <w:jc w:val="center"/>
              <w:spacing w:after="0" w:line="161" w:lineRule="exact"/>
              <w:rPr>
                <w:sz w:val="20"/>
                <w:szCs w:val="20"/>
                <w:color w:val="auto"/>
              </w:rPr>
            </w:pPr>
            <w:r>
              <w:rPr>
                <w:rFonts w:ascii="MS PGothic" w:cs="MS PGothic" w:eastAsia="MS PGothic" w:hAnsi="MS PGothic"/>
                <w:sz w:val="16"/>
                <w:szCs w:val="16"/>
                <w:color w:val="auto"/>
                <w:w w:val="87"/>
              </w:rPr>
              <w:t>✓</w:t>
            </w:r>
          </w:p>
        </w:tc>
        <w:tc>
          <w:tcPr>
            <w:tcW w:w="1260" w:type="dxa"/>
            <w:vAlign w:val="bottom"/>
            <w:tcBorders>
              <w:right w:val="single" w:sz="8" w:color="auto"/>
            </w:tcBorders>
          </w:tcPr>
          <w:p>
            <w:pPr>
              <w:spacing w:after="0"/>
              <w:rPr>
                <w:sz w:val="22"/>
                <w:szCs w:val="22"/>
                <w:color w:val="auto"/>
              </w:rPr>
            </w:pPr>
          </w:p>
        </w:tc>
        <w:tc>
          <w:tcPr>
            <w:tcW w:w="1160" w:type="dxa"/>
            <w:vAlign w:val="bottom"/>
            <w:tcBorders>
              <w:right w:val="single" w:sz="8" w:color="auto"/>
            </w:tcBorders>
          </w:tcPr>
          <w:p>
            <w:pPr>
              <w:spacing w:after="0"/>
              <w:rPr>
                <w:sz w:val="22"/>
                <w:szCs w:val="22"/>
                <w:color w:val="auto"/>
              </w:rPr>
            </w:pPr>
          </w:p>
        </w:tc>
        <w:tc>
          <w:tcPr>
            <w:tcW w:w="1280" w:type="dxa"/>
            <w:vAlign w:val="bottom"/>
            <w:tcBorders>
              <w:right w:val="single" w:sz="8" w:color="auto"/>
            </w:tcBorders>
          </w:tcPr>
          <w:p>
            <w:pPr>
              <w:jc w:val="center"/>
              <w:spacing w:after="0" w:line="161" w:lineRule="exact"/>
              <w:rPr>
                <w:sz w:val="20"/>
                <w:szCs w:val="20"/>
                <w:color w:val="auto"/>
              </w:rPr>
            </w:pPr>
            <w:r>
              <w:rPr>
                <w:rFonts w:ascii="MS PGothic" w:cs="MS PGothic" w:eastAsia="MS PGothic" w:hAnsi="MS PGothic"/>
                <w:sz w:val="16"/>
                <w:szCs w:val="16"/>
                <w:color w:val="auto"/>
                <w:w w:val="87"/>
              </w:rPr>
              <w:t>✓</w:t>
            </w:r>
          </w:p>
        </w:tc>
        <w:tc>
          <w:tcPr>
            <w:tcW w:w="1480" w:type="dxa"/>
            <w:vAlign w:val="bottom"/>
            <w:tcBorders>
              <w:right w:val="single" w:sz="8" w:color="auto"/>
            </w:tcBorders>
          </w:tcPr>
          <w:p>
            <w:pPr>
              <w:spacing w:after="0"/>
              <w:rPr>
                <w:sz w:val="22"/>
                <w:szCs w:val="22"/>
                <w:color w:val="auto"/>
              </w:rPr>
            </w:pPr>
          </w:p>
        </w:tc>
        <w:tc>
          <w:tcPr>
            <w:tcW w:w="1280" w:type="dxa"/>
            <w:vAlign w:val="bottom"/>
            <w:tcBorders>
              <w:right w:val="single" w:sz="8" w:color="auto"/>
            </w:tcBorders>
          </w:tcPr>
          <w:p>
            <w:pPr>
              <w:spacing w:after="0"/>
              <w:rPr>
                <w:sz w:val="22"/>
                <w:szCs w:val="22"/>
                <w:color w:val="auto"/>
              </w:rPr>
            </w:pPr>
          </w:p>
        </w:tc>
        <w:tc>
          <w:tcPr>
            <w:tcW w:w="0" w:type="dxa"/>
            <w:vAlign w:val="bottom"/>
          </w:tcPr>
          <w:p>
            <w:pPr>
              <w:spacing w:after="0"/>
              <w:rPr>
                <w:sz w:val="1"/>
                <w:szCs w:val="1"/>
                <w:color w:val="auto"/>
              </w:rPr>
            </w:pPr>
          </w:p>
        </w:tc>
      </w:tr>
      <w:tr>
        <w:trPr>
          <w:trHeight w:val="264"/>
        </w:trPr>
        <w:tc>
          <w:tcPr>
            <w:tcW w:w="1820" w:type="dxa"/>
            <w:vAlign w:val="bottom"/>
            <w:tcBorders>
              <w:left w:val="single" w:sz="8" w:color="auto"/>
              <w:right w:val="single" w:sz="8" w:color="auto"/>
            </w:tcBorders>
            <w:shd w:val="clear" w:color="auto" w:fill="D4DBEB"/>
          </w:tcPr>
          <w:p>
            <w:pPr>
              <w:ind w:left="160"/>
              <w:spacing w:after="0"/>
              <w:rPr>
                <w:sz w:val="20"/>
                <w:szCs w:val="20"/>
                <w:color w:val="auto"/>
              </w:rPr>
            </w:pPr>
            <w:r>
              <w:rPr>
                <w:rFonts w:ascii="Arial" w:cs="Arial" w:eastAsia="Arial" w:hAnsi="Arial"/>
                <w:sz w:val="16"/>
                <w:szCs w:val="16"/>
                <w:color w:val="auto"/>
              </w:rPr>
              <w:t>D.W. Woods</w:t>
            </w:r>
          </w:p>
        </w:tc>
        <w:tc>
          <w:tcPr>
            <w:tcW w:w="1080" w:type="dxa"/>
            <w:vAlign w:val="bottom"/>
            <w:tcBorders>
              <w:right w:val="single" w:sz="8" w:color="auto"/>
            </w:tcBorders>
            <w:shd w:val="clear" w:color="auto" w:fill="D4DBEB"/>
          </w:tcPr>
          <w:p>
            <w:pPr>
              <w:spacing w:after="0"/>
              <w:rPr>
                <w:sz w:val="22"/>
                <w:szCs w:val="22"/>
                <w:color w:val="auto"/>
              </w:rPr>
            </w:pPr>
          </w:p>
        </w:tc>
        <w:tc>
          <w:tcPr>
            <w:tcW w:w="1260" w:type="dxa"/>
            <w:vAlign w:val="bottom"/>
            <w:tcBorders>
              <w:right w:val="single" w:sz="8" w:color="auto"/>
            </w:tcBorders>
            <w:shd w:val="clear" w:color="auto" w:fill="D4DBEB"/>
          </w:tcPr>
          <w:p>
            <w:pPr>
              <w:spacing w:after="0"/>
              <w:rPr>
                <w:sz w:val="22"/>
                <w:szCs w:val="22"/>
                <w:color w:val="auto"/>
              </w:rPr>
            </w:pPr>
          </w:p>
        </w:tc>
        <w:tc>
          <w:tcPr>
            <w:tcW w:w="1160" w:type="dxa"/>
            <w:vAlign w:val="bottom"/>
            <w:tcBorders>
              <w:right w:val="single" w:sz="8" w:color="auto"/>
            </w:tcBorders>
            <w:shd w:val="clear" w:color="auto" w:fill="D4DBEB"/>
          </w:tcPr>
          <w:p>
            <w:pPr>
              <w:spacing w:after="0"/>
              <w:rPr>
                <w:sz w:val="22"/>
                <w:szCs w:val="22"/>
                <w:color w:val="auto"/>
              </w:rPr>
            </w:pPr>
          </w:p>
        </w:tc>
        <w:tc>
          <w:tcPr>
            <w:tcW w:w="1280" w:type="dxa"/>
            <w:vAlign w:val="bottom"/>
            <w:tcBorders>
              <w:right w:val="single" w:sz="8" w:color="auto"/>
            </w:tcBorders>
            <w:shd w:val="clear" w:color="auto" w:fill="D4DBEB"/>
          </w:tcPr>
          <w:p>
            <w:pPr>
              <w:jc w:val="center"/>
              <w:spacing w:after="0"/>
              <w:rPr>
                <w:sz w:val="20"/>
                <w:szCs w:val="20"/>
                <w:color w:val="auto"/>
              </w:rPr>
            </w:pPr>
            <w:r>
              <w:rPr>
                <w:rFonts w:ascii="Arial" w:cs="Arial" w:eastAsia="Arial" w:hAnsi="Arial"/>
                <w:sz w:val="16"/>
                <w:szCs w:val="16"/>
                <w:b w:val="1"/>
                <w:bCs w:val="1"/>
                <w:color w:val="auto"/>
              </w:rPr>
              <w:t>C</w:t>
            </w:r>
          </w:p>
        </w:tc>
        <w:tc>
          <w:tcPr>
            <w:tcW w:w="1480" w:type="dxa"/>
            <w:vAlign w:val="bottom"/>
            <w:tcBorders>
              <w:right w:val="single" w:sz="8" w:color="auto"/>
            </w:tcBorders>
            <w:shd w:val="clear" w:color="auto" w:fill="D4DBEB"/>
          </w:tcPr>
          <w:p>
            <w:pPr>
              <w:spacing w:after="0"/>
              <w:rPr>
                <w:sz w:val="22"/>
                <w:szCs w:val="22"/>
                <w:color w:val="auto"/>
              </w:rPr>
            </w:pPr>
          </w:p>
        </w:tc>
        <w:tc>
          <w:tcPr>
            <w:tcW w:w="1280" w:type="dxa"/>
            <w:vAlign w:val="bottom"/>
            <w:tcBorders>
              <w:right w:val="single" w:sz="8" w:color="auto"/>
            </w:tcBorders>
            <w:shd w:val="clear" w:color="auto" w:fill="D4DBEB"/>
          </w:tcPr>
          <w:p>
            <w:pPr>
              <w:jc w:val="center"/>
              <w:spacing w:after="0"/>
              <w:rPr>
                <w:sz w:val="20"/>
                <w:szCs w:val="20"/>
                <w:color w:val="auto"/>
              </w:rPr>
            </w:pPr>
            <w:r>
              <w:rPr>
                <w:rFonts w:ascii="Arial" w:cs="Arial" w:eastAsia="Arial" w:hAnsi="Arial"/>
                <w:sz w:val="16"/>
                <w:szCs w:val="16"/>
                <w:b w:val="1"/>
                <w:bCs w:val="1"/>
                <w:color w:val="auto"/>
                <w:w w:val="86"/>
              </w:rPr>
              <w:t>C</w:t>
            </w:r>
          </w:p>
        </w:tc>
        <w:tc>
          <w:tcPr>
            <w:tcW w:w="0" w:type="dxa"/>
            <w:vAlign w:val="bottom"/>
          </w:tcPr>
          <w:p>
            <w:pPr>
              <w:spacing w:after="0"/>
              <w:rPr>
                <w:sz w:val="1"/>
                <w:szCs w:val="1"/>
                <w:color w:val="auto"/>
              </w:rPr>
            </w:pPr>
          </w:p>
        </w:tc>
      </w:tr>
      <w:tr>
        <w:trPr>
          <w:trHeight w:val="250"/>
        </w:trPr>
        <w:tc>
          <w:tcPr>
            <w:tcW w:w="1820" w:type="dxa"/>
            <w:vAlign w:val="bottom"/>
            <w:tcBorders>
              <w:left w:val="single" w:sz="8" w:color="auto"/>
              <w:bottom w:val="single" w:sz="8" w:color="auto"/>
              <w:right w:val="single" w:sz="8" w:color="auto"/>
            </w:tcBorders>
          </w:tcPr>
          <w:p>
            <w:pPr>
              <w:ind w:left="160"/>
              <w:spacing w:after="0"/>
              <w:rPr>
                <w:sz w:val="20"/>
                <w:szCs w:val="20"/>
                <w:color w:val="auto"/>
              </w:rPr>
            </w:pPr>
            <w:r>
              <w:rPr>
                <w:rFonts w:ascii="Arial" w:cs="Arial" w:eastAsia="Arial" w:hAnsi="Arial"/>
                <w:sz w:val="16"/>
                <w:szCs w:val="16"/>
                <w:color w:val="auto"/>
              </w:rPr>
              <w:t>2017 Meetings</w:t>
            </w:r>
          </w:p>
        </w:tc>
        <w:tc>
          <w:tcPr>
            <w:tcW w:w="108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6"/>
                <w:szCs w:val="16"/>
                <w:color w:val="auto"/>
                <w:w w:val="89"/>
              </w:rPr>
              <w:t>11</w:t>
            </w:r>
          </w:p>
        </w:tc>
        <w:tc>
          <w:tcPr>
            <w:tcW w:w="126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6"/>
                <w:szCs w:val="16"/>
                <w:color w:val="auto"/>
                <w:w w:val="89"/>
              </w:rPr>
              <w:t>7</w:t>
            </w:r>
          </w:p>
        </w:tc>
        <w:tc>
          <w:tcPr>
            <w:tcW w:w="116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6"/>
                <w:szCs w:val="16"/>
                <w:color w:val="auto"/>
              </w:rPr>
              <w:t>7</w:t>
            </w:r>
          </w:p>
        </w:tc>
        <w:tc>
          <w:tcPr>
            <w:tcW w:w="128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6"/>
                <w:szCs w:val="16"/>
                <w:color w:val="auto"/>
              </w:rPr>
              <w:t>2</w:t>
            </w:r>
          </w:p>
        </w:tc>
        <w:tc>
          <w:tcPr>
            <w:tcW w:w="148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6"/>
                <w:szCs w:val="16"/>
                <w:color w:val="auto"/>
              </w:rPr>
              <w:t>4</w:t>
            </w:r>
          </w:p>
        </w:tc>
        <w:tc>
          <w:tcPr>
            <w:tcW w:w="128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6"/>
                <w:szCs w:val="16"/>
                <w:color w:val="auto"/>
              </w:rPr>
              <w:t>0</w:t>
            </w:r>
          </w:p>
        </w:tc>
        <w:tc>
          <w:tcPr>
            <w:tcW w:w="0" w:type="dxa"/>
            <w:vAlign w:val="bottom"/>
          </w:tcPr>
          <w:p>
            <w:pPr>
              <w:spacing w:after="0"/>
              <w:rPr>
                <w:sz w:val="1"/>
                <w:szCs w:val="1"/>
                <w:color w:val="auto"/>
              </w:rPr>
            </w:pPr>
          </w:p>
        </w:tc>
      </w:tr>
      <w:tr>
        <w:trPr>
          <w:trHeight w:val="301"/>
        </w:trPr>
        <w:tc>
          <w:tcPr>
            <w:tcW w:w="1820" w:type="dxa"/>
            <w:vAlign w:val="bottom"/>
          </w:tcPr>
          <w:p>
            <w:pPr>
              <w:spacing w:after="0" w:line="161" w:lineRule="exact"/>
              <w:rPr>
                <w:sz w:val="20"/>
                <w:szCs w:val="20"/>
                <w:color w:val="auto"/>
              </w:rPr>
            </w:pPr>
            <w:r>
              <w:rPr>
                <w:rFonts w:ascii="Arial" w:cs="Arial" w:eastAsia="Arial" w:hAnsi="Arial"/>
                <w:sz w:val="14"/>
                <w:szCs w:val="14"/>
                <w:b w:val="1"/>
                <w:bCs w:val="1"/>
                <w:color w:val="auto"/>
              </w:rPr>
              <w:t xml:space="preserve">C </w:t>
            </w:r>
            <w:r>
              <w:rPr>
                <w:rFonts w:ascii="Arial" w:cs="Arial" w:eastAsia="Arial" w:hAnsi="Arial"/>
                <w:sz w:val="14"/>
                <w:szCs w:val="14"/>
                <w:color w:val="auto"/>
              </w:rPr>
              <w:t>= Chair</w:t>
            </w:r>
            <w:r>
              <w:rPr>
                <w:rFonts w:ascii="Arial" w:cs="Arial" w:eastAsia="Arial" w:hAnsi="Arial"/>
                <w:sz w:val="14"/>
                <w:szCs w:val="14"/>
                <w:b w:val="1"/>
                <w:bCs w:val="1"/>
                <w:color w:val="auto"/>
              </w:rPr>
              <w:t xml:space="preserve">  </w:t>
            </w:r>
            <w:r>
              <w:rPr>
                <w:rFonts w:ascii="MS PGothic" w:cs="MS PGothic" w:eastAsia="MS PGothic" w:hAnsi="MS PGothic"/>
                <w:sz w:val="14"/>
                <w:szCs w:val="14"/>
                <w:color w:val="auto"/>
              </w:rPr>
              <w:t>✓</w:t>
            </w:r>
            <w:r>
              <w:rPr>
                <w:rFonts w:ascii="Arial" w:cs="Arial" w:eastAsia="Arial" w:hAnsi="Arial"/>
                <w:sz w:val="14"/>
                <w:szCs w:val="14"/>
                <w:b w:val="1"/>
                <w:bCs w:val="1"/>
                <w:color w:val="auto"/>
              </w:rPr>
              <w:t xml:space="preserve"> </w:t>
            </w:r>
            <w:r>
              <w:rPr>
                <w:rFonts w:ascii="Arial" w:cs="Arial" w:eastAsia="Arial" w:hAnsi="Arial"/>
                <w:sz w:val="14"/>
                <w:szCs w:val="14"/>
                <w:color w:val="auto"/>
              </w:rPr>
              <w:t>= Member</w:t>
            </w:r>
          </w:p>
        </w:tc>
        <w:tc>
          <w:tcPr>
            <w:tcW w:w="4780" w:type="dxa"/>
            <w:vAlign w:val="bottom"/>
            <w:gridSpan w:val="4"/>
          </w:tcPr>
          <w:p>
            <w:pPr>
              <w:ind w:left="240"/>
              <w:spacing w:after="0"/>
              <w:rPr>
                <w:sz w:val="20"/>
                <w:szCs w:val="20"/>
                <w:color w:val="auto"/>
              </w:rPr>
            </w:pPr>
            <w:r>
              <w:rPr>
                <w:rFonts w:ascii="Arial" w:cs="Arial" w:eastAsia="Arial" w:hAnsi="Arial"/>
                <w:sz w:val="14"/>
                <w:szCs w:val="14"/>
                <w:color w:val="auto"/>
              </w:rPr>
              <w:t>(1) Other directors serve as alternate members on a rotational basis</w:t>
            </w:r>
          </w:p>
        </w:tc>
        <w:tc>
          <w:tcPr>
            <w:tcW w:w="148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176" w:lineRule="exact"/>
        <w:rPr>
          <w:sz w:val="20"/>
          <w:szCs w:val="20"/>
          <w:color w:val="auto"/>
        </w:rPr>
      </w:pPr>
    </w:p>
    <w:p>
      <w:pPr>
        <w:ind w:left="860"/>
        <w:spacing w:after="0"/>
        <w:rPr>
          <w:sz w:val="20"/>
          <w:szCs w:val="20"/>
          <w:color w:val="auto"/>
        </w:rPr>
      </w:pPr>
      <w:r>
        <w:rPr>
          <w:rFonts w:ascii="Arial" w:cs="Arial" w:eastAsia="Arial" w:hAnsi="Arial"/>
          <w:sz w:val="18"/>
          <w:szCs w:val="18"/>
          <w:color w:val="auto"/>
        </w:rPr>
        <w:t>Below is additional information about each Board committee.</w:t>
      </w:r>
    </w:p>
    <w:p>
      <w:pPr>
        <w:spacing w:after="0" w:line="210" w:lineRule="exact"/>
        <w:rPr>
          <w:sz w:val="20"/>
          <w:szCs w:val="20"/>
          <w:color w:val="auto"/>
        </w:rPr>
      </w:pPr>
    </w:p>
    <w:p>
      <w:pPr>
        <w:ind w:left="860"/>
        <w:spacing w:after="0"/>
        <w:rPr>
          <w:sz w:val="20"/>
          <w:szCs w:val="20"/>
          <w:color w:val="auto"/>
        </w:rPr>
      </w:pPr>
      <w:r>
        <w:rPr>
          <w:rFonts w:ascii="Arial" w:cs="Arial" w:eastAsia="Arial" w:hAnsi="Arial"/>
          <w:sz w:val="18"/>
          <w:szCs w:val="18"/>
          <w:b w:val="1"/>
          <w:bCs w:val="1"/>
          <w:color w:val="auto"/>
        </w:rPr>
        <w:t>Board Affairs Committee</w:t>
      </w:r>
    </w:p>
    <w:p>
      <w:pPr>
        <w:spacing w:after="0" w:line="106" w:lineRule="exact"/>
        <w:rPr>
          <w:sz w:val="20"/>
          <w:szCs w:val="20"/>
          <w:color w:val="auto"/>
        </w:rPr>
      </w:pPr>
    </w:p>
    <w:p>
      <w:pPr>
        <w:ind w:left="860" w:right="1120"/>
        <w:spacing w:after="0" w:line="276" w:lineRule="auto"/>
        <w:rPr>
          <w:sz w:val="20"/>
          <w:szCs w:val="20"/>
          <w:color w:val="auto"/>
        </w:rPr>
      </w:pPr>
      <w:r>
        <w:rPr>
          <w:rFonts w:ascii="Arial" w:cs="Arial" w:eastAsia="Arial" w:hAnsi="Arial"/>
          <w:sz w:val="18"/>
          <w:szCs w:val="18"/>
          <w:color w:val="auto"/>
        </w:rPr>
        <w:t>The Board Affairs Committee serves as ExxonMobil’s nominating and corporate governance committee. Its responsibilities include:</w:t>
      </w:r>
    </w:p>
    <w:p>
      <w:pPr>
        <w:spacing w:after="0" w:line="51" w:lineRule="exact"/>
        <w:rPr>
          <w:sz w:val="20"/>
          <w:szCs w:val="20"/>
          <w:color w:val="auto"/>
        </w:rPr>
      </w:pPr>
    </w:p>
    <w:p>
      <w:pPr>
        <w:ind w:left="1240" w:hanging="388"/>
        <w:spacing w:after="0"/>
        <w:tabs>
          <w:tab w:leader="none" w:pos="1240" w:val="left"/>
        </w:tabs>
        <w:numPr>
          <w:ilvl w:val="0"/>
          <w:numId w:val="16"/>
        </w:numPr>
        <w:rPr>
          <w:rFonts w:ascii="Times New Roman" w:cs="Times New Roman" w:eastAsia="Times New Roman" w:hAnsi="Times New Roman"/>
          <w:sz w:val="18"/>
          <w:szCs w:val="18"/>
          <w:color w:val="auto"/>
        </w:rPr>
      </w:pPr>
      <w:r>
        <w:rPr>
          <w:rFonts w:ascii="Arial" w:cs="Arial" w:eastAsia="Arial" w:hAnsi="Arial"/>
          <w:sz w:val="18"/>
          <w:szCs w:val="18"/>
          <w:color w:val="auto"/>
        </w:rPr>
        <w:t>Recommendation of director candidates;</w:t>
      </w:r>
    </w:p>
    <w:p>
      <w:pPr>
        <w:spacing w:after="0" w:line="129" w:lineRule="exact"/>
        <w:rPr>
          <w:rFonts w:ascii="Times New Roman" w:cs="Times New Roman" w:eastAsia="Times New Roman" w:hAnsi="Times New Roman"/>
          <w:sz w:val="18"/>
          <w:szCs w:val="18"/>
          <w:color w:val="auto"/>
        </w:rPr>
      </w:pPr>
    </w:p>
    <w:p>
      <w:pPr>
        <w:ind w:left="1240" w:hanging="388"/>
        <w:spacing w:after="0"/>
        <w:tabs>
          <w:tab w:leader="none" w:pos="1240" w:val="left"/>
        </w:tabs>
        <w:numPr>
          <w:ilvl w:val="0"/>
          <w:numId w:val="16"/>
        </w:numPr>
        <w:rPr>
          <w:rFonts w:ascii="Times New Roman" w:cs="Times New Roman" w:eastAsia="Times New Roman" w:hAnsi="Times New Roman"/>
          <w:sz w:val="18"/>
          <w:szCs w:val="18"/>
          <w:color w:val="auto"/>
        </w:rPr>
      </w:pPr>
      <w:r>
        <w:rPr>
          <w:rFonts w:ascii="Arial" w:cs="Arial" w:eastAsia="Arial" w:hAnsi="Arial"/>
          <w:sz w:val="18"/>
          <w:szCs w:val="18"/>
          <w:color w:val="auto"/>
        </w:rPr>
        <w:t>Review of non-employee director compensation;</w:t>
      </w:r>
    </w:p>
    <w:p>
      <w:pPr>
        <w:spacing w:after="0" w:line="129" w:lineRule="exact"/>
        <w:rPr>
          <w:rFonts w:ascii="Times New Roman" w:cs="Times New Roman" w:eastAsia="Times New Roman" w:hAnsi="Times New Roman"/>
          <w:sz w:val="18"/>
          <w:szCs w:val="18"/>
          <w:color w:val="auto"/>
        </w:rPr>
      </w:pPr>
    </w:p>
    <w:p>
      <w:pPr>
        <w:ind w:left="1240" w:hanging="388"/>
        <w:spacing w:after="0"/>
        <w:tabs>
          <w:tab w:leader="none" w:pos="1240" w:val="left"/>
        </w:tabs>
        <w:numPr>
          <w:ilvl w:val="0"/>
          <w:numId w:val="16"/>
        </w:numPr>
        <w:rPr>
          <w:rFonts w:ascii="Times New Roman" w:cs="Times New Roman" w:eastAsia="Times New Roman" w:hAnsi="Times New Roman"/>
          <w:sz w:val="18"/>
          <w:szCs w:val="18"/>
          <w:color w:val="auto"/>
        </w:rPr>
      </w:pPr>
      <w:r>
        <w:rPr>
          <w:rFonts w:ascii="Arial" w:cs="Arial" w:eastAsia="Arial" w:hAnsi="Arial"/>
          <w:sz w:val="18"/>
          <w:szCs w:val="18"/>
          <w:color w:val="auto"/>
        </w:rPr>
        <w:t>Review of other corporate governance practices, including the Corporate Governance Guidelines;</w:t>
      </w:r>
    </w:p>
    <w:p>
      <w:pPr>
        <w:spacing w:after="0" w:line="157" w:lineRule="exact"/>
        <w:rPr>
          <w:sz w:val="20"/>
          <w:szCs w:val="20"/>
          <w:color w:val="auto"/>
        </w:rPr>
      </w:pPr>
    </w:p>
    <w:tbl>
      <w:tblPr>
        <w:tblLayout w:type="fixed"/>
        <w:tblInd w:w="6960" w:type="dxa"/>
        <w:tblCellMar>
          <w:top w:w="0" w:type="dxa"/>
          <w:left w:w="0" w:type="dxa"/>
          <w:bottom w:w="0" w:type="dxa"/>
          <w:right w:w="0" w:type="dxa"/>
        </w:tblCellMar>
      </w:tblPr>
      <w:tr>
        <w:trPr>
          <w:trHeight w:val="243"/>
        </w:trPr>
        <w:tc>
          <w:tcPr>
            <w:tcW w:w="2440" w:type="dxa"/>
            <w:vAlign w:val="bottom"/>
          </w:tcPr>
          <w:p>
            <w:pPr>
              <w:spacing w:after="0"/>
              <w:rPr>
                <w:sz w:val="20"/>
                <w:szCs w:val="20"/>
                <w:color w:val="auto"/>
              </w:rPr>
            </w:pPr>
            <w:r>
              <w:rPr>
                <w:rFonts w:ascii="Times New Roman" w:cs="Times New Roman" w:eastAsia="Times New Roman" w:hAnsi="Times New Roman"/>
                <w:sz w:val="18"/>
                <w:szCs w:val="18"/>
                <w:i w:val="1"/>
                <w:iCs w:val="1"/>
                <w:color w:val="auto"/>
              </w:rPr>
              <w:t>2018 Proxy Statement</w:t>
            </w:r>
          </w:p>
        </w:tc>
        <w:tc>
          <w:tcPr>
            <w:tcW w:w="1060" w:type="dxa"/>
            <w:vAlign w:val="bottom"/>
          </w:tcPr>
          <w:p>
            <w:pPr>
              <w:jc w:val="right"/>
              <w:spacing w:after="0"/>
              <w:rPr>
                <w:sz w:val="20"/>
                <w:szCs w:val="20"/>
                <w:color w:val="auto"/>
              </w:rPr>
            </w:pPr>
            <w:r>
              <w:rPr>
                <w:rFonts w:ascii="Arial" w:cs="Arial" w:eastAsia="Arial" w:hAnsi="Arial"/>
                <w:sz w:val="18"/>
                <w:szCs w:val="18"/>
                <w:color w:val="auto"/>
              </w:rPr>
              <w:t>11</w:t>
            </w:r>
          </w:p>
        </w:tc>
      </w:tr>
    </w:tbl>
    <w:p>
      <w:pPr>
        <w:sectPr>
          <w:pgSz w:w="11900" w:h="16838" w:orient="portrait"/>
          <w:cols w:equalWidth="0" w:num="1">
            <w:col w:w="10460"/>
          </w:cols>
          <w:pgMar w:left="240" w:top="455" w:right="1199" w:bottom="1440" w:gutter="0" w:footer="0" w:header="0"/>
        </w:sectPr>
      </w:pPr>
    </w:p>
    <w:bookmarkStart w:id="14" w:name="page15"/>
    <w:bookmarkEnd w:id="14"/>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Times New Roman" w:cs="Times New Roman" w:eastAsia="Times New Roman" w:hAnsi="Times New Roman"/>
            <w:sz w:val="18"/>
            <w:szCs w:val="18"/>
            <w:b w:val="1"/>
            <w:bCs w:val="1"/>
            <w:u w:val="single" w:color="auto"/>
            <w:color w:val="0000EE"/>
          </w:rPr>
          <w:t>Table of Contents</w:t>
        </w:r>
      </w:hyperlink>
    </w:p>
    <w:p>
      <w:pPr>
        <w:spacing w:after="0" w:line="305" w:lineRule="exact"/>
        <w:rPr>
          <w:sz w:val="20"/>
          <w:szCs w:val="20"/>
          <w:color w:val="auto"/>
        </w:rPr>
      </w:pPr>
    </w:p>
    <w:p>
      <w:pPr>
        <w:ind w:left="1240" w:right="660" w:hanging="388"/>
        <w:spacing w:after="0" w:line="275" w:lineRule="auto"/>
        <w:tabs>
          <w:tab w:leader="none" w:pos="1240" w:val="left"/>
        </w:tabs>
        <w:numPr>
          <w:ilvl w:val="0"/>
          <w:numId w:val="17"/>
        </w:numPr>
        <w:rPr>
          <w:rFonts w:ascii="Times New Roman" w:cs="Times New Roman" w:eastAsia="Times New Roman" w:hAnsi="Times New Roman"/>
          <w:sz w:val="18"/>
          <w:szCs w:val="18"/>
          <w:color w:val="auto"/>
        </w:rPr>
      </w:pPr>
      <w:r>
        <w:rPr>
          <w:rFonts w:ascii="Arial" w:cs="Arial" w:eastAsia="Arial" w:hAnsi="Arial"/>
          <w:sz w:val="18"/>
          <w:szCs w:val="18"/>
          <w:color w:val="auto"/>
        </w:rPr>
        <w:t>Reviews any issue involving an executive officer or director under ExxonMobil’s Code of Ethics and Business Conduct; and</w:t>
      </w:r>
    </w:p>
    <w:p>
      <w:pPr>
        <w:spacing w:after="0" w:line="51" w:lineRule="exact"/>
        <w:rPr>
          <w:rFonts w:ascii="Times New Roman" w:cs="Times New Roman" w:eastAsia="Times New Roman" w:hAnsi="Times New Roman"/>
          <w:sz w:val="18"/>
          <w:szCs w:val="18"/>
          <w:color w:val="auto"/>
        </w:rPr>
      </w:pPr>
    </w:p>
    <w:p>
      <w:pPr>
        <w:ind w:left="1240" w:hanging="388"/>
        <w:spacing w:after="0"/>
        <w:tabs>
          <w:tab w:leader="none" w:pos="1240" w:val="left"/>
        </w:tabs>
        <w:numPr>
          <w:ilvl w:val="0"/>
          <w:numId w:val="17"/>
        </w:numPr>
        <w:rPr>
          <w:rFonts w:ascii="Times New Roman" w:cs="Times New Roman" w:eastAsia="Times New Roman" w:hAnsi="Times New Roman"/>
          <w:sz w:val="18"/>
          <w:szCs w:val="18"/>
          <w:color w:val="auto"/>
        </w:rPr>
      </w:pPr>
      <w:r>
        <w:rPr>
          <w:rFonts w:ascii="Arial" w:cs="Arial" w:eastAsia="Arial" w:hAnsi="Arial"/>
          <w:sz w:val="18"/>
          <w:szCs w:val="18"/>
          <w:color w:val="auto"/>
        </w:rPr>
        <w:t>Administers ExxonMobil’s Related Person Transaction Guidelines.</w:t>
      </w:r>
    </w:p>
    <w:p>
      <w:pPr>
        <w:spacing w:after="0" w:line="224" w:lineRule="exact"/>
        <w:rPr>
          <w:sz w:val="20"/>
          <w:szCs w:val="20"/>
          <w:color w:val="auto"/>
        </w:rPr>
      </w:pPr>
    </w:p>
    <w:p>
      <w:pPr>
        <w:ind w:left="860" w:right="120"/>
        <w:spacing w:after="0" w:line="277" w:lineRule="auto"/>
        <w:rPr>
          <w:sz w:val="20"/>
          <w:szCs w:val="20"/>
          <w:color w:val="auto"/>
        </w:rPr>
      </w:pPr>
      <w:r>
        <w:rPr>
          <w:rFonts w:ascii="Arial" w:cs="Arial" w:eastAsia="Arial" w:hAnsi="Arial"/>
          <w:sz w:val="17"/>
          <w:szCs w:val="17"/>
          <w:color w:val="auto"/>
        </w:rPr>
        <w:t>The Committee also administers provisions of the Corporate Governance Guidelines that require a director to tender a resignation when there is a substantial change in the director’s circumstances. The Committee reviews the relevant facts to determine whether the director’s continued service would be appropriate and makes a recommendation to the Board.</w:t>
      </w:r>
    </w:p>
    <w:p>
      <w:pPr>
        <w:spacing w:after="0" w:line="147" w:lineRule="exact"/>
        <w:rPr>
          <w:sz w:val="20"/>
          <w:szCs w:val="20"/>
          <w:color w:val="auto"/>
        </w:rPr>
      </w:pPr>
    </w:p>
    <w:p>
      <w:pPr>
        <w:ind w:left="860"/>
        <w:spacing w:after="0" w:line="245" w:lineRule="auto"/>
        <w:rPr>
          <w:sz w:val="20"/>
          <w:szCs w:val="20"/>
          <w:color w:val="auto"/>
        </w:rPr>
      </w:pPr>
      <w:r>
        <w:rPr>
          <w:rFonts w:ascii="Arial" w:cs="Arial" w:eastAsia="Arial" w:hAnsi="Arial"/>
          <w:sz w:val="18"/>
          <w:szCs w:val="18"/>
          <w:color w:val="auto"/>
        </w:rPr>
        <w:t>Another responsibility of the Committee is to review and make recommendations to the Board regarding the compensation of the non-employee directors. The Committee uses an independent consultant, Pearl Meyer &amp; Partners, LLC (Pearl Meyer), to provide information on current developments and practices in director compensation. Pearl Meyer is the same consultant retained by the Compensation Committee to advise on executive compensation, but performs no other work for ExxonMobil.</w:t>
      </w:r>
    </w:p>
    <w:p>
      <w:pPr>
        <w:spacing w:after="0" w:line="172" w:lineRule="exact"/>
        <w:rPr>
          <w:sz w:val="20"/>
          <w:szCs w:val="20"/>
          <w:color w:val="auto"/>
        </w:rPr>
      </w:pPr>
    </w:p>
    <w:p>
      <w:pPr>
        <w:ind w:left="860" w:right="20"/>
        <w:spacing w:after="0" w:line="248" w:lineRule="auto"/>
        <w:rPr>
          <w:sz w:val="20"/>
          <w:szCs w:val="20"/>
          <w:color w:val="auto"/>
        </w:rPr>
      </w:pPr>
      <w:r>
        <w:rPr>
          <w:rFonts w:ascii="Arial" w:cs="Arial" w:eastAsia="Arial" w:hAnsi="Arial"/>
          <w:sz w:val="18"/>
          <w:szCs w:val="18"/>
          <w:color w:val="auto"/>
        </w:rPr>
        <w:t>The Guidelines for the Selection of Non-Employee Directors describe the qualifications the Committee looks for in director candidates. These Selection Guidelines, as well as the Committee’s charter, are posted on the Corporate Governance section of our website, and are described in more detail below and in the section titled Director Qualifications on pages 6 and 7.</w:t>
      </w:r>
    </w:p>
    <w:p>
      <w:pPr>
        <w:spacing w:after="0" w:line="169" w:lineRule="exact"/>
        <w:rPr>
          <w:sz w:val="20"/>
          <w:szCs w:val="20"/>
          <w:color w:val="auto"/>
        </w:rPr>
      </w:pPr>
    </w:p>
    <w:p>
      <w:pPr>
        <w:ind w:left="860"/>
        <w:spacing w:after="0"/>
        <w:rPr>
          <w:sz w:val="20"/>
          <w:szCs w:val="20"/>
          <w:color w:val="auto"/>
        </w:rPr>
      </w:pPr>
      <w:r>
        <w:rPr>
          <w:rFonts w:ascii="Arial" w:cs="Arial" w:eastAsia="Arial" w:hAnsi="Arial"/>
          <w:sz w:val="18"/>
          <w:szCs w:val="18"/>
          <w:b w:val="1"/>
          <w:bCs w:val="1"/>
          <w:color w:val="auto"/>
        </w:rPr>
        <w:t>Audit Committee</w:t>
      </w:r>
    </w:p>
    <w:p>
      <w:pPr>
        <w:spacing w:after="0" w:line="106" w:lineRule="exact"/>
        <w:rPr>
          <w:sz w:val="20"/>
          <w:szCs w:val="20"/>
          <w:color w:val="auto"/>
        </w:rPr>
      </w:pPr>
    </w:p>
    <w:p>
      <w:pPr>
        <w:ind w:left="860"/>
        <w:spacing w:after="0"/>
        <w:rPr>
          <w:sz w:val="20"/>
          <w:szCs w:val="20"/>
          <w:color w:val="auto"/>
        </w:rPr>
      </w:pPr>
      <w:r>
        <w:rPr>
          <w:rFonts w:ascii="Arial" w:cs="Arial" w:eastAsia="Arial" w:hAnsi="Arial"/>
          <w:sz w:val="18"/>
          <w:szCs w:val="18"/>
          <w:color w:val="auto"/>
        </w:rPr>
        <w:t>The Audit Committee oversees accounting and internal control matters. Its responsibilities include oversight of:</w:t>
      </w:r>
    </w:p>
    <w:p>
      <w:pPr>
        <w:spacing w:after="0" w:line="117" w:lineRule="exact"/>
        <w:rPr>
          <w:sz w:val="20"/>
          <w:szCs w:val="20"/>
          <w:color w:val="auto"/>
        </w:rPr>
      </w:pPr>
    </w:p>
    <w:p>
      <w:pPr>
        <w:ind w:left="1240" w:hanging="388"/>
        <w:spacing w:after="0"/>
        <w:tabs>
          <w:tab w:leader="none" w:pos="1240" w:val="left"/>
        </w:tabs>
        <w:numPr>
          <w:ilvl w:val="0"/>
          <w:numId w:val="18"/>
        </w:numPr>
        <w:rPr>
          <w:rFonts w:ascii="Times New Roman" w:cs="Times New Roman" w:eastAsia="Times New Roman" w:hAnsi="Times New Roman"/>
          <w:sz w:val="18"/>
          <w:szCs w:val="18"/>
          <w:color w:val="auto"/>
        </w:rPr>
      </w:pPr>
      <w:r>
        <w:rPr>
          <w:rFonts w:ascii="Arial" w:cs="Arial" w:eastAsia="Arial" w:hAnsi="Arial"/>
          <w:sz w:val="18"/>
          <w:szCs w:val="18"/>
          <w:color w:val="auto"/>
        </w:rPr>
        <w:t>Management’s conduct of the Corporation’s financial reporting process;</w:t>
      </w:r>
    </w:p>
    <w:p>
      <w:pPr>
        <w:spacing w:after="0" w:line="129" w:lineRule="exact"/>
        <w:rPr>
          <w:rFonts w:ascii="Times New Roman" w:cs="Times New Roman" w:eastAsia="Times New Roman" w:hAnsi="Times New Roman"/>
          <w:sz w:val="18"/>
          <w:szCs w:val="18"/>
          <w:color w:val="auto"/>
        </w:rPr>
      </w:pPr>
    </w:p>
    <w:p>
      <w:pPr>
        <w:ind w:left="1240" w:right="200" w:hanging="388"/>
        <w:spacing w:after="0" w:line="275" w:lineRule="auto"/>
        <w:tabs>
          <w:tab w:leader="none" w:pos="1240" w:val="left"/>
        </w:tabs>
        <w:numPr>
          <w:ilvl w:val="0"/>
          <w:numId w:val="18"/>
        </w:numPr>
        <w:rPr>
          <w:rFonts w:ascii="Times New Roman" w:cs="Times New Roman" w:eastAsia="Times New Roman" w:hAnsi="Times New Roman"/>
          <w:sz w:val="18"/>
          <w:szCs w:val="18"/>
          <w:color w:val="auto"/>
        </w:rPr>
      </w:pPr>
      <w:r>
        <w:rPr>
          <w:rFonts w:ascii="Arial" w:cs="Arial" w:eastAsia="Arial" w:hAnsi="Arial"/>
          <w:sz w:val="18"/>
          <w:szCs w:val="18"/>
          <w:color w:val="auto"/>
        </w:rPr>
        <w:t>The integrity of the financial statements and other financial information provided by the Corporation to the SEC and the public;</w:t>
      </w:r>
    </w:p>
    <w:p>
      <w:pPr>
        <w:spacing w:after="0" w:line="51" w:lineRule="exact"/>
        <w:rPr>
          <w:rFonts w:ascii="Times New Roman" w:cs="Times New Roman" w:eastAsia="Times New Roman" w:hAnsi="Times New Roman"/>
          <w:sz w:val="18"/>
          <w:szCs w:val="18"/>
          <w:color w:val="auto"/>
        </w:rPr>
      </w:pPr>
    </w:p>
    <w:p>
      <w:pPr>
        <w:ind w:left="1240" w:hanging="388"/>
        <w:spacing w:after="0"/>
        <w:tabs>
          <w:tab w:leader="none" w:pos="1240" w:val="left"/>
        </w:tabs>
        <w:numPr>
          <w:ilvl w:val="0"/>
          <w:numId w:val="18"/>
        </w:numPr>
        <w:rPr>
          <w:rFonts w:ascii="Times New Roman" w:cs="Times New Roman" w:eastAsia="Times New Roman" w:hAnsi="Times New Roman"/>
          <w:sz w:val="18"/>
          <w:szCs w:val="18"/>
          <w:color w:val="auto"/>
        </w:rPr>
      </w:pPr>
      <w:r>
        <w:rPr>
          <w:rFonts w:ascii="Arial" w:cs="Arial" w:eastAsia="Arial" w:hAnsi="Arial"/>
          <w:sz w:val="18"/>
          <w:szCs w:val="18"/>
          <w:color w:val="auto"/>
        </w:rPr>
        <w:t>The Corporation’s system of internal accounting and financial controls;</w:t>
      </w:r>
    </w:p>
    <w:p>
      <w:pPr>
        <w:spacing w:after="0" w:line="129" w:lineRule="exact"/>
        <w:rPr>
          <w:rFonts w:ascii="Times New Roman" w:cs="Times New Roman" w:eastAsia="Times New Roman" w:hAnsi="Times New Roman"/>
          <w:sz w:val="18"/>
          <w:szCs w:val="18"/>
          <w:color w:val="auto"/>
        </w:rPr>
      </w:pPr>
    </w:p>
    <w:p>
      <w:pPr>
        <w:ind w:left="1240" w:hanging="388"/>
        <w:spacing w:after="0"/>
        <w:tabs>
          <w:tab w:leader="none" w:pos="1240" w:val="left"/>
        </w:tabs>
        <w:numPr>
          <w:ilvl w:val="0"/>
          <w:numId w:val="18"/>
        </w:numPr>
        <w:rPr>
          <w:rFonts w:ascii="Times New Roman" w:cs="Times New Roman" w:eastAsia="Times New Roman" w:hAnsi="Times New Roman"/>
          <w:sz w:val="18"/>
          <w:szCs w:val="18"/>
          <w:color w:val="auto"/>
        </w:rPr>
      </w:pPr>
      <w:r>
        <w:rPr>
          <w:rFonts w:ascii="Arial" w:cs="Arial" w:eastAsia="Arial" w:hAnsi="Arial"/>
          <w:sz w:val="18"/>
          <w:szCs w:val="18"/>
          <w:color w:val="auto"/>
        </w:rPr>
        <w:t>The Corporation’s compliance with legal and regulatory requirements;</w:t>
      </w:r>
    </w:p>
    <w:p>
      <w:pPr>
        <w:spacing w:after="0" w:line="129" w:lineRule="exact"/>
        <w:rPr>
          <w:rFonts w:ascii="Times New Roman" w:cs="Times New Roman" w:eastAsia="Times New Roman" w:hAnsi="Times New Roman"/>
          <w:sz w:val="18"/>
          <w:szCs w:val="18"/>
          <w:color w:val="auto"/>
        </w:rPr>
      </w:pPr>
    </w:p>
    <w:p>
      <w:pPr>
        <w:ind w:left="1240" w:hanging="388"/>
        <w:spacing w:after="0"/>
        <w:tabs>
          <w:tab w:leader="none" w:pos="1240" w:val="left"/>
        </w:tabs>
        <w:numPr>
          <w:ilvl w:val="0"/>
          <w:numId w:val="18"/>
        </w:numPr>
        <w:rPr>
          <w:rFonts w:ascii="Times New Roman" w:cs="Times New Roman" w:eastAsia="Times New Roman" w:hAnsi="Times New Roman"/>
          <w:sz w:val="18"/>
          <w:szCs w:val="18"/>
          <w:color w:val="auto"/>
        </w:rPr>
      </w:pPr>
      <w:r>
        <w:rPr>
          <w:rFonts w:ascii="Arial" w:cs="Arial" w:eastAsia="Arial" w:hAnsi="Arial"/>
          <w:sz w:val="18"/>
          <w:szCs w:val="18"/>
          <w:color w:val="auto"/>
        </w:rPr>
        <w:t>The performance of the Corporation’s internal audit function;</w:t>
      </w:r>
    </w:p>
    <w:p>
      <w:pPr>
        <w:spacing w:after="0" w:line="129" w:lineRule="exact"/>
        <w:rPr>
          <w:rFonts w:ascii="Times New Roman" w:cs="Times New Roman" w:eastAsia="Times New Roman" w:hAnsi="Times New Roman"/>
          <w:sz w:val="18"/>
          <w:szCs w:val="18"/>
          <w:color w:val="auto"/>
        </w:rPr>
      </w:pPr>
    </w:p>
    <w:p>
      <w:pPr>
        <w:ind w:left="1240" w:hanging="388"/>
        <w:spacing w:after="0"/>
        <w:tabs>
          <w:tab w:leader="none" w:pos="1240" w:val="left"/>
        </w:tabs>
        <w:numPr>
          <w:ilvl w:val="0"/>
          <w:numId w:val="18"/>
        </w:numPr>
        <w:rPr>
          <w:rFonts w:ascii="Times New Roman" w:cs="Times New Roman" w:eastAsia="Times New Roman" w:hAnsi="Times New Roman"/>
          <w:sz w:val="18"/>
          <w:szCs w:val="18"/>
          <w:color w:val="auto"/>
        </w:rPr>
      </w:pPr>
      <w:r>
        <w:rPr>
          <w:rFonts w:ascii="Arial" w:cs="Arial" w:eastAsia="Arial" w:hAnsi="Arial"/>
          <w:sz w:val="18"/>
          <w:szCs w:val="18"/>
          <w:color w:val="auto"/>
        </w:rPr>
        <w:t>The independent auditors’ qualifications, performance, and independence; and</w:t>
      </w:r>
    </w:p>
    <w:p>
      <w:pPr>
        <w:spacing w:after="0" w:line="129" w:lineRule="exact"/>
        <w:rPr>
          <w:rFonts w:ascii="Times New Roman" w:cs="Times New Roman" w:eastAsia="Times New Roman" w:hAnsi="Times New Roman"/>
          <w:sz w:val="18"/>
          <w:szCs w:val="18"/>
          <w:color w:val="auto"/>
        </w:rPr>
      </w:pPr>
    </w:p>
    <w:p>
      <w:pPr>
        <w:ind w:left="1240" w:hanging="388"/>
        <w:spacing w:after="0"/>
        <w:tabs>
          <w:tab w:leader="none" w:pos="1240" w:val="left"/>
        </w:tabs>
        <w:numPr>
          <w:ilvl w:val="0"/>
          <w:numId w:val="18"/>
        </w:numPr>
        <w:rPr>
          <w:rFonts w:ascii="Times New Roman" w:cs="Times New Roman" w:eastAsia="Times New Roman" w:hAnsi="Times New Roman"/>
          <w:sz w:val="18"/>
          <w:szCs w:val="18"/>
          <w:color w:val="auto"/>
        </w:rPr>
      </w:pPr>
      <w:r>
        <w:rPr>
          <w:rFonts w:ascii="Arial" w:cs="Arial" w:eastAsia="Arial" w:hAnsi="Arial"/>
          <w:sz w:val="18"/>
          <w:szCs w:val="18"/>
          <w:color w:val="auto"/>
        </w:rPr>
        <w:t>The annual independent audit of the Corporation’s financial statements.</w:t>
      </w:r>
    </w:p>
    <w:p>
      <w:pPr>
        <w:spacing w:after="0" w:line="224" w:lineRule="exact"/>
        <w:rPr>
          <w:sz w:val="20"/>
          <w:szCs w:val="20"/>
          <w:color w:val="auto"/>
        </w:rPr>
      </w:pPr>
    </w:p>
    <w:p>
      <w:pPr>
        <w:ind w:left="860" w:right="140"/>
        <w:spacing w:after="0" w:line="276" w:lineRule="auto"/>
        <w:rPr>
          <w:sz w:val="20"/>
          <w:szCs w:val="20"/>
          <w:color w:val="auto"/>
        </w:rPr>
      </w:pPr>
      <w:r>
        <w:rPr>
          <w:rFonts w:ascii="Arial" w:cs="Arial" w:eastAsia="Arial" w:hAnsi="Arial"/>
          <w:sz w:val="18"/>
          <w:szCs w:val="18"/>
          <w:color w:val="auto"/>
        </w:rPr>
        <w:t>The Committee has direct authority and responsibility to appoint (subject to shareholder ratification), compensate, retain, and oversee the independent auditors.</w:t>
      </w:r>
    </w:p>
    <w:p>
      <w:pPr>
        <w:spacing w:after="0" w:line="145" w:lineRule="exact"/>
        <w:rPr>
          <w:sz w:val="20"/>
          <w:szCs w:val="20"/>
          <w:color w:val="auto"/>
        </w:rPr>
      </w:pPr>
    </w:p>
    <w:p>
      <w:pPr>
        <w:ind w:left="860"/>
        <w:spacing w:after="0"/>
        <w:rPr>
          <w:sz w:val="20"/>
          <w:szCs w:val="20"/>
          <w:color w:val="auto"/>
        </w:rPr>
      </w:pPr>
      <w:r>
        <w:rPr>
          <w:rFonts w:ascii="Arial" w:cs="Arial" w:eastAsia="Arial" w:hAnsi="Arial"/>
          <w:sz w:val="18"/>
          <w:szCs w:val="18"/>
          <w:color w:val="auto"/>
        </w:rPr>
        <w:t>The Committee also prepares the report that SEC rules require be included in the Corporation’s annual proxy statement.</w:t>
      </w:r>
    </w:p>
    <w:p>
      <w:pPr>
        <w:spacing w:after="0" w:line="18" w:lineRule="exact"/>
        <w:rPr>
          <w:sz w:val="20"/>
          <w:szCs w:val="20"/>
          <w:color w:val="auto"/>
        </w:rPr>
      </w:pPr>
    </w:p>
    <w:p>
      <w:pPr>
        <w:ind w:left="860"/>
        <w:spacing w:after="0"/>
        <w:rPr>
          <w:sz w:val="20"/>
          <w:szCs w:val="20"/>
          <w:color w:val="auto"/>
        </w:rPr>
      </w:pPr>
      <w:r>
        <w:rPr>
          <w:rFonts w:ascii="Arial" w:cs="Arial" w:eastAsia="Arial" w:hAnsi="Arial"/>
          <w:sz w:val="18"/>
          <w:szCs w:val="18"/>
          <w:color w:val="auto"/>
        </w:rPr>
        <w:t>This report is on pages 24 to 25.</w:t>
      </w:r>
    </w:p>
    <w:p>
      <w:pPr>
        <w:spacing w:after="0" w:line="190" w:lineRule="exact"/>
        <w:rPr>
          <w:sz w:val="20"/>
          <w:szCs w:val="20"/>
          <w:color w:val="auto"/>
        </w:rPr>
      </w:pPr>
    </w:p>
    <w:p>
      <w:pPr>
        <w:ind w:left="860" w:right="20"/>
        <w:spacing w:after="0"/>
        <w:rPr>
          <w:sz w:val="20"/>
          <w:szCs w:val="20"/>
          <w:color w:val="auto"/>
        </w:rPr>
      </w:pPr>
      <w:r>
        <w:rPr>
          <w:rFonts w:ascii="Arial" w:cs="Arial" w:eastAsia="Arial" w:hAnsi="Arial"/>
          <w:sz w:val="18"/>
          <w:szCs w:val="18"/>
          <w:color w:val="auto"/>
        </w:rPr>
        <w:t>The Audit Committee has adopted specific policies and procedures for pre-approving fees paid to the independent auditors. Under the Audit Committee’s approach, an annual program of work is approved each October for the following categories of services: Audit, Audit-Related, and Tax. Additional engagements may be brought forward from time to time for pre-approval by the Audit Committee. Pre-approvals apply to engagements within a category of service, and cannot be transferred between categories. If fees might otherwise exceed pre-approved amounts for any category of permissible services, the incremental amounts must be reviewed and pre-approved prior to commitment. The complete text of the Audit Committee’s pre-approval policies and procedures is posted on the Corporate Governance section of ExxonMobil’s website.</w:t>
      </w:r>
    </w:p>
    <w:p>
      <w:pPr>
        <w:spacing w:after="0" w:line="181" w:lineRule="exact"/>
        <w:rPr>
          <w:sz w:val="20"/>
          <w:szCs w:val="20"/>
          <w:color w:val="auto"/>
        </w:rPr>
      </w:pPr>
    </w:p>
    <w:p>
      <w:pPr>
        <w:ind w:left="860" w:right="80"/>
        <w:spacing w:after="0" w:line="255" w:lineRule="auto"/>
        <w:rPr>
          <w:sz w:val="20"/>
          <w:szCs w:val="20"/>
          <w:color w:val="auto"/>
        </w:rPr>
      </w:pPr>
      <w:r>
        <w:rPr>
          <w:rFonts w:ascii="Arial" w:cs="Arial" w:eastAsia="Arial" w:hAnsi="Arial"/>
          <w:sz w:val="18"/>
          <w:szCs w:val="18"/>
          <w:color w:val="auto"/>
        </w:rPr>
        <w:t>The Board has determined that all members of the Committee are financially literate within the meaning of the NYSE standards, and that Ms. Burns, Mr. Oberhelman, and Mr. Weldon are “audit committee financial experts” as defined in the SEC rules.</w:t>
      </w:r>
    </w:p>
    <w:p>
      <w:pPr>
        <w:spacing w:after="0" w:line="97" w:lineRule="exact"/>
        <w:rPr>
          <w:sz w:val="20"/>
          <w:szCs w:val="20"/>
          <w:color w:val="auto"/>
        </w:rPr>
      </w:pPr>
    </w:p>
    <w:p>
      <w:pPr>
        <w:ind w:left="880"/>
        <w:spacing w:after="0"/>
        <w:tabs>
          <w:tab w:leader="none" w:pos="2780" w:val="left"/>
        </w:tabs>
        <w:rPr>
          <w:sz w:val="20"/>
          <w:szCs w:val="20"/>
          <w:color w:val="auto"/>
        </w:rPr>
      </w:pPr>
      <w:r>
        <w:rPr>
          <w:rFonts w:ascii="Arial" w:cs="Arial" w:eastAsia="Arial" w:hAnsi="Arial"/>
          <w:sz w:val="18"/>
          <w:szCs w:val="18"/>
          <w:color w:val="auto"/>
        </w:rPr>
        <w:t>12</w:t>
      </w:r>
      <w:r>
        <w:rPr>
          <w:sz w:val="20"/>
          <w:szCs w:val="20"/>
          <w:color w:val="auto"/>
        </w:rPr>
        <w:tab/>
      </w:r>
      <w:r>
        <w:rPr>
          <w:rFonts w:ascii="Times New Roman" w:cs="Times New Roman" w:eastAsia="Times New Roman" w:hAnsi="Times New Roman"/>
          <w:sz w:val="18"/>
          <w:szCs w:val="18"/>
          <w:i w:val="1"/>
          <w:iCs w:val="1"/>
          <w:color w:val="auto"/>
        </w:rPr>
        <w:t>2018 Proxy Statement</w:t>
      </w:r>
    </w:p>
    <w:p>
      <w:pPr>
        <w:sectPr>
          <w:pgSz w:w="11900" w:h="16838" w:orient="portrait"/>
          <w:cols w:equalWidth="0" w:num="1">
            <w:col w:w="10560"/>
          </w:cols>
          <w:pgMar w:left="240" w:top="455" w:right="1099" w:bottom="1440" w:gutter="0" w:footer="0" w:header="0"/>
        </w:sectPr>
      </w:pPr>
    </w:p>
    <w:bookmarkStart w:id="15" w:name="page16"/>
    <w:bookmarkEnd w:id="15"/>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Times New Roman" w:cs="Times New Roman" w:eastAsia="Times New Roman" w:hAnsi="Times New Roman"/>
            <w:sz w:val="18"/>
            <w:szCs w:val="18"/>
            <w:b w:val="1"/>
            <w:bCs w:val="1"/>
            <w:u w:val="single" w:color="auto"/>
            <w:color w:val="0000EE"/>
          </w:rPr>
          <w:t>Table of Contents</w:t>
        </w:r>
      </w:hyperlink>
    </w:p>
    <w:p>
      <w:pPr>
        <w:spacing w:after="0" w:line="303" w:lineRule="exact"/>
        <w:rPr>
          <w:sz w:val="20"/>
          <w:szCs w:val="20"/>
          <w:color w:val="auto"/>
        </w:rPr>
      </w:pPr>
    </w:p>
    <w:p>
      <w:pPr>
        <w:ind w:left="860"/>
        <w:spacing w:after="0"/>
        <w:rPr>
          <w:sz w:val="20"/>
          <w:szCs w:val="20"/>
          <w:color w:val="auto"/>
        </w:rPr>
      </w:pPr>
      <w:r>
        <w:rPr>
          <w:rFonts w:ascii="Arial" w:cs="Arial" w:eastAsia="Arial" w:hAnsi="Arial"/>
          <w:sz w:val="18"/>
          <w:szCs w:val="18"/>
          <w:b w:val="1"/>
          <w:bCs w:val="1"/>
          <w:color w:val="auto"/>
        </w:rPr>
        <w:t>Compensation Committee</w:t>
      </w:r>
    </w:p>
    <w:p>
      <w:pPr>
        <w:spacing w:after="0" w:line="214" w:lineRule="exact"/>
        <w:rPr>
          <w:sz w:val="20"/>
          <w:szCs w:val="20"/>
          <w:color w:val="auto"/>
        </w:rPr>
      </w:pPr>
    </w:p>
    <w:p>
      <w:pPr>
        <w:ind w:left="860" w:right="300"/>
        <w:spacing w:after="0" w:line="248" w:lineRule="auto"/>
        <w:rPr>
          <w:sz w:val="20"/>
          <w:szCs w:val="20"/>
          <w:color w:val="auto"/>
        </w:rPr>
      </w:pPr>
      <w:r>
        <w:rPr>
          <w:rFonts w:ascii="Arial" w:cs="Arial" w:eastAsia="Arial" w:hAnsi="Arial"/>
          <w:sz w:val="18"/>
          <w:szCs w:val="18"/>
          <w:color w:val="auto"/>
        </w:rPr>
        <w:t>The Compensation Committee is comprised exclusively of non-employee, independent directors and oversees compensation for ExxonMobil’s senior executives (including salary, bonus, and performance share awards) as well as succession planning for key executive positions. The Committee’s charter is available on the Corporate Governance section of our website.</w:t>
      </w:r>
    </w:p>
    <w:p>
      <w:pPr>
        <w:spacing w:after="0" w:line="171" w:lineRule="exact"/>
        <w:rPr>
          <w:sz w:val="20"/>
          <w:szCs w:val="20"/>
          <w:color w:val="auto"/>
        </w:rPr>
      </w:pPr>
    </w:p>
    <w:p>
      <w:pPr>
        <w:ind w:left="860"/>
        <w:spacing w:after="0"/>
        <w:rPr>
          <w:sz w:val="20"/>
          <w:szCs w:val="20"/>
          <w:color w:val="auto"/>
        </w:rPr>
      </w:pPr>
      <w:r>
        <w:rPr>
          <w:rFonts w:ascii="Arial" w:cs="Arial" w:eastAsia="Arial" w:hAnsi="Arial"/>
          <w:sz w:val="18"/>
          <w:szCs w:val="18"/>
          <w:color w:val="auto"/>
        </w:rPr>
        <w:t>During 2017, the Committee took the following actions:</w:t>
      </w:r>
    </w:p>
    <w:p>
      <w:pPr>
        <w:spacing w:after="0" w:line="117" w:lineRule="exact"/>
        <w:rPr>
          <w:sz w:val="20"/>
          <w:szCs w:val="20"/>
          <w:color w:val="auto"/>
        </w:rPr>
      </w:pPr>
    </w:p>
    <w:p>
      <w:pPr>
        <w:ind w:left="1240" w:hanging="388"/>
        <w:spacing w:after="0"/>
        <w:tabs>
          <w:tab w:leader="none" w:pos="1240" w:val="left"/>
        </w:tabs>
        <w:numPr>
          <w:ilvl w:val="0"/>
          <w:numId w:val="19"/>
        </w:numPr>
        <w:rPr>
          <w:rFonts w:ascii="Times New Roman" w:cs="Times New Roman" w:eastAsia="Times New Roman" w:hAnsi="Times New Roman"/>
          <w:sz w:val="18"/>
          <w:szCs w:val="18"/>
          <w:color w:val="auto"/>
        </w:rPr>
      </w:pPr>
      <w:r>
        <w:rPr>
          <w:rFonts w:ascii="Arial" w:cs="Arial" w:eastAsia="Arial" w:hAnsi="Arial"/>
          <w:sz w:val="18"/>
          <w:szCs w:val="18"/>
          <w:color w:val="auto"/>
        </w:rPr>
        <w:t>Reviewed and approved the corporate goals and objectives relevant to the compensation of the CEO;</w:t>
      </w:r>
    </w:p>
    <w:p>
      <w:pPr>
        <w:spacing w:after="0" w:line="129" w:lineRule="exact"/>
        <w:rPr>
          <w:rFonts w:ascii="Times New Roman" w:cs="Times New Roman" w:eastAsia="Times New Roman" w:hAnsi="Times New Roman"/>
          <w:sz w:val="18"/>
          <w:szCs w:val="18"/>
          <w:color w:val="auto"/>
        </w:rPr>
      </w:pPr>
    </w:p>
    <w:p>
      <w:pPr>
        <w:ind w:left="1240" w:hanging="388"/>
        <w:spacing w:after="0" w:line="275" w:lineRule="auto"/>
        <w:tabs>
          <w:tab w:leader="none" w:pos="1240" w:val="left"/>
        </w:tabs>
        <w:numPr>
          <w:ilvl w:val="0"/>
          <w:numId w:val="19"/>
        </w:numPr>
        <w:rPr>
          <w:rFonts w:ascii="Times New Roman" w:cs="Times New Roman" w:eastAsia="Times New Roman" w:hAnsi="Times New Roman"/>
          <w:sz w:val="18"/>
          <w:szCs w:val="18"/>
          <w:color w:val="auto"/>
        </w:rPr>
      </w:pPr>
      <w:r>
        <w:rPr>
          <w:rFonts w:ascii="Arial" w:cs="Arial" w:eastAsia="Arial" w:hAnsi="Arial"/>
          <w:sz w:val="18"/>
          <w:szCs w:val="18"/>
          <w:color w:val="auto"/>
        </w:rPr>
        <w:t>Reviewed the Corporation’s business results and progress on strategic plans during the year with ExxonMobil’s CEO and other senior executives;</w:t>
      </w:r>
    </w:p>
    <w:p>
      <w:pPr>
        <w:spacing w:after="0" w:line="51" w:lineRule="exact"/>
        <w:rPr>
          <w:rFonts w:ascii="Times New Roman" w:cs="Times New Roman" w:eastAsia="Times New Roman" w:hAnsi="Times New Roman"/>
          <w:sz w:val="18"/>
          <w:szCs w:val="18"/>
          <w:color w:val="auto"/>
        </w:rPr>
      </w:pPr>
    </w:p>
    <w:p>
      <w:pPr>
        <w:ind w:left="1240" w:hanging="388"/>
        <w:spacing w:after="0"/>
        <w:tabs>
          <w:tab w:leader="none" w:pos="1240" w:val="left"/>
        </w:tabs>
        <w:numPr>
          <w:ilvl w:val="0"/>
          <w:numId w:val="19"/>
        </w:numPr>
        <w:rPr>
          <w:rFonts w:ascii="Times New Roman" w:cs="Times New Roman" w:eastAsia="Times New Roman" w:hAnsi="Times New Roman"/>
          <w:sz w:val="18"/>
          <w:szCs w:val="18"/>
          <w:color w:val="auto"/>
        </w:rPr>
      </w:pPr>
      <w:r>
        <w:rPr>
          <w:rFonts w:ascii="Arial" w:cs="Arial" w:eastAsia="Arial" w:hAnsi="Arial"/>
          <w:sz w:val="18"/>
          <w:szCs w:val="18"/>
          <w:color w:val="auto"/>
        </w:rPr>
        <w:t>Carefully considered the results of the 2017 advisory vote on executive compensation;</w:t>
      </w:r>
    </w:p>
    <w:p>
      <w:pPr>
        <w:spacing w:after="0" w:line="129" w:lineRule="exact"/>
        <w:rPr>
          <w:rFonts w:ascii="Times New Roman" w:cs="Times New Roman" w:eastAsia="Times New Roman" w:hAnsi="Times New Roman"/>
          <w:sz w:val="18"/>
          <w:szCs w:val="18"/>
          <w:color w:val="auto"/>
        </w:rPr>
      </w:pPr>
    </w:p>
    <w:p>
      <w:pPr>
        <w:ind w:left="1240" w:right="260" w:hanging="388"/>
        <w:spacing w:after="0" w:line="248" w:lineRule="auto"/>
        <w:tabs>
          <w:tab w:leader="none" w:pos="1240" w:val="left"/>
        </w:tabs>
        <w:numPr>
          <w:ilvl w:val="0"/>
          <w:numId w:val="19"/>
        </w:numPr>
        <w:rPr>
          <w:rFonts w:ascii="Times New Roman" w:cs="Times New Roman" w:eastAsia="Times New Roman" w:hAnsi="Times New Roman"/>
          <w:sz w:val="18"/>
          <w:szCs w:val="18"/>
          <w:color w:val="auto"/>
        </w:rPr>
      </w:pPr>
      <w:r>
        <w:rPr>
          <w:rFonts w:ascii="Arial" w:cs="Arial" w:eastAsia="Arial" w:hAnsi="Arial"/>
          <w:sz w:val="18"/>
          <w:szCs w:val="18"/>
          <w:color w:val="auto"/>
        </w:rPr>
        <w:t>Assessed each element of the Company’s compensation program and practices, and confirmed that they do not create any material adverse risks for the Company. The key design features of the compensation program that discourage executives from taking inappropriate risk are described in detail in this proxy statement (see pages 36 and 40 to 43);</w:t>
      </w:r>
    </w:p>
    <w:p>
      <w:pPr>
        <w:spacing w:after="0" w:line="75" w:lineRule="exact"/>
        <w:rPr>
          <w:rFonts w:ascii="Times New Roman" w:cs="Times New Roman" w:eastAsia="Times New Roman" w:hAnsi="Times New Roman"/>
          <w:sz w:val="18"/>
          <w:szCs w:val="18"/>
          <w:color w:val="auto"/>
        </w:rPr>
      </w:pPr>
    </w:p>
    <w:p>
      <w:pPr>
        <w:ind w:left="1240" w:hanging="388"/>
        <w:spacing w:after="0"/>
        <w:tabs>
          <w:tab w:leader="none" w:pos="1240" w:val="left"/>
        </w:tabs>
        <w:numPr>
          <w:ilvl w:val="0"/>
          <w:numId w:val="19"/>
        </w:numPr>
        <w:rPr>
          <w:rFonts w:ascii="Times New Roman" w:cs="Times New Roman" w:eastAsia="Times New Roman" w:hAnsi="Times New Roman"/>
          <w:sz w:val="18"/>
          <w:szCs w:val="18"/>
          <w:color w:val="auto"/>
        </w:rPr>
      </w:pPr>
      <w:r>
        <w:rPr>
          <w:rFonts w:ascii="Arial" w:cs="Arial" w:eastAsia="Arial" w:hAnsi="Arial"/>
          <w:sz w:val="18"/>
          <w:szCs w:val="18"/>
          <w:color w:val="auto"/>
        </w:rPr>
        <w:t>Discussed the Company’s executive compensation program with its independent consultant;</w:t>
      </w:r>
    </w:p>
    <w:p>
      <w:pPr>
        <w:spacing w:after="0" w:line="129" w:lineRule="exact"/>
        <w:rPr>
          <w:rFonts w:ascii="Times New Roman" w:cs="Times New Roman" w:eastAsia="Times New Roman" w:hAnsi="Times New Roman"/>
          <w:sz w:val="18"/>
          <w:szCs w:val="18"/>
          <w:color w:val="auto"/>
        </w:rPr>
      </w:pPr>
    </w:p>
    <w:p>
      <w:pPr>
        <w:ind w:left="1240" w:right="260" w:hanging="388"/>
        <w:spacing w:after="0" w:line="275" w:lineRule="auto"/>
        <w:tabs>
          <w:tab w:leader="none" w:pos="1240" w:val="left"/>
        </w:tabs>
        <w:numPr>
          <w:ilvl w:val="0"/>
          <w:numId w:val="19"/>
        </w:numPr>
        <w:rPr>
          <w:rFonts w:ascii="Times New Roman" w:cs="Times New Roman" w:eastAsia="Times New Roman" w:hAnsi="Times New Roman"/>
          <w:sz w:val="18"/>
          <w:szCs w:val="18"/>
          <w:color w:val="auto"/>
        </w:rPr>
      </w:pPr>
      <w:r>
        <w:rPr>
          <w:rFonts w:ascii="Arial" w:cs="Arial" w:eastAsia="Arial" w:hAnsi="Arial"/>
          <w:sz w:val="18"/>
          <w:szCs w:val="18"/>
          <w:color w:val="auto"/>
        </w:rPr>
        <w:t>Established the aggregate annual ceilings for the 2017 short-term and long-term incentive award programs taking into account input received from the CEO and other senior executives;</w:t>
      </w:r>
    </w:p>
    <w:p>
      <w:pPr>
        <w:spacing w:after="0" w:line="51" w:lineRule="exact"/>
        <w:rPr>
          <w:rFonts w:ascii="Times New Roman" w:cs="Times New Roman" w:eastAsia="Times New Roman" w:hAnsi="Times New Roman"/>
          <w:sz w:val="18"/>
          <w:szCs w:val="18"/>
          <w:color w:val="auto"/>
        </w:rPr>
      </w:pPr>
    </w:p>
    <w:p>
      <w:pPr>
        <w:ind w:left="1240" w:hanging="388"/>
        <w:spacing w:after="0"/>
        <w:tabs>
          <w:tab w:leader="none" w:pos="1240" w:val="left"/>
        </w:tabs>
        <w:numPr>
          <w:ilvl w:val="0"/>
          <w:numId w:val="19"/>
        </w:numPr>
        <w:rPr>
          <w:rFonts w:ascii="Times New Roman" w:cs="Times New Roman" w:eastAsia="Times New Roman" w:hAnsi="Times New Roman"/>
          <w:sz w:val="18"/>
          <w:szCs w:val="18"/>
          <w:color w:val="auto"/>
        </w:rPr>
      </w:pPr>
      <w:r>
        <w:rPr>
          <w:rFonts w:ascii="Arial" w:cs="Arial" w:eastAsia="Arial" w:hAnsi="Arial"/>
          <w:sz w:val="18"/>
          <w:szCs w:val="18"/>
          <w:color w:val="auto"/>
        </w:rPr>
        <w:t>Approved the salary program for 2018;</w:t>
      </w:r>
    </w:p>
    <w:p>
      <w:pPr>
        <w:spacing w:after="0" w:line="129" w:lineRule="exact"/>
        <w:rPr>
          <w:rFonts w:ascii="Times New Roman" w:cs="Times New Roman" w:eastAsia="Times New Roman" w:hAnsi="Times New Roman"/>
          <w:sz w:val="18"/>
          <w:szCs w:val="18"/>
          <w:color w:val="auto"/>
        </w:rPr>
      </w:pPr>
    </w:p>
    <w:p>
      <w:pPr>
        <w:ind w:left="1240" w:right="320" w:hanging="388"/>
        <w:spacing w:after="0" w:line="275" w:lineRule="auto"/>
        <w:tabs>
          <w:tab w:leader="none" w:pos="1240" w:val="left"/>
        </w:tabs>
        <w:numPr>
          <w:ilvl w:val="0"/>
          <w:numId w:val="19"/>
        </w:numPr>
        <w:rPr>
          <w:rFonts w:ascii="Times New Roman" w:cs="Times New Roman" w:eastAsia="Times New Roman" w:hAnsi="Times New Roman"/>
          <w:sz w:val="18"/>
          <w:szCs w:val="18"/>
          <w:color w:val="auto"/>
        </w:rPr>
      </w:pPr>
      <w:r>
        <w:rPr>
          <w:rFonts w:ascii="Arial" w:cs="Arial" w:eastAsia="Arial" w:hAnsi="Arial"/>
          <w:sz w:val="18"/>
          <w:szCs w:val="18"/>
          <w:color w:val="auto"/>
        </w:rPr>
        <w:t>Reviewed the performance and contributions of, and granted incentive awards and salary for the CEO. The CEO does not participate in or provide input on decisions regarding his own compensation;</w:t>
      </w:r>
    </w:p>
    <w:p>
      <w:pPr>
        <w:spacing w:after="0" w:line="51" w:lineRule="exact"/>
        <w:rPr>
          <w:rFonts w:ascii="Times New Roman" w:cs="Times New Roman" w:eastAsia="Times New Roman" w:hAnsi="Times New Roman"/>
          <w:sz w:val="18"/>
          <w:szCs w:val="18"/>
          <w:color w:val="auto"/>
        </w:rPr>
      </w:pPr>
    </w:p>
    <w:p>
      <w:pPr>
        <w:ind w:left="1240" w:right="140" w:hanging="388"/>
        <w:spacing w:after="0" w:line="275" w:lineRule="auto"/>
        <w:tabs>
          <w:tab w:leader="none" w:pos="1240" w:val="left"/>
        </w:tabs>
        <w:numPr>
          <w:ilvl w:val="0"/>
          <w:numId w:val="19"/>
        </w:numPr>
        <w:rPr>
          <w:rFonts w:ascii="Times New Roman" w:cs="Times New Roman" w:eastAsia="Times New Roman" w:hAnsi="Times New Roman"/>
          <w:sz w:val="18"/>
          <w:szCs w:val="18"/>
          <w:color w:val="auto"/>
        </w:rPr>
      </w:pPr>
      <w:r>
        <w:rPr>
          <w:rFonts w:ascii="Arial" w:cs="Arial" w:eastAsia="Arial" w:hAnsi="Arial"/>
          <w:sz w:val="18"/>
          <w:szCs w:val="18"/>
          <w:color w:val="auto"/>
        </w:rPr>
        <w:t>Reviewed the individual performance and contributions of, and granted individual incentive awards and set salaries for other senior executives based on recommendations to the Committee by the CEO; and</w:t>
      </w:r>
    </w:p>
    <w:p>
      <w:pPr>
        <w:spacing w:after="0" w:line="51" w:lineRule="exact"/>
        <w:rPr>
          <w:rFonts w:ascii="Times New Roman" w:cs="Times New Roman" w:eastAsia="Times New Roman" w:hAnsi="Times New Roman"/>
          <w:sz w:val="18"/>
          <w:szCs w:val="18"/>
          <w:color w:val="auto"/>
        </w:rPr>
      </w:pPr>
    </w:p>
    <w:p>
      <w:pPr>
        <w:ind w:left="1240" w:right="60" w:hanging="388"/>
        <w:spacing w:after="0" w:line="275" w:lineRule="auto"/>
        <w:tabs>
          <w:tab w:leader="none" w:pos="1240" w:val="left"/>
        </w:tabs>
        <w:numPr>
          <w:ilvl w:val="0"/>
          <w:numId w:val="19"/>
        </w:numPr>
        <w:rPr>
          <w:rFonts w:ascii="Times New Roman" w:cs="Times New Roman" w:eastAsia="Times New Roman" w:hAnsi="Times New Roman"/>
          <w:sz w:val="18"/>
          <w:szCs w:val="18"/>
          <w:color w:val="auto"/>
        </w:rPr>
      </w:pPr>
      <w:r>
        <w:rPr>
          <w:rFonts w:ascii="Arial" w:cs="Arial" w:eastAsia="Arial" w:hAnsi="Arial"/>
          <w:sz w:val="18"/>
          <w:szCs w:val="18"/>
          <w:color w:val="auto"/>
        </w:rPr>
        <w:t>Reviewed progress on executive development and succession planning for senior-level positions with input from the CEO.</w:t>
      </w:r>
    </w:p>
    <w:p>
      <w:pPr>
        <w:spacing w:after="0" w:line="146" w:lineRule="exact"/>
        <w:rPr>
          <w:sz w:val="20"/>
          <w:szCs w:val="20"/>
          <w:color w:val="auto"/>
        </w:rPr>
      </w:pPr>
    </w:p>
    <w:p>
      <w:pPr>
        <w:ind w:left="860" w:right="120"/>
        <w:spacing w:after="0" w:line="245" w:lineRule="auto"/>
        <w:rPr>
          <w:sz w:val="20"/>
          <w:szCs w:val="20"/>
          <w:color w:val="auto"/>
        </w:rPr>
      </w:pPr>
      <w:r>
        <w:rPr>
          <w:rFonts w:ascii="Arial" w:cs="Arial" w:eastAsia="Arial" w:hAnsi="Arial"/>
          <w:sz w:val="18"/>
          <w:szCs w:val="18"/>
          <w:color w:val="auto"/>
        </w:rPr>
        <w:t>The Committee does not delegate its responsibilities with respect to ExxonMobil’s executive officers and other senior executives (currently 25 positions). For other employees, the Committee delegates authority to determine individual salaries and incentive awards to a committee currently consisting of the Chairman and the Senior Vice Presidents of the Corporation. That committee’s actions are subject to a salary budget and aggregate annual ceilings on short-term and long-term incentive awards established by the Compensation Committee.</w:t>
      </w:r>
    </w:p>
    <w:p>
      <w:pPr>
        <w:spacing w:after="0" w:line="172" w:lineRule="exact"/>
        <w:rPr>
          <w:sz w:val="20"/>
          <w:szCs w:val="20"/>
          <w:color w:val="auto"/>
        </w:rPr>
      </w:pPr>
    </w:p>
    <w:p>
      <w:pPr>
        <w:ind w:left="860" w:right="600"/>
        <w:spacing w:after="0" w:line="276" w:lineRule="auto"/>
        <w:rPr>
          <w:sz w:val="20"/>
          <w:szCs w:val="20"/>
          <w:color w:val="auto"/>
        </w:rPr>
      </w:pPr>
      <w:r>
        <w:rPr>
          <w:rFonts w:ascii="Arial" w:cs="Arial" w:eastAsia="Arial" w:hAnsi="Arial"/>
          <w:sz w:val="18"/>
          <w:szCs w:val="18"/>
          <w:color w:val="auto"/>
        </w:rPr>
        <w:t>For more information on the compensation decisions made by the Committee for 2017, refer to the Compensation Discussion and Analysis (CD&amp;A) beginning on page 27.</w:t>
      </w:r>
    </w:p>
    <w:p>
      <w:pPr>
        <w:spacing w:after="0" w:line="145" w:lineRule="exact"/>
        <w:rPr>
          <w:sz w:val="20"/>
          <w:szCs w:val="20"/>
          <w:color w:val="auto"/>
        </w:rPr>
      </w:pPr>
    </w:p>
    <w:p>
      <w:pPr>
        <w:ind w:left="860"/>
        <w:spacing w:after="0"/>
        <w:rPr>
          <w:sz w:val="20"/>
          <w:szCs w:val="20"/>
          <w:color w:val="auto"/>
        </w:rPr>
      </w:pPr>
      <w:r>
        <w:rPr>
          <w:rFonts w:ascii="Arial" w:cs="Arial" w:eastAsia="Arial" w:hAnsi="Arial"/>
          <w:sz w:val="18"/>
          <w:szCs w:val="18"/>
          <w:color w:val="auto"/>
        </w:rPr>
        <w:t>The Compensation Committee’s report is available on page 26.</w:t>
      </w:r>
    </w:p>
    <w:p>
      <w:pPr>
        <w:spacing w:after="0" w:line="212" w:lineRule="exact"/>
        <w:rPr>
          <w:sz w:val="20"/>
          <w:szCs w:val="20"/>
          <w:color w:val="auto"/>
        </w:rPr>
      </w:pPr>
    </w:p>
    <w:p>
      <w:pPr>
        <w:ind w:left="860" w:right="120"/>
        <w:spacing w:after="0" w:line="276" w:lineRule="auto"/>
        <w:rPr>
          <w:sz w:val="20"/>
          <w:szCs w:val="20"/>
          <w:color w:val="auto"/>
        </w:rPr>
      </w:pPr>
      <w:r>
        <w:rPr>
          <w:rFonts w:ascii="Arial" w:cs="Arial" w:eastAsia="Arial" w:hAnsi="Arial"/>
          <w:sz w:val="18"/>
          <w:szCs w:val="18"/>
          <w:color w:val="auto"/>
        </w:rPr>
        <w:t>The Compensation Committee utilizes the expertise of an external independent consultant, Pearl Meyer. At the direction of the Committee, Pearl Meyer:</w:t>
      </w:r>
    </w:p>
    <w:p>
      <w:pPr>
        <w:spacing w:after="0" w:line="51" w:lineRule="exact"/>
        <w:rPr>
          <w:sz w:val="20"/>
          <w:szCs w:val="20"/>
          <w:color w:val="auto"/>
        </w:rPr>
      </w:pPr>
    </w:p>
    <w:p>
      <w:pPr>
        <w:ind w:left="1240" w:hanging="388"/>
        <w:spacing w:after="0"/>
        <w:tabs>
          <w:tab w:leader="none" w:pos="1240" w:val="left"/>
        </w:tabs>
        <w:numPr>
          <w:ilvl w:val="0"/>
          <w:numId w:val="20"/>
        </w:numPr>
        <w:rPr>
          <w:rFonts w:ascii="Times New Roman" w:cs="Times New Roman" w:eastAsia="Times New Roman" w:hAnsi="Times New Roman"/>
          <w:sz w:val="18"/>
          <w:szCs w:val="18"/>
          <w:color w:val="auto"/>
        </w:rPr>
      </w:pPr>
      <w:r>
        <w:rPr>
          <w:rFonts w:ascii="Arial" w:cs="Arial" w:eastAsia="Arial" w:hAnsi="Arial"/>
          <w:sz w:val="18"/>
          <w:szCs w:val="18"/>
          <w:color w:val="auto"/>
        </w:rPr>
        <w:t>Attends Committee meetings;</w:t>
      </w:r>
    </w:p>
    <w:p>
      <w:pPr>
        <w:spacing w:after="0" w:line="129" w:lineRule="exact"/>
        <w:rPr>
          <w:rFonts w:ascii="Times New Roman" w:cs="Times New Roman" w:eastAsia="Times New Roman" w:hAnsi="Times New Roman"/>
          <w:sz w:val="18"/>
          <w:szCs w:val="18"/>
          <w:color w:val="auto"/>
        </w:rPr>
      </w:pPr>
    </w:p>
    <w:p>
      <w:pPr>
        <w:ind w:left="1240" w:hanging="388"/>
        <w:spacing w:after="0"/>
        <w:tabs>
          <w:tab w:leader="none" w:pos="1240" w:val="left"/>
        </w:tabs>
        <w:numPr>
          <w:ilvl w:val="0"/>
          <w:numId w:val="20"/>
        </w:numPr>
        <w:rPr>
          <w:rFonts w:ascii="Times New Roman" w:cs="Times New Roman" w:eastAsia="Times New Roman" w:hAnsi="Times New Roman"/>
          <w:sz w:val="18"/>
          <w:szCs w:val="18"/>
          <w:color w:val="auto"/>
        </w:rPr>
      </w:pPr>
      <w:r>
        <w:rPr>
          <w:rFonts w:ascii="Arial" w:cs="Arial" w:eastAsia="Arial" w:hAnsi="Arial"/>
          <w:sz w:val="18"/>
          <w:szCs w:val="18"/>
          <w:color w:val="auto"/>
        </w:rPr>
        <w:t>Informs the Committee regarding general trends in executive compensation across industries;</w:t>
      </w:r>
    </w:p>
    <w:p>
      <w:pPr>
        <w:spacing w:after="0" w:line="129" w:lineRule="exact"/>
        <w:rPr>
          <w:rFonts w:ascii="Times New Roman" w:cs="Times New Roman" w:eastAsia="Times New Roman" w:hAnsi="Times New Roman"/>
          <w:sz w:val="18"/>
          <w:szCs w:val="18"/>
          <w:color w:val="auto"/>
        </w:rPr>
      </w:pPr>
    </w:p>
    <w:p>
      <w:pPr>
        <w:ind w:left="1240" w:hanging="388"/>
        <w:spacing w:after="0"/>
        <w:tabs>
          <w:tab w:leader="none" w:pos="1240" w:val="left"/>
        </w:tabs>
        <w:numPr>
          <w:ilvl w:val="0"/>
          <w:numId w:val="20"/>
        </w:numPr>
        <w:rPr>
          <w:rFonts w:ascii="Times New Roman" w:cs="Times New Roman" w:eastAsia="Times New Roman" w:hAnsi="Times New Roman"/>
          <w:sz w:val="18"/>
          <w:szCs w:val="18"/>
          <w:color w:val="auto"/>
        </w:rPr>
      </w:pPr>
      <w:r>
        <w:rPr>
          <w:rFonts w:ascii="Arial" w:cs="Arial" w:eastAsia="Arial" w:hAnsi="Arial"/>
          <w:sz w:val="18"/>
          <w:szCs w:val="18"/>
          <w:color w:val="auto"/>
        </w:rPr>
        <w:t>Prepares the analysis of comparator company compensation used by the Committee; and</w:t>
      </w:r>
    </w:p>
    <w:p>
      <w:pPr>
        <w:spacing w:after="0" w:line="129" w:lineRule="exact"/>
        <w:rPr>
          <w:rFonts w:ascii="Times New Roman" w:cs="Times New Roman" w:eastAsia="Times New Roman" w:hAnsi="Times New Roman"/>
          <w:sz w:val="18"/>
          <w:szCs w:val="18"/>
          <w:color w:val="auto"/>
        </w:rPr>
      </w:pPr>
    </w:p>
    <w:p>
      <w:pPr>
        <w:ind w:left="1240" w:hanging="388"/>
        <w:spacing w:after="0"/>
        <w:tabs>
          <w:tab w:leader="none" w:pos="1240" w:val="left"/>
        </w:tabs>
        <w:numPr>
          <w:ilvl w:val="0"/>
          <w:numId w:val="20"/>
        </w:numPr>
        <w:rPr>
          <w:rFonts w:ascii="Times New Roman" w:cs="Times New Roman" w:eastAsia="Times New Roman" w:hAnsi="Times New Roman"/>
          <w:sz w:val="18"/>
          <w:szCs w:val="18"/>
          <w:color w:val="auto"/>
        </w:rPr>
      </w:pPr>
      <w:r>
        <w:rPr>
          <w:rFonts w:ascii="Arial" w:cs="Arial" w:eastAsia="Arial" w:hAnsi="Arial"/>
          <w:sz w:val="18"/>
          <w:szCs w:val="18"/>
          <w:color w:val="auto"/>
        </w:rPr>
        <w:t>Participates in the Committee’s deliberations regarding compensation for Named Executive Officers.</w:t>
      </w:r>
    </w:p>
    <w:p>
      <w:pPr>
        <w:spacing w:after="0" w:line="224" w:lineRule="exact"/>
        <w:rPr>
          <w:sz w:val="20"/>
          <w:szCs w:val="20"/>
          <w:color w:val="auto"/>
        </w:rPr>
      </w:pPr>
    </w:p>
    <w:p>
      <w:pPr>
        <w:ind w:left="860" w:right="620"/>
        <w:spacing w:after="0" w:line="276" w:lineRule="auto"/>
        <w:rPr>
          <w:sz w:val="20"/>
          <w:szCs w:val="20"/>
          <w:color w:val="auto"/>
        </w:rPr>
      </w:pPr>
      <w:r>
        <w:rPr>
          <w:rFonts w:ascii="Arial" w:cs="Arial" w:eastAsia="Arial" w:hAnsi="Arial"/>
          <w:sz w:val="18"/>
          <w:szCs w:val="18"/>
          <w:color w:val="auto"/>
        </w:rPr>
        <w:t>In addition, at the direction of the Chair of the Board Affairs Committee, Pearl Meyer provides an annual survey of non-employee director compensation for use by that Committee.</w:t>
      </w:r>
    </w:p>
    <w:p>
      <w:pPr>
        <w:spacing w:after="0" w:line="78" w:lineRule="exact"/>
        <w:rPr>
          <w:sz w:val="20"/>
          <w:szCs w:val="20"/>
          <w:color w:val="auto"/>
        </w:rPr>
      </w:pPr>
    </w:p>
    <w:tbl>
      <w:tblPr>
        <w:tblLayout w:type="fixed"/>
        <w:tblInd w:w="6960" w:type="dxa"/>
        <w:tblCellMar>
          <w:top w:w="0" w:type="dxa"/>
          <w:left w:w="0" w:type="dxa"/>
          <w:bottom w:w="0" w:type="dxa"/>
          <w:right w:w="0" w:type="dxa"/>
        </w:tblCellMar>
      </w:tblPr>
      <w:tr>
        <w:trPr>
          <w:trHeight w:val="243"/>
        </w:trPr>
        <w:tc>
          <w:tcPr>
            <w:tcW w:w="2440" w:type="dxa"/>
            <w:vAlign w:val="bottom"/>
          </w:tcPr>
          <w:p>
            <w:pPr>
              <w:spacing w:after="0"/>
              <w:rPr>
                <w:sz w:val="20"/>
                <w:szCs w:val="20"/>
                <w:color w:val="auto"/>
              </w:rPr>
            </w:pPr>
            <w:r>
              <w:rPr>
                <w:rFonts w:ascii="Times New Roman" w:cs="Times New Roman" w:eastAsia="Times New Roman" w:hAnsi="Times New Roman"/>
                <w:sz w:val="18"/>
                <w:szCs w:val="18"/>
                <w:i w:val="1"/>
                <w:iCs w:val="1"/>
                <w:color w:val="auto"/>
              </w:rPr>
              <w:t>2018 Proxy Statement</w:t>
            </w:r>
          </w:p>
        </w:tc>
        <w:tc>
          <w:tcPr>
            <w:tcW w:w="1060" w:type="dxa"/>
            <w:vAlign w:val="bottom"/>
          </w:tcPr>
          <w:p>
            <w:pPr>
              <w:jc w:val="right"/>
              <w:spacing w:after="0"/>
              <w:rPr>
                <w:sz w:val="20"/>
                <w:szCs w:val="20"/>
                <w:color w:val="auto"/>
              </w:rPr>
            </w:pPr>
            <w:r>
              <w:rPr>
                <w:rFonts w:ascii="Arial" w:cs="Arial" w:eastAsia="Arial" w:hAnsi="Arial"/>
                <w:sz w:val="18"/>
                <w:szCs w:val="18"/>
                <w:color w:val="auto"/>
              </w:rPr>
              <w:t>13</w:t>
            </w:r>
          </w:p>
        </w:tc>
      </w:tr>
    </w:tbl>
    <w:p>
      <w:pPr>
        <w:sectPr>
          <w:pgSz w:w="11900" w:h="16838" w:orient="portrait"/>
          <w:cols w:equalWidth="0" w:num="1">
            <w:col w:w="10500"/>
          </w:cols>
          <w:pgMar w:left="240" w:top="455" w:right="1159" w:bottom="1440" w:gutter="0" w:footer="0" w:header="0"/>
        </w:sectPr>
      </w:pPr>
    </w:p>
    <w:bookmarkStart w:id="16" w:name="page17"/>
    <w:bookmarkEnd w:id="16"/>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Times New Roman" w:cs="Times New Roman" w:eastAsia="Times New Roman" w:hAnsi="Times New Roman"/>
            <w:sz w:val="18"/>
            <w:szCs w:val="18"/>
            <w:b w:val="1"/>
            <w:bCs w:val="1"/>
            <w:u w:val="single" w:color="auto"/>
            <w:color w:val="0000EE"/>
          </w:rPr>
          <w:t>Table of Contents</w:t>
        </w:r>
      </w:hyperlink>
    </w:p>
    <w:p>
      <w:pPr>
        <w:spacing w:after="0" w:line="305" w:lineRule="exact"/>
        <w:rPr>
          <w:sz w:val="20"/>
          <w:szCs w:val="20"/>
          <w:color w:val="auto"/>
        </w:rPr>
      </w:pPr>
    </w:p>
    <w:p>
      <w:pPr>
        <w:jc w:val="both"/>
        <w:ind w:left="860" w:right="100"/>
        <w:spacing w:after="0" w:line="245" w:lineRule="auto"/>
        <w:rPr>
          <w:sz w:val="20"/>
          <w:szCs w:val="20"/>
          <w:color w:val="auto"/>
        </w:rPr>
      </w:pPr>
      <w:r>
        <w:rPr>
          <w:rFonts w:ascii="Arial" w:cs="Arial" w:eastAsia="Arial" w:hAnsi="Arial"/>
          <w:sz w:val="18"/>
          <w:szCs w:val="18"/>
          <w:color w:val="auto"/>
        </w:rPr>
        <w:t>The Compensation Committee is solely and directly responsible for the appointment, compensation, and oversight of the consultant. The Committee considers factors that could affect Pearl Meyer’s independence, including that the consultant provides no other services for ExxonMobil other than its engagement by the Committee and the Board Affairs Committee as described above. Based on this review, the Committee has determined the consultant’s work for the Committee to be free from conflicts of interest.</w:t>
      </w:r>
    </w:p>
    <w:p>
      <w:pPr>
        <w:spacing w:after="0" w:line="170" w:lineRule="exact"/>
        <w:rPr>
          <w:sz w:val="20"/>
          <w:szCs w:val="20"/>
          <w:color w:val="auto"/>
        </w:rPr>
      </w:pPr>
    </w:p>
    <w:p>
      <w:pPr>
        <w:ind w:left="860"/>
        <w:spacing w:after="0"/>
        <w:rPr>
          <w:sz w:val="20"/>
          <w:szCs w:val="20"/>
          <w:color w:val="auto"/>
        </w:rPr>
      </w:pPr>
      <w:r>
        <w:rPr>
          <w:rFonts w:ascii="Arial" w:cs="Arial" w:eastAsia="Arial" w:hAnsi="Arial"/>
          <w:sz w:val="18"/>
          <w:szCs w:val="18"/>
          <w:b w:val="1"/>
          <w:bCs w:val="1"/>
          <w:color w:val="auto"/>
        </w:rPr>
        <w:t>Finance Committee</w:t>
      </w:r>
    </w:p>
    <w:p>
      <w:pPr>
        <w:spacing w:after="0" w:line="106" w:lineRule="exact"/>
        <w:rPr>
          <w:sz w:val="20"/>
          <w:szCs w:val="20"/>
          <w:color w:val="auto"/>
        </w:rPr>
      </w:pPr>
    </w:p>
    <w:p>
      <w:pPr>
        <w:ind w:left="860" w:right="20"/>
        <w:spacing w:after="0" w:line="255" w:lineRule="auto"/>
        <w:rPr>
          <w:sz w:val="20"/>
          <w:szCs w:val="20"/>
          <w:color w:val="auto"/>
        </w:rPr>
      </w:pPr>
      <w:r>
        <w:rPr>
          <w:rFonts w:ascii="Arial" w:cs="Arial" w:eastAsia="Arial" w:hAnsi="Arial"/>
          <w:sz w:val="18"/>
          <w:szCs w:val="18"/>
          <w:color w:val="auto"/>
        </w:rPr>
        <w:t>The Finance Committee reviews ExxonMobil’s financial policies and strategies, including our capital structure, dividends, and share purchase program. The Committee authorizes the issuance of corporate debt subject to limits set by the Board. The Committee’s charter is available on the Corporate Governance section of our website.</w:t>
      </w:r>
    </w:p>
    <w:p>
      <w:pPr>
        <w:spacing w:after="0" w:line="162" w:lineRule="exact"/>
        <w:rPr>
          <w:sz w:val="20"/>
          <w:szCs w:val="20"/>
          <w:color w:val="auto"/>
        </w:rPr>
      </w:pPr>
    </w:p>
    <w:p>
      <w:pPr>
        <w:ind w:left="860"/>
        <w:spacing w:after="0"/>
        <w:rPr>
          <w:sz w:val="20"/>
          <w:szCs w:val="20"/>
          <w:color w:val="auto"/>
        </w:rPr>
      </w:pPr>
      <w:r>
        <w:rPr>
          <w:rFonts w:ascii="Arial" w:cs="Arial" w:eastAsia="Arial" w:hAnsi="Arial"/>
          <w:sz w:val="18"/>
          <w:szCs w:val="18"/>
          <w:b w:val="1"/>
          <w:bCs w:val="1"/>
          <w:color w:val="auto"/>
        </w:rPr>
        <w:t>Public Issues and Contributions Committee</w:t>
      </w:r>
    </w:p>
    <w:p>
      <w:pPr>
        <w:spacing w:after="0" w:line="106" w:lineRule="exact"/>
        <w:rPr>
          <w:sz w:val="20"/>
          <w:szCs w:val="20"/>
          <w:color w:val="auto"/>
        </w:rPr>
      </w:pPr>
    </w:p>
    <w:p>
      <w:pPr>
        <w:ind w:left="860"/>
        <w:spacing w:after="0"/>
        <w:rPr>
          <w:sz w:val="20"/>
          <w:szCs w:val="20"/>
          <w:color w:val="auto"/>
        </w:rPr>
      </w:pPr>
      <w:r>
        <w:rPr>
          <w:rFonts w:ascii="Arial" w:cs="Arial" w:eastAsia="Arial" w:hAnsi="Arial"/>
          <w:sz w:val="18"/>
          <w:szCs w:val="18"/>
          <w:color w:val="auto"/>
        </w:rPr>
        <w:t>The Public Issues and Contributions Committee reviews the effectiveness of the Corporation’s policies, programs, and practices with respect to safety, security, health, the environment, and social issues. The Committee hears reports from operating units on safety and environmental activities, and also visits operating sites to observe and comment on current operating practices. In addition, the Committee reviews the level of ExxonMobil’s support for education and other public service programs, including the Company’s contributions to the ExxonMobil Foundation. The Foundation works to improve the quality of education in the United States at all levels, with special emphasis on math and science. The Foundation also supports the Company’s other cultural and public service giving. The Committee’s charter is available on the Corporate Governance section of our website.</w:t>
      </w:r>
    </w:p>
    <w:p>
      <w:pPr>
        <w:spacing w:after="0" w:line="179" w:lineRule="exact"/>
        <w:rPr>
          <w:sz w:val="20"/>
          <w:szCs w:val="20"/>
          <w:color w:val="auto"/>
        </w:rPr>
      </w:pPr>
    </w:p>
    <w:p>
      <w:pPr>
        <w:ind w:left="860"/>
        <w:spacing w:after="0"/>
        <w:rPr>
          <w:sz w:val="20"/>
          <w:szCs w:val="20"/>
          <w:color w:val="auto"/>
        </w:rPr>
      </w:pPr>
      <w:r>
        <w:rPr>
          <w:rFonts w:ascii="Arial" w:cs="Arial" w:eastAsia="Arial" w:hAnsi="Arial"/>
          <w:sz w:val="18"/>
          <w:szCs w:val="18"/>
          <w:b w:val="1"/>
          <w:bCs w:val="1"/>
          <w:color w:val="auto"/>
        </w:rPr>
        <w:t>Executive Committee</w:t>
      </w:r>
    </w:p>
    <w:p>
      <w:pPr>
        <w:spacing w:after="0" w:line="106" w:lineRule="exact"/>
        <w:rPr>
          <w:sz w:val="20"/>
          <w:szCs w:val="20"/>
          <w:color w:val="auto"/>
        </w:rPr>
      </w:pPr>
    </w:p>
    <w:p>
      <w:pPr>
        <w:ind w:left="860" w:right="20"/>
        <w:spacing w:after="0" w:line="276" w:lineRule="auto"/>
        <w:rPr>
          <w:sz w:val="20"/>
          <w:szCs w:val="20"/>
          <w:color w:val="auto"/>
        </w:rPr>
      </w:pPr>
      <w:r>
        <w:rPr>
          <w:rFonts w:ascii="Arial" w:cs="Arial" w:eastAsia="Arial" w:hAnsi="Arial"/>
          <w:sz w:val="18"/>
          <w:szCs w:val="18"/>
          <w:color w:val="auto"/>
        </w:rPr>
        <w:t>The Executive Committee has broad power to act on behalf of the Board. In practice, the Committee meets only when it is impractical to call a meeting of the full Board.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545465</wp:posOffset>
            </wp:positionH>
            <wp:positionV relativeFrom="paragraph">
              <wp:posOffset>123825</wp:posOffset>
            </wp:positionV>
            <wp:extent cx="6182995" cy="3747770"/>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6182995" cy="3747770"/>
                    </a:xfrm>
                    <a:prstGeom prst="rect">
                      <a:avLst/>
                    </a:prstGeom>
                    <a:noFill/>
                  </pic:spPr>
                </pic:pic>
              </a:graphicData>
            </a:graphic>
          </wp:anchor>
        </w:drawing>
      </w:r>
    </w:p>
    <w:p>
      <w:pPr>
        <w:spacing w:after="0" w:line="366" w:lineRule="exact"/>
        <w:rPr>
          <w:sz w:val="20"/>
          <w:szCs w:val="20"/>
          <w:color w:val="auto"/>
        </w:rPr>
      </w:pPr>
    </w:p>
    <w:p>
      <w:pPr>
        <w:ind w:left="1100"/>
        <w:spacing w:after="0"/>
        <w:rPr>
          <w:sz w:val="20"/>
          <w:szCs w:val="20"/>
          <w:color w:val="auto"/>
        </w:rPr>
      </w:pPr>
      <w:r>
        <w:rPr>
          <w:rFonts w:ascii="Arial" w:cs="Arial" w:eastAsia="Arial" w:hAnsi="Arial"/>
          <w:sz w:val="18"/>
          <w:szCs w:val="18"/>
          <w:b w:val="1"/>
          <w:bCs w:val="1"/>
          <w:color w:val="auto"/>
        </w:rPr>
        <w:t>Shareholder Engagement</w:t>
      </w:r>
    </w:p>
    <w:p>
      <w:pPr>
        <w:spacing w:after="0" w:line="119" w:lineRule="exact"/>
        <w:rPr>
          <w:sz w:val="20"/>
          <w:szCs w:val="20"/>
          <w:color w:val="auto"/>
        </w:rPr>
      </w:pPr>
    </w:p>
    <w:p>
      <w:pPr>
        <w:ind w:left="1100" w:right="60"/>
        <w:spacing w:after="0" w:line="241" w:lineRule="auto"/>
        <w:rPr>
          <w:sz w:val="20"/>
          <w:szCs w:val="20"/>
          <w:color w:val="auto"/>
        </w:rPr>
      </w:pPr>
      <w:r>
        <w:rPr>
          <w:rFonts w:ascii="Arial" w:cs="Arial" w:eastAsia="Arial" w:hAnsi="Arial"/>
          <w:sz w:val="18"/>
          <w:szCs w:val="18"/>
          <w:color w:val="auto"/>
        </w:rPr>
        <w:t>We believe ongoing engagement with our shareholders is vitally important. ExxonMobil understands the importance of keeping shareholders informed about our business and to address areas of interest. In 2017, the Company held shareholder engagements on environmental, social, and governance matters with institutional investors, pension funds, and labor, religious, and nongovernmental organizations representing over 1.2 billion shares, or about</w:t>
      </w:r>
    </w:p>
    <w:p>
      <w:pPr>
        <w:spacing w:after="0" w:line="1" w:lineRule="exact"/>
        <w:rPr>
          <w:sz w:val="20"/>
          <w:szCs w:val="20"/>
          <w:color w:val="auto"/>
        </w:rPr>
      </w:pPr>
    </w:p>
    <w:p>
      <w:pPr>
        <w:ind w:left="1100" w:right="660"/>
        <w:spacing w:after="0" w:line="251" w:lineRule="auto"/>
        <w:rPr>
          <w:sz w:val="20"/>
          <w:szCs w:val="20"/>
          <w:color w:val="auto"/>
        </w:rPr>
      </w:pPr>
      <w:r>
        <w:rPr>
          <w:rFonts w:ascii="Arial" w:cs="Arial" w:eastAsia="Arial" w:hAnsi="Arial"/>
          <w:sz w:val="18"/>
          <w:szCs w:val="18"/>
          <w:color w:val="auto"/>
        </w:rPr>
        <w:t>30 percent of total shares outstanding and nearly 50 percent of institutional shareholdings. The number of engagements with shareholders on environmental, social, and governance issues is up 75 percent since 2014.</w:t>
      </w:r>
    </w:p>
    <w:p>
      <w:pPr>
        <w:spacing w:after="0" w:line="193" w:lineRule="exact"/>
        <w:rPr>
          <w:sz w:val="20"/>
          <w:szCs w:val="20"/>
          <w:color w:val="auto"/>
        </w:rPr>
      </w:pPr>
    </w:p>
    <w:p>
      <w:pPr>
        <w:ind w:left="1100" w:right="340"/>
        <w:spacing w:after="0" w:line="245" w:lineRule="auto"/>
        <w:rPr>
          <w:sz w:val="20"/>
          <w:szCs w:val="20"/>
          <w:color w:val="auto"/>
        </w:rPr>
      </w:pPr>
      <w:r>
        <w:rPr>
          <w:rFonts w:ascii="Arial" w:cs="Arial" w:eastAsia="Arial" w:hAnsi="Arial"/>
          <w:sz w:val="18"/>
          <w:szCs w:val="18"/>
          <w:color w:val="auto"/>
        </w:rPr>
        <w:t xml:space="preserve">The Company communicates with shareholders through a variety of means, including publications we issue throughout the year; our website (including the </w:t>
      </w:r>
      <w:r>
        <w:rPr>
          <w:rFonts w:ascii="Arial" w:cs="Arial" w:eastAsia="Arial" w:hAnsi="Arial"/>
          <w:sz w:val="18"/>
          <w:szCs w:val="18"/>
          <w:i w:val="1"/>
          <w:iCs w:val="1"/>
          <w:color w:val="auto"/>
        </w:rPr>
        <w:t>Perspectives</w:t>
      </w:r>
      <w:r>
        <w:rPr>
          <w:rFonts w:ascii="Arial" w:cs="Arial" w:eastAsia="Arial" w:hAnsi="Arial"/>
          <w:sz w:val="18"/>
          <w:szCs w:val="18"/>
          <w:color w:val="auto"/>
        </w:rPr>
        <w:t xml:space="preserve"> blog); the annual shareholders meeting; webcasts, including our annual executive compensation and governance webcast during which any shareholder can submit comments or questions; and through direct interface. We welcome and value input from all shareholders, and such input is taken seriously by the Company.</w:t>
      </w:r>
    </w:p>
    <w:p>
      <w:pPr>
        <w:spacing w:after="0" w:line="200" w:lineRule="exact"/>
        <w:rPr>
          <w:sz w:val="20"/>
          <w:szCs w:val="20"/>
          <w:color w:val="auto"/>
        </w:rPr>
      </w:pPr>
    </w:p>
    <w:p>
      <w:pPr>
        <w:ind w:left="1100" w:right="320"/>
        <w:spacing w:after="0" w:line="255" w:lineRule="auto"/>
        <w:rPr>
          <w:sz w:val="20"/>
          <w:szCs w:val="20"/>
          <w:color w:val="auto"/>
        </w:rPr>
      </w:pPr>
      <w:r>
        <w:rPr>
          <w:rFonts w:ascii="Arial" w:cs="Arial" w:eastAsia="Arial" w:hAnsi="Arial"/>
          <w:sz w:val="18"/>
          <w:szCs w:val="18"/>
          <w:color w:val="auto"/>
        </w:rPr>
        <w:t>The Board Affairs Committee has approved and implemented procedures for shareholders and other interested persons to send written or electronic communications to individual directors, including the Presiding Director, Board committees, or the non-employee directors as a group.</w:t>
      </w:r>
    </w:p>
    <w:p>
      <w:pPr>
        <w:spacing w:after="0" w:line="68" w:lineRule="exact"/>
        <w:rPr>
          <w:sz w:val="20"/>
          <w:szCs w:val="20"/>
          <w:color w:val="auto"/>
        </w:rPr>
      </w:pPr>
    </w:p>
    <w:p>
      <w:pPr>
        <w:ind w:left="1460" w:right="40" w:hanging="360"/>
        <w:spacing w:after="0" w:line="293" w:lineRule="auto"/>
        <w:tabs>
          <w:tab w:leader="none" w:pos="1469" w:val="left"/>
        </w:tabs>
        <w:numPr>
          <w:ilvl w:val="0"/>
          <w:numId w:val="21"/>
        </w:numPr>
        <w:rPr>
          <w:rFonts w:ascii="Times New Roman" w:cs="Times New Roman" w:eastAsia="Times New Roman" w:hAnsi="Times New Roman"/>
          <w:sz w:val="18"/>
          <w:szCs w:val="18"/>
          <w:color w:val="auto"/>
        </w:rPr>
      </w:pPr>
      <w:r>
        <w:rPr>
          <w:rFonts w:ascii="Arial" w:cs="Arial" w:eastAsia="Arial" w:hAnsi="Arial"/>
          <w:sz w:val="18"/>
          <w:szCs w:val="18"/>
          <w:b w:val="1"/>
          <w:bCs w:val="1"/>
          <w:color w:val="auto"/>
        </w:rPr>
        <w:t xml:space="preserve">Written Communications: </w:t>
      </w:r>
      <w:r>
        <w:rPr>
          <w:rFonts w:ascii="Arial" w:cs="Arial" w:eastAsia="Arial" w:hAnsi="Arial"/>
          <w:sz w:val="18"/>
          <w:szCs w:val="18"/>
          <w:color w:val="auto"/>
        </w:rPr>
        <w:t>Written correspondence should be addressed to the director or directors in care of the</w:t>
      </w:r>
      <w:r>
        <w:rPr>
          <w:rFonts w:ascii="Arial" w:cs="Arial" w:eastAsia="Arial" w:hAnsi="Arial"/>
          <w:sz w:val="18"/>
          <w:szCs w:val="18"/>
          <w:b w:val="1"/>
          <w:bCs w:val="1"/>
          <w:color w:val="auto"/>
        </w:rPr>
        <w:t xml:space="preserve"> </w:t>
      </w:r>
      <w:r>
        <w:rPr>
          <w:rFonts w:ascii="Arial" w:cs="Arial" w:eastAsia="Arial" w:hAnsi="Arial"/>
          <w:sz w:val="18"/>
          <w:szCs w:val="18"/>
          <w:color w:val="auto"/>
        </w:rPr>
        <w:t>Secretary at the address given under Contact Information on page 4.</w:t>
      </w:r>
    </w:p>
    <w:p>
      <w:pPr>
        <w:spacing w:after="0" w:line="33" w:lineRule="exact"/>
        <w:rPr>
          <w:rFonts w:ascii="Times New Roman" w:cs="Times New Roman" w:eastAsia="Times New Roman" w:hAnsi="Times New Roman"/>
          <w:sz w:val="18"/>
          <w:szCs w:val="18"/>
          <w:color w:val="auto"/>
        </w:rPr>
      </w:pPr>
    </w:p>
    <w:p>
      <w:pPr>
        <w:ind w:left="1460" w:right="180" w:hanging="360"/>
        <w:spacing w:after="0" w:line="264" w:lineRule="auto"/>
        <w:tabs>
          <w:tab w:leader="none" w:pos="1469" w:val="left"/>
        </w:tabs>
        <w:numPr>
          <w:ilvl w:val="0"/>
          <w:numId w:val="21"/>
        </w:numPr>
        <w:rPr>
          <w:rFonts w:ascii="Times New Roman" w:cs="Times New Roman" w:eastAsia="Times New Roman" w:hAnsi="Times New Roman"/>
          <w:sz w:val="18"/>
          <w:szCs w:val="18"/>
          <w:color w:val="auto"/>
        </w:rPr>
      </w:pPr>
      <w:r>
        <w:rPr>
          <w:rFonts w:ascii="Arial" w:cs="Arial" w:eastAsia="Arial" w:hAnsi="Arial"/>
          <w:sz w:val="18"/>
          <w:szCs w:val="18"/>
          <w:b w:val="1"/>
          <w:bCs w:val="1"/>
          <w:color w:val="auto"/>
        </w:rPr>
        <w:t xml:space="preserve">Electronic Communications: </w:t>
      </w:r>
      <w:r>
        <w:rPr>
          <w:rFonts w:ascii="Arial" w:cs="Arial" w:eastAsia="Arial" w:hAnsi="Arial"/>
          <w:sz w:val="18"/>
          <w:szCs w:val="18"/>
          <w:color w:val="auto"/>
        </w:rPr>
        <w:t>You may send e-mail to individual non-employee directors, Board committees, or</w:t>
      </w:r>
      <w:r>
        <w:rPr>
          <w:rFonts w:ascii="Arial" w:cs="Arial" w:eastAsia="Arial" w:hAnsi="Arial"/>
          <w:sz w:val="18"/>
          <w:szCs w:val="18"/>
          <w:b w:val="1"/>
          <w:bCs w:val="1"/>
          <w:color w:val="auto"/>
        </w:rPr>
        <w:t xml:space="preserve"> </w:t>
      </w:r>
      <w:r>
        <w:rPr>
          <w:rFonts w:ascii="Arial" w:cs="Arial" w:eastAsia="Arial" w:hAnsi="Arial"/>
          <w:sz w:val="18"/>
          <w:szCs w:val="18"/>
          <w:color w:val="auto"/>
        </w:rPr>
        <w:t xml:space="preserve">the non-employee directors as a group by using the form provided for that purpose on our website at </w:t>
      </w:r>
      <w:r>
        <w:rPr>
          <w:rFonts w:ascii="Arial" w:cs="Arial" w:eastAsia="Arial" w:hAnsi="Arial"/>
          <w:sz w:val="18"/>
          <w:szCs w:val="18"/>
          <w:i w:val="1"/>
          <w:iCs w:val="1"/>
          <w:color w:val="auto"/>
        </w:rPr>
        <w:t>exxonmobil.com/directors</w:t>
      </w:r>
      <w:r>
        <w:rPr>
          <w:rFonts w:ascii="Arial" w:cs="Arial" w:eastAsia="Arial" w:hAnsi="Arial"/>
          <w:sz w:val="18"/>
          <w:szCs w:val="18"/>
          <w:color w:val="auto"/>
        </w:rPr>
        <w:t>.</w:t>
      </w:r>
    </w:p>
    <w:p>
      <w:pPr>
        <w:spacing w:after="0" w:line="182" w:lineRule="exact"/>
        <w:rPr>
          <w:sz w:val="20"/>
          <w:szCs w:val="20"/>
          <w:color w:val="auto"/>
        </w:rPr>
      </w:pPr>
    </w:p>
    <w:p>
      <w:pPr>
        <w:ind w:left="1100" w:right="140"/>
        <w:spacing w:after="0" w:line="276" w:lineRule="auto"/>
        <w:rPr>
          <w:sz w:val="20"/>
          <w:szCs w:val="20"/>
          <w:color w:val="auto"/>
        </w:rPr>
      </w:pPr>
      <w:r>
        <w:rPr>
          <w:rFonts w:ascii="Arial" w:cs="Arial" w:eastAsia="Arial" w:hAnsi="Arial"/>
          <w:sz w:val="18"/>
          <w:szCs w:val="18"/>
          <w:color w:val="auto"/>
        </w:rPr>
        <w:t xml:space="preserve">Additional instructions and procedures for communicating with the directors are posted on the Corporate Governance section of our website at </w:t>
      </w:r>
      <w:r>
        <w:rPr>
          <w:rFonts w:ascii="Arial" w:cs="Arial" w:eastAsia="Arial" w:hAnsi="Arial"/>
          <w:sz w:val="18"/>
          <w:szCs w:val="18"/>
          <w:i w:val="1"/>
          <w:iCs w:val="1"/>
          <w:color w:val="auto"/>
        </w:rPr>
        <w:t>exxonmobil.com/proceduresdircom</w:t>
      </w:r>
      <w:r>
        <w:rPr>
          <w:rFonts w:ascii="Arial" w:cs="Arial" w:eastAsia="Arial" w:hAnsi="Arial"/>
          <w:sz w:val="18"/>
          <w:szCs w:val="18"/>
          <w:color w:val="auto"/>
        </w:rPr>
        <w:t>.</w:t>
      </w:r>
    </w:p>
    <w:p>
      <w:pPr>
        <w:spacing w:after="0" w:line="186" w:lineRule="exact"/>
        <w:rPr>
          <w:sz w:val="20"/>
          <w:szCs w:val="20"/>
          <w:color w:val="auto"/>
        </w:rPr>
      </w:pPr>
    </w:p>
    <w:p>
      <w:pPr>
        <w:ind w:left="880"/>
        <w:spacing w:after="0"/>
        <w:tabs>
          <w:tab w:leader="none" w:pos="2780" w:val="left"/>
        </w:tabs>
        <w:rPr>
          <w:sz w:val="20"/>
          <w:szCs w:val="20"/>
          <w:color w:val="auto"/>
        </w:rPr>
      </w:pPr>
      <w:r>
        <w:rPr>
          <w:rFonts w:ascii="Arial" w:cs="Arial" w:eastAsia="Arial" w:hAnsi="Arial"/>
          <w:sz w:val="18"/>
          <w:szCs w:val="18"/>
          <w:color w:val="auto"/>
        </w:rPr>
        <w:t>14</w:t>
      </w:r>
      <w:r>
        <w:rPr>
          <w:sz w:val="20"/>
          <w:szCs w:val="20"/>
          <w:color w:val="auto"/>
        </w:rPr>
        <w:tab/>
      </w:r>
      <w:r>
        <w:rPr>
          <w:rFonts w:ascii="Times New Roman" w:cs="Times New Roman" w:eastAsia="Times New Roman" w:hAnsi="Times New Roman"/>
          <w:sz w:val="18"/>
          <w:szCs w:val="18"/>
          <w:i w:val="1"/>
          <w:iCs w:val="1"/>
          <w:color w:val="auto"/>
        </w:rPr>
        <w:t>2018 Proxy Statement</w:t>
      </w:r>
    </w:p>
    <w:p>
      <w:pPr>
        <w:sectPr>
          <w:pgSz w:w="11900" w:h="16838" w:orient="portrait"/>
          <w:cols w:equalWidth="0" w:num="1">
            <w:col w:w="10560"/>
          </w:cols>
          <w:pgMar w:left="240" w:top="455" w:right="1099" w:bottom="1440" w:gutter="0" w:footer="0" w:header="0"/>
        </w:sectPr>
      </w:pPr>
    </w:p>
    <w:bookmarkStart w:id="17" w:name="page18"/>
    <w:bookmarkEnd w:id="17"/>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Times New Roman" w:cs="Times New Roman" w:eastAsia="Times New Roman" w:hAnsi="Times New Roman"/>
            <w:sz w:val="18"/>
            <w:szCs w:val="18"/>
            <w:b w:val="1"/>
            <w:bCs w:val="1"/>
            <w:u w:val="single" w:color="auto"/>
            <w:color w:val="0000EE"/>
          </w:rPr>
          <w:t>Table of Contents</w:t>
        </w:r>
      </w:hyperlink>
    </w:p>
    <w:p>
      <w:pPr>
        <w:spacing w:after="0" w:line="296" w:lineRule="exact"/>
        <w:rPr>
          <w:sz w:val="20"/>
          <w:szCs w:val="20"/>
          <w:color w:val="auto"/>
        </w:rPr>
      </w:pPr>
    </w:p>
    <w:p>
      <w:pPr>
        <w:ind w:left="860"/>
        <w:spacing w:after="0"/>
        <w:rPr>
          <w:sz w:val="20"/>
          <w:szCs w:val="20"/>
          <w:color w:val="auto"/>
        </w:rPr>
      </w:pPr>
      <w:r>
        <w:rPr>
          <w:rFonts w:ascii="Arial" w:cs="Arial" w:eastAsia="Arial" w:hAnsi="Arial"/>
          <w:sz w:val="20"/>
          <w:szCs w:val="20"/>
          <w:b w:val="1"/>
          <w:bCs w:val="1"/>
          <w:color w:val="auto"/>
        </w:rPr>
        <w:t>Item 1 – Election of Directors</w:t>
      </w:r>
    </w:p>
    <w:p>
      <w:pPr>
        <w:spacing w:after="0" w:line="103" w:lineRule="exact"/>
        <w:rPr>
          <w:sz w:val="20"/>
          <w:szCs w:val="20"/>
          <w:color w:val="auto"/>
        </w:rPr>
      </w:pPr>
    </w:p>
    <w:p>
      <w:pPr>
        <w:ind w:left="860" w:right="20"/>
        <w:spacing w:after="0" w:line="271" w:lineRule="auto"/>
        <w:rPr>
          <w:sz w:val="20"/>
          <w:szCs w:val="20"/>
          <w:color w:val="auto"/>
        </w:rPr>
      </w:pPr>
      <w:r>
        <w:rPr>
          <w:rFonts w:ascii="Arial" w:cs="Arial" w:eastAsia="Arial" w:hAnsi="Arial"/>
          <w:sz w:val="17"/>
          <w:szCs w:val="17"/>
          <w:color w:val="auto"/>
        </w:rPr>
        <w:t xml:space="preserve">The Board of Directors has nominated the director candidates named on the following pages. Personal information on each of our nominees, including public company directorships during the past five years, is provided. Also included are the particular experiences, qualifications, attributes, and skills of each director nominee that led the Board to conclude that such person should serve as a director of the Company. </w:t>
      </w:r>
      <w:r>
        <w:rPr>
          <w:rFonts w:ascii="Arial" w:cs="Arial" w:eastAsia="Arial" w:hAnsi="Arial"/>
          <w:sz w:val="17"/>
          <w:szCs w:val="17"/>
          <w:b w:val="1"/>
          <w:bCs w:val="1"/>
          <w:color w:val="auto"/>
        </w:rPr>
        <w:t>All of our nominees currently serve as ExxonMobil directors.</w:t>
      </w:r>
    </w:p>
    <w:p>
      <w:pPr>
        <w:spacing w:after="0" w:line="144" w:lineRule="exact"/>
        <w:rPr>
          <w:sz w:val="20"/>
          <w:szCs w:val="20"/>
          <w:color w:val="auto"/>
        </w:rPr>
      </w:pPr>
    </w:p>
    <w:p>
      <w:pPr>
        <w:ind w:left="860" w:right="180"/>
        <w:spacing w:after="0" w:line="255" w:lineRule="auto"/>
        <w:rPr>
          <w:sz w:val="20"/>
          <w:szCs w:val="20"/>
          <w:color w:val="auto"/>
        </w:rPr>
      </w:pPr>
      <w:r>
        <w:rPr>
          <w:rFonts w:ascii="Arial" w:cs="Arial" w:eastAsia="Arial" w:hAnsi="Arial"/>
          <w:sz w:val="18"/>
          <w:szCs w:val="18"/>
          <w:color w:val="auto"/>
        </w:rPr>
        <w:t>All director nominees have stated they are willing to serve if elected. If a nominee becomes unavailable before the election, your proxy authorizes the people named as proxies to vote for a replacement nominee if the Board names one. Alternatively, the Board may reduce its size to equal the number of remaining nominees.</w:t>
      </w:r>
    </w:p>
    <w:p>
      <w:pPr>
        <w:spacing w:after="0" w:line="162" w:lineRule="exact"/>
        <w:rPr>
          <w:sz w:val="20"/>
          <w:szCs w:val="20"/>
          <w:color w:val="auto"/>
        </w:rPr>
      </w:pPr>
    </w:p>
    <w:p>
      <w:pPr>
        <w:ind w:left="2620"/>
        <w:spacing w:after="0"/>
        <w:rPr>
          <w:sz w:val="20"/>
          <w:szCs w:val="20"/>
          <w:color w:val="auto"/>
        </w:rPr>
      </w:pPr>
      <w:r>
        <w:rPr>
          <w:rFonts w:ascii="Arial" w:cs="Arial" w:eastAsia="Arial" w:hAnsi="Arial"/>
          <w:sz w:val="18"/>
          <w:szCs w:val="18"/>
          <w:b w:val="1"/>
          <w:bCs w:val="1"/>
          <w:color w:val="2B4C9B"/>
        </w:rPr>
        <w:t>The Board recommends you vote FOR each of the following candidates: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536575</wp:posOffset>
            </wp:positionH>
            <wp:positionV relativeFrom="paragraph">
              <wp:posOffset>167640</wp:posOffset>
            </wp:positionV>
            <wp:extent cx="6191885" cy="355028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6191885" cy="3550285"/>
                    </a:xfrm>
                    <a:prstGeom prst="rect">
                      <a:avLst/>
                    </a:prstGeom>
                    <a:noFill/>
                  </pic:spPr>
                </pic:pic>
              </a:graphicData>
            </a:graphic>
          </wp:anchor>
        </w:drawing>
      </w:r>
    </w:p>
    <w:p>
      <w:pPr>
        <w:spacing w:after="0" w:line="248" w:lineRule="exact"/>
        <w:rPr>
          <w:sz w:val="20"/>
          <w:szCs w:val="20"/>
          <w:color w:val="auto"/>
        </w:rPr>
      </w:pPr>
    </w:p>
    <w:p>
      <w:pPr>
        <w:ind w:left="1000"/>
        <w:spacing w:after="0"/>
        <w:rPr>
          <w:sz w:val="20"/>
          <w:szCs w:val="20"/>
          <w:color w:val="auto"/>
        </w:rPr>
      </w:pPr>
      <w:r>
        <w:rPr>
          <w:rFonts w:ascii="Arial" w:cs="Arial" w:eastAsia="Arial" w:hAnsi="Arial"/>
          <w:sz w:val="22"/>
          <w:szCs w:val="22"/>
          <w:b w:val="1"/>
          <w:bCs w:val="1"/>
          <w:color w:val="2B4C9B"/>
        </w:rPr>
        <w:t>Susan K. Avery</w:t>
      </w:r>
    </w:p>
    <w:p>
      <w:pPr>
        <w:sectPr>
          <w:pgSz w:w="11900" w:h="16838" w:orient="portrait"/>
          <w:cols w:equalWidth="0" w:num="1">
            <w:col w:w="10580"/>
          </w:cols>
          <w:pgMar w:left="240" w:top="455" w:right="107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7" w:lineRule="exact"/>
        <w:rPr>
          <w:sz w:val="20"/>
          <w:szCs w:val="20"/>
          <w:color w:val="auto"/>
        </w:rPr>
      </w:pPr>
    </w:p>
    <w:p>
      <w:pPr>
        <w:ind w:left="1100"/>
        <w:spacing w:after="0" w:line="249" w:lineRule="auto"/>
        <w:rPr>
          <w:sz w:val="20"/>
          <w:szCs w:val="20"/>
          <w:color w:val="auto"/>
        </w:rPr>
      </w:pPr>
      <w:r>
        <w:rPr>
          <w:rFonts w:ascii="Arial" w:cs="Arial" w:eastAsia="Arial" w:hAnsi="Arial"/>
          <w:sz w:val="18"/>
          <w:szCs w:val="18"/>
          <w:b w:val="1"/>
          <w:bCs w:val="1"/>
          <w:color w:val="auto"/>
        </w:rPr>
        <w:t xml:space="preserve">Principal occupation: </w:t>
      </w:r>
      <w:r>
        <w:rPr>
          <w:rFonts w:ascii="Arial" w:cs="Arial" w:eastAsia="Arial" w:hAnsi="Arial"/>
          <w:sz w:val="18"/>
          <w:szCs w:val="18"/>
          <w:color w:val="auto"/>
        </w:rPr>
        <w:t>President Emerita of the Woods Hole Oceanographic Institution</w:t>
      </w:r>
    </w:p>
    <w:p>
      <w:pPr>
        <w:spacing w:after="0" w:line="75" w:lineRule="exact"/>
        <w:rPr>
          <w:sz w:val="20"/>
          <w:szCs w:val="20"/>
          <w:color w:val="auto"/>
        </w:rPr>
      </w:pPr>
    </w:p>
    <w:p>
      <w:pPr>
        <w:ind w:left="1100"/>
        <w:spacing w:after="0"/>
        <w:rPr>
          <w:sz w:val="20"/>
          <w:szCs w:val="20"/>
          <w:color w:val="auto"/>
        </w:rPr>
      </w:pPr>
      <w:r>
        <w:rPr>
          <w:rFonts w:ascii="Arial" w:cs="Arial" w:eastAsia="Arial" w:hAnsi="Arial"/>
          <w:sz w:val="18"/>
          <w:szCs w:val="18"/>
          <w:color w:val="auto"/>
        </w:rPr>
        <w:t>Age 68</w:t>
      </w:r>
    </w:p>
    <w:p>
      <w:pPr>
        <w:spacing w:after="0" w:line="13" w:lineRule="exact"/>
        <w:rPr>
          <w:sz w:val="20"/>
          <w:szCs w:val="20"/>
          <w:color w:val="auto"/>
        </w:rPr>
      </w:pPr>
    </w:p>
    <w:p>
      <w:pPr>
        <w:ind w:left="1100"/>
        <w:spacing w:after="0"/>
        <w:rPr>
          <w:sz w:val="20"/>
          <w:szCs w:val="20"/>
          <w:color w:val="auto"/>
        </w:rPr>
      </w:pPr>
      <w:r>
        <w:rPr>
          <w:rFonts w:ascii="Arial" w:cs="Arial" w:eastAsia="Arial" w:hAnsi="Arial"/>
          <w:sz w:val="18"/>
          <w:szCs w:val="18"/>
          <w:color w:val="auto"/>
        </w:rPr>
        <w:t>Director since 2017</w:t>
      </w:r>
    </w:p>
    <w:p>
      <w:pPr>
        <w:ind w:left="1100"/>
        <w:spacing w:after="0"/>
        <w:rPr>
          <w:sz w:val="20"/>
          <w:szCs w:val="20"/>
          <w:color w:val="auto"/>
        </w:rPr>
      </w:pPr>
      <w:r>
        <w:rPr>
          <w:rFonts w:ascii="Arial" w:cs="Arial" w:eastAsia="Arial" w:hAnsi="Arial"/>
          <w:sz w:val="18"/>
          <w:szCs w:val="18"/>
          <w:color w:val="auto"/>
        </w:rPr>
        <w:t>Independent director</w:t>
      </w:r>
    </w:p>
    <w:p>
      <w:pPr>
        <w:spacing w:after="0" w:line="93" w:lineRule="exact"/>
        <w:rPr>
          <w:sz w:val="20"/>
          <w:szCs w:val="20"/>
          <w:color w:val="auto"/>
        </w:rPr>
      </w:pPr>
    </w:p>
    <w:p>
      <w:pPr>
        <w:ind w:left="1100"/>
        <w:spacing w:after="0"/>
        <w:rPr>
          <w:sz w:val="20"/>
          <w:szCs w:val="20"/>
          <w:color w:val="auto"/>
        </w:rPr>
      </w:pPr>
      <w:r>
        <w:rPr>
          <w:rFonts w:ascii="Arial" w:cs="Arial" w:eastAsia="Arial" w:hAnsi="Arial"/>
          <w:sz w:val="18"/>
          <w:szCs w:val="18"/>
          <w:b w:val="1"/>
          <w:bCs w:val="1"/>
          <w:color w:val="auto"/>
        </w:rPr>
        <w:t>Committees:</w:t>
      </w:r>
    </w:p>
    <w:p>
      <w:pPr>
        <w:spacing w:after="0" w:line="20" w:lineRule="exact"/>
        <w:rPr>
          <w:sz w:val="20"/>
          <w:szCs w:val="20"/>
          <w:color w:val="auto"/>
        </w:rPr>
      </w:pPr>
    </w:p>
    <w:p>
      <w:pPr>
        <w:ind w:left="1100" w:right="60"/>
        <w:spacing w:after="0" w:line="251" w:lineRule="auto"/>
        <w:rPr>
          <w:sz w:val="20"/>
          <w:szCs w:val="20"/>
          <w:color w:val="auto"/>
        </w:rPr>
      </w:pPr>
      <w:r>
        <w:rPr>
          <w:rFonts w:ascii="Arial" w:cs="Arial" w:eastAsia="Arial" w:hAnsi="Arial"/>
          <w:sz w:val="18"/>
          <w:szCs w:val="18"/>
          <w:color w:val="auto"/>
        </w:rPr>
        <w:t>Board Affairs, Public Issues and Contributions</w:t>
      </w:r>
    </w:p>
    <w:p>
      <w:pPr>
        <w:spacing w:after="0" w:line="20" w:lineRule="exact"/>
        <w:rPr>
          <w:sz w:val="20"/>
          <w:szCs w:val="20"/>
          <w:color w:val="auto"/>
        </w:rPr>
      </w:pPr>
      <w:r>
        <w:rPr>
          <w:sz w:val="20"/>
          <w:szCs w:val="20"/>
          <w:color w:val="auto"/>
        </w:rPr>
        <w:br w:type="column"/>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Experience, qualifications, and attributes:</w:t>
      </w:r>
    </w:p>
    <w:p>
      <w:pPr>
        <w:spacing w:after="0" w:line="117" w:lineRule="exact"/>
        <w:rPr>
          <w:sz w:val="20"/>
          <w:szCs w:val="20"/>
          <w:color w:val="auto"/>
        </w:rPr>
      </w:pPr>
    </w:p>
    <w:p>
      <w:pPr>
        <w:ind w:left="320" w:hanging="312"/>
        <w:spacing w:after="0" w:line="293" w:lineRule="auto"/>
        <w:tabs>
          <w:tab w:leader="none" w:pos="329" w:val="left"/>
        </w:tabs>
        <w:numPr>
          <w:ilvl w:val="0"/>
          <w:numId w:val="22"/>
        </w:numPr>
        <w:rPr>
          <w:rFonts w:ascii="Times New Roman" w:cs="Times New Roman" w:eastAsia="Times New Roman" w:hAnsi="Times New Roman"/>
          <w:sz w:val="18"/>
          <w:szCs w:val="18"/>
          <w:color w:val="auto"/>
        </w:rPr>
      </w:pPr>
      <w:r>
        <w:rPr>
          <w:rFonts w:ascii="Arial" w:cs="Arial" w:eastAsia="Arial" w:hAnsi="Arial"/>
          <w:sz w:val="18"/>
          <w:szCs w:val="18"/>
          <w:b w:val="1"/>
          <w:bCs w:val="1"/>
          <w:color w:val="auto"/>
        </w:rPr>
        <w:t xml:space="preserve">Global leadership </w:t>
      </w:r>
      <w:r>
        <w:rPr>
          <w:rFonts w:ascii="Arial" w:cs="Arial" w:eastAsia="Arial" w:hAnsi="Arial"/>
          <w:sz w:val="18"/>
          <w:szCs w:val="18"/>
          <w:color w:val="auto"/>
        </w:rPr>
        <w:t>at the Woods Hole Oceanographic Institution, a global research</w:t>
      </w:r>
      <w:r>
        <w:rPr>
          <w:rFonts w:ascii="Arial" w:cs="Arial" w:eastAsia="Arial" w:hAnsi="Arial"/>
          <w:sz w:val="18"/>
          <w:szCs w:val="18"/>
          <w:b w:val="1"/>
          <w:bCs w:val="1"/>
          <w:color w:val="auto"/>
        </w:rPr>
        <w:t xml:space="preserve"> </w:t>
      </w:r>
      <w:r>
        <w:rPr>
          <w:rFonts w:ascii="Arial" w:cs="Arial" w:eastAsia="Arial" w:hAnsi="Arial"/>
          <w:sz w:val="18"/>
          <w:szCs w:val="18"/>
          <w:color w:val="auto"/>
        </w:rPr>
        <w:t>organization, as President and Director from 2008 to 2015</w:t>
      </w:r>
    </w:p>
    <w:p>
      <w:pPr>
        <w:spacing w:after="0" w:line="33" w:lineRule="exact"/>
        <w:rPr>
          <w:rFonts w:ascii="Times New Roman" w:cs="Times New Roman" w:eastAsia="Times New Roman" w:hAnsi="Times New Roman"/>
          <w:sz w:val="18"/>
          <w:szCs w:val="18"/>
          <w:color w:val="auto"/>
        </w:rPr>
      </w:pPr>
    </w:p>
    <w:p>
      <w:pPr>
        <w:ind w:left="320" w:right="40" w:hanging="312"/>
        <w:spacing w:after="0" w:line="264" w:lineRule="auto"/>
        <w:tabs>
          <w:tab w:leader="none" w:pos="329" w:val="left"/>
        </w:tabs>
        <w:numPr>
          <w:ilvl w:val="0"/>
          <w:numId w:val="22"/>
        </w:numPr>
        <w:rPr>
          <w:rFonts w:ascii="Times New Roman" w:cs="Times New Roman" w:eastAsia="Times New Roman" w:hAnsi="Times New Roman"/>
          <w:sz w:val="18"/>
          <w:szCs w:val="18"/>
          <w:color w:val="auto"/>
        </w:rPr>
      </w:pPr>
      <w:r>
        <w:rPr>
          <w:rFonts w:ascii="Arial" w:cs="Arial" w:eastAsia="Arial" w:hAnsi="Arial"/>
          <w:sz w:val="18"/>
          <w:szCs w:val="18"/>
          <w:b w:val="1"/>
          <w:bCs w:val="1"/>
          <w:color w:val="auto"/>
        </w:rPr>
        <w:t xml:space="preserve">Academic leadership </w:t>
      </w:r>
      <w:r>
        <w:rPr>
          <w:rFonts w:ascii="Arial" w:cs="Arial" w:eastAsia="Arial" w:hAnsi="Arial"/>
          <w:sz w:val="18"/>
          <w:szCs w:val="18"/>
          <w:color w:val="auto"/>
        </w:rPr>
        <w:t>at the University of Colorado Boulder as interim dean of the</w:t>
      </w:r>
      <w:r>
        <w:rPr>
          <w:rFonts w:ascii="Arial" w:cs="Arial" w:eastAsia="Arial" w:hAnsi="Arial"/>
          <w:sz w:val="18"/>
          <w:szCs w:val="18"/>
          <w:b w:val="1"/>
          <w:bCs w:val="1"/>
          <w:color w:val="auto"/>
        </w:rPr>
        <w:t xml:space="preserve"> </w:t>
      </w:r>
      <w:r>
        <w:rPr>
          <w:rFonts w:ascii="Arial" w:cs="Arial" w:eastAsia="Arial" w:hAnsi="Arial"/>
          <w:sz w:val="18"/>
          <w:szCs w:val="18"/>
          <w:color w:val="auto"/>
        </w:rPr>
        <w:t>graduate school and vice chancellor for research, interim provost, and executive vice chancellor for academic affairs from 2004 to 2008</w:t>
      </w:r>
    </w:p>
    <w:p>
      <w:pPr>
        <w:spacing w:after="0" w:line="58" w:lineRule="exact"/>
        <w:rPr>
          <w:rFonts w:ascii="Times New Roman" w:cs="Times New Roman" w:eastAsia="Times New Roman" w:hAnsi="Times New Roman"/>
          <w:sz w:val="18"/>
          <w:szCs w:val="18"/>
          <w:color w:val="auto"/>
        </w:rPr>
      </w:pPr>
    </w:p>
    <w:p>
      <w:pPr>
        <w:ind w:left="320" w:right="40" w:hanging="312"/>
        <w:spacing w:after="0" w:line="286" w:lineRule="auto"/>
        <w:tabs>
          <w:tab w:leader="none" w:pos="329" w:val="left"/>
        </w:tabs>
        <w:numPr>
          <w:ilvl w:val="0"/>
          <w:numId w:val="22"/>
        </w:numPr>
        <w:rPr>
          <w:rFonts w:ascii="Times New Roman" w:cs="Times New Roman" w:eastAsia="Times New Roman" w:hAnsi="Times New Roman"/>
          <w:sz w:val="17"/>
          <w:szCs w:val="17"/>
          <w:color w:val="auto"/>
        </w:rPr>
      </w:pPr>
      <w:r>
        <w:rPr>
          <w:rFonts w:ascii="Arial" w:cs="Arial" w:eastAsia="Arial" w:hAnsi="Arial"/>
          <w:sz w:val="17"/>
          <w:szCs w:val="17"/>
          <w:b w:val="1"/>
          <w:bCs w:val="1"/>
          <w:color w:val="auto"/>
        </w:rPr>
        <w:t xml:space="preserve">Government/scientific research </w:t>
      </w:r>
      <w:r>
        <w:rPr>
          <w:rFonts w:ascii="Arial" w:cs="Arial" w:eastAsia="Arial" w:hAnsi="Arial"/>
          <w:sz w:val="17"/>
          <w:szCs w:val="17"/>
          <w:color w:val="auto"/>
        </w:rPr>
        <w:t>experience as member of the Scientific Advisory</w:t>
      </w:r>
      <w:r>
        <w:rPr>
          <w:rFonts w:ascii="Arial" w:cs="Arial" w:eastAsia="Arial" w:hAnsi="Arial"/>
          <w:sz w:val="17"/>
          <w:szCs w:val="17"/>
          <w:b w:val="1"/>
          <w:bCs w:val="1"/>
          <w:color w:val="auto"/>
        </w:rPr>
        <w:t xml:space="preserve"> </w:t>
      </w:r>
      <w:r>
        <w:rPr>
          <w:rFonts w:ascii="Arial" w:cs="Arial" w:eastAsia="Arial" w:hAnsi="Arial"/>
          <w:sz w:val="17"/>
          <w:szCs w:val="17"/>
          <w:color w:val="auto"/>
        </w:rPr>
        <w:t>Board of the United Nations Secretary-General and member of the National Research Council Global Change Research Program Advisory Committee</w:t>
      </w:r>
    </w:p>
    <w:p>
      <w:pPr>
        <w:spacing w:after="0" w:line="43" w:lineRule="exact"/>
        <w:rPr>
          <w:rFonts w:ascii="Times New Roman" w:cs="Times New Roman" w:eastAsia="Times New Roman" w:hAnsi="Times New Roman"/>
          <w:sz w:val="17"/>
          <w:szCs w:val="17"/>
          <w:color w:val="auto"/>
        </w:rPr>
      </w:pPr>
    </w:p>
    <w:p>
      <w:pPr>
        <w:ind w:left="320" w:right="340" w:hanging="312"/>
        <w:spacing w:after="0" w:line="249" w:lineRule="auto"/>
        <w:tabs>
          <w:tab w:leader="none" w:pos="329" w:val="left"/>
        </w:tabs>
        <w:numPr>
          <w:ilvl w:val="0"/>
          <w:numId w:val="22"/>
        </w:numPr>
        <w:rPr>
          <w:rFonts w:ascii="Times New Roman" w:cs="Times New Roman" w:eastAsia="Times New Roman" w:hAnsi="Times New Roman"/>
          <w:sz w:val="18"/>
          <w:szCs w:val="18"/>
          <w:color w:val="auto"/>
        </w:rPr>
      </w:pPr>
      <w:r>
        <w:rPr>
          <w:rFonts w:ascii="Arial" w:cs="Arial" w:eastAsia="Arial" w:hAnsi="Arial"/>
          <w:sz w:val="18"/>
          <w:szCs w:val="18"/>
          <w:b w:val="1"/>
          <w:bCs w:val="1"/>
          <w:color w:val="auto"/>
        </w:rPr>
        <w:t xml:space="preserve">Scientific and research </w:t>
      </w:r>
      <w:r>
        <w:rPr>
          <w:rFonts w:ascii="Arial" w:cs="Arial" w:eastAsia="Arial" w:hAnsi="Arial"/>
          <w:sz w:val="18"/>
          <w:szCs w:val="18"/>
          <w:color w:val="auto"/>
        </w:rPr>
        <w:t>advisory committee memberships at NASA, NOAA,</w:t>
      </w:r>
      <w:r>
        <w:rPr>
          <w:rFonts w:ascii="Arial" w:cs="Arial" w:eastAsia="Arial" w:hAnsi="Arial"/>
          <w:sz w:val="18"/>
          <w:szCs w:val="18"/>
          <w:b w:val="1"/>
          <w:bCs w:val="1"/>
          <w:color w:val="auto"/>
        </w:rPr>
        <w:t xml:space="preserve"> </w:t>
      </w:r>
      <w:r>
        <w:rPr>
          <w:rFonts w:ascii="Arial" w:cs="Arial" w:eastAsia="Arial" w:hAnsi="Arial"/>
          <w:sz w:val="18"/>
          <w:szCs w:val="18"/>
          <w:color w:val="auto"/>
        </w:rPr>
        <w:t>National Science Foundation, National Park System, Climate Change Science Program, Center for Southern Hemisphere Ocean Research, Qingdao National Laboratory for Marine Science and Technology, and Japan Agency for Marine-Earth Science and Technology</w:t>
      </w:r>
    </w:p>
    <w:p>
      <w:pPr>
        <w:spacing w:after="0" w:line="73" w:lineRule="exact"/>
        <w:rPr>
          <w:rFonts w:ascii="Times New Roman" w:cs="Times New Roman" w:eastAsia="Times New Roman" w:hAnsi="Times New Roman"/>
          <w:sz w:val="18"/>
          <w:szCs w:val="18"/>
          <w:color w:val="auto"/>
        </w:rPr>
      </w:pPr>
    </w:p>
    <w:p>
      <w:pPr>
        <w:ind w:left="320" w:right="360" w:hanging="312"/>
        <w:spacing w:after="0" w:line="254" w:lineRule="auto"/>
        <w:tabs>
          <w:tab w:leader="none" w:pos="329" w:val="left"/>
        </w:tabs>
        <w:numPr>
          <w:ilvl w:val="0"/>
          <w:numId w:val="22"/>
        </w:numPr>
        <w:rPr>
          <w:rFonts w:ascii="Times New Roman" w:cs="Times New Roman" w:eastAsia="Times New Roman" w:hAnsi="Times New Roman"/>
          <w:sz w:val="18"/>
          <w:szCs w:val="18"/>
          <w:color w:val="auto"/>
        </w:rPr>
      </w:pPr>
      <w:r>
        <w:rPr>
          <w:rFonts w:ascii="Arial" w:cs="Arial" w:eastAsia="Arial" w:hAnsi="Arial"/>
          <w:sz w:val="18"/>
          <w:szCs w:val="18"/>
          <w:b w:val="1"/>
          <w:bCs w:val="1"/>
          <w:color w:val="auto"/>
        </w:rPr>
        <w:t xml:space="preserve">Scientific and environmental affiliations: </w:t>
      </w:r>
      <w:r>
        <w:rPr>
          <w:rFonts w:ascii="Arial" w:cs="Arial" w:eastAsia="Arial" w:hAnsi="Arial"/>
          <w:sz w:val="18"/>
          <w:szCs w:val="18"/>
          <w:color w:val="auto"/>
        </w:rPr>
        <w:t>Consortium for Ocean Leadership</w:t>
      </w:r>
      <w:r>
        <w:rPr>
          <w:rFonts w:ascii="Arial" w:cs="Arial" w:eastAsia="Arial" w:hAnsi="Arial"/>
          <w:sz w:val="18"/>
          <w:szCs w:val="18"/>
          <w:b w:val="1"/>
          <w:bCs w:val="1"/>
          <w:color w:val="auto"/>
        </w:rPr>
        <w:t xml:space="preserve"> </w:t>
      </w:r>
      <w:r>
        <w:rPr>
          <w:rFonts w:ascii="Arial" w:cs="Arial" w:eastAsia="Arial" w:hAnsi="Arial"/>
          <w:sz w:val="18"/>
          <w:szCs w:val="18"/>
          <w:color w:val="auto"/>
        </w:rPr>
        <w:t>(senior fellow), American Geophysical Union, American Meteorological Society (fellow), American Association for the Advancement of Science (fellow), and Institute of Electrical and Electronics Engineers</w:t>
      </w:r>
    </w:p>
    <w:p>
      <w:pPr>
        <w:spacing w:after="0" w:line="6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Current public company directorships: </w:t>
      </w:r>
      <w:r>
        <w:rPr>
          <w:rFonts w:ascii="Arial" w:cs="Arial" w:eastAsia="Arial" w:hAnsi="Arial"/>
          <w:sz w:val="18"/>
          <w:szCs w:val="18"/>
          <w:color w:val="auto"/>
        </w:rPr>
        <w:t>None</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Previous public company directorships in last five years: </w:t>
      </w:r>
      <w:r>
        <w:rPr>
          <w:rFonts w:ascii="Arial" w:cs="Arial" w:eastAsia="Arial" w:hAnsi="Arial"/>
          <w:sz w:val="18"/>
          <w:szCs w:val="18"/>
          <w:color w:val="auto"/>
        </w:rPr>
        <w:t>None</w:t>
      </w:r>
    </w:p>
    <w:p>
      <w:pPr>
        <w:spacing w:after="0" w:line="241" w:lineRule="exact"/>
        <w:rPr>
          <w:sz w:val="20"/>
          <w:szCs w:val="20"/>
          <w:color w:val="auto"/>
        </w:rPr>
      </w:pPr>
    </w:p>
    <w:tbl>
      <w:tblPr>
        <w:tblLayout w:type="fixed"/>
        <w:tblInd w:w="3320" w:type="dxa"/>
        <w:tblCellMar>
          <w:top w:w="0" w:type="dxa"/>
          <w:left w:w="0" w:type="dxa"/>
          <w:bottom w:w="0" w:type="dxa"/>
          <w:right w:w="0" w:type="dxa"/>
        </w:tblCellMar>
      </w:tblPr>
      <w:tr>
        <w:trPr>
          <w:trHeight w:val="243"/>
        </w:trPr>
        <w:tc>
          <w:tcPr>
            <w:tcW w:w="2440" w:type="dxa"/>
            <w:vAlign w:val="bottom"/>
          </w:tcPr>
          <w:p>
            <w:pPr>
              <w:spacing w:after="0"/>
              <w:rPr>
                <w:sz w:val="20"/>
                <w:szCs w:val="20"/>
                <w:color w:val="auto"/>
              </w:rPr>
            </w:pPr>
            <w:r>
              <w:rPr>
                <w:rFonts w:ascii="Times New Roman" w:cs="Times New Roman" w:eastAsia="Times New Roman" w:hAnsi="Times New Roman"/>
                <w:sz w:val="18"/>
                <w:szCs w:val="18"/>
                <w:i w:val="1"/>
                <w:iCs w:val="1"/>
                <w:color w:val="auto"/>
              </w:rPr>
              <w:t>2018 Proxy Statement</w:t>
            </w:r>
          </w:p>
        </w:tc>
        <w:tc>
          <w:tcPr>
            <w:tcW w:w="1060" w:type="dxa"/>
            <w:vAlign w:val="bottom"/>
          </w:tcPr>
          <w:p>
            <w:pPr>
              <w:jc w:val="right"/>
              <w:spacing w:after="0"/>
              <w:rPr>
                <w:sz w:val="20"/>
                <w:szCs w:val="20"/>
                <w:color w:val="auto"/>
              </w:rPr>
            </w:pPr>
            <w:r>
              <w:rPr>
                <w:rFonts w:ascii="Arial" w:cs="Arial" w:eastAsia="Arial" w:hAnsi="Arial"/>
                <w:sz w:val="18"/>
                <w:szCs w:val="18"/>
                <w:color w:val="auto"/>
              </w:rPr>
              <w:t>15</w:t>
            </w:r>
          </w:p>
        </w:tc>
      </w:tr>
    </w:tbl>
    <w:p>
      <w:pPr>
        <w:sectPr>
          <w:pgSz w:w="11900" w:h="16838" w:orient="portrait"/>
          <w:cols w:equalWidth="0" w:num="2">
            <w:col w:w="3360" w:space="280"/>
            <w:col w:w="6940"/>
          </w:cols>
          <w:pgMar w:left="240" w:top="455" w:right="1079" w:bottom="1440" w:gutter="0" w:footer="0" w:header="0"/>
          <w:type w:val="continuous"/>
        </w:sectPr>
      </w:pPr>
    </w:p>
    <w:bookmarkStart w:id="18" w:name="page19"/>
    <w:bookmarkEnd w:id="18"/>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Times New Roman" w:cs="Times New Roman" w:eastAsia="Times New Roman" w:hAnsi="Times New Roman"/>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536575</wp:posOffset>
            </wp:positionH>
            <wp:positionV relativeFrom="paragraph">
              <wp:posOffset>208280</wp:posOffset>
            </wp:positionV>
            <wp:extent cx="6191885" cy="355917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6191885" cy="3559175"/>
                    </a:xfrm>
                    <a:prstGeom prst="rect">
                      <a:avLst/>
                    </a:prstGeom>
                    <a:noFill/>
                  </pic:spPr>
                </pic:pic>
              </a:graphicData>
            </a:graphic>
          </wp:anchor>
        </w:drawing>
      </w:r>
    </w:p>
    <w:p>
      <w:pPr>
        <w:spacing w:after="0" w:line="312" w:lineRule="exact"/>
        <w:rPr>
          <w:sz w:val="20"/>
          <w:szCs w:val="20"/>
          <w:color w:val="auto"/>
        </w:rPr>
      </w:pPr>
    </w:p>
    <w:p>
      <w:pPr>
        <w:jc w:val="right"/>
        <w:ind w:right="7940"/>
        <w:spacing w:after="0"/>
        <w:rPr>
          <w:sz w:val="20"/>
          <w:szCs w:val="20"/>
          <w:color w:val="auto"/>
        </w:rPr>
      </w:pPr>
      <w:r>
        <w:rPr>
          <w:rFonts w:ascii="Arial" w:cs="Arial" w:eastAsia="Arial" w:hAnsi="Arial"/>
          <w:sz w:val="22"/>
          <w:szCs w:val="22"/>
          <w:b w:val="1"/>
          <w:bCs w:val="1"/>
          <w:color w:val="2B4C9B"/>
        </w:rPr>
        <w:t>Angela F. Braly</w:t>
      </w:r>
    </w:p>
    <w:p>
      <w:pPr>
        <w:sectPr>
          <w:pgSz w:w="11900" w:h="16838" w:orient="portrait"/>
          <w:cols w:equalWidth="0" w:num="1">
            <w:col w:w="10500"/>
          </w:cols>
          <w:pgMar w:left="240" w:top="455" w:right="115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7" w:lineRule="exact"/>
        <w:rPr>
          <w:sz w:val="20"/>
          <w:szCs w:val="20"/>
          <w:color w:val="auto"/>
        </w:rPr>
      </w:pPr>
    </w:p>
    <w:p>
      <w:pPr>
        <w:ind w:left="1100" w:right="120"/>
        <w:spacing w:after="0" w:line="243" w:lineRule="auto"/>
        <w:rPr>
          <w:sz w:val="20"/>
          <w:szCs w:val="20"/>
          <w:color w:val="auto"/>
        </w:rPr>
      </w:pPr>
      <w:r>
        <w:rPr>
          <w:rFonts w:ascii="Arial" w:cs="Arial" w:eastAsia="Arial" w:hAnsi="Arial"/>
          <w:sz w:val="18"/>
          <w:szCs w:val="18"/>
          <w:b w:val="1"/>
          <w:bCs w:val="1"/>
          <w:color w:val="auto"/>
        </w:rPr>
        <w:t xml:space="preserve">Principal occupation: </w:t>
      </w:r>
      <w:r>
        <w:rPr>
          <w:rFonts w:ascii="Arial" w:cs="Arial" w:eastAsia="Arial" w:hAnsi="Arial"/>
          <w:sz w:val="18"/>
          <w:szCs w:val="18"/>
          <w:color w:val="auto"/>
        </w:rPr>
        <w:t>Former Chairman of the Board, President, and Chief Executive Officer of WellPoint (now Anthem), a health insurance company</w:t>
      </w:r>
    </w:p>
    <w:p>
      <w:pPr>
        <w:spacing w:after="0" w:line="82" w:lineRule="exact"/>
        <w:rPr>
          <w:sz w:val="20"/>
          <w:szCs w:val="20"/>
          <w:color w:val="auto"/>
        </w:rPr>
      </w:pPr>
    </w:p>
    <w:p>
      <w:pPr>
        <w:ind w:left="1100"/>
        <w:spacing w:after="0"/>
        <w:rPr>
          <w:sz w:val="20"/>
          <w:szCs w:val="20"/>
          <w:color w:val="auto"/>
        </w:rPr>
      </w:pPr>
      <w:r>
        <w:rPr>
          <w:rFonts w:ascii="Arial" w:cs="Arial" w:eastAsia="Arial" w:hAnsi="Arial"/>
          <w:sz w:val="18"/>
          <w:szCs w:val="18"/>
          <w:color w:val="auto"/>
        </w:rPr>
        <w:t>Age 56</w:t>
      </w:r>
    </w:p>
    <w:p>
      <w:pPr>
        <w:spacing w:after="0" w:line="13" w:lineRule="exact"/>
        <w:rPr>
          <w:sz w:val="20"/>
          <w:szCs w:val="20"/>
          <w:color w:val="auto"/>
        </w:rPr>
      </w:pPr>
    </w:p>
    <w:p>
      <w:pPr>
        <w:ind w:left="1100"/>
        <w:spacing w:after="0"/>
        <w:rPr>
          <w:sz w:val="20"/>
          <w:szCs w:val="20"/>
          <w:color w:val="auto"/>
        </w:rPr>
      </w:pPr>
      <w:r>
        <w:rPr>
          <w:rFonts w:ascii="Arial" w:cs="Arial" w:eastAsia="Arial" w:hAnsi="Arial"/>
          <w:sz w:val="18"/>
          <w:szCs w:val="18"/>
          <w:color w:val="auto"/>
        </w:rPr>
        <w:t>Director since 2016</w:t>
      </w:r>
    </w:p>
    <w:p>
      <w:pPr>
        <w:ind w:left="1100"/>
        <w:spacing w:after="0"/>
        <w:rPr>
          <w:sz w:val="20"/>
          <w:szCs w:val="20"/>
          <w:color w:val="auto"/>
        </w:rPr>
      </w:pPr>
      <w:r>
        <w:rPr>
          <w:rFonts w:ascii="Arial" w:cs="Arial" w:eastAsia="Arial" w:hAnsi="Arial"/>
          <w:sz w:val="18"/>
          <w:szCs w:val="18"/>
          <w:color w:val="auto"/>
        </w:rPr>
        <w:t>Independent director</w:t>
      </w:r>
    </w:p>
    <w:p>
      <w:pPr>
        <w:spacing w:after="0" w:line="93" w:lineRule="exact"/>
        <w:rPr>
          <w:sz w:val="20"/>
          <w:szCs w:val="20"/>
          <w:color w:val="auto"/>
        </w:rPr>
      </w:pPr>
    </w:p>
    <w:p>
      <w:pPr>
        <w:ind w:left="1100"/>
        <w:spacing w:after="0"/>
        <w:rPr>
          <w:sz w:val="20"/>
          <w:szCs w:val="20"/>
          <w:color w:val="auto"/>
        </w:rPr>
      </w:pPr>
      <w:r>
        <w:rPr>
          <w:rFonts w:ascii="Arial" w:cs="Arial" w:eastAsia="Arial" w:hAnsi="Arial"/>
          <w:sz w:val="18"/>
          <w:szCs w:val="18"/>
          <w:b w:val="1"/>
          <w:bCs w:val="1"/>
          <w:color w:val="auto"/>
        </w:rPr>
        <w:t>Committees:</w:t>
      </w:r>
    </w:p>
    <w:p>
      <w:pPr>
        <w:spacing w:after="0" w:line="15" w:lineRule="exact"/>
        <w:rPr>
          <w:sz w:val="20"/>
          <w:szCs w:val="20"/>
          <w:color w:val="auto"/>
        </w:rPr>
      </w:pPr>
    </w:p>
    <w:p>
      <w:pPr>
        <w:ind w:left="1100"/>
        <w:spacing w:after="0"/>
        <w:rPr>
          <w:sz w:val="20"/>
          <w:szCs w:val="20"/>
          <w:color w:val="auto"/>
        </w:rPr>
      </w:pPr>
      <w:r>
        <w:rPr>
          <w:rFonts w:ascii="Arial" w:cs="Arial" w:eastAsia="Arial" w:hAnsi="Arial"/>
          <w:sz w:val="18"/>
          <w:szCs w:val="18"/>
          <w:color w:val="auto"/>
        </w:rPr>
        <w:t>Compensation, Public Issues</w:t>
      </w:r>
    </w:p>
    <w:p>
      <w:pPr>
        <w:ind w:left="1100"/>
        <w:spacing w:after="0"/>
        <w:rPr>
          <w:sz w:val="20"/>
          <w:szCs w:val="20"/>
          <w:color w:val="auto"/>
        </w:rPr>
      </w:pPr>
      <w:r>
        <w:rPr>
          <w:rFonts w:ascii="Arial" w:cs="Arial" w:eastAsia="Arial" w:hAnsi="Arial"/>
          <w:sz w:val="18"/>
          <w:szCs w:val="18"/>
          <w:color w:val="auto"/>
        </w:rPr>
        <w:t>and Contributions</w:t>
      </w:r>
    </w:p>
    <w:p>
      <w:pPr>
        <w:spacing w:after="0" w:line="20" w:lineRule="exact"/>
        <w:rPr>
          <w:sz w:val="20"/>
          <w:szCs w:val="20"/>
          <w:color w:val="auto"/>
        </w:rPr>
      </w:pPr>
      <w:r>
        <w:rPr>
          <w:sz w:val="20"/>
          <w:szCs w:val="20"/>
          <w:color w:val="auto"/>
        </w:rPr>
        <w:br w:type="column"/>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Experience, qualifications, and attributes:</w:t>
      </w:r>
    </w:p>
    <w:p>
      <w:pPr>
        <w:spacing w:after="0" w:line="117" w:lineRule="exact"/>
        <w:rPr>
          <w:sz w:val="20"/>
          <w:szCs w:val="20"/>
          <w:color w:val="auto"/>
        </w:rPr>
      </w:pPr>
    </w:p>
    <w:p>
      <w:pPr>
        <w:ind w:left="300" w:right="40" w:hanging="298"/>
        <w:spacing w:after="0" w:line="249" w:lineRule="auto"/>
        <w:tabs>
          <w:tab w:leader="none" w:pos="309" w:val="left"/>
        </w:tabs>
        <w:numPr>
          <w:ilvl w:val="0"/>
          <w:numId w:val="23"/>
        </w:numPr>
        <w:rPr>
          <w:rFonts w:ascii="Times New Roman" w:cs="Times New Roman" w:eastAsia="Times New Roman" w:hAnsi="Times New Roman"/>
          <w:sz w:val="18"/>
          <w:szCs w:val="18"/>
          <w:color w:val="auto"/>
        </w:rPr>
      </w:pPr>
      <w:r>
        <w:rPr>
          <w:rFonts w:ascii="Arial" w:cs="Arial" w:eastAsia="Arial" w:hAnsi="Arial"/>
          <w:sz w:val="18"/>
          <w:szCs w:val="18"/>
          <w:b w:val="1"/>
          <w:bCs w:val="1"/>
          <w:color w:val="auto"/>
        </w:rPr>
        <w:t xml:space="preserve">Business leadership </w:t>
      </w:r>
      <w:r>
        <w:rPr>
          <w:rFonts w:ascii="Arial" w:cs="Arial" w:eastAsia="Arial" w:hAnsi="Arial"/>
          <w:sz w:val="18"/>
          <w:szCs w:val="18"/>
          <w:color w:val="auto"/>
        </w:rPr>
        <w:t>at WellPoint as Chairman from 2010 to 2012; as President</w:t>
      </w:r>
      <w:r>
        <w:rPr>
          <w:rFonts w:ascii="Arial" w:cs="Arial" w:eastAsia="Arial" w:hAnsi="Arial"/>
          <w:sz w:val="18"/>
          <w:szCs w:val="18"/>
          <w:b w:val="1"/>
          <w:bCs w:val="1"/>
          <w:color w:val="auto"/>
        </w:rPr>
        <w:t xml:space="preserve"> </w:t>
      </w:r>
      <w:r>
        <w:rPr>
          <w:rFonts w:ascii="Arial" w:cs="Arial" w:eastAsia="Arial" w:hAnsi="Arial"/>
          <w:sz w:val="18"/>
          <w:szCs w:val="18"/>
          <w:color w:val="auto"/>
        </w:rPr>
        <w:t>and Chief Executive Officer from 2007 to 2012; and as Executive Vice President, General Counsel, and Chief Public Affairs Officer from 2005 to 2007. She also served as President and Chief Executive Officer of Blue Cross Blue Shield of Missouri from 2003 to 2005.</w:t>
      </w:r>
    </w:p>
    <w:p>
      <w:pPr>
        <w:spacing w:after="0" w:line="73" w:lineRule="exact"/>
        <w:rPr>
          <w:rFonts w:ascii="Times New Roman" w:cs="Times New Roman" w:eastAsia="Times New Roman" w:hAnsi="Times New Roman"/>
          <w:sz w:val="18"/>
          <w:szCs w:val="18"/>
          <w:color w:val="auto"/>
        </w:rPr>
      </w:pPr>
    </w:p>
    <w:p>
      <w:pPr>
        <w:ind w:left="300" w:right="120" w:hanging="298"/>
        <w:spacing w:after="0" w:line="249" w:lineRule="auto"/>
        <w:tabs>
          <w:tab w:leader="none" w:pos="309" w:val="left"/>
        </w:tabs>
        <w:numPr>
          <w:ilvl w:val="0"/>
          <w:numId w:val="23"/>
        </w:numPr>
        <w:rPr>
          <w:rFonts w:ascii="Times New Roman" w:cs="Times New Roman" w:eastAsia="Times New Roman" w:hAnsi="Times New Roman"/>
          <w:sz w:val="18"/>
          <w:szCs w:val="18"/>
          <w:color w:val="auto"/>
        </w:rPr>
      </w:pPr>
      <w:r>
        <w:rPr>
          <w:rFonts w:ascii="Arial" w:cs="Arial" w:eastAsia="Arial" w:hAnsi="Arial"/>
          <w:sz w:val="18"/>
          <w:szCs w:val="18"/>
          <w:b w:val="1"/>
          <w:bCs w:val="1"/>
          <w:color w:val="auto"/>
        </w:rPr>
        <w:t xml:space="preserve">Business and public policy affiliations: </w:t>
      </w:r>
      <w:r>
        <w:rPr>
          <w:rFonts w:ascii="Arial" w:cs="Arial" w:eastAsia="Arial" w:hAnsi="Arial"/>
          <w:sz w:val="18"/>
          <w:szCs w:val="18"/>
          <w:color w:val="auto"/>
        </w:rPr>
        <w:t>Policy Circle (Co-Founder and</w:t>
      </w:r>
      <w:r>
        <w:rPr>
          <w:rFonts w:ascii="Arial" w:cs="Arial" w:eastAsia="Arial" w:hAnsi="Arial"/>
          <w:sz w:val="18"/>
          <w:szCs w:val="18"/>
          <w:b w:val="1"/>
          <w:bCs w:val="1"/>
          <w:color w:val="auto"/>
        </w:rPr>
        <w:t xml:space="preserve"> </w:t>
      </w:r>
      <w:r>
        <w:rPr>
          <w:rFonts w:ascii="Arial" w:cs="Arial" w:eastAsia="Arial" w:hAnsi="Arial"/>
          <w:sz w:val="18"/>
          <w:szCs w:val="18"/>
          <w:color w:val="auto"/>
        </w:rPr>
        <w:t>Director), Indiana Economic Development Corporation (Director), Business Council (former member), Business Roundtable (former member), Harvard Advisory Council on Health Care Policy, and Blue Cross Blue Shield Association (former Director)</w:t>
      </w:r>
    </w:p>
    <w:p>
      <w:pPr>
        <w:spacing w:after="0" w:line="73" w:lineRule="exact"/>
        <w:rPr>
          <w:sz w:val="20"/>
          <w:szCs w:val="20"/>
          <w:color w:val="auto"/>
        </w:rPr>
      </w:pPr>
    </w:p>
    <w:p>
      <w:pPr>
        <w:ind w:right="20"/>
        <w:spacing w:after="0" w:line="256" w:lineRule="auto"/>
        <w:rPr>
          <w:sz w:val="20"/>
          <w:szCs w:val="20"/>
          <w:color w:val="auto"/>
        </w:rPr>
      </w:pPr>
      <w:r>
        <w:rPr>
          <w:rFonts w:ascii="Arial" w:cs="Arial" w:eastAsia="Arial" w:hAnsi="Arial"/>
          <w:sz w:val="18"/>
          <w:szCs w:val="18"/>
          <w:b w:val="1"/>
          <w:bCs w:val="1"/>
          <w:color w:val="auto"/>
        </w:rPr>
        <w:t xml:space="preserve">Current public company directorships: </w:t>
      </w:r>
      <w:r>
        <w:rPr>
          <w:rFonts w:ascii="Arial" w:cs="Arial" w:eastAsia="Arial" w:hAnsi="Arial"/>
          <w:sz w:val="18"/>
          <w:szCs w:val="18"/>
          <w:color w:val="auto"/>
        </w:rPr>
        <w:t>Brookfield Asset Management (May 2015–</w:t>
      </w:r>
      <w:r>
        <w:rPr>
          <w:rFonts w:ascii="Arial" w:cs="Arial" w:eastAsia="Arial" w:hAnsi="Arial"/>
          <w:sz w:val="18"/>
          <w:szCs w:val="18"/>
          <w:b w:val="1"/>
          <w:bCs w:val="1"/>
          <w:color w:val="auto"/>
        </w:rPr>
        <w:t xml:space="preserve"> </w:t>
      </w:r>
      <w:r>
        <w:rPr>
          <w:rFonts w:ascii="Arial" w:cs="Arial" w:eastAsia="Arial" w:hAnsi="Arial"/>
          <w:sz w:val="18"/>
          <w:szCs w:val="18"/>
          <w:color w:val="auto"/>
        </w:rPr>
        <w:t>Present); Lowe’s (November 2013–Present); Procter &amp; Gamble (December 2009– Present)</w:t>
      </w:r>
    </w:p>
    <w:p>
      <w:pPr>
        <w:spacing w:after="0" w:line="6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Previous public company directorships in last five years: </w:t>
      </w:r>
      <w:r>
        <w:rPr>
          <w:rFonts w:ascii="Arial" w:cs="Arial" w:eastAsia="Arial" w:hAnsi="Arial"/>
          <w:sz w:val="18"/>
          <w:szCs w:val="18"/>
          <w:color w:val="auto"/>
        </w:rPr>
        <w:t>None</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Other board experience: </w:t>
      </w:r>
      <w:r>
        <w:rPr>
          <w:rFonts w:ascii="Arial" w:cs="Arial" w:eastAsia="Arial" w:hAnsi="Arial"/>
          <w:sz w:val="18"/>
          <w:szCs w:val="18"/>
          <w:color w:val="auto"/>
        </w:rPr>
        <w:t>former Director of WellPoint (prior to 2013)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-1812290</wp:posOffset>
            </wp:positionH>
            <wp:positionV relativeFrom="paragraph">
              <wp:posOffset>930910</wp:posOffset>
            </wp:positionV>
            <wp:extent cx="6191885" cy="307022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6191885" cy="3070225"/>
                    </a:xfrm>
                    <a:prstGeom prst="rect">
                      <a:avLst/>
                    </a:prstGeom>
                    <a:noFill/>
                  </pic:spPr>
                </pic:pic>
              </a:graphicData>
            </a:graphic>
          </wp:anchor>
        </w:drawing>
      </w:r>
    </w:p>
    <w:p>
      <w:pPr>
        <w:spacing w:after="0" w:line="1263" w:lineRule="exact"/>
        <w:rPr>
          <w:sz w:val="20"/>
          <w:szCs w:val="20"/>
          <w:color w:val="auto"/>
        </w:rPr>
      </w:pPr>
    </w:p>
    <w:p>
      <w:pPr>
        <w:sectPr>
          <w:pgSz w:w="11900" w:h="16838" w:orient="portrait"/>
          <w:cols w:equalWidth="0" w:num="2">
            <w:col w:w="3440" w:space="260"/>
            <w:col w:w="6800"/>
          </w:cols>
          <w:pgMar w:left="240" w:top="455" w:right="1159" w:bottom="1440" w:gutter="0" w:footer="0" w:header="0"/>
          <w:type w:val="continuous"/>
        </w:sectPr>
      </w:pPr>
    </w:p>
    <w:p>
      <w:pPr>
        <w:spacing w:after="0" w:line="206" w:lineRule="exact"/>
        <w:rPr>
          <w:sz w:val="20"/>
          <w:szCs w:val="20"/>
          <w:color w:val="auto"/>
        </w:rPr>
      </w:pPr>
    </w:p>
    <w:p>
      <w:pPr>
        <w:ind w:left="1000"/>
        <w:spacing w:after="0"/>
        <w:rPr>
          <w:sz w:val="20"/>
          <w:szCs w:val="20"/>
          <w:color w:val="auto"/>
        </w:rPr>
      </w:pPr>
      <w:r>
        <w:rPr>
          <w:rFonts w:ascii="Arial" w:cs="Arial" w:eastAsia="Arial" w:hAnsi="Arial"/>
          <w:sz w:val="21"/>
          <w:szCs w:val="21"/>
          <w:b w:val="1"/>
          <w:bCs w:val="1"/>
          <w:color w:val="2B4C9B"/>
        </w:rPr>
        <w:t>Ursula M. Burns</w:t>
      </w:r>
    </w:p>
    <w:p>
      <w:pPr>
        <w:sectPr>
          <w:pgSz w:w="11900" w:h="16838" w:orient="portrait"/>
          <w:cols w:equalWidth="0" w:num="1">
            <w:col w:w="10500"/>
          </w:cols>
          <w:pgMar w:left="240" w:top="455" w:right="1159" w:bottom="1440"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8" w:lineRule="exact"/>
        <w:rPr>
          <w:sz w:val="20"/>
          <w:szCs w:val="20"/>
          <w:color w:val="auto"/>
        </w:rPr>
      </w:pPr>
    </w:p>
    <w:p>
      <w:pPr>
        <w:ind w:left="1100"/>
        <w:spacing w:after="0" w:line="256" w:lineRule="auto"/>
        <w:rPr>
          <w:sz w:val="20"/>
          <w:szCs w:val="20"/>
          <w:color w:val="auto"/>
        </w:rPr>
      </w:pPr>
      <w:r>
        <w:rPr>
          <w:rFonts w:ascii="Arial" w:cs="Arial" w:eastAsia="Arial" w:hAnsi="Arial"/>
          <w:sz w:val="18"/>
          <w:szCs w:val="18"/>
          <w:b w:val="1"/>
          <w:bCs w:val="1"/>
          <w:color w:val="auto"/>
        </w:rPr>
        <w:t xml:space="preserve">Principal occupation: </w:t>
      </w:r>
      <w:r>
        <w:rPr>
          <w:rFonts w:ascii="Arial" w:cs="Arial" w:eastAsia="Arial" w:hAnsi="Arial"/>
          <w:sz w:val="18"/>
          <w:szCs w:val="18"/>
          <w:color w:val="auto"/>
        </w:rPr>
        <w:t>Former Chairman of the Board, Xerox Corporation</w:t>
      </w:r>
    </w:p>
    <w:p>
      <w:pPr>
        <w:spacing w:after="0" w:line="69" w:lineRule="exact"/>
        <w:rPr>
          <w:sz w:val="20"/>
          <w:szCs w:val="20"/>
          <w:color w:val="auto"/>
        </w:rPr>
      </w:pPr>
    </w:p>
    <w:p>
      <w:pPr>
        <w:ind w:left="1100"/>
        <w:spacing w:after="0"/>
        <w:rPr>
          <w:sz w:val="20"/>
          <w:szCs w:val="20"/>
          <w:color w:val="auto"/>
        </w:rPr>
      </w:pPr>
      <w:r>
        <w:rPr>
          <w:rFonts w:ascii="Arial" w:cs="Arial" w:eastAsia="Arial" w:hAnsi="Arial"/>
          <w:sz w:val="18"/>
          <w:szCs w:val="18"/>
          <w:color w:val="auto"/>
        </w:rPr>
        <w:t>Age 59</w:t>
      </w:r>
    </w:p>
    <w:p>
      <w:pPr>
        <w:spacing w:after="0" w:line="13" w:lineRule="exact"/>
        <w:rPr>
          <w:sz w:val="20"/>
          <w:szCs w:val="20"/>
          <w:color w:val="auto"/>
        </w:rPr>
      </w:pPr>
    </w:p>
    <w:p>
      <w:pPr>
        <w:ind w:left="1100"/>
        <w:spacing w:after="0"/>
        <w:rPr>
          <w:sz w:val="20"/>
          <w:szCs w:val="20"/>
          <w:color w:val="auto"/>
        </w:rPr>
      </w:pPr>
      <w:r>
        <w:rPr>
          <w:rFonts w:ascii="Arial" w:cs="Arial" w:eastAsia="Arial" w:hAnsi="Arial"/>
          <w:sz w:val="18"/>
          <w:szCs w:val="18"/>
          <w:color w:val="auto"/>
        </w:rPr>
        <w:t>Director since 2012</w:t>
      </w:r>
    </w:p>
    <w:p>
      <w:pPr>
        <w:ind w:left="1100"/>
        <w:spacing w:after="0"/>
        <w:rPr>
          <w:sz w:val="20"/>
          <w:szCs w:val="20"/>
          <w:color w:val="auto"/>
        </w:rPr>
      </w:pPr>
      <w:r>
        <w:rPr>
          <w:rFonts w:ascii="Arial" w:cs="Arial" w:eastAsia="Arial" w:hAnsi="Arial"/>
          <w:sz w:val="18"/>
          <w:szCs w:val="18"/>
          <w:color w:val="auto"/>
        </w:rPr>
        <w:t>Independent director</w:t>
      </w:r>
    </w:p>
    <w:p>
      <w:pPr>
        <w:spacing w:after="0" w:line="93" w:lineRule="exact"/>
        <w:rPr>
          <w:sz w:val="20"/>
          <w:szCs w:val="20"/>
          <w:color w:val="auto"/>
        </w:rPr>
      </w:pPr>
    </w:p>
    <w:p>
      <w:pPr>
        <w:ind w:left="1100"/>
        <w:spacing w:after="0"/>
        <w:rPr>
          <w:sz w:val="20"/>
          <w:szCs w:val="20"/>
          <w:color w:val="auto"/>
        </w:rPr>
      </w:pPr>
      <w:r>
        <w:rPr>
          <w:rFonts w:ascii="Arial" w:cs="Arial" w:eastAsia="Arial" w:hAnsi="Arial"/>
          <w:sz w:val="18"/>
          <w:szCs w:val="18"/>
          <w:b w:val="1"/>
          <w:bCs w:val="1"/>
          <w:color w:val="auto"/>
        </w:rPr>
        <w:t>Committees:</w:t>
      </w:r>
    </w:p>
    <w:p>
      <w:pPr>
        <w:spacing w:after="0" w:line="20" w:lineRule="exact"/>
        <w:rPr>
          <w:sz w:val="20"/>
          <w:szCs w:val="20"/>
          <w:color w:val="auto"/>
        </w:rPr>
      </w:pPr>
    </w:p>
    <w:p>
      <w:pPr>
        <w:ind w:left="1100"/>
        <w:spacing w:after="0"/>
        <w:rPr>
          <w:sz w:val="20"/>
          <w:szCs w:val="20"/>
          <w:color w:val="auto"/>
        </w:rPr>
      </w:pPr>
      <w:r>
        <w:rPr>
          <w:rFonts w:ascii="Arial" w:cs="Arial" w:eastAsia="Arial" w:hAnsi="Arial"/>
          <w:sz w:val="18"/>
          <w:szCs w:val="18"/>
          <w:color w:val="auto"/>
        </w:rPr>
        <w:t>Audit, Finance</w:t>
      </w:r>
    </w:p>
    <w:p>
      <w:pPr>
        <w:spacing w:after="0" w:line="20" w:lineRule="exact"/>
        <w:rPr>
          <w:sz w:val="20"/>
          <w:szCs w:val="20"/>
          <w:color w:val="auto"/>
        </w:rPr>
      </w:pPr>
      <w:r>
        <w:rPr>
          <w:sz w:val="20"/>
          <w:szCs w:val="20"/>
          <w:color w:val="auto"/>
        </w:rPr>
        <w:br w:type="column"/>
      </w:r>
    </w:p>
    <w:p>
      <w:pPr>
        <w:spacing w:after="0" w:line="23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Experience, qualifications, and attributes:</w:t>
      </w:r>
    </w:p>
    <w:p>
      <w:pPr>
        <w:spacing w:after="0" w:line="117" w:lineRule="exact"/>
        <w:rPr>
          <w:sz w:val="20"/>
          <w:szCs w:val="20"/>
          <w:color w:val="auto"/>
        </w:rPr>
      </w:pPr>
    </w:p>
    <w:p>
      <w:pPr>
        <w:ind w:left="320" w:right="140" w:hanging="312"/>
        <w:spacing w:after="0" w:line="249" w:lineRule="auto"/>
        <w:tabs>
          <w:tab w:leader="none" w:pos="329" w:val="left"/>
        </w:tabs>
        <w:numPr>
          <w:ilvl w:val="0"/>
          <w:numId w:val="24"/>
        </w:numPr>
        <w:rPr>
          <w:rFonts w:ascii="Times New Roman" w:cs="Times New Roman" w:eastAsia="Times New Roman" w:hAnsi="Times New Roman"/>
          <w:sz w:val="18"/>
          <w:szCs w:val="18"/>
          <w:color w:val="auto"/>
        </w:rPr>
      </w:pPr>
      <w:r>
        <w:rPr>
          <w:rFonts w:ascii="Arial" w:cs="Arial" w:eastAsia="Arial" w:hAnsi="Arial"/>
          <w:sz w:val="18"/>
          <w:szCs w:val="18"/>
          <w:b w:val="1"/>
          <w:bCs w:val="1"/>
          <w:color w:val="auto"/>
        </w:rPr>
        <w:t xml:space="preserve">Global business leadership </w:t>
      </w:r>
      <w:r>
        <w:rPr>
          <w:rFonts w:ascii="Arial" w:cs="Arial" w:eastAsia="Arial" w:hAnsi="Arial"/>
          <w:sz w:val="18"/>
          <w:szCs w:val="18"/>
          <w:color w:val="auto"/>
        </w:rPr>
        <w:t>at Xerox as Chairman from 2010 to 2017; as Chief</w:t>
      </w:r>
      <w:r>
        <w:rPr>
          <w:rFonts w:ascii="Arial" w:cs="Arial" w:eastAsia="Arial" w:hAnsi="Arial"/>
          <w:sz w:val="18"/>
          <w:szCs w:val="18"/>
          <w:b w:val="1"/>
          <w:bCs w:val="1"/>
          <w:color w:val="auto"/>
        </w:rPr>
        <w:t xml:space="preserve"> </w:t>
      </w:r>
      <w:r>
        <w:rPr>
          <w:rFonts w:ascii="Arial" w:cs="Arial" w:eastAsia="Arial" w:hAnsi="Arial"/>
          <w:sz w:val="18"/>
          <w:szCs w:val="18"/>
          <w:color w:val="auto"/>
        </w:rPr>
        <w:t>Executive Officer from 2009 to 2016; and as President from 2007 to 2016. She also served as Senior Vice President, Corporate Strategic Services; and Senior Vice President and President, Document Systems and Solutions Group, and Business Group Operations, at Xerox.</w:t>
      </w:r>
    </w:p>
    <w:p>
      <w:pPr>
        <w:spacing w:after="0" w:line="73" w:lineRule="exact"/>
        <w:rPr>
          <w:rFonts w:ascii="Times New Roman" w:cs="Times New Roman" w:eastAsia="Times New Roman" w:hAnsi="Times New Roman"/>
          <w:sz w:val="18"/>
          <w:szCs w:val="18"/>
          <w:color w:val="auto"/>
        </w:rPr>
      </w:pPr>
    </w:p>
    <w:p>
      <w:pPr>
        <w:ind w:left="320" w:hanging="312"/>
        <w:spacing w:after="0"/>
        <w:tabs>
          <w:tab w:leader="none" w:pos="320" w:val="left"/>
        </w:tabs>
        <w:numPr>
          <w:ilvl w:val="0"/>
          <w:numId w:val="24"/>
        </w:numPr>
        <w:rPr>
          <w:rFonts w:ascii="Times New Roman" w:cs="Times New Roman" w:eastAsia="Times New Roman" w:hAnsi="Times New Roman"/>
          <w:sz w:val="18"/>
          <w:szCs w:val="18"/>
          <w:color w:val="auto"/>
        </w:rPr>
      </w:pPr>
      <w:r>
        <w:rPr>
          <w:rFonts w:ascii="Arial" w:cs="Arial" w:eastAsia="Arial" w:hAnsi="Arial"/>
          <w:sz w:val="18"/>
          <w:szCs w:val="18"/>
          <w:b w:val="1"/>
          <w:bCs w:val="1"/>
          <w:color w:val="auto"/>
        </w:rPr>
        <w:t xml:space="preserve">Government/public policy </w:t>
      </w:r>
      <w:r>
        <w:rPr>
          <w:rFonts w:ascii="Arial" w:cs="Arial" w:eastAsia="Arial" w:hAnsi="Arial"/>
          <w:sz w:val="18"/>
          <w:szCs w:val="18"/>
          <w:color w:val="auto"/>
        </w:rPr>
        <w:t>experience as Chair of the President’s Export Council</w:t>
      </w:r>
    </w:p>
    <w:p>
      <w:pPr>
        <w:spacing w:after="0" w:line="129" w:lineRule="exact"/>
        <w:rPr>
          <w:rFonts w:ascii="Times New Roman" w:cs="Times New Roman" w:eastAsia="Times New Roman" w:hAnsi="Times New Roman"/>
          <w:sz w:val="18"/>
          <w:szCs w:val="18"/>
          <w:color w:val="auto"/>
        </w:rPr>
      </w:pPr>
    </w:p>
    <w:p>
      <w:pPr>
        <w:ind w:left="320" w:right="100" w:hanging="312"/>
        <w:spacing w:after="0" w:line="249" w:lineRule="auto"/>
        <w:tabs>
          <w:tab w:leader="none" w:pos="329" w:val="left"/>
        </w:tabs>
        <w:numPr>
          <w:ilvl w:val="0"/>
          <w:numId w:val="24"/>
        </w:numPr>
        <w:rPr>
          <w:rFonts w:ascii="Times New Roman" w:cs="Times New Roman" w:eastAsia="Times New Roman" w:hAnsi="Times New Roman"/>
          <w:sz w:val="18"/>
          <w:szCs w:val="18"/>
          <w:color w:val="auto"/>
        </w:rPr>
      </w:pPr>
      <w:r>
        <w:rPr>
          <w:rFonts w:ascii="Arial" w:cs="Arial" w:eastAsia="Arial" w:hAnsi="Arial"/>
          <w:sz w:val="18"/>
          <w:szCs w:val="18"/>
          <w:b w:val="1"/>
          <w:bCs w:val="1"/>
          <w:color w:val="auto"/>
        </w:rPr>
        <w:t xml:space="preserve">Scientific, educational, and nonprofit affiliations: </w:t>
      </w:r>
      <w:r>
        <w:rPr>
          <w:rFonts w:ascii="Arial" w:cs="Arial" w:eastAsia="Arial" w:hAnsi="Arial"/>
          <w:sz w:val="18"/>
          <w:szCs w:val="18"/>
          <w:color w:val="auto"/>
        </w:rPr>
        <w:t>Change the Equation, an</w:t>
      </w:r>
      <w:r>
        <w:rPr>
          <w:rFonts w:ascii="Arial" w:cs="Arial" w:eastAsia="Arial" w:hAnsi="Arial"/>
          <w:sz w:val="18"/>
          <w:szCs w:val="18"/>
          <w:b w:val="1"/>
          <w:bCs w:val="1"/>
          <w:color w:val="auto"/>
        </w:rPr>
        <w:t xml:space="preserve"> </w:t>
      </w:r>
      <w:r>
        <w:rPr>
          <w:rFonts w:ascii="Arial" w:cs="Arial" w:eastAsia="Arial" w:hAnsi="Arial"/>
          <w:sz w:val="18"/>
          <w:szCs w:val="18"/>
          <w:color w:val="auto"/>
        </w:rPr>
        <w:t>organization created to improve STEM education (founding Director), FIRST (For Inspiration and Recognition of Science and Technology), Ford Foundation, National Academy Foundation, Mayo Clinic, MIT, National Academy of Engineering, and American Academy of Arts and Sciences</w:t>
      </w:r>
    </w:p>
    <w:p>
      <w:pPr>
        <w:spacing w:after="0" w:line="73" w:lineRule="exact"/>
        <w:rPr>
          <w:sz w:val="20"/>
          <w:szCs w:val="20"/>
          <w:color w:val="auto"/>
        </w:rPr>
      </w:pPr>
    </w:p>
    <w:p>
      <w:pPr>
        <w:spacing w:after="0" w:line="278" w:lineRule="auto"/>
        <w:rPr>
          <w:sz w:val="20"/>
          <w:szCs w:val="20"/>
          <w:color w:val="auto"/>
        </w:rPr>
      </w:pPr>
      <w:r>
        <w:rPr>
          <w:rFonts w:ascii="Arial" w:cs="Arial" w:eastAsia="Arial" w:hAnsi="Arial"/>
          <w:sz w:val="18"/>
          <w:szCs w:val="18"/>
          <w:b w:val="1"/>
          <w:bCs w:val="1"/>
          <w:color w:val="auto"/>
        </w:rPr>
        <w:t xml:space="preserve">Current public company directorships: </w:t>
      </w:r>
      <w:r>
        <w:rPr>
          <w:rFonts w:ascii="Arial" w:cs="Arial" w:eastAsia="Arial" w:hAnsi="Arial"/>
          <w:sz w:val="18"/>
          <w:szCs w:val="18"/>
          <w:color w:val="auto"/>
        </w:rPr>
        <w:t>American Express (January 2004–Present);</w:t>
      </w:r>
      <w:r>
        <w:rPr>
          <w:rFonts w:ascii="Arial" w:cs="Arial" w:eastAsia="Arial" w:hAnsi="Arial"/>
          <w:sz w:val="18"/>
          <w:szCs w:val="18"/>
          <w:b w:val="1"/>
          <w:bCs w:val="1"/>
          <w:color w:val="auto"/>
        </w:rPr>
        <w:t xml:space="preserve"> </w:t>
      </w:r>
      <w:r>
        <w:rPr>
          <w:rFonts w:ascii="Arial" w:cs="Arial" w:eastAsia="Arial" w:hAnsi="Arial"/>
          <w:sz w:val="18"/>
          <w:szCs w:val="18"/>
          <w:color w:val="auto"/>
        </w:rPr>
        <w:t>Nestlé (April 2017–Present); VEON (July 2017–Present)</w:t>
      </w:r>
    </w:p>
    <w:p>
      <w:pPr>
        <w:spacing w:after="0" w:line="47" w:lineRule="exact"/>
        <w:rPr>
          <w:sz w:val="20"/>
          <w:szCs w:val="20"/>
          <w:color w:val="auto"/>
        </w:rPr>
      </w:pPr>
    </w:p>
    <w:p>
      <w:pPr>
        <w:ind w:right="80"/>
        <w:spacing w:after="0" w:line="278" w:lineRule="auto"/>
        <w:rPr>
          <w:sz w:val="20"/>
          <w:szCs w:val="20"/>
          <w:color w:val="auto"/>
        </w:rPr>
      </w:pPr>
      <w:r>
        <w:rPr>
          <w:rFonts w:ascii="Arial" w:cs="Arial" w:eastAsia="Arial" w:hAnsi="Arial"/>
          <w:sz w:val="18"/>
          <w:szCs w:val="18"/>
          <w:b w:val="1"/>
          <w:bCs w:val="1"/>
          <w:color w:val="auto"/>
        </w:rPr>
        <w:t xml:space="preserve">Previous public company directorships in last five years: </w:t>
      </w:r>
      <w:r>
        <w:rPr>
          <w:rFonts w:ascii="Arial" w:cs="Arial" w:eastAsia="Arial" w:hAnsi="Arial"/>
          <w:sz w:val="18"/>
          <w:szCs w:val="18"/>
          <w:color w:val="auto"/>
        </w:rPr>
        <w:t>Xerox (April 2007–May</w:t>
      </w:r>
      <w:r>
        <w:rPr>
          <w:rFonts w:ascii="Arial" w:cs="Arial" w:eastAsia="Arial" w:hAnsi="Arial"/>
          <w:sz w:val="18"/>
          <w:szCs w:val="18"/>
          <w:b w:val="1"/>
          <w:bCs w:val="1"/>
          <w:color w:val="auto"/>
        </w:rPr>
        <w:t xml:space="preserve"> </w:t>
      </w:r>
      <w:r>
        <w:rPr>
          <w:rFonts w:ascii="Arial" w:cs="Arial" w:eastAsia="Arial" w:hAnsi="Arial"/>
          <w:sz w:val="18"/>
          <w:szCs w:val="18"/>
          <w:color w:val="auto"/>
        </w:rPr>
        <w:t>2017)</w:t>
      </w:r>
    </w:p>
    <w:p>
      <w:pPr>
        <w:spacing w:after="0" w:line="4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Other board experience: </w:t>
      </w:r>
      <w:r>
        <w:rPr>
          <w:rFonts w:ascii="Arial" w:cs="Arial" w:eastAsia="Arial" w:hAnsi="Arial"/>
          <w:sz w:val="18"/>
          <w:szCs w:val="18"/>
          <w:color w:val="auto"/>
        </w:rPr>
        <w:t>former Director of Boston Scientific (prior to 2013)</w:t>
      </w:r>
    </w:p>
    <w:p>
      <w:pPr>
        <w:spacing w:after="0" w:line="200" w:lineRule="exact"/>
        <w:rPr>
          <w:sz w:val="20"/>
          <w:szCs w:val="20"/>
          <w:color w:val="auto"/>
        </w:rPr>
      </w:pPr>
    </w:p>
    <w:p>
      <w:pPr>
        <w:sectPr>
          <w:pgSz w:w="11900" w:h="16838" w:orient="portrait"/>
          <w:cols w:equalWidth="0" w:num="2">
            <w:col w:w="3160" w:space="480"/>
            <w:col w:w="6860"/>
          </w:cols>
          <w:pgMar w:left="240" w:top="455" w:right="1159" w:bottom="1440" w:gutter="0" w:footer="0" w:header="0"/>
          <w:type w:val="continuous"/>
        </w:sectPr>
      </w:pPr>
    </w:p>
    <w:p>
      <w:pPr>
        <w:spacing w:after="0" w:line="41" w:lineRule="exact"/>
        <w:rPr>
          <w:sz w:val="20"/>
          <w:szCs w:val="20"/>
          <w:color w:val="auto"/>
        </w:rPr>
      </w:pPr>
    </w:p>
    <w:p>
      <w:pPr>
        <w:ind w:left="880"/>
        <w:spacing w:after="0"/>
        <w:tabs>
          <w:tab w:leader="none" w:pos="2780" w:val="left"/>
        </w:tabs>
        <w:rPr>
          <w:sz w:val="20"/>
          <w:szCs w:val="20"/>
          <w:color w:val="auto"/>
        </w:rPr>
      </w:pPr>
      <w:r>
        <w:rPr>
          <w:rFonts w:ascii="Arial" w:cs="Arial" w:eastAsia="Arial" w:hAnsi="Arial"/>
          <w:sz w:val="17"/>
          <w:szCs w:val="17"/>
          <w:color w:val="auto"/>
        </w:rPr>
        <w:t>16</w:t>
      </w:r>
      <w:r>
        <w:rPr>
          <w:sz w:val="20"/>
          <w:szCs w:val="20"/>
          <w:color w:val="auto"/>
        </w:rPr>
        <w:tab/>
      </w:r>
      <w:r>
        <w:rPr>
          <w:rFonts w:ascii="Times New Roman" w:cs="Times New Roman" w:eastAsia="Times New Roman" w:hAnsi="Times New Roman"/>
          <w:sz w:val="17"/>
          <w:szCs w:val="17"/>
          <w:i w:val="1"/>
          <w:iCs w:val="1"/>
          <w:color w:val="auto"/>
        </w:rPr>
        <w:t>2018 Proxy Statement</w:t>
      </w:r>
    </w:p>
    <w:p>
      <w:pPr>
        <w:sectPr>
          <w:pgSz w:w="11900" w:h="16838" w:orient="portrait"/>
          <w:cols w:equalWidth="0" w:num="1">
            <w:col w:w="10500"/>
          </w:cols>
          <w:pgMar w:left="240" w:top="455" w:right="1159" w:bottom="1440" w:gutter="0" w:footer="0" w:header="0"/>
          <w:type w:val="continuous"/>
        </w:sectPr>
      </w:pPr>
    </w:p>
    <w:bookmarkStart w:id="19" w:name="page20"/>
    <w:bookmarkEnd w:id="19"/>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Times New Roman" w:cs="Times New Roman" w:eastAsia="Times New Roman" w:hAnsi="Times New Roman"/>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536575</wp:posOffset>
            </wp:positionH>
            <wp:positionV relativeFrom="paragraph">
              <wp:posOffset>208280</wp:posOffset>
            </wp:positionV>
            <wp:extent cx="6191885" cy="3430270"/>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6191885" cy="3430270"/>
                    </a:xfrm>
                    <a:prstGeom prst="rect">
                      <a:avLst/>
                    </a:prstGeom>
                    <a:noFill/>
                  </pic:spPr>
                </pic:pic>
              </a:graphicData>
            </a:graphic>
          </wp:anchor>
        </w:drawing>
      </w:r>
    </w:p>
    <w:p>
      <w:pPr>
        <w:spacing w:after="0" w:line="312" w:lineRule="exact"/>
        <w:rPr>
          <w:sz w:val="20"/>
          <w:szCs w:val="20"/>
          <w:color w:val="auto"/>
        </w:rPr>
      </w:pPr>
    </w:p>
    <w:p>
      <w:pPr>
        <w:jc w:val="right"/>
        <w:ind w:right="7620"/>
        <w:spacing w:after="0"/>
        <w:rPr>
          <w:sz w:val="20"/>
          <w:szCs w:val="20"/>
          <w:color w:val="auto"/>
        </w:rPr>
      </w:pPr>
      <w:r>
        <w:rPr>
          <w:rFonts w:ascii="Arial" w:cs="Arial" w:eastAsia="Arial" w:hAnsi="Arial"/>
          <w:sz w:val="22"/>
          <w:szCs w:val="22"/>
          <w:b w:val="1"/>
          <w:bCs w:val="1"/>
          <w:color w:val="2B4C9B"/>
        </w:rPr>
        <w:t>Kenneth C. Frazier</w:t>
      </w:r>
    </w:p>
    <w:p>
      <w:pPr>
        <w:sectPr>
          <w:pgSz w:w="11900" w:h="16838" w:orient="portrait"/>
          <w:cols w:equalWidth="0" w:num="1">
            <w:col w:w="10540"/>
          </w:cols>
          <w:pgMar w:left="240" w:top="455" w:right="111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7" w:lineRule="exact"/>
        <w:rPr>
          <w:sz w:val="20"/>
          <w:szCs w:val="20"/>
          <w:color w:val="auto"/>
        </w:rPr>
      </w:pPr>
    </w:p>
    <w:p>
      <w:pPr>
        <w:ind w:left="1100" w:right="460"/>
        <w:spacing w:after="0" w:line="245" w:lineRule="auto"/>
        <w:rPr>
          <w:sz w:val="20"/>
          <w:szCs w:val="20"/>
          <w:color w:val="auto"/>
        </w:rPr>
      </w:pPr>
      <w:r>
        <w:rPr>
          <w:rFonts w:ascii="Arial" w:cs="Arial" w:eastAsia="Arial" w:hAnsi="Arial"/>
          <w:sz w:val="18"/>
          <w:szCs w:val="18"/>
          <w:b w:val="1"/>
          <w:bCs w:val="1"/>
          <w:color w:val="auto"/>
        </w:rPr>
        <w:t xml:space="preserve">Principal occupation: </w:t>
      </w:r>
      <w:r>
        <w:rPr>
          <w:rFonts w:ascii="Arial" w:cs="Arial" w:eastAsia="Arial" w:hAnsi="Arial"/>
          <w:sz w:val="18"/>
          <w:szCs w:val="18"/>
          <w:color w:val="auto"/>
        </w:rPr>
        <w:t>Chairman of the Board, President, and Chief Executive Officer, Merck &amp; Co.</w:t>
      </w:r>
    </w:p>
    <w:p>
      <w:pPr>
        <w:spacing w:after="0" w:line="80" w:lineRule="exact"/>
        <w:rPr>
          <w:sz w:val="20"/>
          <w:szCs w:val="20"/>
          <w:color w:val="auto"/>
        </w:rPr>
      </w:pPr>
    </w:p>
    <w:p>
      <w:pPr>
        <w:ind w:left="1100"/>
        <w:spacing w:after="0"/>
        <w:rPr>
          <w:sz w:val="20"/>
          <w:szCs w:val="20"/>
          <w:color w:val="auto"/>
        </w:rPr>
      </w:pPr>
      <w:r>
        <w:rPr>
          <w:rFonts w:ascii="Arial" w:cs="Arial" w:eastAsia="Arial" w:hAnsi="Arial"/>
          <w:sz w:val="18"/>
          <w:szCs w:val="18"/>
          <w:color w:val="auto"/>
        </w:rPr>
        <w:t>Age 63</w:t>
      </w:r>
    </w:p>
    <w:p>
      <w:pPr>
        <w:spacing w:after="0" w:line="13" w:lineRule="exact"/>
        <w:rPr>
          <w:sz w:val="20"/>
          <w:szCs w:val="20"/>
          <w:color w:val="auto"/>
        </w:rPr>
      </w:pPr>
    </w:p>
    <w:p>
      <w:pPr>
        <w:ind w:left="1100"/>
        <w:spacing w:after="0"/>
        <w:rPr>
          <w:sz w:val="20"/>
          <w:szCs w:val="20"/>
          <w:color w:val="auto"/>
        </w:rPr>
      </w:pPr>
      <w:r>
        <w:rPr>
          <w:rFonts w:ascii="Arial" w:cs="Arial" w:eastAsia="Arial" w:hAnsi="Arial"/>
          <w:sz w:val="18"/>
          <w:szCs w:val="18"/>
          <w:color w:val="auto"/>
        </w:rPr>
        <w:t>Director since 2009</w:t>
      </w:r>
    </w:p>
    <w:p>
      <w:pPr>
        <w:ind w:left="1100"/>
        <w:spacing w:after="0"/>
        <w:rPr>
          <w:sz w:val="20"/>
          <w:szCs w:val="20"/>
          <w:color w:val="auto"/>
        </w:rPr>
      </w:pPr>
      <w:r>
        <w:rPr>
          <w:rFonts w:ascii="Arial" w:cs="Arial" w:eastAsia="Arial" w:hAnsi="Arial"/>
          <w:sz w:val="18"/>
          <w:szCs w:val="18"/>
          <w:color w:val="auto"/>
        </w:rPr>
        <w:t>Independent director</w:t>
      </w:r>
    </w:p>
    <w:p>
      <w:pPr>
        <w:spacing w:after="0" w:line="93" w:lineRule="exact"/>
        <w:rPr>
          <w:sz w:val="20"/>
          <w:szCs w:val="20"/>
          <w:color w:val="auto"/>
        </w:rPr>
      </w:pPr>
    </w:p>
    <w:p>
      <w:pPr>
        <w:ind w:left="1100"/>
        <w:spacing w:after="0"/>
        <w:rPr>
          <w:sz w:val="20"/>
          <w:szCs w:val="20"/>
          <w:color w:val="auto"/>
        </w:rPr>
      </w:pPr>
      <w:r>
        <w:rPr>
          <w:rFonts w:ascii="Arial" w:cs="Arial" w:eastAsia="Arial" w:hAnsi="Arial"/>
          <w:sz w:val="18"/>
          <w:szCs w:val="18"/>
          <w:b w:val="1"/>
          <w:bCs w:val="1"/>
          <w:color w:val="auto"/>
        </w:rPr>
        <w:t>Committees:</w:t>
      </w:r>
    </w:p>
    <w:p>
      <w:pPr>
        <w:spacing w:after="0" w:line="20" w:lineRule="exact"/>
        <w:rPr>
          <w:sz w:val="20"/>
          <w:szCs w:val="20"/>
          <w:color w:val="auto"/>
        </w:rPr>
      </w:pPr>
    </w:p>
    <w:p>
      <w:pPr>
        <w:ind w:left="1100"/>
        <w:spacing w:after="0" w:line="251" w:lineRule="auto"/>
        <w:rPr>
          <w:sz w:val="20"/>
          <w:szCs w:val="20"/>
          <w:color w:val="auto"/>
        </w:rPr>
      </w:pPr>
      <w:r>
        <w:rPr>
          <w:rFonts w:ascii="Arial" w:cs="Arial" w:eastAsia="Arial" w:hAnsi="Arial"/>
          <w:sz w:val="18"/>
          <w:szCs w:val="18"/>
          <w:color w:val="auto"/>
        </w:rPr>
        <w:t>Board Affairs, Compensation, Executive</w:t>
      </w:r>
    </w:p>
    <w:p>
      <w:pPr>
        <w:spacing w:after="0" w:line="20" w:lineRule="exact"/>
        <w:rPr>
          <w:sz w:val="20"/>
          <w:szCs w:val="20"/>
          <w:color w:val="auto"/>
        </w:rPr>
      </w:pPr>
      <w:r>
        <w:rPr>
          <w:sz w:val="20"/>
          <w:szCs w:val="20"/>
          <w:color w:val="auto"/>
        </w:rPr>
        <w:br w:type="column"/>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Experience, qualifications, and attributes:</w:t>
      </w:r>
    </w:p>
    <w:p>
      <w:pPr>
        <w:spacing w:after="0" w:line="117" w:lineRule="exact"/>
        <w:rPr>
          <w:sz w:val="20"/>
          <w:szCs w:val="20"/>
          <w:color w:val="auto"/>
        </w:rPr>
      </w:pPr>
    </w:p>
    <w:p>
      <w:pPr>
        <w:ind w:left="320" w:right="120" w:hanging="311"/>
        <w:spacing w:after="0" w:line="249" w:lineRule="auto"/>
        <w:tabs>
          <w:tab w:leader="none" w:pos="329" w:val="left"/>
        </w:tabs>
        <w:numPr>
          <w:ilvl w:val="0"/>
          <w:numId w:val="25"/>
        </w:numPr>
        <w:rPr>
          <w:rFonts w:ascii="Times New Roman" w:cs="Times New Roman" w:eastAsia="Times New Roman" w:hAnsi="Times New Roman"/>
          <w:sz w:val="18"/>
          <w:szCs w:val="18"/>
          <w:color w:val="auto"/>
        </w:rPr>
      </w:pPr>
      <w:r>
        <w:rPr>
          <w:rFonts w:ascii="Arial" w:cs="Arial" w:eastAsia="Arial" w:hAnsi="Arial"/>
          <w:sz w:val="18"/>
          <w:szCs w:val="18"/>
          <w:b w:val="1"/>
          <w:bCs w:val="1"/>
          <w:color w:val="auto"/>
        </w:rPr>
        <w:t xml:space="preserve">Global business leadership </w:t>
      </w:r>
      <w:r>
        <w:rPr>
          <w:rFonts w:ascii="Arial" w:cs="Arial" w:eastAsia="Arial" w:hAnsi="Arial"/>
          <w:sz w:val="18"/>
          <w:szCs w:val="18"/>
          <w:color w:val="auto"/>
        </w:rPr>
        <w:t>at Merck as Chairman and Chief Executive Officer</w:t>
      </w:r>
      <w:r>
        <w:rPr>
          <w:rFonts w:ascii="Arial" w:cs="Arial" w:eastAsia="Arial" w:hAnsi="Arial"/>
          <w:sz w:val="18"/>
          <w:szCs w:val="18"/>
          <w:b w:val="1"/>
          <w:bCs w:val="1"/>
          <w:color w:val="auto"/>
        </w:rPr>
        <w:t xml:space="preserve"> </w:t>
      </w:r>
      <w:r>
        <w:rPr>
          <w:rFonts w:ascii="Arial" w:cs="Arial" w:eastAsia="Arial" w:hAnsi="Arial"/>
          <w:sz w:val="18"/>
          <w:szCs w:val="18"/>
          <w:color w:val="auto"/>
        </w:rPr>
        <w:t>from 2011 to present; as President from 2010 to present; and as Executive Vice President and President, Global Human Health, from 2007 to 2010. He also served as Executive Vice President and General Counsel and as Senior Vice President and General Counsel.</w:t>
      </w:r>
    </w:p>
    <w:p>
      <w:pPr>
        <w:spacing w:after="0" w:line="73" w:lineRule="exact"/>
        <w:rPr>
          <w:rFonts w:ascii="Times New Roman" w:cs="Times New Roman" w:eastAsia="Times New Roman" w:hAnsi="Times New Roman"/>
          <w:sz w:val="18"/>
          <w:szCs w:val="18"/>
          <w:color w:val="auto"/>
        </w:rPr>
      </w:pPr>
    </w:p>
    <w:p>
      <w:pPr>
        <w:ind w:left="320" w:right="220" w:hanging="311"/>
        <w:spacing w:after="0" w:line="325" w:lineRule="auto"/>
        <w:tabs>
          <w:tab w:leader="none" w:pos="329" w:val="left"/>
        </w:tabs>
        <w:numPr>
          <w:ilvl w:val="0"/>
          <w:numId w:val="25"/>
        </w:numPr>
        <w:rPr>
          <w:rFonts w:ascii="Times New Roman" w:cs="Times New Roman" w:eastAsia="Times New Roman" w:hAnsi="Times New Roman"/>
          <w:sz w:val="17"/>
          <w:szCs w:val="17"/>
          <w:color w:val="auto"/>
        </w:rPr>
      </w:pPr>
      <w:r>
        <w:rPr>
          <w:rFonts w:ascii="Arial" w:cs="Arial" w:eastAsia="Arial" w:hAnsi="Arial"/>
          <w:sz w:val="17"/>
          <w:szCs w:val="17"/>
          <w:b w:val="1"/>
          <w:bCs w:val="1"/>
          <w:color w:val="auto"/>
        </w:rPr>
        <w:t xml:space="preserve">Legal, business, and research affiliations: </w:t>
      </w:r>
      <w:r>
        <w:rPr>
          <w:rFonts w:ascii="Arial" w:cs="Arial" w:eastAsia="Arial" w:hAnsi="Arial"/>
          <w:sz w:val="17"/>
          <w:szCs w:val="17"/>
          <w:color w:val="auto"/>
        </w:rPr>
        <w:t>American Law Institute, Business</w:t>
      </w:r>
      <w:r>
        <w:rPr>
          <w:rFonts w:ascii="Arial" w:cs="Arial" w:eastAsia="Arial" w:hAnsi="Arial"/>
          <w:sz w:val="17"/>
          <w:szCs w:val="17"/>
          <w:b w:val="1"/>
          <w:bCs w:val="1"/>
          <w:color w:val="auto"/>
        </w:rPr>
        <w:t xml:space="preserve"> </w:t>
      </w:r>
      <w:r>
        <w:rPr>
          <w:rFonts w:ascii="Arial" w:cs="Arial" w:eastAsia="Arial" w:hAnsi="Arial"/>
          <w:sz w:val="17"/>
          <w:szCs w:val="17"/>
          <w:color w:val="auto"/>
        </w:rPr>
        <w:t>Council, and Pharmaceutical Research and Manufacturers of America</w:t>
      </w:r>
    </w:p>
    <w:p>
      <w:pPr>
        <w:spacing w:after="0" w:line="1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Current public company directorships: </w:t>
      </w:r>
      <w:r>
        <w:rPr>
          <w:rFonts w:ascii="Arial" w:cs="Arial" w:eastAsia="Arial" w:hAnsi="Arial"/>
          <w:sz w:val="18"/>
          <w:szCs w:val="18"/>
          <w:color w:val="auto"/>
        </w:rPr>
        <w:t>Merck (January 2011–Present)</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Previous public company directorships in last five years: </w:t>
      </w:r>
      <w:r>
        <w:rPr>
          <w:rFonts w:ascii="Arial" w:cs="Arial" w:eastAsia="Arial" w:hAnsi="Arial"/>
          <w:sz w:val="18"/>
          <w:szCs w:val="18"/>
          <w:color w:val="auto"/>
        </w:rPr>
        <w:t>None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-1824990</wp:posOffset>
            </wp:positionH>
            <wp:positionV relativeFrom="paragraph">
              <wp:posOffset>1805305</wp:posOffset>
            </wp:positionV>
            <wp:extent cx="6191885" cy="3302000"/>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6191885" cy="3302000"/>
                    </a:xfrm>
                    <a:prstGeom prst="rect">
                      <a:avLst/>
                    </a:prstGeom>
                    <a:noFill/>
                  </pic:spPr>
                </pic:pic>
              </a:graphicData>
            </a:graphic>
          </wp:anchor>
        </w:drawing>
      </w:r>
    </w:p>
    <w:p>
      <w:pPr>
        <w:spacing w:after="0" w:line="2421" w:lineRule="exact"/>
        <w:rPr>
          <w:sz w:val="20"/>
          <w:szCs w:val="20"/>
          <w:color w:val="auto"/>
        </w:rPr>
      </w:pPr>
    </w:p>
    <w:p>
      <w:pPr>
        <w:sectPr>
          <w:pgSz w:w="11900" w:h="16838" w:orient="portrait"/>
          <w:cols w:equalWidth="0" w:num="2">
            <w:col w:w="3440" w:space="280"/>
            <w:col w:w="6820"/>
          </w:cols>
          <w:pgMar w:left="240" w:top="455" w:right="1119" w:bottom="1440" w:gutter="0" w:footer="0" w:header="0"/>
          <w:type w:val="continuous"/>
        </w:sectPr>
      </w:pPr>
    </w:p>
    <w:p>
      <w:pPr>
        <w:spacing w:after="0" w:line="200" w:lineRule="exact"/>
        <w:rPr>
          <w:sz w:val="20"/>
          <w:szCs w:val="20"/>
          <w:color w:val="auto"/>
        </w:rPr>
      </w:pPr>
    </w:p>
    <w:p>
      <w:pPr>
        <w:spacing w:after="0" w:line="225" w:lineRule="exact"/>
        <w:rPr>
          <w:sz w:val="20"/>
          <w:szCs w:val="20"/>
          <w:color w:val="auto"/>
        </w:rPr>
      </w:pPr>
    </w:p>
    <w:p>
      <w:pPr>
        <w:ind w:left="1000"/>
        <w:spacing w:after="0"/>
        <w:rPr>
          <w:sz w:val="20"/>
          <w:szCs w:val="20"/>
          <w:color w:val="auto"/>
        </w:rPr>
      </w:pPr>
      <w:r>
        <w:rPr>
          <w:rFonts w:ascii="Arial" w:cs="Arial" w:eastAsia="Arial" w:hAnsi="Arial"/>
          <w:sz w:val="21"/>
          <w:szCs w:val="21"/>
          <w:b w:val="1"/>
          <w:bCs w:val="1"/>
          <w:color w:val="2B4C9B"/>
        </w:rPr>
        <w:t>Steven A. Kandarian</w:t>
      </w:r>
    </w:p>
    <w:p>
      <w:pPr>
        <w:sectPr>
          <w:pgSz w:w="11900" w:h="16838" w:orient="portrait"/>
          <w:cols w:equalWidth="0" w:num="1">
            <w:col w:w="10540"/>
          </w:cols>
          <w:pgMar w:left="240" w:top="455" w:right="1119" w:bottom="1440"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8" w:lineRule="exact"/>
        <w:rPr>
          <w:sz w:val="20"/>
          <w:szCs w:val="20"/>
          <w:color w:val="auto"/>
        </w:rPr>
      </w:pPr>
    </w:p>
    <w:p>
      <w:pPr>
        <w:ind w:left="1100" w:right="300"/>
        <w:spacing w:after="0" w:line="268" w:lineRule="auto"/>
        <w:rPr>
          <w:sz w:val="20"/>
          <w:szCs w:val="20"/>
          <w:color w:val="auto"/>
        </w:rPr>
      </w:pPr>
      <w:r>
        <w:rPr>
          <w:rFonts w:ascii="Arial" w:cs="Arial" w:eastAsia="Arial" w:hAnsi="Arial"/>
          <w:sz w:val="17"/>
          <w:szCs w:val="17"/>
          <w:b w:val="1"/>
          <w:bCs w:val="1"/>
          <w:color w:val="auto"/>
        </w:rPr>
        <w:t xml:space="preserve">Principal occupation: </w:t>
      </w:r>
      <w:r>
        <w:rPr>
          <w:rFonts w:ascii="Arial" w:cs="Arial" w:eastAsia="Arial" w:hAnsi="Arial"/>
          <w:sz w:val="17"/>
          <w:szCs w:val="17"/>
          <w:color w:val="auto"/>
        </w:rPr>
        <w:t>Chairman of the Board, President, and Chief Executive Officer, MetLife</w:t>
      </w:r>
    </w:p>
    <w:p>
      <w:pPr>
        <w:spacing w:after="0" w:line="61" w:lineRule="exact"/>
        <w:rPr>
          <w:sz w:val="20"/>
          <w:szCs w:val="20"/>
          <w:color w:val="auto"/>
        </w:rPr>
      </w:pPr>
    </w:p>
    <w:p>
      <w:pPr>
        <w:ind w:left="1100"/>
        <w:spacing w:after="0"/>
        <w:rPr>
          <w:sz w:val="20"/>
          <w:szCs w:val="20"/>
          <w:color w:val="auto"/>
        </w:rPr>
      </w:pPr>
      <w:r>
        <w:rPr>
          <w:rFonts w:ascii="Arial" w:cs="Arial" w:eastAsia="Arial" w:hAnsi="Arial"/>
          <w:sz w:val="18"/>
          <w:szCs w:val="18"/>
          <w:color w:val="auto"/>
        </w:rPr>
        <w:t>Age 66</w:t>
      </w:r>
    </w:p>
    <w:p>
      <w:pPr>
        <w:spacing w:after="0" w:line="13" w:lineRule="exact"/>
        <w:rPr>
          <w:sz w:val="20"/>
          <w:szCs w:val="20"/>
          <w:color w:val="auto"/>
        </w:rPr>
      </w:pPr>
    </w:p>
    <w:p>
      <w:pPr>
        <w:ind w:left="1100"/>
        <w:spacing w:after="0"/>
        <w:rPr>
          <w:sz w:val="20"/>
          <w:szCs w:val="20"/>
          <w:color w:val="auto"/>
        </w:rPr>
      </w:pPr>
      <w:r>
        <w:rPr>
          <w:rFonts w:ascii="Arial" w:cs="Arial" w:eastAsia="Arial" w:hAnsi="Arial"/>
          <w:sz w:val="18"/>
          <w:szCs w:val="18"/>
          <w:color w:val="auto"/>
        </w:rPr>
        <w:t>Director since 2018</w:t>
      </w:r>
    </w:p>
    <w:p>
      <w:pPr>
        <w:ind w:left="1100"/>
        <w:spacing w:after="0"/>
        <w:rPr>
          <w:sz w:val="20"/>
          <w:szCs w:val="20"/>
          <w:color w:val="auto"/>
        </w:rPr>
      </w:pPr>
      <w:r>
        <w:rPr>
          <w:rFonts w:ascii="Arial" w:cs="Arial" w:eastAsia="Arial" w:hAnsi="Arial"/>
          <w:sz w:val="18"/>
          <w:szCs w:val="18"/>
          <w:color w:val="auto"/>
        </w:rPr>
        <w:t>Independent director</w:t>
      </w:r>
    </w:p>
    <w:p>
      <w:pPr>
        <w:spacing w:after="0" w:line="93" w:lineRule="exact"/>
        <w:rPr>
          <w:sz w:val="20"/>
          <w:szCs w:val="20"/>
          <w:color w:val="auto"/>
        </w:rPr>
      </w:pPr>
    </w:p>
    <w:p>
      <w:pPr>
        <w:ind w:left="1100"/>
        <w:spacing w:after="0"/>
        <w:rPr>
          <w:sz w:val="20"/>
          <w:szCs w:val="20"/>
          <w:color w:val="auto"/>
        </w:rPr>
      </w:pPr>
      <w:r>
        <w:rPr>
          <w:rFonts w:ascii="Arial" w:cs="Arial" w:eastAsia="Arial" w:hAnsi="Arial"/>
          <w:sz w:val="18"/>
          <w:szCs w:val="18"/>
          <w:b w:val="1"/>
          <w:bCs w:val="1"/>
          <w:color w:val="auto"/>
        </w:rPr>
        <w:t>Committees:</w:t>
      </w:r>
    </w:p>
    <w:p>
      <w:pPr>
        <w:spacing w:after="0" w:line="15" w:lineRule="exact"/>
        <w:rPr>
          <w:sz w:val="20"/>
          <w:szCs w:val="20"/>
          <w:color w:val="auto"/>
        </w:rPr>
      </w:pPr>
    </w:p>
    <w:p>
      <w:pPr>
        <w:ind w:left="1100"/>
        <w:spacing w:after="0"/>
        <w:rPr>
          <w:sz w:val="20"/>
          <w:szCs w:val="20"/>
          <w:color w:val="auto"/>
        </w:rPr>
      </w:pPr>
      <w:r>
        <w:rPr>
          <w:rFonts w:ascii="Arial" w:cs="Arial" w:eastAsia="Arial" w:hAnsi="Arial"/>
          <w:sz w:val="18"/>
          <w:szCs w:val="18"/>
          <w:color w:val="auto"/>
        </w:rPr>
        <w:t>Compensation, Public Issues</w:t>
      </w:r>
    </w:p>
    <w:p>
      <w:pPr>
        <w:ind w:left="1100"/>
        <w:spacing w:after="0"/>
        <w:rPr>
          <w:sz w:val="20"/>
          <w:szCs w:val="20"/>
          <w:color w:val="auto"/>
        </w:rPr>
      </w:pPr>
      <w:r>
        <w:rPr>
          <w:rFonts w:ascii="Arial" w:cs="Arial" w:eastAsia="Arial" w:hAnsi="Arial"/>
          <w:sz w:val="18"/>
          <w:szCs w:val="18"/>
          <w:color w:val="auto"/>
        </w:rPr>
        <w:t>and Contributions</w:t>
      </w:r>
    </w:p>
    <w:p>
      <w:pPr>
        <w:spacing w:after="0" w:line="20" w:lineRule="exact"/>
        <w:rPr>
          <w:sz w:val="20"/>
          <w:szCs w:val="20"/>
          <w:color w:val="auto"/>
        </w:rPr>
      </w:pPr>
      <w:r>
        <w:rPr>
          <w:sz w:val="20"/>
          <w:szCs w:val="20"/>
          <w:color w:val="auto"/>
        </w:rPr>
        <w:br w:type="column"/>
      </w:r>
    </w:p>
    <w:p>
      <w:pPr>
        <w:spacing w:after="0" w:line="23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Experience, qualifications, and attributes:</w:t>
      </w:r>
    </w:p>
    <w:p>
      <w:pPr>
        <w:spacing w:after="0" w:line="117" w:lineRule="exact"/>
        <w:rPr>
          <w:sz w:val="20"/>
          <w:szCs w:val="20"/>
          <w:color w:val="auto"/>
        </w:rPr>
      </w:pPr>
    </w:p>
    <w:p>
      <w:pPr>
        <w:ind w:left="300" w:hanging="298"/>
        <w:spacing w:after="0" w:line="254" w:lineRule="auto"/>
        <w:tabs>
          <w:tab w:leader="none" w:pos="309" w:val="left"/>
        </w:tabs>
        <w:numPr>
          <w:ilvl w:val="0"/>
          <w:numId w:val="26"/>
        </w:numPr>
        <w:rPr>
          <w:rFonts w:ascii="Times New Roman" w:cs="Times New Roman" w:eastAsia="Times New Roman" w:hAnsi="Times New Roman"/>
          <w:sz w:val="18"/>
          <w:szCs w:val="18"/>
          <w:color w:val="auto"/>
        </w:rPr>
      </w:pPr>
      <w:r>
        <w:rPr>
          <w:rFonts w:ascii="Arial" w:cs="Arial" w:eastAsia="Arial" w:hAnsi="Arial"/>
          <w:sz w:val="18"/>
          <w:szCs w:val="18"/>
          <w:b w:val="1"/>
          <w:bCs w:val="1"/>
          <w:color w:val="auto"/>
        </w:rPr>
        <w:t xml:space="preserve">Global business leadership </w:t>
      </w:r>
      <w:r>
        <w:rPr>
          <w:rFonts w:ascii="Arial" w:cs="Arial" w:eastAsia="Arial" w:hAnsi="Arial"/>
          <w:sz w:val="18"/>
          <w:szCs w:val="18"/>
          <w:color w:val="auto"/>
        </w:rPr>
        <w:t>at MetLife as Chairman since 2012; as President</w:t>
      </w:r>
      <w:r>
        <w:rPr>
          <w:rFonts w:ascii="Arial" w:cs="Arial" w:eastAsia="Arial" w:hAnsi="Arial"/>
          <w:sz w:val="18"/>
          <w:szCs w:val="18"/>
          <w:b w:val="1"/>
          <w:bCs w:val="1"/>
          <w:color w:val="auto"/>
        </w:rPr>
        <w:t xml:space="preserve"> </w:t>
      </w:r>
      <w:r>
        <w:rPr>
          <w:rFonts w:ascii="Arial" w:cs="Arial" w:eastAsia="Arial" w:hAnsi="Arial"/>
          <w:sz w:val="18"/>
          <w:szCs w:val="18"/>
          <w:color w:val="auto"/>
        </w:rPr>
        <w:t>and Chief Executive Office since 2011; and as Executive Vice President and Chief Investment Officer from 2005 to 2011. He also served as Executive Director of the Pension Benefit Guaranty Corporation from 2001 to 2004.</w:t>
      </w:r>
    </w:p>
    <w:p>
      <w:pPr>
        <w:spacing w:after="0" w:line="68" w:lineRule="exact"/>
        <w:rPr>
          <w:rFonts w:ascii="Times New Roman" w:cs="Times New Roman" w:eastAsia="Times New Roman" w:hAnsi="Times New Roman"/>
          <w:sz w:val="18"/>
          <w:szCs w:val="18"/>
          <w:color w:val="auto"/>
        </w:rPr>
      </w:pPr>
    </w:p>
    <w:p>
      <w:pPr>
        <w:ind w:left="300" w:right="160" w:hanging="298"/>
        <w:spacing w:after="0" w:line="254" w:lineRule="auto"/>
        <w:tabs>
          <w:tab w:leader="none" w:pos="309" w:val="left"/>
        </w:tabs>
        <w:numPr>
          <w:ilvl w:val="0"/>
          <w:numId w:val="26"/>
        </w:numPr>
        <w:rPr>
          <w:rFonts w:ascii="Times New Roman" w:cs="Times New Roman" w:eastAsia="Times New Roman" w:hAnsi="Times New Roman"/>
          <w:sz w:val="18"/>
          <w:szCs w:val="18"/>
          <w:color w:val="auto"/>
        </w:rPr>
      </w:pPr>
      <w:r>
        <w:rPr>
          <w:rFonts w:ascii="Arial" w:cs="Arial" w:eastAsia="Arial" w:hAnsi="Arial"/>
          <w:sz w:val="18"/>
          <w:szCs w:val="18"/>
          <w:b w:val="1"/>
          <w:bCs w:val="1"/>
          <w:color w:val="auto"/>
        </w:rPr>
        <w:t xml:space="preserve">Business, research, and cultural affiliations: </w:t>
      </w:r>
      <w:r>
        <w:rPr>
          <w:rFonts w:ascii="Arial" w:cs="Arial" w:eastAsia="Arial" w:hAnsi="Arial"/>
          <w:sz w:val="18"/>
          <w:szCs w:val="18"/>
          <w:color w:val="auto"/>
        </w:rPr>
        <w:t>Business Roundtable, Business</w:t>
      </w:r>
      <w:r>
        <w:rPr>
          <w:rFonts w:ascii="Arial" w:cs="Arial" w:eastAsia="Arial" w:hAnsi="Arial"/>
          <w:sz w:val="18"/>
          <w:szCs w:val="18"/>
          <w:b w:val="1"/>
          <w:bCs w:val="1"/>
          <w:color w:val="auto"/>
        </w:rPr>
        <w:t xml:space="preserve"> </w:t>
      </w:r>
      <w:r>
        <w:rPr>
          <w:rFonts w:ascii="Arial" w:cs="Arial" w:eastAsia="Arial" w:hAnsi="Arial"/>
          <w:sz w:val="18"/>
          <w:szCs w:val="18"/>
          <w:color w:val="auto"/>
        </w:rPr>
        <w:t>Council, Institute of International Finance (Chair, Insurance Regulatory Committee), Partnership for New York City, Damon Runyon Cancer Research Foundation, and Lincoln Center for the Performing Arts</w:t>
      </w:r>
    </w:p>
    <w:p>
      <w:pPr>
        <w:spacing w:after="0" w:line="6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Current public company directorships: </w:t>
      </w:r>
      <w:r>
        <w:rPr>
          <w:rFonts w:ascii="Arial" w:cs="Arial" w:eastAsia="Arial" w:hAnsi="Arial"/>
          <w:sz w:val="18"/>
          <w:szCs w:val="18"/>
          <w:color w:val="auto"/>
        </w:rPr>
        <w:t>MetLife (May 2011–Present)</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Previous public company directorships in last five years: </w:t>
      </w:r>
      <w:r>
        <w:rPr>
          <w:rFonts w:ascii="Arial" w:cs="Arial" w:eastAsia="Arial" w:hAnsi="Arial"/>
          <w:sz w:val="18"/>
          <w:szCs w:val="18"/>
          <w:color w:val="auto"/>
        </w:rPr>
        <w:t>None</w:t>
      </w:r>
    </w:p>
    <w:p>
      <w:pPr>
        <w:spacing w:after="0" w:line="1993" w:lineRule="exact"/>
        <w:rPr>
          <w:sz w:val="20"/>
          <w:szCs w:val="20"/>
          <w:color w:val="auto"/>
        </w:rPr>
      </w:pPr>
    </w:p>
    <w:p>
      <w:pPr>
        <w:sectPr>
          <w:pgSz w:w="11900" w:h="16838" w:orient="portrait"/>
          <w:cols w:equalWidth="0" w:num="2">
            <w:col w:w="3440" w:space="260"/>
            <w:col w:w="6840"/>
          </w:cols>
          <w:pgMar w:left="240" w:top="455" w:right="1119" w:bottom="1440" w:gutter="0" w:footer="0" w:header="0"/>
          <w:type w:val="continuous"/>
        </w:sectPr>
      </w:pPr>
    </w:p>
    <w:p>
      <w:pPr>
        <w:spacing w:after="0" w:line="84" w:lineRule="exact"/>
        <w:rPr>
          <w:sz w:val="20"/>
          <w:szCs w:val="20"/>
          <w:color w:val="auto"/>
        </w:rPr>
      </w:pPr>
    </w:p>
    <w:tbl>
      <w:tblPr>
        <w:tblLayout w:type="fixed"/>
        <w:tblInd w:w="6960" w:type="dxa"/>
        <w:tblCellMar>
          <w:top w:w="0" w:type="dxa"/>
          <w:left w:w="0" w:type="dxa"/>
          <w:bottom w:w="0" w:type="dxa"/>
          <w:right w:w="0" w:type="dxa"/>
        </w:tblCellMar>
      </w:tblPr>
      <w:tr>
        <w:trPr>
          <w:trHeight w:val="243"/>
        </w:trPr>
        <w:tc>
          <w:tcPr>
            <w:tcW w:w="2440" w:type="dxa"/>
            <w:vAlign w:val="bottom"/>
          </w:tcPr>
          <w:p>
            <w:pPr>
              <w:spacing w:after="0"/>
              <w:rPr>
                <w:sz w:val="20"/>
                <w:szCs w:val="20"/>
                <w:color w:val="auto"/>
              </w:rPr>
            </w:pPr>
            <w:r>
              <w:rPr>
                <w:rFonts w:ascii="Times New Roman" w:cs="Times New Roman" w:eastAsia="Times New Roman" w:hAnsi="Times New Roman"/>
                <w:sz w:val="18"/>
                <w:szCs w:val="18"/>
                <w:i w:val="1"/>
                <w:iCs w:val="1"/>
                <w:color w:val="auto"/>
              </w:rPr>
              <w:t>2018 Proxy Statement</w:t>
            </w:r>
          </w:p>
        </w:tc>
        <w:tc>
          <w:tcPr>
            <w:tcW w:w="1060" w:type="dxa"/>
            <w:vAlign w:val="bottom"/>
          </w:tcPr>
          <w:p>
            <w:pPr>
              <w:jc w:val="right"/>
              <w:spacing w:after="0"/>
              <w:rPr>
                <w:sz w:val="20"/>
                <w:szCs w:val="20"/>
                <w:color w:val="auto"/>
              </w:rPr>
            </w:pPr>
            <w:r>
              <w:rPr>
                <w:rFonts w:ascii="Arial" w:cs="Arial" w:eastAsia="Arial" w:hAnsi="Arial"/>
                <w:sz w:val="18"/>
                <w:szCs w:val="18"/>
                <w:color w:val="auto"/>
              </w:rPr>
              <w:t>17</w:t>
            </w:r>
          </w:p>
        </w:tc>
      </w:tr>
    </w:tbl>
    <w:p>
      <w:pPr>
        <w:sectPr>
          <w:pgSz w:w="11900" w:h="16838" w:orient="portrait"/>
          <w:cols w:equalWidth="0" w:num="1">
            <w:col w:w="10540"/>
          </w:cols>
          <w:pgMar w:left="240" w:top="455" w:right="1119" w:bottom="1440" w:gutter="0" w:footer="0" w:header="0"/>
          <w:type w:val="continuous"/>
        </w:sectPr>
      </w:pPr>
    </w:p>
    <w:bookmarkStart w:id="20" w:name="page21"/>
    <w:bookmarkEnd w:id="20"/>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Times New Roman" w:cs="Times New Roman" w:eastAsia="Times New Roman" w:hAnsi="Times New Roman"/>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536575</wp:posOffset>
            </wp:positionH>
            <wp:positionV relativeFrom="paragraph">
              <wp:posOffset>208280</wp:posOffset>
            </wp:positionV>
            <wp:extent cx="6191885" cy="317309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6191885" cy="3173095"/>
                    </a:xfrm>
                    <a:prstGeom prst="rect">
                      <a:avLst/>
                    </a:prstGeom>
                    <a:noFill/>
                  </pic:spPr>
                </pic:pic>
              </a:graphicData>
            </a:graphic>
          </wp:anchor>
        </w:drawing>
      </w:r>
    </w:p>
    <w:p>
      <w:pPr>
        <w:spacing w:after="0" w:line="312" w:lineRule="exact"/>
        <w:rPr>
          <w:sz w:val="20"/>
          <w:szCs w:val="20"/>
          <w:color w:val="auto"/>
        </w:rPr>
      </w:pPr>
    </w:p>
    <w:p>
      <w:pPr>
        <w:jc w:val="right"/>
        <w:ind w:right="7100"/>
        <w:spacing w:after="0"/>
        <w:rPr>
          <w:sz w:val="20"/>
          <w:szCs w:val="20"/>
          <w:color w:val="auto"/>
        </w:rPr>
      </w:pPr>
      <w:r>
        <w:rPr>
          <w:rFonts w:ascii="Arial" w:cs="Arial" w:eastAsia="Arial" w:hAnsi="Arial"/>
          <w:sz w:val="22"/>
          <w:szCs w:val="22"/>
          <w:b w:val="1"/>
          <w:bCs w:val="1"/>
          <w:color w:val="2B4C9B"/>
        </w:rPr>
        <w:t>Douglas R. Oberhelman</w:t>
      </w:r>
    </w:p>
    <w:p>
      <w:pPr>
        <w:sectPr>
          <w:pgSz w:w="11900" w:h="16838" w:orient="portrait"/>
          <w:cols w:equalWidth="0" w:num="1">
            <w:col w:w="10560"/>
          </w:cols>
          <w:pgMar w:left="240" w:top="455" w:right="109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7" w:lineRule="exact"/>
        <w:rPr>
          <w:sz w:val="20"/>
          <w:szCs w:val="20"/>
          <w:color w:val="auto"/>
        </w:rPr>
      </w:pPr>
    </w:p>
    <w:p>
      <w:pPr>
        <w:ind w:left="1100"/>
        <w:spacing w:after="0" w:line="249" w:lineRule="auto"/>
        <w:rPr>
          <w:sz w:val="20"/>
          <w:szCs w:val="20"/>
          <w:color w:val="auto"/>
        </w:rPr>
      </w:pPr>
      <w:r>
        <w:rPr>
          <w:rFonts w:ascii="Arial" w:cs="Arial" w:eastAsia="Arial" w:hAnsi="Arial"/>
          <w:sz w:val="18"/>
          <w:szCs w:val="18"/>
          <w:b w:val="1"/>
          <w:bCs w:val="1"/>
          <w:color w:val="auto"/>
        </w:rPr>
        <w:t xml:space="preserve">Principal occupation: </w:t>
      </w:r>
      <w:r>
        <w:rPr>
          <w:rFonts w:ascii="Arial" w:cs="Arial" w:eastAsia="Arial" w:hAnsi="Arial"/>
          <w:sz w:val="18"/>
          <w:szCs w:val="18"/>
          <w:color w:val="auto"/>
        </w:rPr>
        <w:t>Former Chairman of the Board and Chief Executive Officer, Caterpillar Inc.</w:t>
      </w:r>
    </w:p>
    <w:p>
      <w:pPr>
        <w:spacing w:after="0" w:line="75" w:lineRule="exact"/>
        <w:rPr>
          <w:sz w:val="20"/>
          <w:szCs w:val="20"/>
          <w:color w:val="auto"/>
        </w:rPr>
      </w:pPr>
    </w:p>
    <w:p>
      <w:pPr>
        <w:ind w:left="1100"/>
        <w:spacing w:after="0"/>
        <w:rPr>
          <w:sz w:val="20"/>
          <w:szCs w:val="20"/>
          <w:color w:val="auto"/>
        </w:rPr>
      </w:pPr>
      <w:r>
        <w:rPr>
          <w:rFonts w:ascii="Arial" w:cs="Arial" w:eastAsia="Arial" w:hAnsi="Arial"/>
          <w:sz w:val="18"/>
          <w:szCs w:val="18"/>
          <w:color w:val="auto"/>
        </w:rPr>
        <w:t>Age 65</w:t>
      </w:r>
    </w:p>
    <w:p>
      <w:pPr>
        <w:spacing w:after="0" w:line="13" w:lineRule="exact"/>
        <w:rPr>
          <w:sz w:val="20"/>
          <w:szCs w:val="20"/>
          <w:color w:val="auto"/>
        </w:rPr>
      </w:pPr>
    </w:p>
    <w:p>
      <w:pPr>
        <w:ind w:left="1100"/>
        <w:spacing w:after="0"/>
        <w:rPr>
          <w:sz w:val="20"/>
          <w:szCs w:val="20"/>
          <w:color w:val="auto"/>
        </w:rPr>
      </w:pPr>
      <w:r>
        <w:rPr>
          <w:rFonts w:ascii="Arial" w:cs="Arial" w:eastAsia="Arial" w:hAnsi="Arial"/>
          <w:sz w:val="18"/>
          <w:szCs w:val="18"/>
          <w:color w:val="auto"/>
        </w:rPr>
        <w:t>Director since 2015</w:t>
      </w:r>
    </w:p>
    <w:p>
      <w:pPr>
        <w:ind w:left="1100"/>
        <w:spacing w:after="0"/>
        <w:rPr>
          <w:sz w:val="20"/>
          <w:szCs w:val="20"/>
          <w:color w:val="auto"/>
        </w:rPr>
      </w:pPr>
      <w:r>
        <w:rPr>
          <w:rFonts w:ascii="Arial" w:cs="Arial" w:eastAsia="Arial" w:hAnsi="Arial"/>
          <w:sz w:val="18"/>
          <w:szCs w:val="18"/>
          <w:color w:val="auto"/>
        </w:rPr>
        <w:t>Independent director</w:t>
      </w:r>
    </w:p>
    <w:p>
      <w:pPr>
        <w:spacing w:after="0" w:line="93" w:lineRule="exact"/>
        <w:rPr>
          <w:sz w:val="20"/>
          <w:szCs w:val="20"/>
          <w:color w:val="auto"/>
        </w:rPr>
      </w:pPr>
    </w:p>
    <w:p>
      <w:pPr>
        <w:ind w:left="1100"/>
        <w:spacing w:after="0"/>
        <w:rPr>
          <w:sz w:val="20"/>
          <w:szCs w:val="20"/>
          <w:color w:val="auto"/>
        </w:rPr>
      </w:pPr>
      <w:r>
        <w:rPr>
          <w:rFonts w:ascii="Arial" w:cs="Arial" w:eastAsia="Arial" w:hAnsi="Arial"/>
          <w:sz w:val="18"/>
          <w:szCs w:val="18"/>
          <w:b w:val="1"/>
          <w:bCs w:val="1"/>
          <w:color w:val="auto"/>
        </w:rPr>
        <w:t>Committees:</w:t>
      </w:r>
    </w:p>
    <w:p>
      <w:pPr>
        <w:spacing w:after="0" w:line="20" w:lineRule="exact"/>
        <w:rPr>
          <w:sz w:val="20"/>
          <w:szCs w:val="20"/>
          <w:color w:val="auto"/>
        </w:rPr>
      </w:pPr>
    </w:p>
    <w:p>
      <w:pPr>
        <w:ind w:left="1100"/>
        <w:spacing w:after="0"/>
        <w:rPr>
          <w:sz w:val="20"/>
          <w:szCs w:val="20"/>
          <w:color w:val="auto"/>
        </w:rPr>
      </w:pPr>
      <w:r>
        <w:rPr>
          <w:rFonts w:ascii="Arial" w:cs="Arial" w:eastAsia="Arial" w:hAnsi="Arial"/>
          <w:sz w:val="18"/>
          <w:szCs w:val="18"/>
          <w:color w:val="auto"/>
        </w:rPr>
        <w:t>Audit, Finance</w:t>
      </w:r>
    </w:p>
    <w:p>
      <w:pPr>
        <w:spacing w:after="0" w:line="20" w:lineRule="exact"/>
        <w:rPr>
          <w:sz w:val="20"/>
          <w:szCs w:val="20"/>
          <w:color w:val="auto"/>
        </w:rPr>
      </w:pPr>
      <w:r>
        <w:rPr>
          <w:sz w:val="20"/>
          <w:szCs w:val="20"/>
          <w:color w:val="auto"/>
        </w:rPr>
        <w:br w:type="column"/>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Experience, qualifications, and attributes:</w:t>
      </w:r>
    </w:p>
    <w:p>
      <w:pPr>
        <w:spacing w:after="0" w:line="117" w:lineRule="exact"/>
        <w:rPr>
          <w:sz w:val="20"/>
          <w:szCs w:val="20"/>
          <w:color w:val="auto"/>
        </w:rPr>
      </w:pPr>
    </w:p>
    <w:p>
      <w:pPr>
        <w:ind w:left="320" w:right="40" w:hanging="312"/>
        <w:spacing w:after="0" w:line="274" w:lineRule="auto"/>
        <w:tabs>
          <w:tab w:leader="none" w:pos="329" w:val="left"/>
        </w:tabs>
        <w:numPr>
          <w:ilvl w:val="0"/>
          <w:numId w:val="27"/>
        </w:numPr>
        <w:rPr>
          <w:rFonts w:ascii="Times New Roman" w:cs="Times New Roman" w:eastAsia="Times New Roman" w:hAnsi="Times New Roman"/>
          <w:sz w:val="17"/>
          <w:szCs w:val="17"/>
          <w:color w:val="auto"/>
        </w:rPr>
      </w:pPr>
      <w:r>
        <w:rPr>
          <w:rFonts w:ascii="Arial" w:cs="Arial" w:eastAsia="Arial" w:hAnsi="Arial"/>
          <w:sz w:val="17"/>
          <w:szCs w:val="17"/>
          <w:b w:val="1"/>
          <w:bCs w:val="1"/>
          <w:color w:val="auto"/>
        </w:rPr>
        <w:t xml:space="preserve">Global business leadership </w:t>
      </w:r>
      <w:r>
        <w:rPr>
          <w:rFonts w:ascii="Arial" w:cs="Arial" w:eastAsia="Arial" w:hAnsi="Arial"/>
          <w:sz w:val="17"/>
          <w:szCs w:val="17"/>
          <w:color w:val="auto"/>
        </w:rPr>
        <w:t>at Caterpillar as Chairman from 2010 to 2017; as</w:t>
      </w:r>
      <w:r>
        <w:rPr>
          <w:rFonts w:ascii="Arial" w:cs="Arial" w:eastAsia="Arial" w:hAnsi="Arial"/>
          <w:sz w:val="17"/>
          <w:szCs w:val="17"/>
          <w:b w:val="1"/>
          <w:bCs w:val="1"/>
          <w:color w:val="auto"/>
        </w:rPr>
        <w:t xml:space="preserve"> </w:t>
      </w:r>
      <w:r>
        <w:rPr>
          <w:rFonts w:ascii="Arial" w:cs="Arial" w:eastAsia="Arial" w:hAnsi="Arial"/>
          <w:sz w:val="17"/>
          <w:szCs w:val="17"/>
          <w:color w:val="auto"/>
        </w:rPr>
        <w:t>Chief Executive Officer from 2010 to 2016; as Group President of Caterpillar from 2002 to 2010; and as Vice President, Engine Products Division from 1998 to 2002. He also served as Vice President and Chief Financial Officer from 1995 to 1998.</w:t>
      </w:r>
    </w:p>
    <w:p>
      <w:pPr>
        <w:spacing w:after="0" w:line="51" w:lineRule="exact"/>
        <w:rPr>
          <w:rFonts w:ascii="Times New Roman" w:cs="Times New Roman" w:eastAsia="Times New Roman" w:hAnsi="Times New Roman"/>
          <w:sz w:val="17"/>
          <w:szCs w:val="17"/>
          <w:color w:val="auto"/>
        </w:rPr>
      </w:pPr>
    </w:p>
    <w:p>
      <w:pPr>
        <w:ind w:left="320" w:right="160" w:hanging="312"/>
        <w:spacing w:after="0" w:line="267" w:lineRule="auto"/>
        <w:tabs>
          <w:tab w:leader="none" w:pos="329" w:val="left"/>
        </w:tabs>
        <w:numPr>
          <w:ilvl w:val="0"/>
          <w:numId w:val="27"/>
        </w:numPr>
        <w:rPr>
          <w:rFonts w:ascii="Times New Roman" w:cs="Times New Roman" w:eastAsia="Times New Roman" w:hAnsi="Times New Roman"/>
          <w:sz w:val="17"/>
          <w:szCs w:val="17"/>
          <w:color w:val="auto"/>
        </w:rPr>
      </w:pPr>
      <w:r>
        <w:rPr>
          <w:rFonts w:ascii="Arial" w:cs="Arial" w:eastAsia="Arial" w:hAnsi="Arial"/>
          <w:sz w:val="17"/>
          <w:szCs w:val="17"/>
          <w:b w:val="1"/>
          <w:bCs w:val="1"/>
          <w:color w:val="auto"/>
        </w:rPr>
        <w:t xml:space="preserve">Business, conservation, and charitable affiliations: </w:t>
      </w:r>
      <w:r>
        <w:rPr>
          <w:rFonts w:ascii="Arial" w:cs="Arial" w:eastAsia="Arial" w:hAnsi="Arial"/>
          <w:sz w:val="17"/>
          <w:szCs w:val="17"/>
          <w:color w:val="auto"/>
        </w:rPr>
        <w:t>Business Roundtable</w:t>
      </w:r>
      <w:r>
        <w:rPr>
          <w:rFonts w:ascii="Arial" w:cs="Arial" w:eastAsia="Arial" w:hAnsi="Arial"/>
          <w:sz w:val="17"/>
          <w:szCs w:val="17"/>
          <w:b w:val="1"/>
          <w:bCs w:val="1"/>
          <w:color w:val="auto"/>
        </w:rPr>
        <w:t xml:space="preserve"> </w:t>
      </w:r>
      <w:r>
        <w:rPr>
          <w:rFonts w:ascii="Arial" w:cs="Arial" w:eastAsia="Arial" w:hAnsi="Arial"/>
          <w:sz w:val="17"/>
          <w:szCs w:val="17"/>
          <w:color w:val="auto"/>
        </w:rPr>
        <w:t>(former Chairman), National Association of Manufacturers (former Chairman), Business Council (graduate member), Wetlands America Trust (Vice President), Easter Seals Foundation of Central Illinois (Chairman), Gilmore Foundation (Vice President and Director), Intersect Illinois, and Max McGraw Wildlife Foundation</w:t>
      </w:r>
    </w:p>
    <w:p>
      <w:pPr>
        <w:spacing w:after="0" w:line="6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Current public company directorships: </w:t>
      </w:r>
      <w:r>
        <w:rPr>
          <w:rFonts w:ascii="Arial" w:cs="Arial" w:eastAsia="Arial" w:hAnsi="Arial"/>
          <w:sz w:val="18"/>
          <w:szCs w:val="18"/>
          <w:color w:val="auto"/>
        </w:rPr>
        <w:t>Bombardier (November 2017–Present)</w:t>
      </w:r>
    </w:p>
    <w:p>
      <w:pPr>
        <w:spacing w:after="0" w:line="117" w:lineRule="exact"/>
        <w:rPr>
          <w:sz w:val="20"/>
          <w:szCs w:val="20"/>
          <w:color w:val="auto"/>
        </w:rPr>
      </w:pPr>
    </w:p>
    <w:p>
      <w:pPr>
        <w:ind w:right="240"/>
        <w:spacing w:after="0" w:line="278" w:lineRule="auto"/>
        <w:rPr>
          <w:sz w:val="20"/>
          <w:szCs w:val="20"/>
          <w:color w:val="auto"/>
        </w:rPr>
      </w:pPr>
      <w:r>
        <w:rPr>
          <w:rFonts w:ascii="Arial" w:cs="Arial" w:eastAsia="Arial" w:hAnsi="Arial"/>
          <w:sz w:val="18"/>
          <w:szCs w:val="18"/>
          <w:b w:val="1"/>
          <w:bCs w:val="1"/>
          <w:color w:val="auto"/>
        </w:rPr>
        <w:t xml:space="preserve">Previous public company directorships in last five years: </w:t>
      </w:r>
      <w:r>
        <w:rPr>
          <w:rFonts w:ascii="Arial" w:cs="Arial" w:eastAsia="Arial" w:hAnsi="Arial"/>
          <w:sz w:val="18"/>
          <w:szCs w:val="18"/>
          <w:color w:val="auto"/>
        </w:rPr>
        <w:t>Eli Lilly and Company</w:t>
      </w:r>
      <w:r>
        <w:rPr>
          <w:rFonts w:ascii="Arial" w:cs="Arial" w:eastAsia="Arial" w:hAnsi="Arial"/>
          <w:sz w:val="18"/>
          <w:szCs w:val="18"/>
          <w:b w:val="1"/>
          <w:bCs w:val="1"/>
          <w:color w:val="auto"/>
        </w:rPr>
        <w:t xml:space="preserve"> </w:t>
      </w:r>
      <w:r>
        <w:rPr>
          <w:rFonts w:ascii="Arial" w:cs="Arial" w:eastAsia="Arial" w:hAnsi="Arial"/>
          <w:sz w:val="18"/>
          <w:szCs w:val="18"/>
          <w:color w:val="auto"/>
        </w:rPr>
        <w:t>(December 2008–February 2015); Caterpillar (July 2010–March 2017)</w:t>
      </w:r>
    </w:p>
    <w:p>
      <w:pPr>
        <w:spacing w:after="0" w:line="4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Other board experience: </w:t>
      </w:r>
      <w:r>
        <w:rPr>
          <w:rFonts w:ascii="Arial" w:cs="Arial" w:eastAsia="Arial" w:hAnsi="Arial"/>
          <w:sz w:val="18"/>
          <w:szCs w:val="18"/>
          <w:color w:val="auto"/>
        </w:rPr>
        <w:t>former Director of Ameren Corporation (prior to 2013)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-1774190</wp:posOffset>
            </wp:positionH>
            <wp:positionV relativeFrom="paragraph">
              <wp:posOffset>956310</wp:posOffset>
            </wp:positionV>
            <wp:extent cx="6191885" cy="317309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6191885" cy="3173095"/>
                    </a:xfrm>
                    <a:prstGeom prst="rect">
                      <a:avLst/>
                    </a:prstGeom>
                    <a:noFill/>
                  </pic:spPr>
                </pic:pic>
              </a:graphicData>
            </a:graphic>
          </wp:anchor>
        </w:drawing>
      </w:r>
    </w:p>
    <w:p>
      <w:pPr>
        <w:spacing w:after="0" w:line="1061" w:lineRule="exact"/>
        <w:rPr>
          <w:sz w:val="20"/>
          <w:szCs w:val="20"/>
          <w:color w:val="auto"/>
        </w:rPr>
      </w:pPr>
    </w:p>
    <w:p>
      <w:pPr>
        <w:sectPr>
          <w:pgSz w:w="11900" w:h="16838" w:orient="portrait"/>
          <w:cols w:equalWidth="0" w:num="2">
            <w:col w:w="3240" w:space="400"/>
            <w:col w:w="6920"/>
          </w:cols>
          <w:pgMar w:left="240" w:top="455" w:right="1099" w:bottom="1440" w:gutter="0" w:footer="0" w:header="0"/>
          <w:type w:val="continuous"/>
        </w:sectPr>
      </w:pPr>
    </w:p>
    <w:p>
      <w:pPr>
        <w:spacing w:after="0" w:line="200" w:lineRule="exact"/>
        <w:rPr>
          <w:sz w:val="20"/>
          <w:szCs w:val="20"/>
          <w:color w:val="auto"/>
        </w:rPr>
      </w:pPr>
    </w:p>
    <w:p>
      <w:pPr>
        <w:spacing w:after="0" w:line="249" w:lineRule="exact"/>
        <w:rPr>
          <w:sz w:val="20"/>
          <w:szCs w:val="20"/>
          <w:color w:val="auto"/>
        </w:rPr>
      </w:pPr>
    </w:p>
    <w:p>
      <w:pPr>
        <w:ind w:left="1000"/>
        <w:spacing w:after="0"/>
        <w:rPr>
          <w:sz w:val="20"/>
          <w:szCs w:val="20"/>
          <w:color w:val="auto"/>
        </w:rPr>
      </w:pPr>
      <w:r>
        <w:rPr>
          <w:rFonts w:ascii="Arial" w:cs="Arial" w:eastAsia="Arial" w:hAnsi="Arial"/>
          <w:sz w:val="21"/>
          <w:szCs w:val="21"/>
          <w:b w:val="1"/>
          <w:bCs w:val="1"/>
          <w:color w:val="2B4C9B"/>
        </w:rPr>
        <w:t>Samuel J. Palmisano</w:t>
      </w:r>
    </w:p>
    <w:p>
      <w:pPr>
        <w:sectPr>
          <w:pgSz w:w="11900" w:h="16838" w:orient="portrait"/>
          <w:cols w:equalWidth="0" w:num="1">
            <w:col w:w="10560"/>
          </w:cols>
          <w:pgMar w:left="240" w:top="455" w:right="1099" w:bottom="1440"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8" w:lineRule="exact"/>
        <w:rPr>
          <w:sz w:val="20"/>
          <w:szCs w:val="20"/>
          <w:color w:val="auto"/>
        </w:rPr>
      </w:pPr>
    </w:p>
    <w:p>
      <w:pPr>
        <w:jc w:val="both"/>
        <w:ind w:left="1100" w:right="420"/>
        <w:spacing w:after="0" w:line="256" w:lineRule="auto"/>
        <w:rPr>
          <w:sz w:val="20"/>
          <w:szCs w:val="20"/>
          <w:color w:val="auto"/>
        </w:rPr>
      </w:pPr>
      <w:r>
        <w:rPr>
          <w:rFonts w:ascii="Arial" w:cs="Arial" w:eastAsia="Arial" w:hAnsi="Arial"/>
          <w:sz w:val="18"/>
          <w:szCs w:val="18"/>
          <w:b w:val="1"/>
          <w:bCs w:val="1"/>
          <w:color w:val="auto"/>
        </w:rPr>
        <w:t xml:space="preserve">Principal occupation: </w:t>
      </w:r>
      <w:r>
        <w:rPr>
          <w:rFonts w:ascii="Arial" w:cs="Arial" w:eastAsia="Arial" w:hAnsi="Arial"/>
          <w:sz w:val="18"/>
          <w:szCs w:val="18"/>
          <w:color w:val="auto"/>
        </w:rPr>
        <w:t>Former Chairman of the Board, IBM</w:t>
      </w:r>
    </w:p>
    <w:p>
      <w:pPr>
        <w:spacing w:after="0" w:line="69" w:lineRule="exact"/>
        <w:rPr>
          <w:sz w:val="20"/>
          <w:szCs w:val="20"/>
          <w:color w:val="auto"/>
        </w:rPr>
      </w:pPr>
    </w:p>
    <w:p>
      <w:pPr>
        <w:ind w:left="1100"/>
        <w:spacing w:after="0"/>
        <w:rPr>
          <w:sz w:val="20"/>
          <w:szCs w:val="20"/>
          <w:color w:val="auto"/>
        </w:rPr>
      </w:pPr>
      <w:r>
        <w:rPr>
          <w:rFonts w:ascii="Arial" w:cs="Arial" w:eastAsia="Arial" w:hAnsi="Arial"/>
          <w:sz w:val="18"/>
          <w:szCs w:val="18"/>
          <w:color w:val="auto"/>
        </w:rPr>
        <w:t>Age 66</w:t>
      </w:r>
    </w:p>
    <w:p>
      <w:pPr>
        <w:spacing w:after="0" w:line="13" w:lineRule="exact"/>
        <w:rPr>
          <w:sz w:val="20"/>
          <w:szCs w:val="20"/>
          <w:color w:val="auto"/>
        </w:rPr>
      </w:pPr>
    </w:p>
    <w:p>
      <w:pPr>
        <w:ind w:left="1100"/>
        <w:spacing w:after="0"/>
        <w:rPr>
          <w:sz w:val="20"/>
          <w:szCs w:val="20"/>
          <w:color w:val="auto"/>
        </w:rPr>
      </w:pPr>
      <w:r>
        <w:rPr>
          <w:rFonts w:ascii="Arial" w:cs="Arial" w:eastAsia="Arial" w:hAnsi="Arial"/>
          <w:sz w:val="18"/>
          <w:szCs w:val="18"/>
          <w:color w:val="auto"/>
        </w:rPr>
        <w:t>Director since 2006</w:t>
      </w:r>
    </w:p>
    <w:p>
      <w:pPr>
        <w:ind w:left="1100"/>
        <w:spacing w:after="0"/>
        <w:rPr>
          <w:sz w:val="20"/>
          <w:szCs w:val="20"/>
          <w:color w:val="auto"/>
        </w:rPr>
      </w:pPr>
      <w:r>
        <w:rPr>
          <w:rFonts w:ascii="Arial" w:cs="Arial" w:eastAsia="Arial" w:hAnsi="Arial"/>
          <w:sz w:val="18"/>
          <w:szCs w:val="18"/>
          <w:color w:val="auto"/>
        </w:rPr>
        <w:t>Independent director</w:t>
      </w:r>
    </w:p>
    <w:p>
      <w:pPr>
        <w:spacing w:after="0" w:line="93" w:lineRule="exact"/>
        <w:rPr>
          <w:sz w:val="20"/>
          <w:szCs w:val="20"/>
          <w:color w:val="auto"/>
        </w:rPr>
      </w:pPr>
    </w:p>
    <w:p>
      <w:pPr>
        <w:ind w:left="1100"/>
        <w:spacing w:after="0"/>
        <w:rPr>
          <w:sz w:val="20"/>
          <w:szCs w:val="20"/>
          <w:color w:val="auto"/>
        </w:rPr>
      </w:pPr>
      <w:r>
        <w:rPr>
          <w:rFonts w:ascii="Arial" w:cs="Arial" w:eastAsia="Arial" w:hAnsi="Arial"/>
          <w:sz w:val="18"/>
          <w:szCs w:val="18"/>
          <w:b w:val="1"/>
          <w:bCs w:val="1"/>
          <w:color w:val="auto"/>
        </w:rPr>
        <w:t>Committees:</w:t>
      </w:r>
    </w:p>
    <w:p>
      <w:pPr>
        <w:spacing w:after="0" w:line="20" w:lineRule="exact"/>
        <w:rPr>
          <w:sz w:val="20"/>
          <w:szCs w:val="20"/>
          <w:color w:val="auto"/>
        </w:rPr>
      </w:pPr>
    </w:p>
    <w:p>
      <w:pPr>
        <w:ind w:left="1100"/>
        <w:spacing w:after="0" w:line="251" w:lineRule="auto"/>
        <w:rPr>
          <w:sz w:val="20"/>
          <w:szCs w:val="20"/>
          <w:color w:val="auto"/>
        </w:rPr>
      </w:pPr>
      <w:r>
        <w:rPr>
          <w:rFonts w:ascii="Arial" w:cs="Arial" w:eastAsia="Arial" w:hAnsi="Arial"/>
          <w:sz w:val="18"/>
          <w:szCs w:val="18"/>
          <w:color w:val="auto"/>
        </w:rPr>
        <w:t>Board Affairs, Compensation, Executive</w:t>
      </w:r>
    </w:p>
    <w:p>
      <w:pPr>
        <w:spacing w:after="0" w:line="20" w:lineRule="exact"/>
        <w:rPr>
          <w:sz w:val="20"/>
          <w:szCs w:val="20"/>
          <w:color w:val="auto"/>
        </w:rPr>
      </w:pPr>
      <w:r>
        <w:rPr>
          <w:sz w:val="20"/>
          <w:szCs w:val="20"/>
          <w:color w:val="auto"/>
        </w:rPr>
        <w:br w:type="column"/>
      </w:r>
    </w:p>
    <w:p>
      <w:pPr>
        <w:spacing w:after="0" w:line="23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Experience, qualifications, and attributes:</w:t>
      </w:r>
    </w:p>
    <w:p>
      <w:pPr>
        <w:spacing w:after="0" w:line="117" w:lineRule="exact"/>
        <w:rPr>
          <w:sz w:val="20"/>
          <w:szCs w:val="20"/>
          <w:color w:val="auto"/>
        </w:rPr>
      </w:pPr>
    </w:p>
    <w:p>
      <w:pPr>
        <w:ind w:left="320" w:right="80" w:hanging="311"/>
        <w:spacing w:after="0" w:line="254" w:lineRule="auto"/>
        <w:tabs>
          <w:tab w:leader="none" w:pos="329" w:val="left"/>
        </w:tabs>
        <w:numPr>
          <w:ilvl w:val="0"/>
          <w:numId w:val="28"/>
        </w:numPr>
        <w:rPr>
          <w:rFonts w:ascii="Times New Roman" w:cs="Times New Roman" w:eastAsia="Times New Roman" w:hAnsi="Times New Roman"/>
          <w:sz w:val="18"/>
          <w:szCs w:val="18"/>
          <w:color w:val="auto"/>
        </w:rPr>
      </w:pPr>
      <w:r>
        <w:rPr>
          <w:rFonts w:ascii="Arial" w:cs="Arial" w:eastAsia="Arial" w:hAnsi="Arial"/>
          <w:sz w:val="18"/>
          <w:szCs w:val="18"/>
          <w:b w:val="1"/>
          <w:bCs w:val="1"/>
          <w:color w:val="auto"/>
        </w:rPr>
        <w:t xml:space="preserve">Global business leadership </w:t>
      </w:r>
      <w:r>
        <w:rPr>
          <w:rFonts w:ascii="Arial" w:cs="Arial" w:eastAsia="Arial" w:hAnsi="Arial"/>
          <w:sz w:val="18"/>
          <w:szCs w:val="18"/>
          <w:color w:val="auto"/>
        </w:rPr>
        <w:t>at IBM as Chairman, President, and Chief</w:t>
      </w:r>
      <w:r>
        <w:rPr>
          <w:rFonts w:ascii="Arial" w:cs="Arial" w:eastAsia="Arial" w:hAnsi="Arial"/>
          <w:sz w:val="18"/>
          <w:szCs w:val="18"/>
          <w:b w:val="1"/>
          <w:bCs w:val="1"/>
          <w:color w:val="auto"/>
        </w:rPr>
        <w:t xml:space="preserve"> </w:t>
      </w:r>
      <w:r>
        <w:rPr>
          <w:rFonts w:ascii="Arial" w:cs="Arial" w:eastAsia="Arial" w:hAnsi="Arial"/>
          <w:sz w:val="18"/>
          <w:szCs w:val="18"/>
          <w:color w:val="auto"/>
        </w:rPr>
        <w:t>Executive Officer from 2003 to 2012. He also served as President, Senior Vice President, and Group Executive for IBM’s Enterprise Systems Group, IBM Global Services, and IBM’s Personal Systems Group.</w:t>
      </w:r>
    </w:p>
    <w:p>
      <w:pPr>
        <w:spacing w:after="0" w:line="68" w:lineRule="exact"/>
        <w:rPr>
          <w:rFonts w:ascii="Times New Roman" w:cs="Times New Roman" w:eastAsia="Times New Roman" w:hAnsi="Times New Roman"/>
          <w:sz w:val="18"/>
          <w:szCs w:val="18"/>
          <w:color w:val="auto"/>
        </w:rPr>
      </w:pPr>
    </w:p>
    <w:p>
      <w:pPr>
        <w:ind w:left="320" w:hanging="311"/>
        <w:spacing w:after="0" w:line="254" w:lineRule="auto"/>
        <w:tabs>
          <w:tab w:leader="none" w:pos="329" w:val="left"/>
        </w:tabs>
        <w:numPr>
          <w:ilvl w:val="0"/>
          <w:numId w:val="28"/>
        </w:numPr>
        <w:rPr>
          <w:rFonts w:ascii="Times New Roman" w:cs="Times New Roman" w:eastAsia="Times New Roman" w:hAnsi="Times New Roman"/>
          <w:sz w:val="18"/>
          <w:szCs w:val="18"/>
          <w:color w:val="auto"/>
        </w:rPr>
      </w:pPr>
      <w:r>
        <w:rPr>
          <w:rFonts w:ascii="Arial" w:cs="Arial" w:eastAsia="Arial" w:hAnsi="Arial"/>
          <w:sz w:val="18"/>
          <w:szCs w:val="18"/>
          <w:b w:val="1"/>
          <w:bCs w:val="1"/>
          <w:color w:val="auto"/>
        </w:rPr>
        <w:t xml:space="preserve">Business, public policy, and research affiliations: </w:t>
      </w:r>
      <w:r>
        <w:rPr>
          <w:rFonts w:ascii="Arial" w:cs="Arial" w:eastAsia="Arial" w:hAnsi="Arial"/>
          <w:sz w:val="18"/>
          <w:szCs w:val="18"/>
          <w:color w:val="auto"/>
        </w:rPr>
        <w:t>Center for Global Enterprise</w:t>
      </w:r>
      <w:r>
        <w:rPr>
          <w:rFonts w:ascii="Arial" w:cs="Arial" w:eastAsia="Arial" w:hAnsi="Arial"/>
          <w:sz w:val="18"/>
          <w:szCs w:val="18"/>
          <w:b w:val="1"/>
          <w:bCs w:val="1"/>
          <w:color w:val="auto"/>
        </w:rPr>
        <w:t xml:space="preserve"> </w:t>
      </w:r>
      <w:r>
        <w:rPr>
          <w:rFonts w:ascii="Arial" w:cs="Arial" w:eastAsia="Arial" w:hAnsi="Arial"/>
          <w:sz w:val="18"/>
          <w:szCs w:val="18"/>
          <w:color w:val="auto"/>
        </w:rPr>
        <w:t>(Chairman), Business Roundtable, Executive Committee of the Council on Competitiveness, and Commission on Enhancing National Cybersecurity (former Vice Chair)</w:t>
      </w:r>
    </w:p>
    <w:p>
      <w:pPr>
        <w:spacing w:after="0" w:line="6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Current public company directorships: </w:t>
      </w:r>
      <w:r>
        <w:rPr>
          <w:rFonts w:ascii="Arial" w:cs="Arial" w:eastAsia="Arial" w:hAnsi="Arial"/>
          <w:sz w:val="18"/>
          <w:szCs w:val="18"/>
          <w:color w:val="auto"/>
        </w:rPr>
        <w:t>American Express (March 2013–Present)</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Previous public company directorships in last five years: </w:t>
      </w:r>
      <w:r>
        <w:rPr>
          <w:rFonts w:ascii="Arial" w:cs="Arial" w:eastAsia="Arial" w:hAnsi="Arial"/>
          <w:sz w:val="18"/>
          <w:szCs w:val="18"/>
          <w:color w:val="auto"/>
        </w:rPr>
        <w:t>None</w:t>
      </w:r>
    </w:p>
    <w:p>
      <w:pPr>
        <w:spacing w:after="0" w:line="117" w:lineRule="exact"/>
        <w:rPr>
          <w:sz w:val="20"/>
          <w:szCs w:val="20"/>
          <w:color w:val="auto"/>
        </w:rPr>
      </w:pPr>
    </w:p>
    <w:p>
      <w:pPr>
        <w:ind w:right="480"/>
        <w:spacing w:after="0" w:line="278" w:lineRule="auto"/>
        <w:rPr>
          <w:sz w:val="20"/>
          <w:szCs w:val="20"/>
          <w:color w:val="auto"/>
        </w:rPr>
      </w:pPr>
      <w:r>
        <w:rPr>
          <w:rFonts w:ascii="Arial" w:cs="Arial" w:eastAsia="Arial" w:hAnsi="Arial"/>
          <w:sz w:val="18"/>
          <w:szCs w:val="18"/>
          <w:b w:val="1"/>
          <w:bCs w:val="1"/>
          <w:color w:val="auto"/>
        </w:rPr>
        <w:t xml:space="preserve">Other board experience: </w:t>
      </w:r>
      <w:r>
        <w:rPr>
          <w:rFonts w:ascii="Arial" w:cs="Arial" w:eastAsia="Arial" w:hAnsi="Arial"/>
          <w:sz w:val="18"/>
          <w:szCs w:val="18"/>
          <w:color w:val="auto"/>
        </w:rPr>
        <w:t>former Director of Gannett Co. and IBM (both prior to</w:t>
      </w:r>
      <w:r>
        <w:rPr>
          <w:rFonts w:ascii="Arial" w:cs="Arial" w:eastAsia="Arial" w:hAnsi="Arial"/>
          <w:sz w:val="18"/>
          <w:szCs w:val="18"/>
          <w:b w:val="1"/>
          <w:bCs w:val="1"/>
          <w:color w:val="auto"/>
        </w:rPr>
        <w:t xml:space="preserve"> </w:t>
      </w:r>
      <w:r>
        <w:rPr>
          <w:rFonts w:ascii="Arial" w:cs="Arial" w:eastAsia="Arial" w:hAnsi="Arial"/>
          <w:sz w:val="18"/>
          <w:szCs w:val="18"/>
          <w:color w:val="auto"/>
        </w:rPr>
        <w:t>2013)</w:t>
      </w:r>
    </w:p>
    <w:p>
      <w:pPr>
        <w:spacing w:after="0" w:line="1217" w:lineRule="exact"/>
        <w:rPr>
          <w:sz w:val="20"/>
          <w:szCs w:val="20"/>
          <w:color w:val="auto"/>
        </w:rPr>
      </w:pPr>
    </w:p>
    <w:p>
      <w:pPr>
        <w:sectPr>
          <w:pgSz w:w="11900" w:h="16838" w:orient="portrait"/>
          <w:cols w:equalWidth="0" w:num="2">
            <w:col w:w="3440" w:space="280"/>
            <w:col w:w="6840"/>
          </w:cols>
          <w:pgMar w:left="240" w:top="455" w:right="1099" w:bottom="1440" w:gutter="0" w:footer="0" w:header="0"/>
          <w:type w:val="continuous"/>
        </w:sectPr>
      </w:pPr>
    </w:p>
    <w:p>
      <w:pPr>
        <w:spacing w:after="0" w:line="61" w:lineRule="exact"/>
        <w:rPr>
          <w:sz w:val="20"/>
          <w:szCs w:val="20"/>
          <w:color w:val="auto"/>
        </w:rPr>
      </w:pPr>
    </w:p>
    <w:p>
      <w:pPr>
        <w:ind w:left="880"/>
        <w:spacing w:after="0"/>
        <w:tabs>
          <w:tab w:leader="none" w:pos="2780" w:val="left"/>
        </w:tabs>
        <w:rPr>
          <w:sz w:val="20"/>
          <w:szCs w:val="20"/>
          <w:color w:val="auto"/>
        </w:rPr>
      </w:pPr>
      <w:r>
        <w:rPr>
          <w:rFonts w:ascii="Arial" w:cs="Arial" w:eastAsia="Arial" w:hAnsi="Arial"/>
          <w:sz w:val="17"/>
          <w:szCs w:val="17"/>
          <w:color w:val="auto"/>
        </w:rPr>
        <w:t>18</w:t>
      </w:r>
      <w:r>
        <w:rPr>
          <w:sz w:val="20"/>
          <w:szCs w:val="20"/>
          <w:color w:val="auto"/>
        </w:rPr>
        <w:tab/>
      </w:r>
      <w:r>
        <w:rPr>
          <w:rFonts w:ascii="Times New Roman" w:cs="Times New Roman" w:eastAsia="Times New Roman" w:hAnsi="Times New Roman"/>
          <w:sz w:val="17"/>
          <w:szCs w:val="17"/>
          <w:i w:val="1"/>
          <w:iCs w:val="1"/>
          <w:color w:val="auto"/>
        </w:rPr>
        <w:t>2018 Proxy Statement</w:t>
      </w:r>
    </w:p>
    <w:p>
      <w:pPr>
        <w:sectPr>
          <w:pgSz w:w="11900" w:h="16838" w:orient="portrait"/>
          <w:cols w:equalWidth="0" w:num="1">
            <w:col w:w="10560"/>
          </w:cols>
          <w:pgMar w:left="240" w:top="455" w:right="1099" w:bottom="1440" w:gutter="0" w:footer="0" w:header="0"/>
          <w:type w:val="continuous"/>
        </w:sectPr>
      </w:pPr>
    </w:p>
    <w:bookmarkStart w:id="21" w:name="page22"/>
    <w:bookmarkEnd w:id="21"/>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Times New Roman" w:cs="Times New Roman" w:eastAsia="Times New Roman" w:hAnsi="Times New Roman"/>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536575</wp:posOffset>
            </wp:positionH>
            <wp:positionV relativeFrom="paragraph">
              <wp:posOffset>208280</wp:posOffset>
            </wp:positionV>
            <wp:extent cx="6191885" cy="3302000"/>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6191885" cy="3302000"/>
                    </a:xfrm>
                    <a:prstGeom prst="rect">
                      <a:avLst/>
                    </a:prstGeom>
                    <a:noFill/>
                  </pic:spPr>
                </pic:pic>
              </a:graphicData>
            </a:graphic>
          </wp:anchor>
        </w:drawing>
      </w:r>
    </w:p>
    <w:p>
      <w:pPr>
        <w:spacing w:after="0" w:line="312" w:lineRule="exact"/>
        <w:rPr>
          <w:sz w:val="20"/>
          <w:szCs w:val="20"/>
          <w:color w:val="auto"/>
        </w:rPr>
      </w:pPr>
    </w:p>
    <w:p>
      <w:pPr>
        <w:jc w:val="right"/>
        <w:ind w:right="7400"/>
        <w:spacing w:after="0"/>
        <w:rPr>
          <w:sz w:val="20"/>
          <w:szCs w:val="20"/>
          <w:color w:val="auto"/>
        </w:rPr>
      </w:pPr>
      <w:r>
        <w:rPr>
          <w:rFonts w:ascii="Arial" w:cs="Arial" w:eastAsia="Arial" w:hAnsi="Arial"/>
          <w:sz w:val="22"/>
          <w:szCs w:val="22"/>
          <w:b w:val="1"/>
          <w:bCs w:val="1"/>
          <w:color w:val="2B4C9B"/>
        </w:rPr>
        <w:t>Steven S Reinemund</w:t>
      </w:r>
    </w:p>
    <w:p>
      <w:pPr>
        <w:sectPr>
          <w:pgSz w:w="11900" w:h="16838" w:orient="portrait"/>
          <w:cols w:equalWidth="0" w:num="1">
            <w:col w:w="10560"/>
          </w:cols>
          <w:pgMar w:left="240" w:top="455" w:right="109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7" w:lineRule="exact"/>
        <w:rPr>
          <w:sz w:val="20"/>
          <w:szCs w:val="20"/>
          <w:color w:val="auto"/>
        </w:rPr>
      </w:pPr>
    </w:p>
    <w:p>
      <w:pPr>
        <w:ind w:left="1100" w:right="400"/>
        <w:spacing w:after="0" w:line="256" w:lineRule="auto"/>
        <w:rPr>
          <w:sz w:val="20"/>
          <w:szCs w:val="20"/>
          <w:color w:val="auto"/>
        </w:rPr>
      </w:pPr>
      <w:r>
        <w:rPr>
          <w:rFonts w:ascii="Arial" w:cs="Arial" w:eastAsia="Arial" w:hAnsi="Arial"/>
          <w:sz w:val="18"/>
          <w:szCs w:val="18"/>
          <w:b w:val="1"/>
          <w:bCs w:val="1"/>
          <w:color w:val="auto"/>
        </w:rPr>
        <w:t xml:space="preserve">Principal occupation: </w:t>
      </w:r>
      <w:r>
        <w:rPr>
          <w:rFonts w:ascii="Arial" w:cs="Arial" w:eastAsia="Arial" w:hAnsi="Arial"/>
          <w:sz w:val="18"/>
          <w:szCs w:val="18"/>
          <w:color w:val="auto"/>
        </w:rPr>
        <w:t>Executive in Residence, Wake Forest University</w:t>
      </w:r>
    </w:p>
    <w:p>
      <w:pPr>
        <w:spacing w:after="0" w:line="69" w:lineRule="exact"/>
        <w:rPr>
          <w:sz w:val="20"/>
          <w:szCs w:val="20"/>
          <w:color w:val="auto"/>
        </w:rPr>
      </w:pPr>
    </w:p>
    <w:p>
      <w:pPr>
        <w:ind w:left="1100"/>
        <w:spacing w:after="0"/>
        <w:rPr>
          <w:sz w:val="20"/>
          <w:szCs w:val="20"/>
          <w:color w:val="auto"/>
        </w:rPr>
      </w:pPr>
      <w:r>
        <w:rPr>
          <w:rFonts w:ascii="Arial" w:cs="Arial" w:eastAsia="Arial" w:hAnsi="Arial"/>
          <w:sz w:val="18"/>
          <w:szCs w:val="18"/>
          <w:color w:val="auto"/>
        </w:rPr>
        <w:t>Age 70</w:t>
      </w:r>
    </w:p>
    <w:p>
      <w:pPr>
        <w:spacing w:after="0" w:line="13" w:lineRule="exact"/>
        <w:rPr>
          <w:sz w:val="20"/>
          <w:szCs w:val="20"/>
          <w:color w:val="auto"/>
        </w:rPr>
      </w:pPr>
    </w:p>
    <w:p>
      <w:pPr>
        <w:ind w:left="1100"/>
        <w:spacing w:after="0"/>
        <w:rPr>
          <w:sz w:val="20"/>
          <w:szCs w:val="20"/>
          <w:color w:val="auto"/>
        </w:rPr>
      </w:pPr>
      <w:r>
        <w:rPr>
          <w:rFonts w:ascii="Arial" w:cs="Arial" w:eastAsia="Arial" w:hAnsi="Arial"/>
          <w:sz w:val="18"/>
          <w:szCs w:val="18"/>
          <w:color w:val="auto"/>
        </w:rPr>
        <w:t>Director since 2007</w:t>
      </w:r>
    </w:p>
    <w:p>
      <w:pPr>
        <w:ind w:left="1100"/>
        <w:spacing w:after="0" w:line="234" w:lineRule="auto"/>
        <w:rPr>
          <w:sz w:val="20"/>
          <w:szCs w:val="20"/>
          <w:color w:val="auto"/>
        </w:rPr>
      </w:pPr>
      <w:r>
        <w:rPr>
          <w:rFonts w:ascii="Arial" w:cs="Arial" w:eastAsia="Arial" w:hAnsi="Arial"/>
          <w:sz w:val="18"/>
          <w:szCs w:val="18"/>
          <w:color w:val="auto"/>
        </w:rPr>
        <w:t>Presiding director since 2016</w:t>
      </w:r>
    </w:p>
    <w:p>
      <w:pPr>
        <w:spacing w:after="0" w:line="1" w:lineRule="exact"/>
        <w:rPr>
          <w:sz w:val="20"/>
          <w:szCs w:val="20"/>
          <w:color w:val="auto"/>
        </w:rPr>
      </w:pPr>
    </w:p>
    <w:p>
      <w:pPr>
        <w:ind w:left="1100"/>
        <w:spacing w:after="0"/>
        <w:rPr>
          <w:sz w:val="20"/>
          <w:szCs w:val="20"/>
          <w:color w:val="auto"/>
        </w:rPr>
      </w:pPr>
      <w:r>
        <w:rPr>
          <w:rFonts w:ascii="Arial" w:cs="Arial" w:eastAsia="Arial" w:hAnsi="Arial"/>
          <w:sz w:val="18"/>
          <w:szCs w:val="18"/>
          <w:color w:val="auto"/>
        </w:rPr>
        <w:t>Independent director</w:t>
      </w:r>
    </w:p>
    <w:p>
      <w:pPr>
        <w:spacing w:after="0" w:line="93" w:lineRule="exact"/>
        <w:rPr>
          <w:sz w:val="20"/>
          <w:szCs w:val="20"/>
          <w:color w:val="auto"/>
        </w:rPr>
      </w:pPr>
    </w:p>
    <w:p>
      <w:pPr>
        <w:ind w:left="1100"/>
        <w:spacing w:after="0"/>
        <w:rPr>
          <w:sz w:val="20"/>
          <w:szCs w:val="20"/>
          <w:color w:val="auto"/>
        </w:rPr>
      </w:pPr>
      <w:r>
        <w:rPr>
          <w:rFonts w:ascii="Arial" w:cs="Arial" w:eastAsia="Arial" w:hAnsi="Arial"/>
          <w:sz w:val="18"/>
          <w:szCs w:val="18"/>
          <w:b w:val="1"/>
          <w:bCs w:val="1"/>
          <w:color w:val="auto"/>
        </w:rPr>
        <w:t>Committees:</w:t>
      </w:r>
    </w:p>
    <w:p>
      <w:pPr>
        <w:spacing w:after="0" w:line="20" w:lineRule="exact"/>
        <w:rPr>
          <w:sz w:val="20"/>
          <w:szCs w:val="20"/>
          <w:color w:val="auto"/>
        </w:rPr>
      </w:pPr>
    </w:p>
    <w:p>
      <w:pPr>
        <w:ind w:left="1100" w:right="40"/>
        <w:spacing w:after="0" w:line="251" w:lineRule="auto"/>
        <w:rPr>
          <w:sz w:val="20"/>
          <w:szCs w:val="20"/>
          <w:color w:val="auto"/>
        </w:rPr>
      </w:pPr>
      <w:r>
        <w:rPr>
          <w:rFonts w:ascii="Arial" w:cs="Arial" w:eastAsia="Arial" w:hAnsi="Arial"/>
          <w:sz w:val="18"/>
          <w:szCs w:val="18"/>
          <w:color w:val="auto"/>
        </w:rPr>
        <w:t>Board Affairs, Public Issues and Contributions, Executive</w:t>
      </w:r>
    </w:p>
    <w:p>
      <w:pPr>
        <w:spacing w:after="0" w:line="20" w:lineRule="exact"/>
        <w:rPr>
          <w:sz w:val="20"/>
          <w:szCs w:val="20"/>
          <w:color w:val="auto"/>
        </w:rPr>
      </w:pPr>
      <w:r>
        <w:rPr>
          <w:sz w:val="20"/>
          <w:szCs w:val="20"/>
          <w:color w:val="auto"/>
        </w:rPr>
        <w:br w:type="column"/>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Experience, qualifications, and attributes:</w:t>
      </w:r>
    </w:p>
    <w:p>
      <w:pPr>
        <w:spacing w:after="0" w:line="117" w:lineRule="exact"/>
        <w:rPr>
          <w:sz w:val="20"/>
          <w:szCs w:val="20"/>
          <w:color w:val="auto"/>
        </w:rPr>
      </w:pPr>
    </w:p>
    <w:p>
      <w:pPr>
        <w:ind w:left="300" w:right="160" w:hanging="298"/>
        <w:spacing w:after="0" w:line="254" w:lineRule="auto"/>
        <w:tabs>
          <w:tab w:leader="none" w:pos="309" w:val="left"/>
        </w:tabs>
        <w:numPr>
          <w:ilvl w:val="0"/>
          <w:numId w:val="29"/>
        </w:numPr>
        <w:rPr>
          <w:rFonts w:ascii="Times New Roman" w:cs="Times New Roman" w:eastAsia="Times New Roman" w:hAnsi="Times New Roman"/>
          <w:sz w:val="18"/>
          <w:szCs w:val="18"/>
          <w:color w:val="auto"/>
        </w:rPr>
      </w:pPr>
      <w:r>
        <w:rPr>
          <w:rFonts w:ascii="Arial" w:cs="Arial" w:eastAsia="Arial" w:hAnsi="Arial"/>
          <w:sz w:val="18"/>
          <w:szCs w:val="18"/>
          <w:b w:val="1"/>
          <w:bCs w:val="1"/>
          <w:color w:val="auto"/>
        </w:rPr>
        <w:t xml:space="preserve">Global business leadership </w:t>
      </w:r>
      <w:r>
        <w:rPr>
          <w:rFonts w:ascii="Arial" w:cs="Arial" w:eastAsia="Arial" w:hAnsi="Arial"/>
          <w:sz w:val="18"/>
          <w:szCs w:val="18"/>
          <w:color w:val="auto"/>
        </w:rPr>
        <w:t>at PepsiCo as Executive Chairman of the Board</w:t>
      </w:r>
      <w:r>
        <w:rPr>
          <w:rFonts w:ascii="Arial" w:cs="Arial" w:eastAsia="Arial" w:hAnsi="Arial"/>
          <w:sz w:val="18"/>
          <w:szCs w:val="18"/>
          <w:b w:val="1"/>
          <w:bCs w:val="1"/>
          <w:color w:val="auto"/>
        </w:rPr>
        <w:t xml:space="preserve"> </w:t>
      </w:r>
      <w:r>
        <w:rPr>
          <w:rFonts w:ascii="Arial" w:cs="Arial" w:eastAsia="Arial" w:hAnsi="Arial"/>
          <w:sz w:val="18"/>
          <w:szCs w:val="18"/>
          <w:color w:val="auto"/>
        </w:rPr>
        <w:t>from 2006 to 2007; as Chairman and Chief Executive Officer from 2001 to 2006; and as President and Chief Operating Officer from 1999 to 2001. He also served as President and CEO of Frito-Lay and Pizza Hut.</w:t>
      </w:r>
    </w:p>
    <w:p>
      <w:pPr>
        <w:spacing w:after="0" w:line="68" w:lineRule="exact"/>
        <w:rPr>
          <w:rFonts w:ascii="Times New Roman" w:cs="Times New Roman" w:eastAsia="Times New Roman" w:hAnsi="Times New Roman"/>
          <w:sz w:val="18"/>
          <w:szCs w:val="18"/>
          <w:color w:val="auto"/>
        </w:rPr>
      </w:pPr>
    </w:p>
    <w:p>
      <w:pPr>
        <w:ind w:left="300" w:right="80" w:hanging="298"/>
        <w:spacing w:after="0" w:line="293" w:lineRule="auto"/>
        <w:tabs>
          <w:tab w:leader="none" w:pos="309" w:val="left"/>
        </w:tabs>
        <w:numPr>
          <w:ilvl w:val="0"/>
          <w:numId w:val="29"/>
        </w:numPr>
        <w:rPr>
          <w:rFonts w:ascii="Times New Roman" w:cs="Times New Roman" w:eastAsia="Times New Roman" w:hAnsi="Times New Roman"/>
          <w:sz w:val="18"/>
          <w:szCs w:val="18"/>
          <w:color w:val="auto"/>
        </w:rPr>
      </w:pPr>
      <w:r>
        <w:rPr>
          <w:rFonts w:ascii="Arial" w:cs="Arial" w:eastAsia="Arial" w:hAnsi="Arial"/>
          <w:sz w:val="18"/>
          <w:szCs w:val="18"/>
          <w:b w:val="1"/>
          <w:bCs w:val="1"/>
          <w:color w:val="auto"/>
        </w:rPr>
        <w:t xml:space="preserve">Academic leadership </w:t>
      </w:r>
      <w:r>
        <w:rPr>
          <w:rFonts w:ascii="Arial" w:cs="Arial" w:eastAsia="Arial" w:hAnsi="Arial"/>
          <w:sz w:val="18"/>
          <w:szCs w:val="18"/>
          <w:color w:val="auto"/>
        </w:rPr>
        <w:t>at Wake Forest University as Dean of Business from 2008</w:t>
      </w:r>
      <w:r>
        <w:rPr>
          <w:rFonts w:ascii="Arial" w:cs="Arial" w:eastAsia="Arial" w:hAnsi="Arial"/>
          <w:sz w:val="18"/>
          <w:szCs w:val="18"/>
          <w:b w:val="1"/>
          <w:bCs w:val="1"/>
          <w:color w:val="auto"/>
        </w:rPr>
        <w:t xml:space="preserve"> </w:t>
      </w:r>
      <w:r>
        <w:rPr>
          <w:rFonts w:ascii="Arial" w:cs="Arial" w:eastAsia="Arial" w:hAnsi="Arial"/>
          <w:sz w:val="18"/>
          <w:szCs w:val="18"/>
          <w:color w:val="auto"/>
        </w:rPr>
        <w:t>to 2014; and as Professor of Leadership and Strategy</w:t>
      </w:r>
    </w:p>
    <w:p>
      <w:pPr>
        <w:spacing w:after="0" w:line="33" w:lineRule="exact"/>
        <w:rPr>
          <w:rFonts w:ascii="Times New Roman" w:cs="Times New Roman" w:eastAsia="Times New Roman" w:hAnsi="Times New Roman"/>
          <w:sz w:val="18"/>
          <w:szCs w:val="18"/>
          <w:color w:val="auto"/>
        </w:rPr>
      </w:pPr>
    </w:p>
    <w:p>
      <w:pPr>
        <w:ind w:left="300" w:right="700" w:hanging="298"/>
        <w:spacing w:after="0" w:line="264" w:lineRule="auto"/>
        <w:tabs>
          <w:tab w:leader="none" w:pos="309" w:val="left"/>
        </w:tabs>
        <w:numPr>
          <w:ilvl w:val="0"/>
          <w:numId w:val="29"/>
        </w:numPr>
        <w:rPr>
          <w:rFonts w:ascii="Times New Roman" w:cs="Times New Roman" w:eastAsia="Times New Roman" w:hAnsi="Times New Roman"/>
          <w:sz w:val="18"/>
          <w:szCs w:val="18"/>
          <w:color w:val="auto"/>
        </w:rPr>
      </w:pPr>
      <w:r>
        <w:rPr>
          <w:rFonts w:ascii="Arial" w:cs="Arial" w:eastAsia="Arial" w:hAnsi="Arial"/>
          <w:sz w:val="18"/>
          <w:szCs w:val="18"/>
          <w:b w:val="1"/>
          <w:bCs w:val="1"/>
          <w:color w:val="auto"/>
        </w:rPr>
        <w:t xml:space="preserve">Business, research, and educational affiliations: </w:t>
      </w:r>
      <w:r>
        <w:rPr>
          <w:rFonts w:ascii="Arial" w:cs="Arial" w:eastAsia="Arial" w:hAnsi="Arial"/>
          <w:sz w:val="18"/>
          <w:szCs w:val="18"/>
          <w:color w:val="auto"/>
        </w:rPr>
        <w:t>U.S. Naval Academy</w:t>
      </w:r>
      <w:r>
        <w:rPr>
          <w:rFonts w:ascii="Arial" w:cs="Arial" w:eastAsia="Arial" w:hAnsi="Arial"/>
          <w:sz w:val="18"/>
          <w:szCs w:val="18"/>
          <w:b w:val="1"/>
          <w:bCs w:val="1"/>
          <w:color w:val="auto"/>
        </w:rPr>
        <w:t xml:space="preserve"> </w:t>
      </w:r>
      <w:r>
        <w:rPr>
          <w:rFonts w:ascii="Arial" w:cs="Arial" w:eastAsia="Arial" w:hAnsi="Arial"/>
          <w:sz w:val="18"/>
          <w:szCs w:val="18"/>
          <w:color w:val="auto"/>
        </w:rPr>
        <w:t>Foundation, Cooper Institute, Newman’s Own Foundation, Wake Forest University, and Center for Creative Leadership</w:t>
      </w:r>
    </w:p>
    <w:p>
      <w:pPr>
        <w:spacing w:after="0" w:line="59" w:lineRule="exact"/>
        <w:rPr>
          <w:sz w:val="20"/>
          <w:szCs w:val="20"/>
          <w:color w:val="auto"/>
        </w:rPr>
      </w:pPr>
    </w:p>
    <w:p>
      <w:pPr>
        <w:ind w:right="420"/>
        <w:spacing w:after="0" w:line="278" w:lineRule="auto"/>
        <w:rPr>
          <w:sz w:val="20"/>
          <w:szCs w:val="20"/>
          <w:color w:val="auto"/>
        </w:rPr>
      </w:pPr>
      <w:r>
        <w:rPr>
          <w:rFonts w:ascii="Arial" w:cs="Arial" w:eastAsia="Arial" w:hAnsi="Arial"/>
          <w:sz w:val="18"/>
          <w:szCs w:val="18"/>
          <w:b w:val="1"/>
          <w:bCs w:val="1"/>
          <w:color w:val="auto"/>
        </w:rPr>
        <w:t xml:space="preserve">Current public company directorships: </w:t>
      </w:r>
      <w:r>
        <w:rPr>
          <w:rFonts w:ascii="Arial" w:cs="Arial" w:eastAsia="Arial" w:hAnsi="Arial"/>
          <w:sz w:val="18"/>
          <w:szCs w:val="18"/>
          <w:color w:val="auto"/>
        </w:rPr>
        <w:t>Marriott (April 2007–Present); Walmart</w:t>
      </w:r>
      <w:r>
        <w:rPr>
          <w:rFonts w:ascii="Arial" w:cs="Arial" w:eastAsia="Arial" w:hAnsi="Arial"/>
          <w:sz w:val="18"/>
          <w:szCs w:val="18"/>
          <w:b w:val="1"/>
          <w:bCs w:val="1"/>
          <w:color w:val="auto"/>
        </w:rPr>
        <w:t xml:space="preserve"> </w:t>
      </w:r>
      <w:r>
        <w:rPr>
          <w:rFonts w:ascii="Arial" w:cs="Arial" w:eastAsia="Arial" w:hAnsi="Arial"/>
          <w:sz w:val="18"/>
          <w:szCs w:val="18"/>
          <w:color w:val="auto"/>
        </w:rPr>
        <w:t>(June 2010–Present)</w:t>
      </w:r>
    </w:p>
    <w:p>
      <w:pPr>
        <w:spacing w:after="0" w:line="47" w:lineRule="exact"/>
        <w:rPr>
          <w:sz w:val="20"/>
          <w:szCs w:val="20"/>
          <w:color w:val="auto"/>
        </w:rPr>
      </w:pPr>
    </w:p>
    <w:p>
      <w:pPr>
        <w:spacing w:after="0" w:line="278" w:lineRule="auto"/>
        <w:rPr>
          <w:sz w:val="20"/>
          <w:szCs w:val="20"/>
          <w:color w:val="auto"/>
        </w:rPr>
      </w:pPr>
      <w:r>
        <w:rPr>
          <w:rFonts w:ascii="Arial" w:cs="Arial" w:eastAsia="Arial" w:hAnsi="Arial"/>
          <w:sz w:val="18"/>
          <w:szCs w:val="18"/>
          <w:b w:val="1"/>
          <w:bCs w:val="1"/>
          <w:color w:val="auto"/>
        </w:rPr>
        <w:t xml:space="preserve">Previous public company directorships in last five years: </w:t>
      </w:r>
      <w:r>
        <w:rPr>
          <w:rFonts w:ascii="Arial" w:cs="Arial" w:eastAsia="Arial" w:hAnsi="Arial"/>
          <w:sz w:val="18"/>
          <w:szCs w:val="18"/>
          <w:color w:val="auto"/>
        </w:rPr>
        <w:t>American Express (April</w:t>
      </w:r>
      <w:r>
        <w:rPr>
          <w:rFonts w:ascii="Arial" w:cs="Arial" w:eastAsia="Arial" w:hAnsi="Arial"/>
          <w:sz w:val="18"/>
          <w:szCs w:val="18"/>
          <w:b w:val="1"/>
          <w:bCs w:val="1"/>
          <w:color w:val="auto"/>
        </w:rPr>
        <w:t xml:space="preserve"> </w:t>
      </w:r>
      <w:r>
        <w:rPr>
          <w:rFonts w:ascii="Arial" w:cs="Arial" w:eastAsia="Arial" w:hAnsi="Arial"/>
          <w:sz w:val="18"/>
          <w:szCs w:val="18"/>
          <w:color w:val="auto"/>
        </w:rPr>
        <w:t>2007–May 2015)</w:t>
      </w:r>
    </w:p>
    <w:p>
      <w:pPr>
        <w:spacing w:after="0" w:line="47" w:lineRule="exact"/>
        <w:rPr>
          <w:sz w:val="20"/>
          <w:szCs w:val="20"/>
          <w:color w:val="auto"/>
        </w:rPr>
      </w:pPr>
    </w:p>
    <w:p>
      <w:pPr>
        <w:ind w:right="160"/>
        <w:spacing w:after="0" w:line="278" w:lineRule="auto"/>
        <w:rPr>
          <w:sz w:val="20"/>
          <w:szCs w:val="20"/>
          <w:color w:val="auto"/>
        </w:rPr>
      </w:pPr>
      <w:r>
        <w:rPr>
          <w:rFonts w:ascii="Arial" w:cs="Arial" w:eastAsia="Arial" w:hAnsi="Arial"/>
          <w:sz w:val="18"/>
          <w:szCs w:val="18"/>
          <w:b w:val="1"/>
          <w:bCs w:val="1"/>
          <w:color w:val="auto"/>
        </w:rPr>
        <w:t xml:space="preserve">Other board experience: </w:t>
      </w:r>
      <w:r>
        <w:rPr>
          <w:rFonts w:ascii="Arial" w:cs="Arial" w:eastAsia="Arial" w:hAnsi="Arial"/>
          <w:sz w:val="18"/>
          <w:szCs w:val="18"/>
          <w:color w:val="auto"/>
        </w:rPr>
        <w:t>former Director of Johnson &amp; Johnson and PepsiCo (both</w:t>
      </w:r>
      <w:r>
        <w:rPr>
          <w:rFonts w:ascii="Arial" w:cs="Arial" w:eastAsia="Arial" w:hAnsi="Arial"/>
          <w:sz w:val="18"/>
          <w:szCs w:val="18"/>
          <w:b w:val="1"/>
          <w:bCs w:val="1"/>
          <w:color w:val="auto"/>
        </w:rPr>
        <w:t xml:space="preserve"> </w:t>
      </w:r>
      <w:r>
        <w:rPr>
          <w:rFonts w:ascii="Arial" w:cs="Arial" w:eastAsia="Arial" w:hAnsi="Arial"/>
          <w:sz w:val="18"/>
          <w:szCs w:val="18"/>
          <w:color w:val="auto"/>
        </w:rPr>
        <w:t>prior to 2013)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-1812290</wp:posOffset>
            </wp:positionH>
            <wp:positionV relativeFrom="paragraph">
              <wp:posOffset>542925</wp:posOffset>
            </wp:positionV>
            <wp:extent cx="6191885" cy="3044190"/>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6191885" cy="3044190"/>
                    </a:xfrm>
                    <a:prstGeom prst="rect">
                      <a:avLst/>
                    </a:prstGeom>
                    <a:noFill/>
                  </pic:spPr>
                </pic:pic>
              </a:graphicData>
            </a:graphic>
          </wp:anchor>
        </w:drawing>
      </w:r>
    </w:p>
    <w:p>
      <w:pPr>
        <w:spacing w:after="0" w:line="677" w:lineRule="exact"/>
        <w:rPr>
          <w:sz w:val="20"/>
          <w:szCs w:val="20"/>
          <w:color w:val="auto"/>
        </w:rPr>
      </w:pPr>
    </w:p>
    <w:p>
      <w:pPr>
        <w:sectPr>
          <w:pgSz w:w="11900" w:h="16838" w:orient="portrait"/>
          <w:cols w:equalWidth="0" w:num="2">
            <w:col w:w="3440" w:space="260"/>
            <w:col w:w="6860"/>
          </w:cols>
          <w:pgMar w:left="240" w:top="455" w:right="1099" w:bottom="1440" w:gutter="0" w:footer="0" w:header="0"/>
          <w:type w:val="continuous"/>
        </w:sectPr>
      </w:pPr>
    </w:p>
    <w:p>
      <w:pPr>
        <w:spacing w:after="0" w:line="182" w:lineRule="exact"/>
        <w:rPr>
          <w:sz w:val="20"/>
          <w:szCs w:val="20"/>
          <w:color w:val="auto"/>
        </w:rPr>
      </w:pPr>
    </w:p>
    <w:p>
      <w:pPr>
        <w:ind w:left="1000"/>
        <w:spacing w:after="0"/>
        <w:rPr>
          <w:sz w:val="20"/>
          <w:szCs w:val="20"/>
          <w:color w:val="auto"/>
        </w:rPr>
      </w:pPr>
      <w:r>
        <w:rPr>
          <w:rFonts w:ascii="Arial" w:cs="Arial" w:eastAsia="Arial" w:hAnsi="Arial"/>
          <w:sz w:val="21"/>
          <w:szCs w:val="21"/>
          <w:b w:val="1"/>
          <w:bCs w:val="1"/>
          <w:color w:val="2B4C9B"/>
        </w:rPr>
        <w:t>William C. Weldon</w:t>
      </w:r>
    </w:p>
    <w:p>
      <w:pPr>
        <w:sectPr>
          <w:pgSz w:w="11900" w:h="16838" w:orient="portrait"/>
          <w:cols w:equalWidth="0" w:num="1">
            <w:col w:w="10560"/>
          </w:cols>
          <w:pgMar w:left="240" w:top="455" w:right="1099" w:bottom="1440"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8" w:lineRule="exact"/>
        <w:rPr>
          <w:sz w:val="20"/>
          <w:szCs w:val="20"/>
          <w:color w:val="auto"/>
        </w:rPr>
      </w:pPr>
    </w:p>
    <w:p>
      <w:pPr>
        <w:ind w:left="1100"/>
        <w:spacing w:after="0" w:line="256" w:lineRule="auto"/>
        <w:rPr>
          <w:sz w:val="20"/>
          <w:szCs w:val="20"/>
          <w:color w:val="auto"/>
        </w:rPr>
      </w:pPr>
      <w:r>
        <w:rPr>
          <w:rFonts w:ascii="Arial" w:cs="Arial" w:eastAsia="Arial" w:hAnsi="Arial"/>
          <w:sz w:val="18"/>
          <w:szCs w:val="18"/>
          <w:b w:val="1"/>
          <w:bCs w:val="1"/>
          <w:color w:val="auto"/>
        </w:rPr>
        <w:t xml:space="preserve">Principal occupation: </w:t>
      </w:r>
      <w:r>
        <w:rPr>
          <w:rFonts w:ascii="Arial" w:cs="Arial" w:eastAsia="Arial" w:hAnsi="Arial"/>
          <w:sz w:val="18"/>
          <w:szCs w:val="18"/>
          <w:color w:val="auto"/>
        </w:rPr>
        <w:t>Former Chairman of the Board, Johnson &amp; Johnson</w:t>
      </w:r>
    </w:p>
    <w:p>
      <w:pPr>
        <w:spacing w:after="0" w:line="69" w:lineRule="exact"/>
        <w:rPr>
          <w:sz w:val="20"/>
          <w:szCs w:val="20"/>
          <w:color w:val="auto"/>
        </w:rPr>
      </w:pPr>
    </w:p>
    <w:p>
      <w:pPr>
        <w:ind w:left="1100"/>
        <w:spacing w:after="0"/>
        <w:rPr>
          <w:sz w:val="20"/>
          <w:szCs w:val="20"/>
          <w:color w:val="auto"/>
        </w:rPr>
      </w:pPr>
      <w:r>
        <w:rPr>
          <w:rFonts w:ascii="Arial" w:cs="Arial" w:eastAsia="Arial" w:hAnsi="Arial"/>
          <w:sz w:val="18"/>
          <w:szCs w:val="18"/>
          <w:color w:val="auto"/>
        </w:rPr>
        <w:t>Age 69</w:t>
      </w:r>
    </w:p>
    <w:p>
      <w:pPr>
        <w:spacing w:after="0" w:line="13" w:lineRule="exact"/>
        <w:rPr>
          <w:sz w:val="20"/>
          <w:szCs w:val="20"/>
          <w:color w:val="auto"/>
        </w:rPr>
      </w:pPr>
    </w:p>
    <w:p>
      <w:pPr>
        <w:ind w:left="1100"/>
        <w:spacing w:after="0"/>
        <w:rPr>
          <w:sz w:val="20"/>
          <w:szCs w:val="20"/>
          <w:color w:val="auto"/>
        </w:rPr>
      </w:pPr>
      <w:r>
        <w:rPr>
          <w:rFonts w:ascii="Arial" w:cs="Arial" w:eastAsia="Arial" w:hAnsi="Arial"/>
          <w:sz w:val="18"/>
          <w:szCs w:val="18"/>
          <w:color w:val="auto"/>
        </w:rPr>
        <w:t>Director since 2013</w:t>
      </w:r>
    </w:p>
    <w:p>
      <w:pPr>
        <w:ind w:left="1100"/>
        <w:spacing w:after="0"/>
        <w:rPr>
          <w:sz w:val="20"/>
          <w:szCs w:val="20"/>
          <w:color w:val="auto"/>
        </w:rPr>
      </w:pPr>
      <w:r>
        <w:rPr>
          <w:rFonts w:ascii="Arial" w:cs="Arial" w:eastAsia="Arial" w:hAnsi="Arial"/>
          <w:sz w:val="18"/>
          <w:szCs w:val="18"/>
          <w:color w:val="auto"/>
        </w:rPr>
        <w:t>Independent director</w:t>
      </w:r>
    </w:p>
    <w:p>
      <w:pPr>
        <w:spacing w:after="0" w:line="93" w:lineRule="exact"/>
        <w:rPr>
          <w:sz w:val="20"/>
          <w:szCs w:val="20"/>
          <w:color w:val="auto"/>
        </w:rPr>
      </w:pPr>
    </w:p>
    <w:p>
      <w:pPr>
        <w:ind w:left="1100"/>
        <w:spacing w:after="0"/>
        <w:rPr>
          <w:sz w:val="20"/>
          <w:szCs w:val="20"/>
          <w:color w:val="auto"/>
        </w:rPr>
      </w:pPr>
      <w:r>
        <w:rPr>
          <w:rFonts w:ascii="Arial" w:cs="Arial" w:eastAsia="Arial" w:hAnsi="Arial"/>
          <w:sz w:val="18"/>
          <w:szCs w:val="18"/>
          <w:b w:val="1"/>
          <w:bCs w:val="1"/>
          <w:color w:val="auto"/>
        </w:rPr>
        <w:t>Committees:</w:t>
      </w:r>
    </w:p>
    <w:p>
      <w:pPr>
        <w:spacing w:after="0" w:line="20" w:lineRule="exact"/>
        <w:rPr>
          <w:sz w:val="20"/>
          <w:szCs w:val="20"/>
          <w:color w:val="auto"/>
        </w:rPr>
      </w:pPr>
    </w:p>
    <w:p>
      <w:pPr>
        <w:ind w:left="1100"/>
        <w:spacing w:after="0"/>
        <w:rPr>
          <w:sz w:val="20"/>
          <w:szCs w:val="20"/>
          <w:color w:val="auto"/>
        </w:rPr>
      </w:pPr>
      <w:r>
        <w:rPr>
          <w:rFonts w:ascii="Arial" w:cs="Arial" w:eastAsia="Arial" w:hAnsi="Arial"/>
          <w:sz w:val="18"/>
          <w:szCs w:val="18"/>
          <w:color w:val="auto"/>
        </w:rPr>
        <w:t>Audit, Finance</w:t>
      </w:r>
    </w:p>
    <w:p>
      <w:pPr>
        <w:spacing w:after="0" w:line="20" w:lineRule="exact"/>
        <w:rPr>
          <w:sz w:val="20"/>
          <w:szCs w:val="20"/>
          <w:color w:val="auto"/>
        </w:rPr>
      </w:pPr>
      <w:r>
        <w:rPr>
          <w:sz w:val="20"/>
          <w:szCs w:val="20"/>
          <w:color w:val="auto"/>
        </w:rPr>
        <w:br w:type="column"/>
      </w:r>
    </w:p>
    <w:p>
      <w:pPr>
        <w:spacing w:after="0" w:line="23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Experience, qualifications, and attributes:</w:t>
      </w:r>
    </w:p>
    <w:p>
      <w:pPr>
        <w:spacing w:after="0" w:line="117" w:lineRule="exact"/>
        <w:rPr>
          <w:sz w:val="20"/>
          <w:szCs w:val="20"/>
          <w:color w:val="auto"/>
        </w:rPr>
      </w:pPr>
    </w:p>
    <w:p>
      <w:pPr>
        <w:ind w:left="320" w:right="60" w:hanging="312"/>
        <w:spacing w:after="0" w:line="264" w:lineRule="auto"/>
        <w:tabs>
          <w:tab w:leader="none" w:pos="329" w:val="left"/>
        </w:tabs>
        <w:numPr>
          <w:ilvl w:val="0"/>
          <w:numId w:val="30"/>
        </w:numPr>
        <w:rPr>
          <w:rFonts w:ascii="Times New Roman" w:cs="Times New Roman" w:eastAsia="Times New Roman" w:hAnsi="Times New Roman"/>
          <w:sz w:val="18"/>
          <w:szCs w:val="18"/>
          <w:color w:val="auto"/>
        </w:rPr>
      </w:pPr>
      <w:r>
        <w:rPr>
          <w:rFonts w:ascii="Arial" w:cs="Arial" w:eastAsia="Arial" w:hAnsi="Arial"/>
          <w:sz w:val="18"/>
          <w:szCs w:val="18"/>
          <w:b w:val="1"/>
          <w:bCs w:val="1"/>
          <w:color w:val="auto"/>
        </w:rPr>
        <w:t xml:space="preserve">Global business leadership </w:t>
      </w:r>
      <w:r>
        <w:rPr>
          <w:rFonts w:ascii="Arial" w:cs="Arial" w:eastAsia="Arial" w:hAnsi="Arial"/>
          <w:sz w:val="18"/>
          <w:szCs w:val="18"/>
          <w:color w:val="auto"/>
        </w:rPr>
        <w:t>at Johnson &amp; Johnson as Chairman and Chief</w:t>
      </w:r>
      <w:r>
        <w:rPr>
          <w:rFonts w:ascii="Arial" w:cs="Arial" w:eastAsia="Arial" w:hAnsi="Arial"/>
          <w:sz w:val="18"/>
          <w:szCs w:val="18"/>
          <w:b w:val="1"/>
          <w:bCs w:val="1"/>
          <w:color w:val="auto"/>
        </w:rPr>
        <w:t xml:space="preserve"> </w:t>
      </w:r>
      <w:r>
        <w:rPr>
          <w:rFonts w:ascii="Arial" w:cs="Arial" w:eastAsia="Arial" w:hAnsi="Arial"/>
          <w:sz w:val="18"/>
          <w:szCs w:val="18"/>
          <w:color w:val="auto"/>
        </w:rPr>
        <w:t>Executive Officer from 2002 to 2012; as Vice Chairman from 2001 to 2002; and as Worldwide Chairman, Pharmaceuticals Group from 1998 to 2001</w:t>
      </w:r>
    </w:p>
    <w:p>
      <w:pPr>
        <w:spacing w:after="0" w:line="58" w:lineRule="exact"/>
        <w:rPr>
          <w:rFonts w:ascii="Times New Roman" w:cs="Times New Roman" w:eastAsia="Times New Roman" w:hAnsi="Times New Roman"/>
          <w:sz w:val="18"/>
          <w:szCs w:val="18"/>
          <w:color w:val="auto"/>
        </w:rPr>
      </w:pPr>
    </w:p>
    <w:p>
      <w:pPr>
        <w:ind w:left="320" w:hanging="312"/>
        <w:spacing w:after="0" w:line="254" w:lineRule="auto"/>
        <w:tabs>
          <w:tab w:leader="none" w:pos="329" w:val="left"/>
        </w:tabs>
        <w:numPr>
          <w:ilvl w:val="0"/>
          <w:numId w:val="30"/>
        </w:numPr>
        <w:rPr>
          <w:rFonts w:ascii="Times New Roman" w:cs="Times New Roman" w:eastAsia="Times New Roman" w:hAnsi="Times New Roman"/>
          <w:sz w:val="18"/>
          <w:szCs w:val="18"/>
          <w:color w:val="auto"/>
        </w:rPr>
      </w:pPr>
      <w:r>
        <w:rPr>
          <w:rFonts w:ascii="Arial" w:cs="Arial" w:eastAsia="Arial" w:hAnsi="Arial"/>
          <w:sz w:val="18"/>
          <w:szCs w:val="18"/>
          <w:b w:val="1"/>
          <w:bCs w:val="1"/>
          <w:color w:val="auto"/>
        </w:rPr>
        <w:t xml:space="preserve">Business, research, and educational affiliations: </w:t>
      </w:r>
      <w:r>
        <w:rPr>
          <w:rFonts w:ascii="Arial" w:cs="Arial" w:eastAsia="Arial" w:hAnsi="Arial"/>
          <w:sz w:val="18"/>
          <w:szCs w:val="18"/>
          <w:color w:val="auto"/>
        </w:rPr>
        <w:t>Quinnipiac University Board of</w:t>
      </w:r>
      <w:r>
        <w:rPr>
          <w:rFonts w:ascii="Arial" w:cs="Arial" w:eastAsia="Arial" w:hAnsi="Arial"/>
          <w:sz w:val="18"/>
          <w:szCs w:val="18"/>
          <w:b w:val="1"/>
          <w:bCs w:val="1"/>
          <w:color w:val="auto"/>
        </w:rPr>
        <w:t xml:space="preserve"> </w:t>
      </w:r>
      <w:r>
        <w:rPr>
          <w:rFonts w:ascii="Arial" w:cs="Arial" w:eastAsia="Arial" w:hAnsi="Arial"/>
          <w:sz w:val="18"/>
          <w:szCs w:val="18"/>
          <w:color w:val="auto"/>
        </w:rPr>
        <w:t>Trustees (Chairman), Business Council (former Vice Chairman), Business Roundtable, CEO Roundtable on Cancer (past Chairman), Healthcare Leadership Council, Pharmaceutical Research and Manufacturers of America (past Chairman)</w:t>
      </w:r>
    </w:p>
    <w:p>
      <w:pPr>
        <w:spacing w:after="0" w:line="68" w:lineRule="exact"/>
        <w:rPr>
          <w:sz w:val="20"/>
          <w:szCs w:val="20"/>
          <w:color w:val="auto"/>
        </w:rPr>
      </w:pPr>
    </w:p>
    <w:p>
      <w:pPr>
        <w:ind w:right="440"/>
        <w:spacing w:after="0" w:line="278" w:lineRule="auto"/>
        <w:rPr>
          <w:sz w:val="20"/>
          <w:szCs w:val="20"/>
          <w:color w:val="auto"/>
        </w:rPr>
      </w:pPr>
      <w:r>
        <w:rPr>
          <w:rFonts w:ascii="Arial" w:cs="Arial" w:eastAsia="Arial" w:hAnsi="Arial"/>
          <w:sz w:val="18"/>
          <w:szCs w:val="18"/>
          <w:b w:val="1"/>
          <w:bCs w:val="1"/>
          <w:color w:val="auto"/>
        </w:rPr>
        <w:t xml:space="preserve">Current public company directorships: </w:t>
      </w:r>
      <w:r>
        <w:rPr>
          <w:rFonts w:ascii="Arial" w:cs="Arial" w:eastAsia="Arial" w:hAnsi="Arial"/>
          <w:sz w:val="18"/>
          <w:szCs w:val="18"/>
          <w:color w:val="auto"/>
        </w:rPr>
        <w:t>CVS Caremark (March 2013–Present);</w:t>
      </w:r>
      <w:r>
        <w:rPr>
          <w:rFonts w:ascii="Arial" w:cs="Arial" w:eastAsia="Arial" w:hAnsi="Arial"/>
          <w:sz w:val="18"/>
          <w:szCs w:val="18"/>
          <w:b w:val="1"/>
          <w:bCs w:val="1"/>
          <w:color w:val="auto"/>
        </w:rPr>
        <w:t xml:space="preserve"> </w:t>
      </w:r>
      <w:r>
        <w:rPr>
          <w:rFonts w:ascii="Arial" w:cs="Arial" w:eastAsia="Arial" w:hAnsi="Arial"/>
          <w:sz w:val="18"/>
          <w:szCs w:val="18"/>
          <w:color w:val="auto"/>
        </w:rPr>
        <w:t>JPMorgan Chase (March 2005–Present)</w:t>
      </w:r>
    </w:p>
    <w:p>
      <w:pPr>
        <w:spacing w:after="0" w:line="47" w:lineRule="exact"/>
        <w:rPr>
          <w:sz w:val="20"/>
          <w:szCs w:val="20"/>
          <w:color w:val="auto"/>
        </w:rPr>
      </w:pPr>
    </w:p>
    <w:p>
      <w:pPr>
        <w:ind w:right="440"/>
        <w:spacing w:after="0" w:line="278" w:lineRule="auto"/>
        <w:rPr>
          <w:sz w:val="20"/>
          <w:szCs w:val="20"/>
          <w:color w:val="auto"/>
        </w:rPr>
      </w:pPr>
      <w:r>
        <w:rPr>
          <w:rFonts w:ascii="Arial" w:cs="Arial" w:eastAsia="Arial" w:hAnsi="Arial"/>
          <w:sz w:val="18"/>
          <w:szCs w:val="18"/>
          <w:b w:val="1"/>
          <w:bCs w:val="1"/>
          <w:color w:val="auto"/>
        </w:rPr>
        <w:t xml:space="preserve">Previous public company directorships in last five years: </w:t>
      </w:r>
      <w:r>
        <w:rPr>
          <w:rFonts w:ascii="Arial" w:cs="Arial" w:eastAsia="Arial" w:hAnsi="Arial"/>
          <w:sz w:val="18"/>
          <w:szCs w:val="18"/>
          <w:color w:val="auto"/>
        </w:rPr>
        <w:t>Chubb (May 2013–</w:t>
      </w:r>
      <w:r>
        <w:rPr>
          <w:rFonts w:ascii="Arial" w:cs="Arial" w:eastAsia="Arial" w:hAnsi="Arial"/>
          <w:sz w:val="18"/>
          <w:szCs w:val="18"/>
          <w:b w:val="1"/>
          <w:bCs w:val="1"/>
          <w:color w:val="auto"/>
        </w:rPr>
        <w:t xml:space="preserve"> </w:t>
      </w:r>
      <w:r>
        <w:rPr>
          <w:rFonts w:ascii="Arial" w:cs="Arial" w:eastAsia="Arial" w:hAnsi="Arial"/>
          <w:sz w:val="18"/>
          <w:szCs w:val="18"/>
          <w:color w:val="auto"/>
        </w:rPr>
        <w:t>January 2016)</w:t>
      </w:r>
    </w:p>
    <w:p>
      <w:pPr>
        <w:spacing w:after="0" w:line="4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Other board experience: </w:t>
      </w:r>
      <w:r>
        <w:rPr>
          <w:rFonts w:ascii="Arial" w:cs="Arial" w:eastAsia="Arial" w:hAnsi="Arial"/>
          <w:sz w:val="18"/>
          <w:szCs w:val="18"/>
          <w:color w:val="auto"/>
        </w:rPr>
        <w:t>former Director of Johnson &amp; Johnson (prior to 2013)</w:t>
      </w:r>
    </w:p>
    <w:p>
      <w:pPr>
        <w:spacing w:after="0" w:line="1061" w:lineRule="exact"/>
        <w:rPr>
          <w:sz w:val="20"/>
          <w:szCs w:val="20"/>
          <w:color w:val="auto"/>
        </w:rPr>
      </w:pPr>
    </w:p>
    <w:p>
      <w:pPr>
        <w:sectPr>
          <w:pgSz w:w="11900" w:h="16838" w:orient="portrait"/>
          <w:cols w:equalWidth="0" w:num="2">
            <w:col w:w="3280" w:space="360"/>
            <w:col w:w="6920"/>
          </w:cols>
          <w:pgMar w:left="240" w:top="455" w:right="1099" w:bottom="1440" w:gutter="0" w:footer="0" w:header="0"/>
          <w:type w:val="continuous"/>
        </w:sectPr>
      </w:pPr>
    </w:p>
    <w:p>
      <w:pPr>
        <w:spacing w:after="0" w:line="84" w:lineRule="exact"/>
        <w:rPr>
          <w:sz w:val="20"/>
          <w:szCs w:val="20"/>
          <w:color w:val="auto"/>
        </w:rPr>
      </w:pPr>
    </w:p>
    <w:tbl>
      <w:tblPr>
        <w:tblLayout w:type="fixed"/>
        <w:tblInd w:w="6960" w:type="dxa"/>
        <w:tblCellMar>
          <w:top w:w="0" w:type="dxa"/>
          <w:left w:w="0" w:type="dxa"/>
          <w:bottom w:w="0" w:type="dxa"/>
          <w:right w:w="0" w:type="dxa"/>
        </w:tblCellMar>
      </w:tblPr>
      <w:tr>
        <w:trPr>
          <w:trHeight w:val="243"/>
        </w:trPr>
        <w:tc>
          <w:tcPr>
            <w:tcW w:w="2440" w:type="dxa"/>
            <w:vAlign w:val="bottom"/>
          </w:tcPr>
          <w:p>
            <w:pPr>
              <w:spacing w:after="0"/>
              <w:rPr>
                <w:sz w:val="20"/>
                <w:szCs w:val="20"/>
                <w:color w:val="auto"/>
              </w:rPr>
            </w:pPr>
            <w:r>
              <w:rPr>
                <w:rFonts w:ascii="Times New Roman" w:cs="Times New Roman" w:eastAsia="Times New Roman" w:hAnsi="Times New Roman"/>
                <w:sz w:val="18"/>
                <w:szCs w:val="18"/>
                <w:i w:val="1"/>
                <w:iCs w:val="1"/>
                <w:color w:val="auto"/>
              </w:rPr>
              <w:t>2018 Proxy Statement</w:t>
            </w:r>
          </w:p>
        </w:tc>
        <w:tc>
          <w:tcPr>
            <w:tcW w:w="1060" w:type="dxa"/>
            <w:vAlign w:val="bottom"/>
          </w:tcPr>
          <w:p>
            <w:pPr>
              <w:jc w:val="right"/>
              <w:spacing w:after="0"/>
              <w:rPr>
                <w:sz w:val="20"/>
                <w:szCs w:val="20"/>
                <w:color w:val="auto"/>
              </w:rPr>
            </w:pPr>
            <w:r>
              <w:rPr>
                <w:rFonts w:ascii="Arial" w:cs="Arial" w:eastAsia="Arial" w:hAnsi="Arial"/>
                <w:sz w:val="18"/>
                <w:szCs w:val="18"/>
                <w:color w:val="auto"/>
              </w:rPr>
              <w:t>19</w:t>
            </w:r>
          </w:p>
        </w:tc>
      </w:tr>
    </w:tbl>
    <w:p>
      <w:pPr>
        <w:sectPr>
          <w:pgSz w:w="11900" w:h="16838" w:orient="portrait"/>
          <w:cols w:equalWidth="0" w:num="1">
            <w:col w:w="10560"/>
          </w:cols>
          <w:pgMar w:left="240" w:top="455" w:right="1099" w:bottom="1440" w:gutter="0" w:footer="0" w:header="0"/>
          <w:type w:val="continuous"/>
        </w:sectPr>
      </w:pPr>
    </w:p>
    <w:bookmarkStart w:id="22" w:name="page23"/>
    <w:bookmarkEnd w:id="22"/>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Times New Roman" w:cs="Times New Roman" w:eastAsia="Times New Roman" w:hAnsi="Times New Roman"/>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536575</wp:posOffset>
            </wp:positionH>
            <wp:positionV relativeFrom="paragraph">
              <wp:posOffset>208280</wp:posOffset>
            </wp:positionV>
            <wp:extent cx="6191885" cy="3044190"/>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6191885" cy="3044190"/>
                    </a:xfrm>
                    <a:prstGeom prst="rect">
                      <a:avLst/>
                    </a:prstGeom>
                    <a:noFill/>
                  </pic:spPr>
                </pic:pic>
              </a:graphicData>
            </a:graphic>
          </wp:anchor>
        </w:drawing>
      </w:r>
    </w:p>
    <w:p>
      <w:pPr>
        <w:spacing w:after="0" w:line="312" w:lineRule="exact"/>
        <w:rPr>
          <w:sz w:val="20"/>
          <w:szCs w:val="20"/>
          <w:color w:val="auto"/>
        </w:rPr>
      </w:pPr>
    </w:p>
    <w:p>
      <w:pPr>
        <w:jc w:val="right"/>
        <w:ind w:right="7760"/>
        <w:spacing w:after="0"/>
        <w:rPr>
          <w:sz w:val="20"/>
          <w:szCs w:val="20"/>
          <w:color w:val="auto"/>
        </w:rPr>
      </w:pPr>
      <w:r>
        <w:rPr>
          <w:rFonts w:ascii="Arial" w:cs="Arial" w:eastAsia="Arial" w:hAnsi="Arial"/>
          <w:sz w:val="22"/>
          <w:szCs w:val="22"/>
          <w:b w:val="1"/>
          <w:bCs w:val="1"/>
          <w:color w:val="2B4C9B"/>
        </w:rPr>
        <w:t>Darren W. Woods</w:t>
      </w:r>
    </w:p>
    <w:p>
      <w:pPr>
        <w:sectPr>
          <w:pgSz w:w="11900" w:h="16838" w:orient="portrait"/>
          <w:cols w:equalWidth="0" w:num="1">
            <w:col w:w="10560"/>
          </w:cols>
          <w:pgMar w:left="240" w:top="455" w:right="109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7" w:lineRule="exact"/>
        <w:rPr>
          <w:sz w:val="20"/>
          <w:szCs w:val="20"/>
          <w:color w:val="auto"/>
        </w:rPr>
      </w:pPr>
    </w:p>
    <w:p>
      <w:pPr>
        <w:ind w:left="1100"/>
        <w:spacing w:after="0" w:line="249" w:lineRule="auto"/>
        <w:rPr>
          <w:sz w:val="20"/>
          <w:szCs w:val="20"/>
          <w:color w:val="auto"/>
        </w:rPr>
      </w:pPr>
      <w:r>
        <w:rPr>
          <w:rFonts w:ascii="Arial" w:cs="Arial" w:eastAsia="Arial" w:hAnsi="Arial"/>
          <w:sz w:val="18"/>
          <w:szCs w:val="18"/>
          <w:b w:val="1"/>
          <w:bCs w:val="1"/>
          <w:color w:val="auto"/>
        </w:rPr>
        <w:t xml:space="preserve">Principal occupation: </w:t>
      </w:r>
      <w:r>
        <w:rPr>
          <w:rFonts w:ascii="Arial" w:cs="Arial" w:eastAsia="Arial" w:hAnsi="Arial"/>
          <w:sz w:val="18"/>
          <w:szCs w:val="18"/>
          <w:color w:val="auto"/>
        </w:rPr>
        <w:t>Chairman of the Board and Chief Executive Officer, Exxon Mobil Corporation</w:t>
      </w:r>
    </w:p>
    <w:p>
      <w:pPr>
        <w:spacing w:after="0" w:line="75" w:lineRule="exact"/>
        <w:rPr>
          <w:sz w:val="20"/>
          <w:szCs w:val="20"/>
          <w:color w:val="auto"/>
        </w:rPr>
      </w:pPr>
    </w:p>
    <w:p>
      <w:pPr>
        <w:ind w:left="1100"/>
        <w:spacing w:after="0"/>
        <w:rPr>
          <w:sz w:val="20"/>
          <w:szCs w:val="20"/>
          <w:color w:val="auto"/>
        </w:rPr>
      </w:pPr>
      <w:r>
        <w:rPr>
          <w:rFonts w:ascii="Arial" w:cs="Arial" w:eastAsia="Arial" w:hAnsi="Arial"/>
          <w:sz w:val="18"/>
          <w:szCs w:val="18"/>
          <w:color w:val="auto"/>
        </w:rPr>
        <w:t>Age 53</w:t>
      </w:r>
    </w:p>
    <w:p>
      <w:pPr>
        <w:spacing w:after="0" w:line="18" w:lineRule="exact"/>
        <w:rPr>
          <w:sz w:val="20"/>
          <w:szCs w:val="20"/>
          <w:color w:val="auto"/>
        </w:rPr>
      </w:pPr>
    </w:p>
    <w:p>
      <w:pPr>
        <w:ind w:left="1100"/>
        <w:spacing w:after="0"/>
        <w:rPr>
          <w:sz w:val="20"/>
          <w:szCs w:val="20"/>
          <w:color w:val="auto"/>
        </w:rPr>
      </w:pPr>
      <w:r>
        <w:rPr>
          <w:rFonts w:ascii="Arial" w:cs="Arial" w:eastAsia="Arial" w:hAnsi="Arial"/>
          <w:sz w:val="18"/>
          <w:szCs w:val="18"/>
          <w:color w:val="auto"/>
        </w:rPr>
        <w:t>Director since 2016</w:t>
      </w:r>
    </w:p>
    <w:p>
      <w:pPr>
        <w:spacing w:after="0" w:line="93" w:lineRule="exact"/>
        <w:rPr>
          <w:sz w:val="20"/>
          <w:szCs w:val="20"/>
          <w:color w:val="auto"/>
        </w:rPr>
      </w:pPr>
    </w:p>
    <w:p>
      <w:pPr>
        <w:ind w:left="1100"/>
        <w:spacing w:after="0"/>
        <w:rPr>
          <w:sz w:val="20"/>
          <w:szCs w:val="20"/>
          <w:color w:val="auto"/>
        </w:rPr>
      </w:pPr>
      <w:r>
        <w:rPr>
          <w:rFonts w:ascii="Arial" w:cs="Arial" w:eastAsia="Arial" w:hAnsi="Arial"/>
          <w:sz w:val="18"/>
          <w:szCs w:val="18"/>
          <w:b w:val="1"/>
          <w:bCs w:val="1"/>
          <w:color w:val="auto"/>
        </w:rPr>
        <w:t>Committees:</w:t>
      </w:r>
    </w:p>
    <w:p>
      <w:pPr>
        <w:spacing w:after="0" w:line="20" w:lineRule="exact"/>
        <w:rPr>
          <w:sz w:val="20"/>
          <w:szCs w:val="20"/>
          <w:color w:val="auto"/>
        </w:rPr>
      </w:pPr>
    </w:p>
    <w:p>
      <w:pPr>
        <w:jc w:val="center"/>
        <w:ind w:left="460"/>
        <w:spacing w:after="0"/>
        <w:rPr>
          <w:sz w:val="20"/>
          <w:szCs w:val="20"/>
          <w:color w:val="auto"/>
        </w:rPr>
      </w:pPr>
      <w:r>
        <w:rPr>
          <w:rFonts w:ascii="Arial" w:cs="Arial" w:eastAsia="Arial" w:hAnsi="Arial"/>
          <w:sz w:val="18"/>
          <w:szCs w:val="18"/>
          <w:color w:val="auto"/>
        </w:rPr>
        <w:t>Finance, Executive</w:t>
      </w:r>
    </w:p>
    <w:p>
      <w:pPr>
        <w:spacing w:after="0" w:line="20" w:lineRule="exact"/>
        <w:rPr>
          <w:sz w:val="20"/>
          <w:szCs w:val="20"/>
          <w:color w:val="auto"/>
        </w:rPr>
      </w:pPr>
      <w:r>
        <w:rPr>
          <w:sz w:val="20"/>
          <w:szCs w:val="20"/>
          <w:color w:val="auto"/>
        </w:rPr>
        <w:br w:type="column"/>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Experience, qualifications, and attributes:</w:t>
      </w:r>
    </w:p>
    <w:p>
      <w:pPr>
        <w:spacing w:after="0" w:line="117" w:lineRule="exact"/>
        <w:rPr>
          <w:sz w:val="20"/>
          <w:szCs w:val="20"/>
          <w:color w:val="auto"/>
        </w:rPr>
      </w:pPr>
    </w:p>
    <w:p>
      <w:pPr>
        <w:jc w:val="both"/>
        <w:ind w:left="320" w:right="140" w:hanging="312"/>
        <w:spacing w:after="0" w:line="254" w:lineRule="auto"/>
        <w:tabs>
          <w:tab w:leader="none" w:pos="329" w:val="left"/>
        </w:tabs>
        <w:numPr>
          <w:ilvl w:val="0"/>
          <w:numId w:val="31"/>
        </w:numPr>
        <w:rPr>
          <w:rFonts w:ascii="Times New Roman" w:cs="Times New Roman" w:eastAsia="Times New Roman" w:hAnsi="Times New Roman"/>
          <w:sz w:val="18"/>
          <w:szCs w:val="18"/>
          <w:color w:val="auto"/>
        </w:rPr>
      </w:pPr>
      <w:r>
        <w:rPr>
          <w:rFonts w:ascii="Arial" w:cs="Arial" w:eastAsia="Arial" w:hAnsi="Arial"/>
          <w:sz w:val="18"/>
          <w:szCs w:val="18"/>
          <w:b w:val="1"/>
          <w:bCs w:val="1"/>
          <w:color w:val="auto"/>
        </w:rPr>
        <w:t xml:space="preserve">Global business leadership </w:t>
      </w:r>
      <w:r>
        <w:rPr>
          <w:rFonts w:ascii="Arial" w:cs="Arial" w:eastAsia="Arial" w:hAnsi="Arial"/>
          <w:sz w:val="18"/>
          <w:szCs w:val="18"/>
          <w:color w:val="auto"/>
        </w:rPr>
        <w:t>at Exxon Mobil Corporation as Chairman and Chief</w:t>
      </w:r>
      <w:r>
        <w:rPr>
          <w:rFonts w:ascii="Arial" w:cs="Arial" w:eastAsia="Arial" w:hAnsi="Arial"/>
          <w:sz w:val="18"/>
          <w:szCs w:val="18"/>
          <w:b w:val="1"/>
          <w:bCs w:val="1"/>
          <w:color w:val="auto"/>
        </w:rPr>
        <w:t xml:space="preserve"> </w:t>
      </w:r>
      <w:r>
        <w:rPr>
          <w:rFonts w:ascii="Arial" w:cs="Arial" w:eastAsia="Arial" w:hAnsi="Arial"/>
          <w:sz w:val="18"/>
          <w:szCs w:val="18"/>
          <w:color w:val="auto"/>
        </w:rPr>
        <w:t>Executive Officer since 2017; as President in 2016; and as Senior Vice President from 2014 to 2016. He also served as Vice President, and President, ExxonMobil Refining &amp; Supply Company from 2012 to 2014.</w:t>
      </w:r>
    </w:p>
    <w:p>
      <w:pPr>
        <w:spacing w:after="0" w:line="68" w:lineRule="exact"/>
        <w:rPr>
          <w:rFonts w:ascii="Times New Roman" w:cs="Times New Roman" w:eastAsia="Times New Roman" w:hAnsi="Times New Roman"/>
          <w:sz w:val="18"/>
          <w:szCs w:val="18"/>
          <w:color w:val="auto"/>
        </w:rPr>
      </w:pPr>
    </w:p>
    <w:p>
      <w:pPr>
        <w:jc w:val="both"/>
        <w:ind w:left="320" w:hanging="312"/>
        <w:spacing w:after="0" w:line="286" w:lineRule="auto"/>
        <w:tabs>
          <w:tab w:leader="none" w:pos="329" w:val="left"/>
        </w:tabs>
        <w:numPr>
          <w:ilvl w:val="0"/>
          <w:numId w:val="31"/>
        </w:numPr>
        <w:rPr>
          <w:rFonts w:ascii="Times New Roman" w:cs="Times New Roman" w:eastAsia="Times New Roman" w:hAnsi="Times New Roman"/>
          <w:sz w:val="17"/>
          <w:szCs w:val="17"/>
          <w:color w:val="auto"/>
        </w:rPr>
      </w:pPr>
      <w:r>
        <w:rPr>
          <w:rFonts w:ascii="Arial" w:cs="Arial" w:eastAsia="Arial" w:hAnsi="Arial"/>
          <w:sz w:val="17"/>
          <w:szCs w:val="17"/>
          <w:b w:val="1"/>
          <w:bCs w:val="1"/>
          <w:color w:val="auto"/>
        </w:rPr>
        <w:t xml:space="preserve">Global business operations </w:t>
      </w:r>
      <w:r>
        <w:rPr>
          <w:rFonts w:ascii="Arial" w:cs="Arial" w:eastAsia="Arial" w:hAnsi="Arial"/>
          <w:sz w:val="17"/>
          <w:szCs w:val="17"/>
          <w:color w:val="auto"/>
        </w:rPr>
        <w:t>experience with positions of increasing responsibility</w:t>
      </w:r>
      <w:r>
        <w:rPr>
          <w:rFonts w:ascii="Arial" w:cs="Arial" w:eastAsia="Arial" w:hAnsi="Arial"/>
          <w:sz w:val="17"/>
          <w:szCs w:val="17"/>
          <w:b w:val="1"/>
          <w:bCs w:val="1"/>
          <w:color w:val="auto"/>
        </w:rPr>
        <w:t xml:space="preserve"> </w:t>
      </w:r>
      <w:r>
        <w:rPr>
          <w:rFonts w:ascii="Arial" w:cs="Arial" w:eastAsia="Arial" w:hAnsi="Arial"/>
          <w:sz w:val="17"/>
          <w:szCs w:val="17"/>
          <w:color w:val="auto"/>
        </w:rPr>
        <w:t>in domestic and international business operations at ExxonMobil Refining &amp; Supply Company, ExxonMobil Chemical Company, and Exxon Company International</w:t>
      </w:r>
    </w:p>
    <w:p>
      <w:pPr>
        <w:spacing w:after="0" w:line="43" w:lineRule="exact"/>
        <w:rPr>
          <w:rFonts w:ascii="Times New Roman" w:cs="Times New Roman" w:eastAsia="Times New Roman" w:hAnsi="Times New Roman"/>
          <w:sz w:val="17"/>
          <w:szCs w:val="17"/>
          <w:color w:val="auto"/>
        </w:rPr>
      </w:pPr>
    </w:p>
    <w:p>
      <w:pPr>
        <w:ind w:left="320" w:hanging="312"/>
        <w:spacing w:after="0"/>
        <w:tabs>
          <w:tab w:leader="none" w:pos="320" w:val="left"/>
        </w:tabs>
        <w:numPr>
          <w:ilvl w:val="0"/>
          <w:numId w:val="31"/>
        </w:numPr>
        <w:rPr>
          <w:rFonts w:ascii="Times New Roman" w:cs="Times New Roman" w:eastAsia="Times New Roman" w:hAnsi="Times New Roman"/>
          <w:sz w:val="18"/>
          <w:szCs w:val="18"/>
          <w:color w:val="auto"/>
        </w:rPr>
      </w:pPr>
      <w:r>
        <w:rPr>
          <w:rFonts w:ascii="Arial" w:cs="Arial" w:eastAsia="Arial" w:hAnsi="Arial"/>
          <w:sz w:val="18"/>
          <w:szCs w:val="18"/>
          <w:b w:val="1"/>
          <w:bCs w:val="1"/>
          <w:color w:val="auto"/>
        </w:rPr>
        <w:t xml:space="preserve">Business affiliations: </w:t>
      </w:r>
      <w:r>
        <w:rPr>
          <w:rFonts w:ascii="Arial" w:cs="Arial" w:eastAsia="Arial" w:hAnsi="Arial"/>
          <w:sz w:val="18"/>
          <w:szCs w:val="18"/>
          <w:color w:val="auto"/>
        </w:rPr>
        <w:t>Business Roundtable, American Petroleum Institute (Chair)</w:t>
      </w:r>
    </w:p>
    <w:p>
      <w:pPr>
        <w:spacing w:after="0" w:line="13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Current public company directorships: </w:t>
      </w:r>
      <w:r>
        <w:rPr>
          <w:rFonts w:ascii="Arial" w:cs="Arial" w:eastAsia="Arial" w:hAnsi="Arial"/>
          <w:sz w:val="18"/>
          <w:szCs w:val="18"/>
          <w:color w:val="auto"/>
        </w:rPr>
        <w:t>None</w:t>
      </w:r>
    </w:p>
    <w:p>
      <w:pPr>
        <w:spacing w:after="0" w:line="117" w:lineRule="exact"/>
        <w:rPr>
          <w:sz w:val="20"/>
          <w:szCs w:val="20"/>
          <w:color w:val="auto"/>
        </w:rPr>
      </w:pPr>
    </w:p>
    <w:p>
      <w:pPr>
        <w:ind w:right="720"/>
        <w:spacing w:after="0" w:line="278" w:lineRule="auto"/>
        <w:rPr>
          <w:sz w:val="20"/>
          <w:szCs w:val="20"/>
          <w:color w:val="auto"/>
        </w:rPr>
      </w:pPr>
      <w:r>
        <w:rPr>
          <w:rFonts w:ascii="Arial" w:cs="Arial" w:eastAsia="Arial" w:hAnsi="Arial"/>
          <w:sz w:val="18"/>
          <w:szCs w:val="18"/>
          <w:b w:val="1"/>
          <w:bCs w:val="1"/>
          <w:color w:val="auto"/>
        </w:rPr>
        <w:t xml:space="preserve">Previous public company directorships in last five years: </w:t>
      </w:r>
      <w:r>
        <w:rPr>
          <w:rFonts w:ascii="Arial" w:cs="Arial" w:eastAsia="Arial" w:hAnsi="Arial"/>
          <w:sz w:val="18"/>
          <w:szCs w:val="18"/>
          <w:color w:val="auto"/>
        </w:rPr>
        <w:t>Imperial Oil Ltd.</w:t>
      </w:r>
      <w:r>
        <w:rPr>
          <w:rFonts w:ascii="Arial" w:cs="Arial" w:eastAsia="Arial" w:hAnsi="Arial"/>
          <w:sz w:val="18"/>
          <w:szCs w:val="18"/>
          <w:b w:val="1"/>
          <w:bCs w:val="1"/>
          <w:color w:val="auto"/>
        </w:rPr>
        <w:t xml:space="preserve"> </w:t>
      </w:r>
      <w:r>
        <w:rPr>
          <w:rFonts w:ascii="Arial" w:cs="Arial" w:eastAsia="Arial" w:hAnsi="Arial"/>
          <w:sz w:val="18"/>
          <w:szCs w:val="18"/>
          <w:color w:val="auto"/>
        </w:rPr>
        <w:t>(April 2013–July 2014)</w:t>
      </w:r>
    </w:p>
    <w:p>
      <w:pPr>
        <w:spacing w:after="0" w:line="1180" w:lineRule="exact"/>
        <w:rPr>
          <w:sz w:val="20"/>
          <w:szCs w:val="20"/>
          <w:color w:val="auto"/>
        </w:rPr>
      </w:pPr>
    </w:p>
    <w:p>
      <w:pPr>
        <w:sectPr>
          <w:pgSz w:w="11900" w:h="16838" w:orient="portrait"/>
          <w:cols w:equalWidth="0" w:num="2">
            <w:col w:w="3280" w:space="360"/>
            <w:col w:w="6920"/>
          </w:cols>
          <w:pgMar w:left="240" w:top="455" w:right="1099" w:bottom="1440" w:gutter="0" w:footer="0" w:header="0"/>
          <w:type w:val="continuous"/>
        </w:sectPr>
      </w:pPr>
    </w:p>
    <w:p>
      <w:pPr>
        <w:spacing w:after="0" w:line="84" w:lineRule="exact"/>
        <w:rPr>
          <w:sz w:val="20"/>
          <w:szCs w:val="20"/>
          <w:color w:val="auto"/>
        </w:rPr>
      </w:pPr>
    </w:p>
    <w:p>
      <w:pPr>
        <w:ind w:left="880"/>
        <w:spacing w:after="0"/>
        <w:tabs>
          <w:tab w:leader="none" w:pos="2780" w:val="left"/>
        </w:tabs>
        <w:rPr>
          <w:sz w:val="20"/>
          <w:szCs w:val="20"/>
          <w:color w:val="auto"/>
        </w:rPr>
      </w:pPr>
      <w:r>
        <w:rPr>
          <w:rFonts w:ascii="Arial" w:cs="Arial" w:eastAsia="Arial" w:hAnsi="Arial"/>
          <w:sz w:val="17"/>
          <w:szCs w:val="17"/>
          <w:color w:val="auto"/>
        </w:rPr>
        <w:t>20</w:t>
      </w:r>
      <w:r>
        <w:rPr>
          <w:sz w:val="20"/>
          <w:szCs w:val="20"/>
          <w:color w:val="auto"/>
        </w:rPr>
        <w:tab/>
      </w:r>
      <w:r>
        <w:rPr>
          <w:rFonts w:ascii="Times New Roman" w:cs="Times New Roman" w:eastAsia="Times New Roman" w:hAnsi="Times New Roman"/>
          <w:sz w:val="17"/>
          <w:szCs w:val="17"/>
          <w:i w:val="1"/>
          <w:iCs w:val="1"/>
          <w:color w:val="auto"/>
        </w:rPr>
        <w:t>2018 Proxy Statement</w:t>
      </w:r>
    </w:p>
    <w:p>
      <w:pPr>
        <w:sectPr>
          <w:pgSz w:w="11900" w:h="16838" w:orient="portrait"/>
          <w:cols w:equalWidth="0" w:num="1">
            <w:col w:w="10560"/>
          </w:cols>
          <w:pgMar w:left="240" w:top="455" w:right="1099" w:bottom="1440" w:gutter="0" w:footer="0" w:header="0"/>
          <w:type w:val="continuous"/>
        </w:sectPr>
      </w:pPr>
    </w:p>
    <w:bookmarkStart w:id="23" w:name="page24"/>
    <w:bookmarkEnd w:id="23"/>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Times New Roman" w:cs="Times New Roman" w:eastAsia="Times New Roman" w:hAnsi="Times New Roman"/>
            <w:sz w:val="18"/>
            <w:szCs w:val="18"/>
            <w:b w:val="1"/>
            <w:bCs w:val="1"/>
            <w:u w:val="single" w:color="auto"/>
            <w:color w:val="0000EE"/>
          </w:rPr>
          <w:t>Table of Contents</w:t>
        </w:r>
      </w:hyperlink>
    </w:p>
    <w:p>
      <w:pPr>
        <w:spacing w:after="0" w:line="296" w:lineRule="exact"/>
        <w:rPr>
          <w:sz w:val="20"/>
          <w:szCs w:val="20"/>
          <w:color w:val="auto"/>
        </w:rPr>
      </w:pPr>
    </w:p>
    <w:p>
      <w:pPr>
        <w:ind w:left="860"/>
        <w:spacing w:after="0"/>
        <w:rPr>
          <w:sz w:val="20"/>
          <w:szCs w:val="20"/>
          <w:color w:val="auto"/>
        </w:rPr>
      </w:pPr>
      <w:r>
        <w:rPr>
          <w:rFonts w:ascii="Arial" w:cs="Arial" w:eastAsia="Arial" w:hAnsi="Arial"/>
          <w:sz w:val="20"/>
          <w:szCs w:val="20"/>
          <w:b w:val="1"/>
          <w:bCs w:val="1"/>
          <w:color w:val="2B4C9B"/>
        </w:rPr>
        <w:t>Director Compensation</w:t>
      </w:r>
    </w:p>
    <w:p>
      <w:pPr>
        <w:spacing w:after="0" w:line="103" w:lineRule="exact"/>
        <w:rPr>
          <w:sz w:val="20"/>
          <w:szCs w:val="20"/>
          <w:color w:val="auto"/>
        </w:rPr>
      </w:pPr>
    </w:p>
    <w:p>
      <w:pPr>
        <w:ind w:left="860"/>
        <w:spacing w:after="0"/>
        <w:rPr>
          <w:sz w:val="20"/>
          <w:szCs w:val="20"/>
          <w:color w:val="auto"/>
        </w:rPr>
      </w:pPr>
      <w:r>
        <w:rPr>
          <w:rFonts w:ascii="Arial" w:cs="Arial" w:eastAsia="Arial" w:hAnsi="Arial"/>
          <w:sz w:val="18"/>
          <w:szCs w:val="18"/>
          <w:color w:val="auto"/>
        </w:rPr>
        <w:t>Director compensation elements are designed to:</w:t>
      </w:r>
    </w:p>
    <w:p>
      <w:pPr>
        <w:spacing w:after="0" w:line="117" w:lineRule="exact"/>
        <w:rPr>
          <w:sz w:val="20"/>
          <w:szCs w:val="20"/>
          <w:color w:val="auto"/>
        </w:rPr>
      </w:pPr>
    </w:p>
    <w:p>
      <w:pPr>
        <w:ind w:left="1240" w:hanging="388"/>
        <w:spacing w:after="0"/>
        <w:tabs>
          <w:tab w:leader="none" w:pos="1240" w:val="left"/>
        </w:tabs>
        <w:numPr>
          <w:ilvl w:val="0"/>
          <w:numId w:val="32"/>
        </w:numPr>
        <w:rPr>
          <w:rFonts w:ascii="Times New Roman" w:cs="Times New Roman" w:eastAsia="Times New Roman" w:hAnsi="Times New Roman"/>
          <w:sz w:val="18"/>
          <w:szCs w:val="18"/>
          <w:color w:val="auto"/>
        </w:rPr>
      </w:pPr>
      <w:r>
        <w:rPr>
          <w:rFonts w:ascii="Arial" w:cs="Arial" w:eastAsia="Arial" w:hAnsi="Arial"/>
          <w:sz w:val="18"/>
          <w:szCs w:val="18"/>
          <w:color w:val="auto"/>
        </w:rPr>
        <w:t>Ensure alignment with long-term shareholder interests;</w:t>
      </w:r>
    </w:p>
    <w:p>
      <w:pPr>
        <w:spacing w:after="0" w:line="129" w:lineRule="exact"/>
        <w:rPr>
          <w:rFonts w:ascii="Times New Roman" w:cs="Times New Roman" w:eastAsia="Times New Roman" w:hAnsi="Times New Roman"/>
          <w:sz w:val="18"/>
          <w:szCs w:val="18"/>
          <w:color w:val="auto"/>
        </w:rPr>
      </w:pPr>
    </w:p>
    <w:p>
      <w:pPr>
        <w:jc w:val="both"/>
        <w:ind w:left="1240" w:hanging="388"/>
        <w:spacing w:after="0" w:line="255" w:lineRule="auto"/>
        <w:tabs>
          <w:tab w:leader="none" w:pos="1240" w:val="left"/>
        </w:tabs>
        <w:numPr>
          <w:ilvl w:val="0"/>
          <w:numId w:val="32"/>
        </w:numPr>
        <w:rPr>
          <w:rFonts w:ascii="Times New Roman" w:cs="Times New Roman" w:eastAsia="Times New Roman" w:hAnsi="Times New Roman"/>
          <w:sz w:val="18"/>
          <w:szCs w:val="18"/>
          <w:color w:val="auto"/>
        </w:rPr>
      </w:pPr>
      <w:r>
        <w:rPr>
          <w:rFonts w:ascii="Arial" w:cs="Arial" w:eastAsia="Arial" w:hAnsi="Arial"/>
          <w:sz w:val="18"/>
          <w:szCs w:val="18"/>
          <w:color w:val="auto"/>
        </w:rPr>
        <w:t>Ensure the Company can attract and retain outstanding director candidates who meet the selection criteria outlined in the Guidelines for Selection of Non-Employee Directors, which can be found on the Corporate Governance section of our website;</w:t>
      </w:r>
    </w:p>
    <w:p>
      <w:pPr>
        <w:spacing w:after="0" w:line="68" w:lineRule="exact"/>
        <w:rPr>
          <w:rFonts w:ascii="Times New Roman" w:cs="Times New Roman" w:eastAsia="Times New Roman" w:hAnsi="Times New Roman"/>
          <w:sz w:val="18"/>
          <w:szCs w:val="18"/>
          <w:color w:val="auto"/>
        </w:rPr>
      </w:pPr>
    </w:p>
    <w:p>
      <w:pPr>
        <w:ind w:left="1240" w:hanging="388"/>
        <w:spacing w:after="0"/>
        <w:tabs>
          <w:tab w:leader="none" w:pos="1240" w:val="left"/>
        </w:tabs>
        <w:numPr>
          <w:ilvl w:val="0"/>
          <w:numId w:val="32"/>
        </w:numPr>
        <w:rPr>
          <w:rFonts w:ascii="Times New Roman" w:cs="Times New Roman" w:eastAsia="Times New Roman" w:hAnsi="Times New Roman"/>
          <w:sz w:val="18"/>
          <w:szCs w:val="18"/>
          <w:color w:val="auto"/>
        </w:rPr>
      </w:pPr>
      <w:r>
        <w:rPr>
          <w:rFonts w:ascii="Arial" w:cs="Arial" w:eastAsia="Arial" w:hAnsi="Arial"/>
          <w:sz w:val="18"/>
          <w:szCs w:val="18"/>
          <w:color w:val="auto"/>
        </w:rPr>
        <w:t>Recognize the substantial time commitments necessary to oversee the affairs of the Corporation; and</w:t>
      </w:r>
    </w:p>
    <w:p>
      <w:pPr>
        <w:spacing w:after="0" w:line="129" w:lineRule="exact"/>
        <w:rPr>
          <w:rFonts w:ascii="Times New Roman" w:cs="Times New Roman" w:eastAsia="Times New Roman" w:hAnsi="Times New Roman"/>
          <w:sz w:val="18"/>
          <w:szCs w:val="18"/>
          <w:color w:val="auto"/>
        </w:rPr>
      </w:pPr>
    </w:p>
    <w:p>
      <w:pPr>
        <w:ind w:left="1240" w:hanging="388"/>
        <w:spacing w:after="0"/>
        <w:tabs>
          <w:tab w:leader="none" w:pos="1240" w:val="left"/>
        </w:tabs>
        <w:numPr>
          <w:ilvl w:val="0"/>
          <w:numId w:val="32"/>
        </w:numPr>
        <w:rPr>
          <w:rFonts w:ascii="Times New Roman" w:cs="Times New Roman" w:eastAsia="Times New Roman" w:hAnsi="Times New Roman"/>
          <w:sz w:val="18"/>
          <w:szCs w:val="18"/>
          <w:color w:val="auto"/>
        </w:rPr>
      </w:pPr>
      <w:r>
        <w:rPr>
          <w:rFonts w:ascii="Arial" w:cs="Arial" w:eastAsia="Arial" w:hAnsi="Arial"/>
          <w:sz w:val="18"/>
          <w:szCs w:val="18"/>
          <w:color w:val="auto"/>
        </w:rPr>
        <w:t>Support the independence of thought and action expected of directors.</w:t>
      </w:r>
    </w:p>
    <w:p>
      <w:pPr>
        <w:spacing w:after="0" w:line="224" w:lineRule="exact"/>
        <w:rPr>
          <w:sz w:val="20"/>
          <w:szCs w:val="20"/>
          <w:color w:val="auto"/>
        </w:rPr>
      </w:pPr>
    </w:p>
    <w:p>
      <w:pPr>
        <w:ind w:left="860"/>
        <w:spacing w:after="0" w:line="245" w:lineRule="auto"/>
        <w:rPr>
          <w:sz w:val="20"/>
          <w:szCs w:val="20"/>
          <w:color w:val="auto"/>
        </w:rPr>
      </w:pPr>
      <w:r>
        <w:rPr>
          <w:rFonts w:ascii="Arial" w:cs="Arial" w:eastAsia="Arial" w:hAnsi="Arial"/>
          <w:sz w:val="18"/>
          <w:szCs w:val="18"/>
          <w:color w:val="auto"/>
        </w:rPr>
        <w:t>Non-employee director compensation levels are reviewed by the Board Affairs Committee each year, and resulting recommendations are presented to the full Board for approval. The Committee uses an independent consultant, Pearl Meyer, to provide information on current developments and practices in director compensation. Pearl Meyer is the same consultant retained by the Compensation Committee to advise on executive compensation, but performs no other work for ExxonMobil.</w:t>
      </w:r>
    </w:p>
    <w:p>
      <w:pPr>
        <w:spacing w:after="0" w:line="172" w:lineRule="exact"/>
        <w:rPr>
          <w:sz w:val="20"/>
          <w:szCs w:val="20"/>
          <w:color w:val="auto"/>
        </w:rPr>
      </w:pPr>
    </w:p>
    <w:p>
      <w:pPr>
        <w:ind w:left="860"/>
        <w:spacing w:after="0"/>
        <w:rPr>
          <w:sz w:val="20"/>
          <w:szCs w:val="20"/>
          <w:color w:val="auto"/>
        </w:rPr>
      </w:pPr>
      <w:r>
        <w:rPr>
          <w:rFonts w:ascii="Arial" w:cs="Arial" w:eastAsia="Arial" w:hAnsi="Arial"/>
          <w:sz w:val="18"/>
          <w:szCs w:val="18"/>
          <w:color w:val="auto"/>
        </w:rPr>
        <w:t>ExxonMobil employees receive no additional pay for serving as directors.</w:t>
      </w:r>
    </w:p>
    <w:p>
      <w:pPr>
        <w:spacing w:after="0" w:line="212" w:lineRule="exact"/>
        <w:rPr>
          <w:sz w:val="20"/>
          <w:szCs w:val="20"/>
          <w:color w:val="auto"/>
        </w:rPr>
      </w:pPr>
    </w:p>
    <w:p>
      <w:pPr>
        <w:ind w:left="860"/>
        <w:spacing w:after="0" w:line="255" w:lineRule="auto"/>
        <w:rPr>
          <w:sz w:val="20"/>
          <w:szCs w:val="20"/>
          <w:color w:val="auto"/>
        </w:rPr>
      </w:pPr>
      <w:r>
        <w:rPr>
          <w:rFonts w:ascii="Arial" w:cs="Arial" w:eastAsia="Arial" w:hAnsi="Arial"/>
          <w:sz w:val="18"/>
          <w:szCs w:val="18"/>
          <w:color w:val="auto"/>
        </w:rPr>
        <w:t>Non-employee directors receive compensation consisting of cash and equity in the form of restricted stock. Non-employee directors are also reimbursed for reasonable expenses incurred to attend Board meetings or other functions relating to their responsibilities as a director of Exxon Mobil Corporation.</w:t>
      </w:r>
    </w:p>
    <w:p>
      <w:pPr>
        <w:spacing w:after="0" w:line="164" w:lineRule="exact"/>
        <w:rPr>
          <w:sz w:val="20"/>
          <w:szCs w:val="20"/>
          <w:color w:val="auto"/>
        </w:rPr>
      </w:pPr>
    </w:p>
    <w:p>
      <w:pPr>
        <w:ind w:left="860" w:right="1100"/>
        <w:spacing w:after="0" w:line="276" w:lineRule="auto"/>
        <w:rPr>
          <w:sz w:val="20"/>
          <w:szCs w:val="20"/>
          <w:color w:val="auto"/>
        </w:rPr>
      </w:pPr>
      <w:r>
        <w:rPr>
          <w:rFonts w:ascii="Arial" w:cs="Arial" w:eastAsia="Arial" w:hAnsi="Arial"/>
          <w:sz w:val="18"/>
          <w:szCs w:val="18"/>
          <w:color w:val="auto"/>
        </w:rPr>
        <w:t>The annual cash retainer for non-employee directors in 2017 was $110,000 per year. Chairs of the Audit and Compensation Committees and the Presiding Director receive an additional $10,000 per year.</w:t>
      </w:r>
    </w:p>
    <w:p>
      <w:pPr>
        <w:spacing w:after="0" w:line="145" w:lineRule="exact"/>
        <w:rPr>
          <w:sz w:val="20"/>
          <w:szCs w:val="20"/>
          <w:color w:val="auto"/>
        </w:rPr>
      </w:pPr>
    </w:p>
    <w:p>
      <w:pPr>
        <w:ind w:left="860" w:right="100"/>
        <w:spacing w:after="0" w:line="248" w:lineRule="auto"/>
        <w:rPr>
          <w:sz w:val="20"/>
          <w:szCs w:val="20"/>
          <w:color w:val="auto"/>
        </w:rPr>
      </w:pPr>
      <w:r>
        <w:rPr>
          <w:rFonts w:ascii="Arial" w:cs="Arial" w:eastAsia="Arial" w:hAnsi="Arial"/>
          <w:sz w:val="18"/>
          <w:szCs w:val="18"/>
          <w:color w:val="auto"/>
        </w:rPr>
        <w:t>A significant portion of director compensation is granted in the form of restricted stock to align director interests with the interests of our long-term shareholders. The annual restricted stock award grant for incumbent non-employee directors is 2,500 shares. A new non-employee director receives a one-time grant of 8,000 shares of restricted stock upon first being elected to the Board.</w:t>
      </w:r>
    </w:p>
    <w:p>
      <w:pPr>
        <w:spacing w:after="0" w:line="171" w:lineRule="exact"/>
        <w:rPr>
          <w:sz w:val="20"/>
          <w:szCs w:val="20"/>
          <w:color w:val="auto"/>
        </w:rPr>
      </w:pPr>
    </w:p>
    <w:p>
      <w:pPr>
        <w:ind w:left="860" w:right="440"/>
        <w:spacing w:after="0" w:line="248" w:lineRule="auto"/>
        <w:rPr>
          <w:sz w:val="20"/>
          <w:szCs w:val="20"/>
          <w:color w:val="auto"/>
        </w:rPr>
      </w:pPr>
      <w:r>
        <w:rPr>
          <w:rFonts w:ascii="Arial" w:cs="Arial" w:eastAsia="Arial" w:hAnsi="Arial"/>
          <w:sz w:val="18"/>
          <w:szCs w:val="18"/>
          <w:color w:val="auto"/>
        </w:rPr>
        <w:t>While on the Board, the non-employee director receives the same cash dividends on restricted shares as a holder of regular common stock, but the shares remain unvested and thus cannot be sold. The restricted shares are subject to forfeiture if the non-employee director leaves the Board early, i.e., before the retirement age of 72, as specified for non-employee directors.</w:t>
      </w:r>
    </w:p>
    <w:p>
      <w:pPr>
        <w:spacing w:after="0" w:line="171" w:lineRule="exact"/>
        <w:rPr>
          <w:sz w:val="20"/>
          <w:szCs w:val="20"/>
          <w:color w:val="auto"/>
        </w:rPr>
      </w:pPr>
    </w:p>
    <w:p>
      <w:pPr>
        <w:ind w:left="860" w:right="560"/>
        <w:spacing w:after="0" w:line="255" w:lineRule="auto"/>
        <w:rPr>
          <w:sz w:val="20"/>
          <w:szCs w:val="20"/>
          <w:color w:val="auto"/>
        </w:rPr>
      </w:pPr>
      <w:r>
        <w:rPr>
          <w:rFonts w:ascii="Arial" w:cs="Arial" w:eastAsia="Arial" w:hAnsi="Arial"/>
          <w:sz w:val="18"/>
          <w:szCs w:val="18"/>
          <w:color w:val="auto"/>
        </w:rPr>
        <w:t>Current and former non-employee directors of Exxon Mobil Corporation are eligible to participate in the ExxonMobil Foundation’s Educational and Cultural Matching Gift Programs under the same terms as the Corporation’s U.S. employees.</w:t>
      </w:r>
    </w:p>
    <w:p>
      <w:pPr>
        <w:spacing w:after="0" w:line="164" w:lineRule="exact"/>
        <w:rPr>
          <w:sz w:val="20"/>
          <w:szCs w:val="20"/>
          <w:color w:val="auto"/>
        </w:rPr>
      </w:pPr>
    </w:p>
    <w:p>
      <w:pPr>
        <w:ind w:left="860" w:right="160"/>
        <w:spacing w:after="0" w:line="276" w:lineRule="auto"/>
        <w:rPr>
          <w:sz w:val="20"/>
          <w:szCs w:val="20"/>
          <w:color w:val="auto"/>
        </w:rPr>
      </w:pPr>
      <w:r>
        <w:rPr>
          <w:rFonts w:ascii="Arial" w:cs="Arial" w:eastAsia="Arial" w:hAnsi="Arial"/>
          <w:sz w:val="18"/>
          <w:szCs w:val="18"/>
          <w:color w:val="auto"/>
        </w:rPr>
        <w:t>Mr. Kandarian was first elected to the Board effective February 1, 2018, and therefore is not included in the tables below in this section.</w:t>
      </w:r>
    </w:p>
    <w:p>
      <w:pPr>
        <w:spacing w:after="0" w:line="78" w:lineRule="exact"/>
        <w:rPr>
          <w:sz w:val="20"/>
          <w:szCs w:val="20"/>
          <w:color w:val="auto"/>
        </w:rPr>
      </w:pPr>
    </w:p>
    <w:tbl>
      <w:tblPr>
        <w:tblLayout w:type="fixed"/>
        <w:tblInd w:w="6960" w:type="dxa"/>
        <w:tblCellMar>
          <w:top w:w="0" w:type="dxa"/>
          <w:left w:w="0" w:type="dxa"/>
          <w:bottom w:w="0" w:type="dxa"/>
          <w:right w:w="0" w:type="dxa"/>
        </w:tblCellMar>
      </w:tblPr>
      <w:tr>
        <w:trPr>
          <w:trHeight w:val="243"/>
        </w:trPr>
        <w:tc>
          <w:tcPr>
            <w:tcW w:w="2440" w:type="dxa"/>
            <w:vAlign w:val="bottom"/>
          </w:tcPr>
          <w:p>
            <w:pPr>
              <w:spacing w:after="0"/>
              <w:rPr>
                <w:sz w:val="20"/>
                <w:szCs w:val="20"/>
                <w:color w:val="auto"/>
              </w:rPr>
            </w:pPr>
            <w:r>
              <w:rPr>
                <w:rFonts w:ascii="Times New Roman" w:cs="Times New Roman" w:eastAsia="Times New Roman" w:hAnsi="Times New Roman"/>
                <w:sz w:val="18"/>
                <w:szCs w:val="18"/>
                <w:i w:val="1"/>
                <w:iCs w:val="1"/>
                <w:color w:val="auto"/>
              </w:rPr>
              <w:t>2018 Proxy Statement</w:t>
            </w:r>
          </w:p>
        </w:tc>
        <w:tc>
          <w:tcPr>
            <w:tcW w:w="1060" w:type="dxa"/>
            <w:vAlign w:val="bottom"/>
          </w:tcPr>
          <w:p>
            <w:pPr>
              <w:jc w:val="right"/>
              <w:spacing w:after="0"/>
              <w:rPr>
                <w:sz w:val="20"/>
                <w:szCs w:val="20"/>
                <w:color w:val="auto"/>
              </w:rPr>
            </w:pPr>
            <w:r>
              <w:rPr>
                <w:rFonts w:ascii="Arial" w:cs="Arial" w:eastAsia="Arial" w:hAnsi="Arial"/>
                <w:sz w:val="18"/>
                <w:szCs w:val="18"/>
                <w:color w:val="auto"/>
              </w:rPr>
              <w:t>21</w:t>
            </w:r>
          </w:p>
        </w:tc>
      </w:tr>
    </w:tbl>
    <w:p>
      <w:pPr>
        <w:sectPr>
          <w:pgSz w:w="11900" w:h="16838" w:orient="portrait"/>
          <w:cols w:equalWidth="0" w:num="1">
            <w:col w:w="10560"/>
          </w:cols>
          <w:pgMar w:left="240" w:top="455" w:right="1099" w:bottom="1440" w:gutter="0" w:footer="0" w:header="0"/>
        </w:sectPr>
      </w:pPr>
    </w:p>
    <w:bookmarkStart w:id="24" w:name="page25"/>
    <w:bookmarkEnd w:id="24"/>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Times New Roman" w:cs="Times New Roman" w:eastAsia="Times New Roman" w:hAnsi="Times New Roman"/>
            <w:sz w:val="18"/>
            <w:szCs w:val="18"/>
            <w:b w:val="1"/>
            <w:bCs w:val="1"/>
            <w:u w:val="single" w:color="auto"/>
            <w:color w:val="0000EE"/>
          </w:rPr>
          <w:t>Table of Contents</w:t>
        </w:r>
      </w:hyperlink>
    </w:p>
    <w:p>
      <w:pPr>
        <w:spacing w:after="0" w:line="303" w:lineRule="exact"/>
        <w:rPr>
          <w:sz w:val="20"/>
          <w:szCs w:val="20"/>
          <w:color w:val="auto"/>
        </w:rPr>
      </w:pPr>
    </w:p>
    <w:p>
      <w:pPr>
        <w:ind w:left="860"/>
        <w:spacing w:after="0"/>
        <w:rPr>
          <w:sz w:val="20"/>
          <w:szCs w:val="20"/>
          <w:color w:val="auto"/>
        </w:rPr>
      </w:pPr>
      <w:r>
        <w:rPr>
          <w:rFonts w:ascii="Arial" w:cs="Arial" w:eastAsia="Arial" w:hAnsi="Arial"/>
          <w:sz w:val="18"/>
          <w:szCs w:val="18"/>
          <w:b w:val="1"/>
          <w:bCs w:val="1"/>
          <w:color w:val="auto"/>
        </w:rPr>
        <w:t>Director Compensation for 2017</w:t>
      </w:r>
    </w:p>
    <w:p>
      <w:pPr>
        <w:spacing w:after="0" w:line="244" w:lineRule="exact"/>
        <w:rPr>
          <w:sz w:val="20"/>
          <w:szCs w:val="20"/>
          <w:color w:val="auto"/>
        </w:rPr>
      </w:pPr>
    </w:p>
    <w:tbl>
      <w:tblPr>
        <w:tblLayout w:type="fixed"/>
        <w:tblInd w:w="870" w:type="dxa"/>
        <w:tblCellMar>
          <w:top w:w="0" w:type="dxa"/>
          <w:left w:w="0" w:type="dxa"/>
          <w:bottom w:w="0" w:type="dxa"/>
          <w:right w:w="0" w:type="dxa"/>
        </w:tblCellMar>
      </w:tblPr>
      <w:tr>
        <w:trPr>
          <w:trHeight w:val="174"/>
        </w:trPr>
        <w:tc>
          <w:tcPr>
            <w:tcW w:w="3040" w:type="dxa"/>
            <w:vAlign w:val="bottom"/>
            <w:tcBorders>
              <w:top w:val="single" w:sz="8" w:color="auto"/>
              <w:left w:val="single" w:sz="8" w:color="auto"/>
              <w:right w:val="single" w:sz="8" w:color="auto"/>
            </w:tcBorders>
          </w:tcPr>
          <w:p>
            <w:pPr>
              <w:spacing w:after="0"/>
              <w:rPr>
                <w:sz w:val="15"/>
                <w:szCs w:val="15"/>
                <w:color w:val="auto"/>
              </w:rPr>
            </w:pPr>
          </w:p>
        </w:tc>
        <w:tc>
          <w:tcPr>
            <w:tcW w:w="780" w:type="dxa"/>
            <w:vAlign w:val="bottom"/>
            <w:tcBorders>
              <w:top w:val="single" w:sz="8" w:color="auto"/>
              <w:right w:val="single" w:sz="8" w:color="auto"/>
            </w:tcBorders>
          </w:tcPr>
          <w:p>
            <w:pPr>
              <w:spacing w:after="0"/>
              <w:rPr>
                <w:sz w:val="15"/>
                <w:szCs w:val="15"/>
                <w:color w:val="auto"/>
              </w:rPr>
            </w:pPr>
          </w:p>
        </w:tc>
        <w:tc>
          <w:tcPr>
            <w:tcW w:w="780" w:type="dxa"/>
            <w:vAlign w:val="bottom"/>
            <w:tcBorders>
              <w:top w:val="single" w:sz="8" w:color="auto"/>
              <w:right w:val="single" w:sz="8" w:color="auto"/>
            </w:tcBorders>
          </w:tcPr>
          <w:p>
            <w:pPr>
              <w:spacing w:after="0"/>
              <w:rPr>
                <w:sz w:val="15"/>
                <w:szCs w:val="15"/>
                <w:color w:val="auto"/>
              </w:rPr>
            </w:pPr>
          </w:p>
        </w:tc>
        <w:tc>
          <w:tcPr>
            <w:tcW w:w="640" w:type="dxa"/>
            <w:vAlign w:val="bottom"/>
            <w:tcBorders>
              <w:top w:val="single" w:sz="8" w:color="auto"/>
              <w:right w:val="single" w:sz="8" w:color="auto"/>
            </w:tcBorders>
          </w:tcPr>
          <w:p>
            <w:pPr>
              <w:spacing w:after="0"/>
              <w:rPr>
                <w:sz w:val="15"/>
                <w:szCs w:val="15"/>
                <w:color w:val="auto"/>
              </w:rPr>
            </w:pPr>
          </w:p>
        </w:tc>
        <w:tc>
          <w:tcPr>
            <w:tcW w:w="1100" w:type="dxa"/>
            <w:vAlign w:val="bottom"/>
            <w:tcBorders>
              <w:top w:val="single" w:sz="8" w:color="auto"/>
              <w:right w:val="single" w:sz="8" w:color="auto"/>
            </w:tcBorders>
          </w:tcPr>
          <w:p>
            <w:pPr>
              <w:spacing w:after="0"/>
              <w:rPr>
                <w:sz w:val="15"/>
                <w:szCs w:val="15"/>
                <w:color w:val="auto"/>
              </w:rPr>
            </w:pPr>
          </w:p>
        </w:tc>
        <w:tc>
          <w:tcPr>
            <w:tcW w:w="1100" w:type="dxa"/>
            <w:vAlign w:val="bottom"/>
            <w:tcBorders>
              <w:top w:val="single" w:sz="8" w:color="auto"/>
              <w:right w:val="single" w:sz="8" w:color="auto"/>
            </w:tcBorders>
          </w:tcPr>
          <w:p>
            <w:pPr>
              <w:jc w:val="center"/>
              <w:spacing w:after="0"/>
              <w:rPr>
                <w:sz w:val="20"/>
                <w:szCs w:val="20"/>
                <w:color w:val="auto"/>
              </w:rPr>
            </w:pPr>
            <w:r>
              <w:rPr>
                <w:rFonts w:ascii="Arial" w:cs="Arial" w:eastAsia="Arial" w:hAnsi="Arial"/>
                <w:sz w:val="14"/>
                <w:szCs w:val="14"/>
                <w:b w:val="1"/>
                <w:bCs w:val="1"/>
                <w:color w:val="auto"/>
              </w:rPr>
              <w:t>Change in</w:t>
            </w:r>
          </w:p>
        </w:tc>
        <w:tc>
          <w:tcPr>
            <w:tcW w:w="1120" w:type="dxa"/>
            <w:vAlign w:val="bottom"/>
            <w:tcBorders>
              <w:top w:val="single" w:sz="8" w:color="auto"/>
              <w:right w:val="single" w:sz="8" w:color="auto"/>
            </w:tcBorders>
          </w:tcPr>
          <w:p>
            <w:pPr>
              <w:spacing w:after="0"/>
              <w:rPr>
                <w:sz w:val="15"/>
                <w:szCs w:val="15"/>
                <w:color w:val="auto"/>
              </w:rPr>
            </w:pPr>
          </w:p>
        </w:tc>
        <w:tc>
          <w:tcPr>
            <w:tcW w:w="800" w:type="dxa"/>
            <w:vAlign w:val="bottom"/>
            <w:tcBorders>
              <w:top w:val="single" w:sz="8" w:color="auto"/>
              <w:right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162"/>
        </w:trPr>
        <w:tc>
          <w:tcPr>
            <w:tcW w:w="3040" w:type="dxa"/>
            <w:vAlign w:val="bottom"/>
            <w:tcBorders>
              <w:left w:val="single" w:sz="8" w:color="auto"/>
              <w:right w:val="single" w:sz="8" w:color="auto"/>
            </w:tcBorders>
          </w:tcPr>
          <w:p>
            <w:pPr>
              <w:spacing w:after="0"/>
              <w:rPr>
                <w:sz w:val="14"/>
                <w:szCs w:val="14"/>
                <w:color w:val="auto"/>
              </w:rPr>
            </w:pPr>
          </w:p>
        </w:tc>
        <w:tc>
          <w:tcPr>
            <w:tcW w:w="780" w:type="dxa"/>
            <w:vAlign w:val="bottom"/>
            <w:tcBorders>
              <w:right w:val="single" w:sz="8" w:color="auto"/>
            </w:tcBorders>
          </w:tcPr>
          <w:p>
            <w:pPr>
              <w:spacing w:after="0"/>
              <w:rPr>
                <w:sz w:val="14"/>
                <w:szCs w:val="14"/>
                <w:color w:val="auto"/>
              </w:rPr>
            </w:pPr>
          </w:p>
        </w:tc>
        <w:tc>
          <w:tcPr>
            <w:tcW w:w="780" w:type="dxa"/>
            <w:vAlign w:val="bottom"/>
            <w:tcBorders>
              <w:right w:val="single" w:sz="8" w:color="auto"/>
            </w:tcBorders>
          </w:tcPr>
          <w:p>
            <w:pPr>
              <w:spacing w:after="0"/>
              <w:rPr>
                <w:sz w:val="14"/>
                <w:szCs w:val="14"/>
                <w:color w:val="auto"/>
              </w:rPr>
            </w:pPr>
          </w:p>
        </w:tc>
        <w:tc>
          <w:tcPr>
            <w:tcW w:w="640" w:type="dxa"/>
            <w:vAlign w:val="bottom"/>
            <w:tcBorders>
              <w:right w:val="single" w:sz="8" w:color="auto"/>
            </w:tcBorders>
          </w:tcPr>
          <w:p>
            <w:pPr>
              <w:spacing w:after="0"/>
              <w:rPr>
                <w:sz w:val="14"/>
                <w:szCs w:val="14"/>
                <w:color w:val="auto"/>
              </w:rPr>
            </w:pPr>
          </w:p>
        </w:tc>
        <w:tc>
          <w:tcPr>
            <w:tcW w:w="1100" w:type="dxa"/>
            <w:vAlign w:val="bottom"/>
            <w:tcBorders>
              <w:right w:val="single" w:sz="8" w:color="auto"/>
            </w:tcBorders>
          </w:tcPr>
          <w:p>
            <w:pPr>
              <w:spacing w:after="0"/>
              <w:rPr>
                <w:sz w:val="14"/>
                <w:szCs w:val="14"/>
                <w:color w:val="auto"/>
              </w:rPr>
            </w:pPr>
          </w:p>
        </w:tc>
        <w:tc>
          <w:tcPr>
            <w:tcW w:w="1100" w:type="dxa"/>
            <w:vAlign w:val="bottom"/>
            <w:tcBorders>
              <w:right w:val="single" w:sz="8" w:color="auto"/>
            </w:tcBorders>
          </w:tcPr>
          <w:p>
            <w:pPr>
              <w:jc w:val="center"/>
              <w:spacing w:after="0"/>
              <w:rPr>
                <w:sz w:val="20"/>
                <w:szCs w:val="20"/>
                <w:color w:val="auto"/>
              </w:rPr>
            </w:pPr>
            <w:r>
              <w:rPr>
                <w:rFonts w:ascii="Arial" w:cs="Arial" w:eastAsia="Arial" w:hAnsi="Arial"/>
                <w:sz w:val="14"/>
                <w:szCs w:val="14"/>
                <w:b w:val="1"/>
                <w:bCs w:val="1"/>
                <w:color w:val="auto"/>
              </w:rPr>
              <w:t>Pension Value</w:t>
            </w:r>
          </w:p>
        </w:tc>
        <w:tc>
          <w:tcPr>
            <w:tcW w:w="1120" w:type="dxa"/>
            <w:vAlign w:val="bottom"/>
            <w:tcBorders>
              <w:right w:val="single" w:sz="8" w:color="auto"/>
            </w:tcBorders>
          </w:tcPr>
          <w:p>
            <w:pPr>
              <w:spacing w:after="0"/>
              <w:rPr>
                <w:sz w:val="14"/>
                <w:szCs w:val="14"/>
                <w:color w:val="auto"/>
              </w:rPr>
            </w:pPr>
          </w:p>
        </w:tc>
        <w:tc>
          <w:tcPr>
            <w:tcW w:w="800" w:type="dxa"/>
            <w:vAlign w:val="bottom"/>
            <w:tcBorders>
              <w:right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3040" w:type="dxa"/>
            <w:vAlign w:val="bottom"/>
            <w:tcBorders>
              <w:left w:val="single" w:sz="8" w:color="auto"/>
              <w:right w:val="single" w:sz="8" w:color="auto"/>
            </w:tcBorders>
          </w:tcPr>
          <w:p>
            <w:pPr>
              <w:spacing w:after="0"/>
              <w:rPr>
                <w:sz w:val="14"/>
                <w:szCs w:val="14"/>
                <w:color w:val="auto"/>
              </w:rPr>
            </w:pPr>
          </w:p>
        </w:tc>
        <w:tc>
          <w:tcPr>
            <w:tcW w:w="780" w:type="dxa"/>
            <w:vAlign w:val="bottom"/>
            <w:tcBorders>
              <w:right w:val="single" w:sz="8" w:color="auto"/>
            </w:tcBorders>
          </w:tcPr>
          <w:p>
            <w:pPr>
              <w:spacing w:after="0"/>
              <w:rPr>
                <w:sz w:val="14"/>
                <w:szCs w:val="14"/>
                <w:color w:val="auto"/>
              </w:rPr>
            </w:pPr>
          </w:p>
        </w:tc>
        <w:tc>
          <w:tcPr>
            <w:tcW w:w="780" w:type="dxa"/>
            <w:vAlign w:val="bottom"/>
            <w:tcBorders>
              <w:right w:val="single" w:sz="8" w:color="auto"/>
            </w:tcBorders>
          </w:tcPr>
          <w:p>
            <w:pPr>
              <w:spacing w:after="0"/>
              <w:rPr>
                <w:sz w:val="14"/>
                <w:szCs w:val="14"/>
                <w:color w:val="auto"/>
              </w:rPr>
            </w:pPr>
          </w:p>
        </w:tc>
        <w:tc>
          <w:tcPr>
            <w:tcW w:w="640" w:type="dxa"/>
            <w:vAlign w:val="bottom"/>
            <w:tcBorders>
              <w:right w:val="single" w:sz="8" w:color="auto"/>
            </w:tcBorders>
          </w:tcPr>
          <w:p>
            <w:pPr>
              <w:spacing w:after="0"/>
              <w:rPr>
                <w:sz w:val="14"/>
                <w:szCs w:val="14"/>
                <w:color w:val="auto"/>
              </w:rPr>
            </w:pPr>
          </w:p>
        </w:tc>
        <w:tc>
          <w:tcPr>
            <w:tcW w:w="1100" w:type="dxa"/>
            <w:vAlign w:val="bottom"/>
            <w:tcBorders>
              <w:right w:val="single" w:sz="8" w:color="auto"/>
            </w:tcBorders>
          </w:tcPr>
          <w:p>
            <w:pPr>
              <w:spacing w:after="0"/>
              <w:rPr>
                <w:sz w:val="14"/>
                <w:szCs w:val="14"/>
                <w:color w:val="auto"/>
              </w:rPr>
            </w:pPr>
          </w:p>
        </w:tc>
        <w:tc>
          <w:tcPr>
            <w:tcW w:w="1100" w:type="dxa"/>
            <w:vAlign w:val="bottom"/>
            <w:tcBorders>
              <w:right w:val="single" w:sz="8" w:color="auto"/>
            </w:tcBorders>
          </w:tcPr>
          <w:p>
            <w:pPr>
              <w:jc w:val="center"/>
              <w:spacing w:after="0"/>
              <w:rPr>
                <w:sz w:val="20"/>
                <w:szCs w:val="20"/>
                <w:color w:val="auto"/>
              </w:rPr>
            </w:pPr>
            <w:r>
              <w:rPr>
                <w:rFonts w:ascii="Arial" w:cs="Arial" w:eastAsia="Arial" w:hAnsi="Arial"/>
                <w:sz w:val="14"/>
                <w:szCs w:val="14"/>
                <w:b w:val="1"/>
                <w:bCs w:val="1"/>
                <w:color w:val="auto"/>
                <w:w w:val="96"/>
              </w:rPr>
              <w:t>and</w:t>
            </w:r>
          </w:p>
        </w:tc>
        <w:tc>
          <w:tcPr>
            <w:tcW w:w="1120" w:type="dxa"/>
            <w:vAlign w:val="bottom"/>
            <w:tcBorders>
              <w:right w:val="single" w:sz="8" w:color="auto"/>
            </w:tcBorders>
          </w:tcPr>
          <w:p>
            <w:pPr>
              <w:spacing w:after="0"/>
              <w:rPr>
                <w:sz w:val="14"/>
                <w:szCs w:val="14"/>
                <w:color w:val="auto"/>
              </w:rPr>
            </w:pPr>
          </w:p>
        </w:tc>
        <w:tc>
          <w:tcPr>
            <w:tcW w:w="800" w:type="dxa"/>
            <w:vAlign w:val="bottom"/>
            <w:tcBorders>
              <w:right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203"/>
        </w:trPr>
        <w:tc>
          <w:tcPr>
            <w:tcW w:w="3040" w:type="dxa"/>
            <w:vAlign w:val="bottom"/>
            <w:tcBorders>
              <w:left w:val="single" w:sz="8" w:color="auto"/>
              <w:right w:val="single" w:sz="8" w:color="auto"/>
            </w:tcBorders>
          </w:tcPr>
          <w:p>
            <w:pPr>
              <w:spacing w:after="0"/>
              <w:rPr>
                <w:sz w:val="17"/>
                <w:szCs w:val="17"/>
                <w:color w:val="auto"/>
              </w:rPr>
            </w:pPr>
          </w:p>
        </w:tc>
        <w:tc>
          <w:tcPr>
            <w:tcW w:w="780" w:type="dxa"/>
            <w:vAlign w:val="bottom"/>
            <w:tcBorders>
              <w:right w:val="single" w:sz="8" w:color="auto"/>
            </w:tcBorders>
          </w:tcPr>
          <w:p>
            <w:pPr>
              <w:jc w:val="center"/>
              <w:spacing w:after="0"/>
              <w:rPr>
                <w:sz w:val="20"/>
                <w:szCs w:val="20"/>
                <w:color w:val="auto"/>
              </w:rPr>
            </w:pPr>
            <w:r>
              <w:rPr>
                <w:rFonts w:ascii="Arial" w:cs="Arial" w:eastAsia="Arial" w:hAnsi="Arial"/>
                <w:sz w:val="14"/>
                <w:szCs w:val="14"/>
                <w:b w:val="1"/>
                <w:bCs w:val="1"/>
                <w:color w:val="auto"/>
              </w:rPr>
              <w:t>Fees</w:t>
            </w:r>
          </w:p>
        </w:tc>
        <w:tc>
          <w:tcPr>
            <w:tcW w:w="780" w:type="dxa"/>
            <w:vAlign w:val="bottom"/>
            <w:tcBorders>
              <w:right w:val="single" w:sz="8" w:color="auto"/>
            </w:tcBorders>
          </w:tcPr>
          <w:p>
            <w:pPr>
              <w:spacing w:after="0"/>
              <w:rPr>
                <w:sz w:val="17"/>
                <w:szCs w:val="17"/>
                <w:color w:val="auto"/>
              </w:rPr>
            </w:pPr>
          </w:p>
        </w:tc>
        <w:tc>
          <w:tcPr>
            <w:tcW w:w="640" w:type="dxa"/>
            <w:vAlign w:val="bottom"/>
            <w:tcBorders>
              <w:right w:val="single" w:sz="8" w:color="auto"/>
            </w:tcBorders>
          </w:tcPr>
          <w:p>
            <w:pPr>
              <w:spacing w:after="0"/>
              <w:rPr>
                <w:sz w:val="17"/>
                <w:szCs w:val="17"/>
                <w:color w:val="auto"/>
              </w:rPr>
            </w:pPr>
          </w:p>
        </w:tc>
        <w:tc>
          <w:tcPr>
            <w:tcW w:w="1100" w:type="dxa"/>
            <w:vAlign w:val="bottom"/>
            <w:tcBorders>
              <w:right w:val="single" w:sz="8" w:color="auto"/>
            </w:tcBorders>
          </w:tcPr>
          <w:p>
            <w:pPr>
              <w:spacing w:after="0"/>
              <w:rPr>
                <w:sz w:val="17"/>
                <w:szCs w:val="17"/>
                <w:color w:val="auto"/>
              </w:rPr>
            </w:pPr>
          </w:p>
        </w:tc>
        <w:tc>
          <w:tcPr>
            <w:tcW w:w="1100" w:type="dxa"/>
            <w:vAlign w:val="bottom"/>
            <w:tcBorders>
              <w:right w:val="single" w:sz="8" w:color="auto"/>
            </w:tcBorders>
          </w:tcPr>
          <w:p>
            <w:pPr>
              <w:jc w:val="center"/>
              <w:spacing w:after="0"/>
              <w:rPr>
                <w:sz w:val="20"/>
                <w:szCs w:val="20"/>
                <w:color w:val="auto"/>
              </w:rPr>
            </w:pPr>
            <w:r>
              <w:rPr>
                <w:rFonts w:ascii="Arial" w:cs="Arial" w:eastAsia="Arial" w:hAnsi="Arial"/>
                <w:sz w:val="14"/>
                <w:szCs w:val="14"/>
                <w:b w:val="1"/>
                <w:bCs w:val="1"/>
                <w:color w:val="auto"/>
              </w:rPr>
              <w:t>Nonqualified</w:t>
            </w:r>
          </w:p>
        </w:tc>
        <w:tc>
          <w:tcPr>
            <w:tcW w:w="1120" w:type="dxa"/>
            <w:vAlign w:val="bottom"/>
            <w:tcBorders>
              <w:right w:val="single" w:sz="8" w:color="auto"/>
            </w:tcBorders>
          </w:tcPr>
          <w:p>
            <w:pPr>
              <w:spacing w:after="0"/>
              <w:rPr>
                <w:sz w:val="17"/>
                <w:szCs w:val="17"/>
                <w:color w:val="auto"/>
              </w:rPr>
            </w:pPr>
          </w:p>
        </w:tc>
        <w:tc>
          <w:tcPr>
            <w:tcW w:w="800" w:type="dxa"/>
            <w:vAlign w:val="bottom"/>
            <w:tcBorders>
              <w:right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162"/>
        </w:trPr>
        <w:tc>
          <w:tcPr>
            <w:tcW w:w="3040" w:type="dxa"/>
            <w:vAlign w:val="bottom"/>
            <w:tcBorders>
              <w:left w:val="single" w:sz="8" w:color="auto"/>
              <w:right w:val="single" w:sz="8" w:color="auto"/>
            </w:tcBorders>
          </w:tcPr>
          <w:p>
            <w:pPr>
              <w:spacing w:after="0"/>
              <w:rPr>
                <w:sz w:val="14"/>
                <w:szCs w:val="14"/>
                <w:color w:val="auto"/>
              </w:rPr>
            </w:pPr>
          </w:p>
        </w:tc>
        <w:tc>
          <w:tcPr>
            <w:tcW w:w="780" w:type="dxa"/>
            <w:vAlign w:val="bottom"/>
            <w:tcBorders>
              <w:right w:val="single" w:sz="8" w:color="auto"/>
            </w:tcBorders>
          </w:tcPr>
          <w:p>
            <w:pPr>
              <w:jc w:val="center"/>
              <w:spacing w:after="0"/>
              <w:rPr>
                <w:sz w:val="20"/>
                <w:szCs w:val="20"/>
                <w:color w:val="auto"/>
              </w:rPr>
            </w:pPr>
            <w:r>
              <w:rPr>
                <w:rFonts w:ascii="Arial" w:cs="Arial" w:eastAsia="Arial" w:hAnsi="Arial"/>
                <w:sz w:val="14"/>
                <w:szCs w:val="14"/>
                <w:b w:val="1"/>
                <w:bCs w:val="1"/>
                <w:color w:val="auto"/>
              </w:rPr>
              <w:t>Earned</w:t>
            </w:r>
          </w:p>
        </w:tc>
        <w:tc>
          <w:tcPr>
            <w:tcW w:w="780" w:type="dxa"/>
            <w:vAlign w:val="bottom"/>
            <w:tcBorders>
              <w:right w:val="single" w:sz="8" w:color="auto"/>
            </w:tcBorders>
          </w:tcPr>
          <w:p>
            <w:pPr>
              <w:spacing w:after="0"/>
              <w:rPr>
                <w:sz w:val="14"/>
                <w:szCs w:val="14"/>
                <w:color w:val="auto"/>
              </w:rPr>
            </w:pPr>
          </w:p>
        </w:tc>
        <w:tc>
          <w:tcPr>
            <w:tcW w:w="640" w:type="dxa"/>
            <w:vAlign w:val="bottom"/>
            <w:tcBorders>
              <w:right w:val="single" w:sz="8" w:color="auto"/>
            </w:tcBorders>
          </w:tcPr>
          <w:p>
            <w:pPr>
              <w:spacing w:after="0"/>
              <w:rPr>
                <w:sz w:val="14"/>
                <w:szCs w:val="14"/>
                <w:color w:val="auto"/>
              </w:rPr>
            </w:pPr>
          </w:p>
        </w:tc>
        <w:tc>
          <w:tcPr>
            <w:tcW w:w="1100" w:type="dxa"/>
            <w:vAlign w:val="bottom"/>
            <w:tcBorders>
              <w:right w:val="single" w:sz="8" w:color="auto"/>
            </w:tcBorders>
          </w:tcPr>
          <w:p>
            <w:pPr>
              <w:jc w:val="center"/>
              <w:spacing w:after="0"/>
              <w:rPr>
                <w:sz w:val="20"/>
                <w:szCs w:val="20"/>
                <w:color w:val="auto"/>
              </w:rPr>
            </w:pPr>
            <w:r>
              <w:rPr>
                <w:rFonts w:ascii="Arial" w:cs="Arial" w:eastAsia="Arial" w:hAnsi="Arial"/>
                <w:sz w:val="14"/>
                <w:szCs w:val="14"/>
                <w:b w:val="1"/>
                <w:bCs w:val="1"/>
                <w:color w:val="auto"/>
              </w:rPr>
              <w:t>Non-Equity</w:t>
            </w:r>
          </w:p>
        </w:tc>
        <w:tc>
          <w:tcPr>
            <w:tcW w:w="1100" w:type="dxa"/>
            <w:vAlign w:val="bottom"/>
            <w:tcBorders>
              <w:right w:val="single" w:sz="8" w:color="auto"/>
            </w:tcBorders>
          </w:tcPr>
          <w:p>
            <w:pPr>
              <w:jc w:val="center"/>
              <w:spacing w:after="0"/>
              <w:rPr>
                <w:sz w:val="20"/>
                <w:szCs w:val="20"/>
                <w:color w:val="auto"/>
              </w:rPr>
            </w:pPr>
            <w:r>
              <w:rPr>
                <w:rFonts w:ascii="Arial" w:cs="Arial" w:eastAsia="Arial" w:hAnsi="Arial"/>
                <w:sz w:val="14"/>
                <w:szCs w:val="14"/>
                <w:b w:val="1"/>
                <w:bCs w:val="1"/>
                <w:color w:val="auto"/>
              </w:rPr>
              <w:t>Deferred</w:t>
            </w:r>
          </w:p>
        </w:tc>
        <w:tc>
          <w:tcPr>
            <w:tcW w:w="1120" w:type="dxa"/>
            <w:vAlign w:val="bottom"/>
            <w:tcBorders>
              <w:right w:val="single" w:sz="8" w:color="auto"/>
            </w:tcBorders>
            <w:vMerge w:val="restart"/>
          </w:tcPr>
          <w:p>
            <w:pPr>
              <w:jc w:val="center"/>
              <w:spacing w:after="0"/>
              <w:rPr>
                <w:sz w:val="20"/>
                <w:szCs w:val="20"/>
                <w:color w:val="auto"/>
              </w:rPr>
            </w:pPr>
            <w:r>
              <w:rPr>
                <w:rFonts w:ascii="Arial" w:cs="Arial" w:eastAsia="Arial" w:hAnsi="Arial"/>
                <w:sz w:val="14"/>
                <w:szCs w:val="14"/>
                <w:b w:val="1"/>
                <w:bCs w:val="1"/>
                <w:color w:val="auto"/>
              </w:rPr>
              <w:t>Other</w:t>
            </w:r>
          </w:p>
        </w:tc>
        <w:tc>
          <w:tcPr>
            <w:tcW w:w="800" w:type="dxa"/>
            <w:vAlign w:val="bottom"/>
            <w:tcBorders>
              <w:right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164"/>
        </w:trPr>
        <w:tc>
          <w:tcPr>
            <w:tcW w:w="3040" w:type="dxa"/>
            <w:vAlign w:val="bottom"/>
            <w:tcBorders>
              <w:left w:val="single" w:sz="8" w:color="auto"/>
              <w:right w:val="single" w:sz="8" w:color="auto"/>
            </w:tcBorders>
          </w:tcPr>
          <w:p>
            <w:pPr>
              <w:spacing w:after="0"/>
              <w:rPr>
                <w:sz w:val="14"/>
                <w:szCs w:val="14"/>
                <w:color w:val="auto"/>
              </w:rPr>
            </w:pPr>
          </w:p>
        </w:tc>
        <w:tc>
          <w:tcPr>
            <w:tcW w:w="780" w:type="dxa"/>
            <w:vAlign w:val="bottom"/>
            <w:tcBorders>
              <w:right w:val="single" w:sz="8" w:color="auto"/>
            </w:tcBorders>
          </w:tcPr>
          <w:p>
            <w:pPr>
              <w:jc w:val="center"/>
              <w:spacing w:after="0"/>
              <w:rPr>
                <w:sz w:val="20"/>
                <w:szCs w:val="20"/>
                <w:color w:val="auto"/>
              </w:rPr>
            </w:pPr>
            <w:r>
              <w:rPr>
                <w:rFonts w:ascii="Arial" w:cs="Arial" w:eastAsia="Arial" w:hAnsi="Arial"/>
                <w:sz w:val="14"/>
                <w:szCs w:val="14"/>
                <w:b w:val="1"/>
                <w:bCs w:val="1"/>
                <w:color w:val="auto"/>
              </w:rPr>
              <w:t>or Paid</w:t>
            </w:r>
          </w:p>
        </w:tc>
        <w:tc>
          <w:tcPr>
            <w:tcW w:w="780" w:type="dxa"/>
            <w:vAlign w:val="bottom"/>
            <w:tcBorders>
              <w:right w:val="single" w:sz="8" w:color="auto"/>
            </w:tcBorders>
          </w:tcPr>
          <w:p>
            <w:pPr>
              <w:ind w:left="160"/>
              <w:spacing w:after="0"/>
              <w:rPr>
                <w:sz w:val="20"/>
                <w:szCs w:val="20"/>
                <w:color w:val="auto"/>
              </w:rPr>
            </w:pPr>
            <w:r>
              <w:rPr>
                <w:rFonts w:ascii="Arial" w:cs="Arial" w:eastAsia="Arial" w:hAnsi="Arial"/>
                <w:sz w:val="14"/>
                <w:szCs w:val="14"/>
                <w:b w:val="1"/>
                <w:bCs w:val="1"/>
                <w:color w:val="auto"/>
              </w:rPr>
              <w:t>Stock</w:t>
            </w:r>
          </w:p>
        </w:tc>
        <w:tc>
          <w:tcPr>
            <w:tcW w:w="640" w:type="dxa"/>
            <w:vAlign w:val="bottom"/>
            <w:tcBorders>
              <w:right w:val="single" w:sz="8" w:color="auto"/>
            </w:tcBorders>
          </w:tcPr>
          <w:p>
            <w:pPr>
              <w:jc w:val="right"/>
              <w:ind w:right="1"/>
              <w:spacing w:after="0"/>
              <w:rPr>
                <w:sz w:val="20"/>
                <w:szCs w:val="20"/>
                <w:color w:val="auto"/>
              </w:rPr>
            </w:pPr>
            <w:r>
              <w:rPr>
                <w:rFonts w:ascii="Arial" w:cs="Arial" w:eastAsia="Arial" w:hAnsi="Arial"/>
                <w:sz w:val="14"/>
                <w:szCs w:val="14"/>
                <w:b w:val="1"/>
                <w:bCs w:val="1"/>
                <w:color w:val="auto"/>
              </w:rPr>
              <w:t>Option</w:t>
            </w:r>
          </w:p>
        </w:tc>
        <w:tc>
          <w:tcPr>
            <w:tcW w:w="1100" w:type="dxa"/>
            <w:vAlign w:val="bottom"/>
            <w:tcBorders>
              <w:right w:val="single" w:sz="8" w:color="auto"/>
            </w:tcBorders>
          </w:tcPr>
          <w:p>
            <w:pPr>
              <w:jc w:val="center"/>
              <w:spacing w:after="0"/>
              <w:rPr>
                <w:sz w:val="20"/>
                <w:szCs w:val="20"/>
                <w:color w:val="auto"/>
              </w:rPr>
            </w:pPr>
            <w:r>
              <w:rPr>
                <w:rFonts w:ascii="Arial" w:cs="Arial" w:eastAsia="Arial" w:hAnsi="Arial"/>
                <w:sz w:val="14"/>
                <w:szCs w:val="14"/>
                <w:b w:val="1"/>
                <w:bCs w:val="1"/>
                <w:color w:val="auto"/>
              </w:rPr>
              <w:t>Incentive Plan</w:t>
            </w:r>
          </w:p>
        </w:tc>
        <w:tc>
          <w:tcPr>
            <w:tcW w:w="1100" w:type="dxa"/>
            <w:vAlign w:val="bottom"/>
            <w:tcBorders>
              <w:right w:val="single" w:sz="8" w:color="auto"/>
            </w:tcBorders>
          </w:tcPr>
          <w:p>
            <w:pPr>
              <w:jc w:val="center"/>
              <w:spacing w:after="0"/>
              <w:rPr>
                <w:sz w:val="20"/>
                <w:szCs w:val="20"/>
                <w:color w:val="auto"/>
              </w:rPr>
            </w:pPr>
            <w:r>
              <w:rPr>
                <w:rFonts w:ascii="Arial" w:cs="Arial" w:eastAsia="Arial" w:hAnsi="Arial"/>
                <w:sz w:val="14"/>
                <w:szCs w:val="14"/>
                <w:b w:val="1"/>
                <w:bCs w:val="1"/>
                <w:color w:val="auto"/>
              </w:rPr>
              <w:t>Compensation</w:t>
            </w:r>
          </w:p>
        </w:tc>
        <w:tc>
          <w:tcPr>
            <w:tcW w:w="1120" w:type="dxa"/>
            <w:vAlign w:val="bottom"/>
            <w:tcBorders>
              <w:right w:val="single" w:sz="8" w:color="auto"/>
            </w:tcBorders>
            <w:vMerge w:val="continue"/>
          </w:tcPr>
          <w:p>
            <w:pPr>
              <w:spacing w:after="0"/>
              <w:rPr>
                <w:sz w:val="14"/>
                <w:szCs w:val="14"/>
                <w:color w:val="auto"/>
              </w:rPr>
            </w:pPr>
          </w:p>
        </w:tc>
        <w:tc>
          <w:tcPr>
            <w:tcW w:w="800" w:type="dxa"/>
            <w:vAlign w:val="bottom"/>
            <w:tcBorders>
              <w:right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3040" w:type="dxa"/>
            <w:vAlign w:val="bottom"/>
            <w:tcBorders>
              <w:left w:val="single" w:sz="8" w:color="auto"/>
              <w:right w:val="single" w:sz="8" w:color="auto"/>
            </w:tcBorders>
          </w:tcPr>
          <w:p>
            <w:pPr>
              <w:spacing w:after="0"/>
              <w:rPr>
                <w:sz w:val="14"/>
                <w:szCs w:val="14"/>
                <w:color w:val="auto"/>
              </w:rPr>
            </w:pPr>
          </w:p>
        </w:tc>
        <w:tc>
          <w:tcPr>
            <w:tcW w:w="780" w:type="dxa"/>
            <w:vAlign w:val="bottom"/>
            <w:tcBorders>
              <w:right w:val="single" w:sz="8" w:color="auto"/>
            </w:tcBorders>
          </w:tcPr>
          <w:p>
            <w:pPr>
              <w:jc w:val="center"/>
              <w:spacing w:after="0"/>
              <w:rPr>
                <w:sz w:val="20"/>
                <w:szCs w:val="20"/>
                <w:color w:val="auto"/>
              </w:rPr>
            </w:pPr>
            <w:r>
              <w:rPr>
                <w:rFonts w:ascii="Arial" w:cs="Arial" w:eastAsia="Arial" w:hAnsi="Arial"/>
                <w:sz w:val="14"/>
                <w:szCs w:val="14"/>
                <w:b w:val="1"/>
                <w:bCs w:val="1"/>
                <w:color w:val="auto"/>
              </w:rPr>
              <w:t>in Cash</w:t>
            </w:r>
          </w:p>
        </w:tc>
        <w:tc>
          <w:tcPr>
            <w:tcW w:w="780" w:type="dxa"/>
            <w:vAlign w:val="bottom"/>
            <w:tcBorders>
              <w:right w:val="single" w:sz="8" w:color="auto"/>
            </w:tcBorders>
          </w:tcPr>
          <w:p>
            <w:pPr>
              <w:ind w:left="100"/>
              <w:spacing w:after="0"/>
              <w:rPr>
                <w:sz w:val="20"/>
                <w:szCs w:val="20"/>
                <w:color w:val="auto"/>
              </w:rPr>
            </w:pPr>
            <w:r>
              <w:rPr>
                <w:rFonts w:ascii="Arial" w:cs="Arial" w:eastAsia="Arial" w:hAnsi="Arial"/>
                <w:sz w:val="14"/>
                <w:szCs w:val="14"/>
                <w:b w:val="1"/>
                <w:bCs w:val="1"/>
                <w:color w:val="auto"/>
              </w:rPr>
              <w:t>Awards</w:t>
            </w:r>
          </w:p>
        </w:tc>
        <w:tc>
          <w:tcPr>
            <w:tcW w:w="640" w:type="dxa"/>
            <w:vAlign w:val="bottom"/>
            <w:tcBorders>
              <w:right w:val="single" w:sz="8" w:color="auto"/>
            </w:tcBorders>
          </w:tcPr>
          <w:p>
            <w:pPr>
              <w:jc w:val="right"/>
              <w:ind w:right="1"/>
              <w:spacing w:after="0"/>
              <w:rPr>
                <w:sz w:val="20"/>
                <w:szCs w:val="20"/>
                <w:color w:val="auto"/>
              </w:rPr>
            </w:pPr>
            <w:r>
              <w:rPr>
                <w:rFonts w:ascii="Arial" w:cs="Arial" w:eastAsia="Arial" w:hAnsi="Arial"/>
                <w:sz w:val="14"/>
                <w:szCs w:val="14"/>
                <w:b w:val="1"/>
                <w:bCs w:val="1"/>
                <w:color w:val="auto"/>
              </w:rPr>
              <w:t>Awards</w:t>
            </w:r>
          </w:p>
        </w:tc>
        <w:tc>
          <w:tcPr>
            <w:tcW w:w="1100" w:type="dxa"/>
            <w:vAlign w:val="bottom"/>
            <w:tcBorders>
              <w:right w:val="single" w:sz="8" w:color="auto"/>
            </w:tcBorders>
          </w:tcPr>
          <w:p>
            <w:pPr>
              <w:jc w:val="center"/>
              <w:spacing w:after="0"/>
              <w:rPr>
                <w:sz w:val="20"/>
                <w:szCs w:val="20"/>
                <w:color w:val="auto"/>
              </w:rPr>
            </w:pPr>
            <w:r>
              <w:rPr>
                <w:rFonts w:ascii="Arial" w:cs="Arial" w:eastAsia="Arial" w:hAnsi="Arial"/>
                <w:sz w:val="14"/>
                <w:szCs w:val="14"/>
                <w:b w:val="1"/>
                <w:bCs w:val="1"/>
                <w:color w:val="auto"/>
              </w:rPr>
              <w:t>Compensation</w:t>
            </w:r>
          </w:p>
        </w:tc>
        <w:tc>
          <w:tcPr>
            <w:tcW w:w="1100" w:type="dxa"/>
            <w:vAlign w:val="bottom"/>
            <w:tcBorders>
              <w:right w:val="single" w:sz="8" w:color="auto"/>
            </w:tcBorders>
          </w:tcPr>
          <w:p>
            <w:pPr>
              <w:jc w:val="center"/>
              <w:spacing w:after="0"/>
              <w:rPr>
                <w:sz w:val="20"/>
                <w:szCs w:val="20"/>
                <w:color w:val="auto"/>
              </w:rPr>
            </w:pPr>
            <w:r>
              <w:rPr>
                <w:rFonts w:ascii="Arial" w:cs="Arial" w:eastAsia="Arial" w:hAnsi="Arial"/>
                <w:sz w:val="14"/>
                <w:szCs w:val="14"/>
                <w:b w:val="1"/>
                <w:bCs w:val="1"/>
                <w:color w:val="auto"/>
              </w:rPr>
              <w:t>Earnings</w:t>
            </w:r>
          </w:p>
        </w:tc>
        <w:tc>
          <w:tcPr>
            <w:tcW w:w="1120" w:type="dxa"/>
            <w:vAlign w:val="bottom"/>
            <w:tcBorders>
              <w:right w:val="single" w:sz="8" w:color="auto"/>
            </w:tcBorders>
          </w:tcPr>
          <w:p>
            <w:pPr>
              <w:jc w:val="center"/>
              <w:spacing w:after="0"/>
              <w:rPr>
                <w:sz w:val="20"/>
                <w:szCs w:val="20"/>
                <w:color w:val="auto"/>
              </w:rPr>
            </w:pPr>
            <w:r>
              <w:rPr>
                <w:rFonts w:ascii="Arial" w:cs="Arial" w:eastAsia="Arial" w:hAnsi="Arial"/>
                <w:sz w:val="14"/>
                <w:szCs w:val="14"/>
                <w:b w:val="1"/>
                <w:bCs w:val="1"/>
                <w:color w:val="auto"/>
              </w:rPr>
              <w:t>Compensation</w:t>
            </w:r>
          </w:p>
        </w:tc>
        <w:tc>
          <w:tcPr>
            <w:tcW w:w="800" w:type="dxa"/>
            <w:vAlign w:val="bottom"/>
            <w:tcBorders>
              <w:right w:val="single" w:sz="8" w:color="auto"/>
            </w:tcBorders>
          </w:tcPr>
          <w:p>
            <w:pPr>
              <w:jc w:val="right"/>
              <w:ind w:right="200"/>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189"/>
        </w:trPr>
        <w:tc>
          <w:tcPr>
            <w:tcW w:w="3040" w:type="dxa"/>
            <w:vAlign w:val="bottom"/>
            <w:tcBorders>
              <w:left w:val="single" w:sz="8" w:color="auto"/>
              <w:bottom w:val="single" w:sz="8" w:color="auto"/>
              <w:right w:val="single" w:sz="8" w:color="auto"/>
            </w:tcBorders>
          </w:tcPr>
          <w:p>
            <w:pPr>
              <w:ind w:left="140"/>
              <w:spacing w:after="0"/>
              <w:rPr>
                <w:sz w:val="20"/>
                <w:szCs w:val="20"/>
                <w:color w:val="auto"/>
              </w:rPr>
            </w:pPr>
            <w:r>
              <w:rPr>
                <w:rFonts w:ascii="Arial" w:cs="Arial" w:eastAsia="Arial" w:hAnsi="Arial"/>
                <w:sz w:val="14"/>
                <w:szCs w:val="14"/>
                <w:b w:val="1"/>
                <w:bCs w:val="1"/>
                <w:color w:val="auto"/>
              </w:rPr>
              <w:t>Name</w:t>
            </w:r>
          </w:p>
        </w:tc>
        <w:tc>
          <w:tcPr>
            <w:tcW w:w="780" w:type="dxa"/>
            <w:vAlign w:val="bottom"/>
            <w:tcBorders>
              <w:bottom w:val="single" w:sz="8" w:color="auto"/>
              <w:right w:val="single" w:sz="8" w:color="auto"/>
            </w:tcBorders>
          </w:tcPr>
          <w:p>
            <w:pPr>
              <w:jc w:val="center"/>
              <w:ind w:right="2"/>
              <w:spacing w:after="0"/>
              <w:rPr>
                <w:sz w:val="20"/>
                <w:szCs w:val="20"/>
                <w:color w:val="auto"/>
              </w:rPr>
            </w:pPr>
            <w:r>
              <w:rPr>
                <w:rFonts w:ascii="Arial" w:cs="Arial" w:eastAsia="Arial" w:hAnsi="Arial"/>
                <w:sz w:val="14"/>
                <w:szCs w:val="14"/>
                <w:b w:val="1"/>
                <w:bCs w:val="1"/>
                <w:color w:val="auto"/>
              </w:rPr>
              <w:t>($)</w:t>
            </w:r>
          </w:p>
        </w:tc>
        <w:tc>
          <w:tcPr>
            <w:tcW w:w="780" w:type="dxa"/>
            <w:vAlign w:val="bottom"/>
            <w:tcBorders>
              <w:bottom w:val="single" w:sz="8" w:color="auto"/>
              <w:right w:val="single" w:sz="8" w:color="auto"/>
            </w:tcBorders>
          </w:tcPr>
          <w:p>
            <w:pPr>
              <w:ind w:left="180"/>
              <w:spacing w:after="0"/>
              <w:rPr>
                <w:sz w:val="20"/>
                <w:szCs w:val="20"/>
                <w:color w:val="auto"/>
              </w:rPr>
            </w:pPr>
            <w:r>
              <w:rPr>
                <w:rFonts w:ascii="Arial" w:cs="Arial" w:eastAsia="Arial" w:hAnsi="Arial"/>
                <w:sz w:val="14"/>
                <w:szCs w:val="14"/>
                <w:b w:val="1"/>
                <w:bCs w:val="1"/>
                <w:color w:val="auto"/>
              </w:rPr>
              <w:t>($)(a)</w:t>
            </w:r>
          </w:p>
        </w:tc>
        <w:tc>
          <w:tcPr>
            <w:tcW w:w="64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4"/>
                <w:szCs w:val="14"/>
                <w:b w:val="1"/>
                <w:bCs w:val="1"/>
                <w:color w:val="auto"/>
                <w:w w:val="93"/>
              </w:rPr>
              <w:t>($)</w:t>
            </w:r>
          </w:p>
        </w:tc>
        <w:tc>
          <w:tcPr>
            <w:tcW w:w="110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4"/>
                <w:szCs w:val="14"/>
                <w:b w:val="1"/>
                <w:bCs w:val="1"/>
                <w:color w:val="auto"/>
              </w:rPr>
              <w:t>($)</w:t>
            </w:r>
          </w:p>
        </w:tc>
        <w:tc>
          <w:tcPr>
            <w:tcW w:w="110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4"/>
                <w:szCs w:val="14"/>
                <w:b w:val="1"/>
                <w:bCs w:val="1"/>
                <w:color w:val="auto"/>
                <w:w w:val="93"/>
              </w:rPr>
              <w:t>($)</w:t>
            </w:r>
          </w:p>
        </w:tc>
        <w:tc>
          <w:tcPr>
            <w:tcW w:w="112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4"/>
                <w:szCs w:val="14"/>
                <w:b w:val="1"/>
                <w:bCs w:val="1"/>
                <w:color w:val="auto"/>
              </w:rPr>
              <w:t>($)(b)</w:t>
            </w:r>
          </w:p>
        </w:tc>
        <w:tc>
          <w:tcPr>
            <w:tcW w:w="800" w:type="dxa"/>
            <w:vAlign w:val="bottom"/>
            <w:tcBorders>
              <w:bottom w:val="single" w:sz="8" w:color="auto"/>
              <w:right w:val="single" w:sz="8" w:color="auto"/>
            </w:tcBorders>
          </w:tcPr>
          <w:p>
            <w:pPr>
              <w:jc w:val="right"/>
              <w:ind w:right="280"/>
              <w:spacing w:after="0"/>
              <w:rPr>
                <w:sz w:val="20"/>
                <w:szCs w:val="20"/>
                <w:color w:val="auto"/>
              </w:rPr>
            </w:pPr>
            <w:r>
              <w:rPr>
                <w:rFonts w:ascii="Arial" w:cs="Arial" w:eastAsia="Arial" w:hAnsi="Arial"/>
                <w:sz w:val="14"/>
                <w:szCs w:val="14"/>
                <w:b w:val="1"/>
                <w:bCs w:val="1"/>
                <w:color w:val="auto"/>
              </w:rPr>
              <w:t>($)</w:t>
            </w:r>
          </w:p>
        </w:tc>
        <w:tc>
          <w:tcPr>
            <w:tcW w:w="0" w:type="dxa"/>
            <w:vAlign w:val="bottom"/>
          </w:tcPr>
          <w:p>
            <w:pPr>
              <w:spacing w:after="0"/>
              <w:rPr>
                <w:sz w:val="1"/>
                <w:szCs w:val="1"/>
                <w:color w:val="auto"/>
              </w:rPr>
            </w:pPr>
          </w:p>
        </w:tc>
      </w:tr>
      <w:tr>
        <w:trPr>
          <w:trHeight w:val="210"/>
        </w:trPr>
        <w:tc>
          <w:tcPr>
            <w:tcW w:w="3040" w:type="dxa"/>
            <w:vAlign w:val="bottom"/>
            <w:tcBorders>
              <w:left w:val="single" w:sz="8" w:color="auto"/>
              <w:right w:val="single" w:sz="8" w:color="auto"/>
            </w:tcBorders>
            <w:shd w:val="clear" w:color="auto" w:fill="D4DBEB"/>
          </w:tcPr>
          <w:p>
            <w:pPr>
              <w:ind w:left="160"/>
              <w:spacing w:after="0"/>
              <w:rPr>
                <w:sz w:val="20"/>
                <w:szCs w:val="20"/>
                <w:color w:val="auto"/>
              </w:rPr>
            </w:pPr>
            <w:r>
              <w:rPr>
                <w:rFonts w:ascii="Arial" w:cs="Arial" w:eastAsia="Arial" w:hAnsi="Arial"/>
                <w:sz w:val="16"/>
                <w:szCs w:val="16"/>
                <w:color w:val="auto"/>
              </w:rPr>
              <w:t>S.K. Avery</w:t>
            </w:r>
          </w:p>
        </w:tc>
        <w:tc>
          <w:tcPr>
            <w:tcW w:w="780" w:type="dxa"/>
            <w:vAlign w:val="bottom"/>
            <w:tcBorders>
              <w:right w:val="single" w:sz="8" w:color="auto"/>
            </w:tcBorders>
            <w:shd w:val="clear" w:color="auto" w:fill="D4DBEB"/>
          </w:tcPr>
          <w:p>
            <w:pPr>
              <w:jc w:val="right"/>
              <w:ind w:right="22"/>
              <w:spacing w:after="0"/>
              <w:rPr>
                <w:sz w:val="20"/>
                <w:szCs w:val="20"/>
                <w:color w:val="auto"/>
              </w:rPr>
            </w:pPr>
            <w:r>
              <w:rPr>
                <w:rFonts w:ascii="Arial" w:cs="Arial" w:eastAsia="Arial" w:hAnsi="Arial"/>
                <w:sz w:val="16"/>
                <w:szCs w:val="16"/>
                <w:color w:val="auto"/>
              </w:rPr>
              <w:t>100,528</w:t>
            </w:r>
          </w:p>
        </w:tc>
        <w:tc>
          <w:tcPr>
            <w:tcW w:w="780" w:type="dxa"/>
            <w:vAlign w:val="bottom"/>
            <w:tcBorders>
              <w:right w:val="single" w:sz="8" w:color="auto"/>
            </w:tcBorders>
            <w:shd w:val="clear" w:color="auto" w:fill="D4DBEB"/>
          </w:tcPr>
          <w:p>
            <w:pPr>
              <w:ind w:left="100"/>
              <w:spacing w:after="0"/>
              <w:rPr>
                <w:sz w:val="20"/>
                <w:szCs w:val="20"/>
                <w:color w:val="auto"/>
              </w:rPr>
            </w:pPr>
            <w:r>
              <w:rPr>
                <w:rFonts w:ascii="Arial" w:cs="Arial" w:eastAsia="Arial" w:hAnsi="Arial"/>
                <w:sz w:val="16"/>
                <w:szCs w:val="16"/>
                <w:color w:val="auto"/>
              </w:rPr>
              <w:t>666,480</w:t>
            </w:r>
          </w:p>
        </w:tc>
        <w:tc>
          <w:tcPr>
            <w:tcW w:w="640" w:type="dxa"/>
            <w:vAlign w:val="bottom"/>
            <w:tcBorders>
              <w:right w:val="single" w:sz="8" w:color="auto"/>
            </w:tcBorders>
            <w:shd w:val="clear" w:color="auto" w:fill="D4DBEB"/>
          </w:tcPr>
          <w:p>
            <w:pPr>
              <w:jc w:val="center"/>
              <w:spacing w:after="0"/>
              <w:rPr>
                <w:sz w:val="20"/>
                <w:szCs w:val="20"/>
                <w:color w:val="auto"/>
              </w:rPr>
            </w:pPr>
            <w:r>
              <w:rPr>
                <w:rFonts w:ascii="Arial" w:cs="Arial" w:eastAsia="Arial" w:hAnsi="Arial"/>
                <w:sz w:val="16"/>
                <w:szCs w:val="16"/>
                <w:color w:val="auto"/>
                <w:w w:val="89"/>
              </w:rPr>
              <w:t>0</w:t>
            </w:r>
          </w:p>
        </w:tc>
        <w:tc>
          <w:tcPr>
            <w:tcW w:w="1100" w:type="dxa"/>
            <w:vAlign w:val="bottom"/>
            <w:tcBorders>
              <w:right w:val="single" w:sz="8" w:color="auto"/>
            </w:tcBorders>
            <w:shd w:val="clear" w:color="auto" w:fill="D4DBEB"/>
          </w:tcPr>
          <w:p>
            <w:pPr>
              <w:jc w:val="center"/>
              <w:spacing w:after="0"/>
              <w:rPr>
                <w:sz w:val="20"/>
                <w:szCs w:val="20"/>
                <w:color w:val="auto"/>
              </w:rPr>
            </w:pPr>
            <w:r>
              <w:rPr>
                <w:rFonts w:ascii="Arial" w:cs="Arial" w:eastAsia="Arial" w:hAnsi="Arial"/>
                <w:sz w:val="16"/>
                <w:szCs w:val="16"/>
                <w:color w:val="auto"/>
              </w:rPr>
              <w:t>0</w:t>
            </w:r>
          </w:p>
        </w:tc>
        <w:tc>
          <w:tcPr>
            <w:tcW w:w="1100" w:type="dxa"/>
            <w:vAlign w:val="bottom"/>
            <w:tcBorders>
              <w:right w:val="single" w:sz="8" w:color="auto"/>
            </w:tcBorders>
            <w:shd w:val="clear" w:color="auto" w:fill="D4DBEB"/>
          </w:tcPr>
          <w:p>
            <w:pPr>
              <w:jc w:val="center"/>
              <w:spacing w:after="0"/>
              <w:rPr>
                <w:sz w:val="20"/>
                <w:szCs w:val="20"/>
                <w:color w:val="auto"/>
              </w:rPr>
            </w:pPr>
            <w:r>
              <w:rPr>
                <w:rFonts w:ascii="Arial" w:cs="Arial" w:eastAsia="Arial" w:hAnsi="Arial"/>
                <w:sz w:val="16"/>
                <w:szCs w:val="16"/>
                <w:color w:val="auto"/>
                <w:w w:val="89"/>
              </w:rPr>
              <w:t>0</w:t>
            </w:r>
          </w:p>
        </w:tc>
        <w:tc>
          <w:tcPr>
            <w:tcW w:w="1120" w:type="dxa"/>
            <w:vAlign w:val="bottom"/>
            <w:tcBorders>
              <w:right w:val="single" w:sz="8" w:color="auto"/>
            </w:tcBorders>
            <w:shd w:val="clear" w:color="auto" w:fill="D4DBEB"/>
          </w:tcPr>
          <w:p>
            <w:pPr>
              <w:jc w:val="center"/>
              <w:spacing w:after="0"/>
              <w:rPr>
                <w:sz w:val="20"/>
                <w:szCs w:val="20"/>
                <w:color w:val="auto"/>
              </w:rPr>
            </w:pPr>
            <w:r>
              <w:rPr>
                <w:rFonts w:ascii="Arial" w:cs="Arial" w:eastAsia="Arial" w:hAnsi="Arial"/>
                <w:sz w:val="16"/>
                <w:szCs w:val="16"/>
                <w:color w:val="auto"/>
                <w:w w:val="97"/>
              </w:rPr>
              <w:t>238</w:t>
            </w:r>
          </w:p>
        </w:tc>
        <w:tc>
          <w:tcPr>
            <w:tcW w:w="800" w:type="dxa"/>
            <w:vAlign w:val="bottom"/>
            <w:tcBorders>
              <w:right w:val="single" w:sz="8" w:color="auto"/>
            </w:tcBorders>
            <w:shd w:val="clear" w:color="auto" w:fill="D4DBEB"/>
          </w:tcPr>
          <w:p>
            <w:pPr>
              <w:jc w:val="right"/>
              <w:ind w:right="40"/>
              <w:spacing w:after="0"/>
              <w:rPr>
                <w:sz w:val="20"/>
                <w:szCs w:val="20"/>
                <w:color w:val="auto"/>
              </w:rPr>
            </w:pPr>
            <w:r>
              <w:rPr>
                <w:rFonts w:ascii="Arial" w:cs="Arial" w:eastAsia="Arial" w:hAnsi="Arial"/>
                <w:sz w:val="16"/>
                <w:szCs w:val="16"/>
                <w:color w:val="auto"/>
              </w:rPr>
              <w:t>767,246</w:t>
            </w:r>
          </w:p>
        </w:tc>
        <w:tc>
          <w:tcPr>
            <w:tcW w:w="0" w:type="dxa"/>
            <w:vAlign w:val="bottom"/>
          </w:tcPr>
          <w:p>
            <w:pPr>
              <w:spacing w:after="0"/>
              <w:rPr>
                <w:sz w:val="1"/>
                <w:szCs w:val="1"/>
                <w:color w:val="auto"/>
              </w:rPr>
            </w:pPr>
          </w:p>
        </w:tc>
      </w:tr>
      <w:tr>
        <w:trPr>
          <w:trHeight w:val="216"/>
        </w:trPr>
        <w:tc>
          <w:tcPr>
            <w:tcW w:w="3040" w:type="dxa"/>
            <w:vAlign w:val="bottom"/>
            <w:tcBorders>
              <w:left w:val="single" w:sz="8" w:color="auto"/>
              <w:right w:val="single" w:sz="8" w:color="auto"/>
            </w:tcBorders>
          </w:tcPr>
          <w:p>
            <w:pPr>
              <w:ind w:left="160"/>
              <w:spacing w:after="0"/>
              <w:rPr>
                <w:sz w:val="20"/>
                <w:szCs w:val="20"/>
                <w:color w:val="auto"/>
              </w:rPr>
            </w:pPr>
            <w:r>
              <w:rPr>
                <w:rFonts w:ascii="Arial" w:cs="Arial" w:eastAsia="Arial" w:hAnsi="Arial"/>
                <w:sz w:val="16"/>
                <w:szCs w:val="16"/>
                <w:color w:val="auto"/>
              </w:rPr>
              <w:t>M.J. Boskin</w:t>
            </w:r>
          </w:p>
        </w:tc>
        <w:tc>
          <w:tcPr>
            <w:tcW w:w="780" w:type="dxa"/>
            <w:vAlign w:val="bottom"/>
            <w:tcBorders>
              <w:right w:val="single" w:sz="8" w:color="auto"/>
            </w:tcBorders>
          </w:tcPr>
          <w:p>
            <w:pPr>
              <w:jc w:val="right"/>
              <w:ind w:right="22"/>
              <w:spacing w:after="0"/>
              <w:rPr>
                <w:sz w:val="20"/>
                <w:szCs w:val="20"/>
                <w:color w:val="auto"/>
              </w:rPr>
            </w:pPr>
            <w:r>
              <w:rPr>
                <w:rFonts w:ascii="Arial" w:cs="Arial" w:eastAsia="Arial" w:hAnsi="Arial"/>
                <w:sz w:val="16"/>
                <w:szCs w:val="16"/>
                <w:color w:val="auto"/>
              </w:rPr>
              <w:t>110,000</w:t>
            </w:r>
          </w:p>
        </w:tc>
        <w:tc>
          <w:tcPr>
            <w:tcW w:w="780" w:type="dxa"/>
            <w:vAlign w:val="bottom"/>
            <w:tcBorders>
              <w:right w:val="single" w:sz="8" w:color="auto"/>
            </w:tcBorders>
          </w:tcPr>
          <w:p>
            <w:pPr>
              <w:ind w:left="100"/>
              <w:spacing w:after="0"/>
              <w:rPr>
                <w:sz w:val="20"/>
                <w:szCs w:val="20"/>
                <w:color w:val="auto"/>
              </w:rPr>
            </w:pPr>
            <w:r>
              <w:rPr>
                <w:rFonts w:ascii="Arial" w:cs="Arial" w:eastAsia="Arial" w:hAnsi="Arial"/>
                <w:sz w:val="16"/>
                <w:szCs w:val="16"/>
                <w:color w:val="auto"/>
              </w:rPr>
              <w:t>226,650</w:t>
            </w:r>
          </w:p>
        </w:tc>
        <w:tc>
          <w:tcPr>
            <w:tcW w:w="640" w:type="dxa"/>
            <w:vAlign w:val="bottom"/>
            <w:tcBorders>
              <w:right w:val="single" w:sz="8" w:color="auto"/>
            </w:tcBorders>
          </w:tcPr>
          <w:p>
            <w:pPr>
              <w:jc w:val="center"/>
              <w:spacing w:after="0"/>
              <w:rPr>
                <w:sz w:val="20"/>
                <w:szCs w:val="20"/>
                <w:color w:val="auto"/>
              </w:rPr>
            </w:pPr>
            <w:r>
              <w:rPr>
                <w:rFonts w:ascii="Arial" w:cs="Arial" w:eastAsia="Arial" w:hAnsi="Arial"/>
                <w:sz w:val="16"/>
                <w:szCs w:val="16"/>
                <w:color w:val="auto"/>
                <w:w w:val="89"/>
              </w:rPr>
              <w:t>0</w:t>
            </w:r>
          </w:p>
        </w:tc>
        <w:tc>
          <w:tcPr>
            <w:tcW w:w="1100" w:type="dxa"/>
            <w:vAlign w:val="bottom"/>
            <w:tcBorders>
              <w:right w:val="single" w:sz="8" w:color="auto"/>
            </w:tcBorders>
          </w:tcPr>
          <w:p>
            <w:pPr>
              <w:jc w:val="center"/>
              <w:spacing w:after="0"/>
              <w:rPr>
                <w:sz w:val="20"/>
                <w:szCs w:val="20"/>
                <w:color w:val="auto"/>
              </w:rPr>
            </w:pPr>
            <w:r>
              <w:rPr>
                <w:rFonts w:ascii="Arial" w:cs="Arial" w:eastAsia="Arial" w:hAnsi="Arial"/>
                <w:sz w:val="16"/>
                <w:szCs w:val="16"/>
                <w:color w:val="auto"/>
              </w:rPr>
              <w:t>0</w:t>
            </w:r>
          </w:p>
        </w:tc>
        <w:tc>
          <w:tcPr>
            <w:tcW w:w="1100" w:type="dxa"/>
            <w:vAlign w:val="bottom"/>
            <w:tcBorders>
              <w:right w:val="single" w:sz="8" w:color="auto"/>
            </w:tcBorders>
          </w:tcPr>
          <w:p>
            <w:pPr>
              <w:jc w:val="center"/>
              <w:spacing w:after="0"/>
              <w:rPr>
                <w:sz w:val="20"/>
                <w:szCs w:val="20"/>
                <w:color w:val="auto"/>
              </w:rPr>
            </w:pPr>
            <w:r>
              <w:rPr>
                <w:rFonts w:ascii="Arial" w:cs="Arial" w:eastAsia="Arial" w:hAnsi="Arial"/>
                <w:sz w:val="16"/>
                <w:szCs w:val="16"/>
                <w:color w:val="auto"/>
                <w:w w:val="89"/>
              </w:rPr>
              <w:t>0</w:t>
            </w:r>
          </w:p>
        </w:tc>
        <w:tc>
          <w:tcPr>
            <w:tcW w:w="1120" w:type="dxa"/>
            <w:vAlign w:val="bottom"/>
            <w:tcBorders>
              <w:right w:val="single" w:sz="8" w:color="auto"/>
            </w:tcBorders>
          </w:tcPr>
          <w:p>
            <w:pPr>
              <w:jc w:val="center"/>
              <w:spacing w:after="0"/>
              <w:rPr>
                <w:sz w:val="20"/>
                <w:szCs w:val="20"/>
                <w:color w:val="auto"/>
              </w:rPr>
            </w:pPr>
            <w:r>
              <w:rPr>
                <w:rFonts w:ascii="Arial" w:cs="Arial" w:eastAsia="Arial" w:hAnsi="Arial"/>
                <w:sz w:val="16"/>
                <w:szCs w:val="16"/>
                <w:color w:val="auto"/>
                <w:w w:val="97"/>
              </w:rPr>
              <w:t>268</w:t>
            </w:r>
          </w:p>
        </w:tc>
        <w:tc>
          <w:tcPr>
            <w:tcW w:w="800" w:type="dxa"/>
            <w:vAlign w:val="bottom"/>
            <w:tcBorders>
              <w:right w:val="single" w:sz="8" w:color="auto"/>
            </w:tcBorders>
          </w:tcPr>
          <w:p>
            <w:pPr>
              <w:jc w:val="right"/>
              <w:ind w:right="40"/>
              <w:spacing w:after="0"/>
              <w:rPr>
                <w:sz w:val="20"/>
                <w:szCs w:val="20"/>
                <w:color w:val="auto"/>
              </w:rPr>
            </w:pPr>
            <w:r>
              <w:rPr>
                <w:rFonts w:ascii="Arial" w:cs="Arial" w:eastAsia="Arial" w:hAnsi="Arial"/>
                <w:sz w:val="16"/>
                <w:szCs w:val="16"/>
                <w:color w:val="auto"/>
              </w:rPr>
              <w:t>336,918</w:t>
            </w:r>
          </w:p>
        </w:tc>
        <w:tc>
          <w:tcPr>
            <w:tcW w:w="0" w:type="dxa"/>
            <w:vAlign w:val="bottom"/>
          </w:tcPr>
          <w:p>
            <w:pPr>
              <w:spacing w:after="0"/>
              <w:rPr>
                <w:sz w:val="1"/>
                <w:szCs w:val="1"/>
                <w:color w:val="auto"/>
              </w:rPr>
            </w:pPr>
          </w:p>
        </w:tc>
      </w:tr>
      <w:tr>
        <w:trPr>
          <w:trHeight w:val="216"/>
        </w:trPr>
        <w:tc>
          <w:tcPr>
            <w:tcW w:w="3040" w:type="dxa"/>
            <w:vAlign w:val="bottom"/>
            <w:tcBorders>
              <w:left w:val="single" w:sz="8" w:color="auto"/>
              <w:right w:val="single" w:sz="8" w:color="auto"/>
            </w:tcBorders>
            <w:shd w:val="clear" w:color="auto" w:fill="D4DBEB"/>
          </w:tcPr>
          <w:p>
            <w:pPr>
              <w:ind w:left="160"/>
              <w:spacing w:after="0"/>
              <w:rPr>
                <w:sz w:val="20"/>
                <w:szCs w:val="20"/>
                <w:color w:val="auto"/>
              </w:rPr>
            </w:pPr>
            <w:r>
              <w:rPr>
                <w:rFonts w:ascii="Arial" w:cs="Arial" w:eastAsia="Arial" w:hAnsi="Arial"/>
                <w:sz w:val="16"/>
                <w:szCs w:val="16"/>
                <w:color w:val="auto"/>
              </w:rPr>
              <w:t>P. Brabeck-Letmathe(c)</w:t>
            </w:r>
          </w:p>
        </w:tc>
        <w:tc>
          <w:tcPr>
            <w:tcW w:w="780" w:type="dxa"/>
            <w:vAlign w:val="bottom"/>
            <w:tcBorders>
              <w:right w:val="single" w:sz="8" w:color="auto"/>
            </w:tcBorders>
            <w:shd w:val="clear" w:color="auto" w:fill="D4DBEB"/>
          </w:tcPr>
          <w:p>
            <w:pPr>
              <w:jc w:val="right"/>
              <w:ind w:right="22"/>
              <w:spacing w:after="0"/>
              <w:rPr>
                <w:sz w:val="20"/>
                <w:szCs w:val="20"/>
                <w:color w:val="auto"/>
              </w:rPr>
            </w:pPr>
            <w:r>
              <w:rPr>
                <w:rFonts w:ascii="Arial" w:cs="Arial" w:eastAsia="Arial" w:hAnsi="Arial"/>
                <w:sz w:val="16"/>
                <w:szCs w:val="16"/>
                <w:color w:val="auto"/>
              </w:rPr>
              <w:t>45,934</w:t>
            </w:r>
          </w:p>
        </w:tc>
        <w:tc>
          <w:tcPr>
            <w:tcW w:w="780" w:type="dxa"/>
            <w:vAlign w:val="bottom"/>
            <w:tcBorders>
              <w:right w:val="single" w:sz="8" w:color="auto"/>
            </w:tcBorders>
            <w:shd w:val="clear" w:color="auto" w:fill="D4DBEB"/>
          </w:tcPr>
          <w:p>
            <w:pPr>
              <w:ind w:left="100"/>
              <w:spacing w:after="0"/>
              <w:rPr>
                <w:sz w:val="20"/>
                <w:szCs w:val="20"/>
                <w:color w:val="auto"/>
              </w:rPr>
            </w:pPr>
            <w:r>
              <w:rPr>
                <w:rFonts w:ascii="Arial" w:cs="Arial" w:eastAsia="Arial" w:hAnsi="Arial"/>
                <w:sz w:val="16"/>
                <w:szCs w:val="16"/>
                <w:color w:val="auto"/>
              </w:rPr>
              <w:t>226,650</w:t>
            </w:r>
          </w:p>
        </w:tc>
        <w:tc>
          <w:tcPr>
            <w:tcW w:w="640" w:type="dxa"/>
            <w:vAlign w:val="bottom"/>
            <w:tcBorders>
              <w:right w:val="single" w:sz="8" w:color="auto"/>
            </w:tcBorders>
            <w:shd w:val="clear" w:color="auto" w:fill="D4DBEB"/>
          </w:tcPr>
          <w:p>
            <w:pPr>
              <w:jc w:val="center"/>
              <w:spacing w:after="0"/>
              <w:rPr>
                <w:sz w:val="20"/>
                <w:szCs w:val="20"/>
                <w:color w:val="auto"/>
              </w:rPr>
            </w:pPr>
            <w:r>
              <w:rPr>
                <w:rFonts w:ascii="Arial" w:cs="Arial" w:eastAsia="Arial" w:hAnsi="Arial"/>
                <w:sz w:val="16"/>
                <w:szCs w:val="16"/>
                <w:color w:val="auto"/>
                <w:w w:val="89"/>
              </w:rPr>
              <w:t>0</w:t>
            </w:r>
          </w:p>
        </w:tc>
        <w:tc>
          <w:tcPr>
            <w:tcW w:w="1100" w:type="dxa"/>
            <w:vAlign w:val="bottom"/>
            <w:tcBorders>
              <w:right w:val="single" w:sz="8" w:color="auto"/>
            </w:tcBorders>
            <w:shd w:val="clear" w:color="auto" w:fill="D4DBEB"/>
          </w:tcPr>
          <w:p>
            <w:pPr>
              <w:jc w:val="center"/>
              <w:spacing w:after="0"/>
              <w:rPr>
                <w:sz w:val="20"/>
                <w:szCs w:val="20"/>
                <w:color w:val="auto"/>
              </w:rPr>
            </w:pPr>
            <w:r>
              <w:rPr>
                <w:rFonts w:ascii="Arial" w:cs="Arial" w:eastAsia="Arial" w:hAnsi="Arial"/>
                <w:sz w:val="16"/>
                <w:szCs w:val="16"/>
                <w:color w:val="auto"/>
              </w:rPr>
              <w:t>0</w:t>
            </w:r>
          </w:p>
        </w:tc>
        <w:tc>
          <w:tcPr>
            <w:tcW w:w="1100" w:type="dxa"/>
            <w:vAlign w:val="bottom"/>
            <w:tcBorders>
              <w:right w:val="single" w:sz="8" w:color="auto"/>
            </w:tcBorders>
            <w:shd w:val="clear" w:color="auto" w:fill="D4DBEB"/>
          </w:tcPr>
          <w:p>
            <w:pPr>
              <w:jc w:val="center"/>
              <w:spacing w:after="0"/>
              <w:rPr>
                <w:sz w:val="20"/>
                <w:szCs w:val="20"/>
                <w:color w:val="auto"/>
              </w:rPr>
            </w:pPr>
            <w:r>
              <w:rPr>
                <w:rFonts w:ascii="Arial" w:cs="Arial" w:eastAsia="Arial" w:hAnsi="Arial"/>
                <w:sz w:val="16"/>
                <w:szCs w:val="16"/>
                <w:color w:val="auto"/>
                <w:w w:val="89"/>
              </w:rPr>
              <w:t>0</w:t>
            </w:r>
          </w:p>
        </w:tc>
        <w:tc>
          <w:tcPr>
            <w:tcW w:w="1120" w:type="dxa"/>
            <w:vAlign w:val="bottom"/>
            <w:tcBorders>
              <w:right w:val="single" w:sz="8" w:color="auto"/>
            </w:tcBorders>
            <w:shd w:val="clear" w:color="auto" w:fill="D4DBEB"/>
          </w:tcPr>
          <w:p>
            <w:pPr>
              <w:jc w:val="center"/>
              <w:spacing w:after="0"/>
              <w:rPr>
                <w:sz w:val="20"/>
                <w:szCs w:val="20"/>
                <w:color w:val="auto"/>
              </w:rPr>
            </w:pPr>
            <w:r>
              <w:rPr>
                <w:rFonts w:ascii="Arial" w:cs="Arial" w:eastAsia="Arial" w:hAnsi="Arial"/>
                <w:sz w:val="16"/>
                <w:szCs w:val="16"/>
                <w:color w:val="auto"/>
                <w:w w:val="97"/>
              </w:rPr>
              <w:t>112</w:t>
            </w:r>
          </w:p>
        </w:tc>
        <w:tc>
          <w:tcPr>
            <w:tcW w:w="800" w:type="dxa"/>
            <w:vAlign w:val="bottom"/>
            <w:tcBorders>
              <w:right w:val="single" w:sz="8" w:color="auto"/>
            </w:tcBorders>
            <w:shd w:val="clear" w:color="auto" w:fill="D4DBEB"/>
          </w:tcPr>
          <w:p>
            <w:pPr>
              <w:jc w:val="right"/>
              <w:ind w:right="40"/>
              <w:spacing w:after="0"/>
              <w:rPr>
                <w:sz w:val="20"/>
                <w:szCs w:val="20"/>
                <w:color w:val="auto"/>
              </w:rPr>
            </w:pPr>
            <w:r>
              <w:rPr>
                <w:rFonts w:ascii="Arial" w:cs="Arial" w:eastAsia="Arial" w:hAnsi="Arial"/>
                <w:sz w:val="16"/>
                <w:szCs w:val="16"/>
                <w:color w:val="auto"/>
              </w:rPr>
              <w:t>272,696</w:t>
            </w:r>
          </w:p>
        </w:tc>
        <w:tc>
          <w:tcPr>
            <w:tcW w:w="0" w:type="dxa"/>
            <w:vAlign w:val="bottom"/>
          </w:tcPr>
          <w:p>
            <w:pPr>
              <w:spacing w:after="0"/>
              <w:rPr>
                <w:sz w:val="1"/>
                <w:szCs w:val="1"/>
                <w:color w:val="auto"/>
              </w:rPr>
            </w:pPr>
          </w:p>
        </w:tc>
      </w:tr>
      <w:tr>
        <w:trPr>
          <w:trHeight w:val="216"/>
        </w:trPr>
        <w:tc>
          <w:tcPr>
            <w:tcW w:w="3040" w:type="dxa"/>
            <w:vAlign w:val="bottom"/>
            <w:tcBorders>
              <w:left w:val="single" w:sz="8" w:color="auto"/>
              <w:right w:val="single" w:sz="8" w:color="auto"/>
            </w:tcBorders>
          </w:tcPr>
          <w:p>
            <w:pPr>
              <w:ind w:left="160"/>
              <w:spacing w:after="0"/>
              <w:rPr>
                <w:sz w:val="20"/>
                <w:szCs w:val="20"/>
                <w:color w:val="auto"/>
              </w:rPr>
            </w:pPr>
            <w:r>
              <w:rPr>
                <w:rFonts w:ascii="Arial" w:cs="Arial" w:eastAsia="Arial" w:hAnsi="Arial"/>
                <w:sz w:val="16"/>
                <w:szCs w:val="16"/>
                <w:color w:val="auto"/>
              </w:rPr>
              <w:t>A.F. Braly</w:t>
            </w:r>
          </w:p>
        </w:tc>
        <w:tc>
          <w:tcPr>
            <w:tcW w:w="780" w:type="dxa"/>
            <w:vAlign w:val="bottom"/>
            <w:tcBorders>
              <w:right w:val="single" w:sz="8" w:color="auto"/>
            </w:tcBorders>
          </w:tcPr>
          <w:p>
            <w:pPr>
              <w:jc w:val="right"/>
              <w:ind w:right="22"/>
              <w:spacing w:after="0"/>
              <w:rPr>
                <w:sz w:val="20"/>
                <w:szCs w:val="20"/>
                <w:color w:val="auto"/>
              </w:rPr>
            </w:pPr>
            <w:r>
              <w:rPr>
                <w:rFonts w:ascii="Arial" w:cs="Arial" w:eastAsia="Arial" w:hAnsi="Arial"/>
                <w:sz w:val="16"/>
                <w:szCs w:val="16"/>
                <w:color w:val="auto"/>
              </w:rPr>
              <w:t>110,000</w:t>
            </w:r>
          </w:p>
        </w:tc>
        <w:tc>
          <w:tcPr>
            <w:tcW w:w="780" w:type="dxa"/>
            <w:vAlign w:val="bottom"/>
            <w:tcBorders>
              <w:right w:val="single" w:sz="8" w:color="auto"/>
            </w:tcBorders>
          </w:tcPr>
          <w:p>
            <w:pPr>
              <w:ind w:left="100"/>
              <w:spacing w:after="0"/>
              <w:rPr>
                <w:sz w:val="20"/>
                <w:szCs w:val="20"/>
                <w:color w:val="auto"/>
              </w:rPr>
            </w:pPr>
            <w:r>
              <w:rPr>
                <w:rFonts w:ascii="Arial" w:cs="Arial" w:eastAsia="Arial" w:hAnsi="Arial"/>
                <w:sz w:val="16"/>
                <w:szCs w:val="16"/>
                <w:color w:val="auto"/>
              </w:rPr>
              <w:t>226,650</w:t>
            </w:r>
          </w:p>
        </w:tc>
        <w:tc>
          <w:tcPr>
            <w:tcW w:w="640" w:type="dxa"/>
            <w:vAlign w:val="bottom"/>
            <w:tcBorders>
              <w:right w:val="single" w:sz="8" w:color="auto"/>
            </w:tcBorders>
          </w:tcPr>
          <w:p>
            <w:pPr>
              <w:jc w:val="center"/>
              <w:spacing w:after="0"/>
              <w:rPr>
                <w:sz w:val="20"/>
                <w:szCs w:val="20"/>
                <w:color w:val="auto"/>
              </w:rPr>
            </w:pPr>
            <w:r>
              <w:rPr>
                <w:rFonts w:ascii="Arial" w:cs="Arial" w:eastAsia="Arial" w:hAnsi="Arial"/>
                <w:sz w:val="16"/>
                <w:szCs w:val="16"/>
                <w:color w:val="auto"/>
                <w:w w:val="89"/>
              </w:rPr>
              <w:t>0</w:t>
            </w:r>
          </w:p>
        </w:tc>
        <w:tc>
          <w:tcPr>
            <w:tcW w:w="1100" w:type="dxa"/>
            <w:vAlign w:val="bottom"/>
            <w:tcBorders>
              <w:right w:val="single" w:sz="8" w:color="auto"/>
            </w:tcBorders>
          </w:tcPr>
          <w:p>
            <w:pPr>
              <w:jc w:val="center"/>
              <w:spacing w:after="0"/>
              <w:rPr>
                <w:sz w:val="20"/>
                <w:szCs w:val="20"/>
                <w:color w:val="auto"/>
              </w:rPr>
            </w:pPr>
            <w:r>
              <w:rPr>
                <w:rFonts w:ascii="Arial" w:cs="Arial" w:eastAsia="Arial" w:hAnsi="Arial"/>
                <w:sz w:val="16"/>
                <w:szCs w:val="16"/>
                <w:color w:val="auto"/>
              </w:rPr>
              <w:t>0</w:t>
            </w:r>
          </w:p>
        </w:tc>
        <w:tc>
          <w:tcPr>
            <w:tcW w:w="1100" w:type="dxa"/>
            <w:vAlign w:val="bottom"/>
            <w:tcBorders>
              <w:right w:val="single" w:sz="8" w:color="auto"/>
            </w:tcBorders>
          </w:tcPr>
          <w:p>
            <w:pPr>
              <w:jc w:val="center"/>
              <w:spacing w:after="0"/>
              <w:rPr>
                <w:sz w:val="20"/>
                <w:szCs w:val="20"/>
                <w:color w:val="auto"/>
              </w:rPr>
            </w:pPr>
            <w:r>
              <w:rPr>
                <w:rFonts w:ascii="Arial" w:cs="Arial" w:eastAsia="Arial" w:hAnsi="Arial"/>
                <w:sz w:val="16"/>
                <w:szCs w:val="16"/>
                <w:color w:val="auto"/>
                <w:w w:val="89"/>
              </w:rPr>
              <w:t>0</w:t>
            </w:r>
          </w:p>
        </w:tc>
        <w:tc>
          <w:tcPr>
            <w:tcW w:w="1120" w:type="dxa"/>
            <w:vAlign w:val="bottom"/>
            <w:tcBorders>
              <w:right w:val="single" w:sz="8" w:color="auto"/>
            </w:tcBorders>
          </w:tcPr>
          <w:p>
            <w:pPr>
              <w:jc w:val="center"/>
              <w:spacing w:after="0"/>
              <w:rPr>
                <w:sz w:val="20"/>
                <w:szCs w:val="20"/>
                <w:color w:val="auto"/>
              </w:rPr>
            </w:pPr>
            <w:r>
              <w:rPr>
                <w:rFonts w:ascii="Arial" w:cs="Arial" w:eastAsia="Arial" w:hAnsi="Arial"/>
                <w:sz w:val="16"/>
                <w:szCs w:val="16"/>
                <w:color w:val="auto"/>
                <w:w w:val="97"/>
              </w:rPr>
              <w:t>268</w:t>
            </w:r>
          </w:p>
        </w:tc>
        <w:tc>
          <w:tcPr>
            <w:tcW w:w="800" w:type="dxa"/>
            <w:vAlign w:val="bottom"/>
            <w:tcBorders>
              <w:right w:val="single" w:sz="8" w:color="auto"/>
            </w:tcBorders>
          </w:tcPr>
          <w:p>
            <w:pPr>
              <w:jc w:val="right"/>
              <w:ind w:right="40"/>
              <w:spacing w:after="0"/>
              <w:rPr>
                <w:sz w:val="20"/>
                <w:szCs w:val="20"/>
                <w:color w:val="auto"/>
              </w:rPr>
            </w:pPr>
            <w:r>
              <w:rPr>
                <w:rFonts w:ascii="Arial" w:cs="Arial" w:eastAsia="Arial" w:hAnsi="Arial"/>
                <w:sz w:val="16"/>
                <w:szCs w:val="16"/>
                <w:color w:val="auto"/>
              </w:rPr>
              <w:t>336,918</w:t>
            </w:r>
          </w:p>
        </w:tc>
        <w:tc>
          <w:tcPr>
            <w:tcW w:w="0" w:type="dxa"/>
            <w:vAlign w:val="bottom"/>
          </w:tcPr>
          <w:p>
            <w:pPr>
              <w:spacing w:after="0"/>
              <w:rPr>
                <w:sz w:val="1"/>
                <w:szCs w:val="1"/>
                <w:color w:val="auto"/>
              </w:rPr>
            </w:pPr>
          </w:p>
        </w:tc>
      </w:tr>
      <w:tr>
        <w:trPr>
          <w:trHeight w:val="216"/>
        </w:trPr>
        <w:tc>
          <w:tcPr>
            <w:tcW w:w="3040" w:type="dxa"/>
            <w:vAlign w:val="bottom"/>
            <w:tcBorders>
              <w:left w:val="single" w:sz="8" w:color="auto"/>
              <w:right w:val="single" w:sz="8" w:color="auto"/>
            </w:tcBorders>
            <w:shd w:val="clear" w:color="auto" w:fill="D4DBEB"/>
          </w:tcPr>
          <w:p>
            <w:pPr>
              <w:ind w:left="160"/>
              <w:spacing w:after="0"/>
              <w:rPr>
                <w:sz w:val="20"/>
                <w:szCs w:val="20"/>
                <w:color w:val="auto"/>
              </w:rPr>
            </w:pPr>
            <w:r>
              <w:rPr>
                <w:rFonts w:ascii="Arial" w:cs="Arial" w:eastAsia="Arial" w:hAnsi="Arial"/>
                <w:sz w:val="16"/>
                <w:szCs w:val="16"/>
                <w:color w:val="auto"/>
              </w:rPr>
              <w:t>U.M. Burns</w:t>
            </w:r>
          </w:p>
        </w:tc>
        <w:tc>
          <w:tcPr>
            <w:tcW w:w="780" w:type="dxa"/>
            <w:vAlign w:val="bottom"/>
            <w:tcBorders>
              <w:right w:val="single" w:sz="8" w:color="auto"/>
            </w:tcBorders>
            <w:shd w:val="clear" w:color="auto" w:fill="D4DBEB"/>
          </w:tcPr>
          <w:p>
            <w:pPr>
              <w:jc w:val="right"/>
              <w:ind w:right="22"/>
              <w:spacing w:after="0"/>
              <w:rPr>
                <w:sz w:val="20"/>
                <w:szCs w:val="20"/>
                <w:color w:val="auto"/>
              </w:rPr>
            </w:pPr>
            <w:r>
              <w:rPr>
                <w:rFonts w:ascii="Arial" w:cs="Arial" w:eastAsia="Arial" w:hAnsi="Arial"/>
                <w:sz w:val="16"/>
                <w:szCs w:val="16"/>
                <w:color w:val="auto"/>
              </w:rPr>
              <w:t>115,824</w:t>
            </w:r>
          </w:p>
        </w:tc>
        <w:tc>
          <w:tcPr>
            <w:tcW w:w="780" w:type="dxa"/>
            <w:vAlign w:val="bottom"/>
            <w:tcBorders>
              <w:right w:val="single" w:sz="8" w:color="auto"/>
            </w:tcBorders>
            <w:shd w:val="clear" w:color="auto" w:fill="D4DBEB"/>
          </w:tcPr>
          <w:p>
            <w:pPr>
              <w:ind w:left="100"/>
              <w:spacing w:after="0"/>
              <w:rPr>
                <w:sz w:val="20"/>
                <w:szCs w:val="20"/>
                <w:color w:val="auto"/>
              </w:rPr>
            </w:pPr>
            <w:r>
              <w:rPr>
                <w:rFonts w:ascii="Arial" w:cs="Arial" w:eastAsia="Arial" w:hAnsi="Arial"/>
                <w:sz w:val="16"/>
                <w:szCs w:val="16"/>
                <w:color w:val="auto"/>
              </w:rPr>
              <w:t>226,650</w:t>
            </w:r>
          </w:p>
        </w:tc>
        <w:tc>
          <w:tcPr>
            <w:tcW w:w="640" w:type="dxa"/>
            <w:vAlign w:val="bottom"/>
            <w:tcBorders>
              <w:right w:val="single" w:sz="8" w:color="auto"/>
            </w:tcBorders>
            <w:shd w:val="clear" w:color="auto" w:fill="D4DBEB"/>
          </w:tcPr>
          <w:p>
            <w:pPr>
              <w:jc w:val="center"/>
              <w:spacing w:after="0"/>
              <w:rPr>
                <w:sz w:val="20"/>
                <w:szCs w:val="20"/>
                <w:color w:val="auto"/>
              </w:rPr>
            </w:pPr>
            <w:r>
              <w:rPr>
                <w:rFonts w:ascii="Arial" w:cs="Arial" w:eastAsia="Arial" w:hAnsi="Arial"/>
                <w:sz w:val="16"/>
                <w:szCs w:val="16"/>
                <w:color w:val="auto"/>
                <w:w w:val="89"/>
              </w:rPr>
              <w:t>0</w:t>
            </w:r>
          </w:p>
        </w:tc>
        <w:tc>
          <w:tcPr>
            <w:tcW w:w="1100" w:type="dxa"/>
            <w:vAlign w:val="bottom"/>
            <w:tcBorders>
              <w:right w:val="single" w:sz="8" w:color="auto"/>
            </w:tcBorders>
            <w:shd w:val="clear" w:color="auto" w:fill="D4DBEB"/>
          </w:tcPr>
          <w:p>
            <w:pPr>
              <w:jc w:val="center"/>
              <w:spacing w:after="0"/>
              <w:rPr>
                <w:sz w:val="20"/>
                <w:szCs w:val="20"/>
                <w:color w:val="auto"/>
              </w:rPr>
            </w:pPr>
            <w:r>
              <w:rPr>
                <w:rFonts w:ascii="Arial" w:cs="Arial" w:eastAsia="Arial" w:hAnsi="Arial"/>
                <w:sz w:val="16"/>
                <w:szCs w:val="16"/>
                <w:color w:val="auto"/>
              </w:rPr>
              <w:t>0</w:t>
            </w:r>
          </w:p>
        </w:tc>
        <w:tc>
          <w:tcPr>
            <w:tcW w:w="1100" w:type="dxa"/>
            <w:vAlign w:val="bottom"/>
            <w:tcBorders>
              <w:right w:val="single" w:sz="8" w:color="auto"/>
            </w:tcBorders>
            <w:shd w:val="clear" w:color="auto" w:fill="D4DBEB"/>
          </w:tcPr>
          <w:p>
            <w:pPr>
              <w:jc w:val="center"/>
              <w:spacing w:after="0"/>
              <w:rPr>
                <w:sz w:val="20"/>
                <w:szCs w:val="20"/>
                <w:color w:val="auto"/>
              </w:rPr>
            </w:pPr>
            <w:r>
              <w:rPr>
                <w:rFonts w:ascii="Arial" w:cs="Arial" w:eastAsia="Arial" w:hAnsi="Arial"/>
                <w:sz w:val="16"/>
                <w:szCs w:val="16"/>
                <w:color w:val="auto"/>
                <w:w w:val="89"/>
              </w:rPr>
              <w:t>0</w:t>
            </w:r>
          </w:p>
        </w:tc>
        <w:tc>
          <w:tcPr>
            <w:tcW w:w="1120" w:type="dxa"/>
            <w:vAlign w:val="bottom"/>
            <w:tcBorders>
              <w:right w:val="single" w:sz="8" w:color="auto"/>
            </w:tcBorders>
            <w:shd w:val="clear" w:color="auto" w:fill="D4DBEB"/>
          </w:tcPr>
          <w:p>
            <w:pPr>
              <w:jc w:val="center"/>
              <w:spacing w:after="0"/>
              <w:rPr>
                <w:sz w:val="20"/>
                <w:szCs w:val="20"/>
                <w:color w:val="auto"/>
              </w:rPr>
            </w:pPr>
            <w:r>
              <w:rPr>
                <w:rFonts w:ascii="Arial" w:cs="Arial" w:eastAsia="Arial" w:hAnsi="Arial"/>
                <w:sz w:val="16"/>
                <w:szCs w:val="16"/>
                <w:color w:val="auto"/>
                <w:w w:val="97"/>
              </w:rPr>
              <w:t>268</w:t>
            </w:r>
          </w:p>
        </w:tc>
        <w:tc>
          <w:tcPr>
            <w:tcW w:w="800" w:type="dxa"/>
            <w:vAlign w:val="bottom"/>
            <w:tcBorders>
              <w:right w:val="single" w:sz="8" w:color="auto"/>
            </w:tcBorders>
            <w:shd w:val="clear" w:color="auto" w:fill="D4DBEB"/>
          </w:tcPr>
          <w:p>
            <w:pPr>
              <w:jc w:val="right"/>
              <w:ind w:right="40"/>
              <w:spacing w:after="0"/>
              <w:rPr>
                <w:sz w:val="20"/>
                <w:szCs w:val="20"/>
                <w:color w:val="auto"/>
              </w:rPr>
            </w:pPr>
            <w:r>
              <w:rPr>
                <w:rFonts w:ascii="Arial" w:cs="Arial" w:eastAsia="Arial" w:hAnsi="Arial"/>
                <w:sz w:val="16"/>
                <w:szCs w:val="16"/>
                <w:color w:val="auto"/>
              </w:rPr>
              <w:t>342,742</w:t>
            </w:r>
          </w:p>
        </w:tc>
        <w:tc>
          <w:tcPr>
            <w:tcW w:w="0" w:type="dxa"/>
            <w:vAlign w:val="bottom"/>
          </w:tcPr>
          <w:p>
            <w:pPr>
              <w:spacing w:after="0"/>
              <w:rPr>
                <w:sz w:val="1"/>
                <w:szCs w:val="1"/>
                <w:color w:val="auto"/>
              </w:rPr>
            </w:pPr>
          </w:p>
        </w:tc>
      </w:tr>
      <w:tr>
        <w:trPr>
          <w:trHeight w:val="216"/>
        </w:trPr>
        <w:tc>
          <w:tcPr>
            <w:tcW w:w="3040" w:type="dxa"/>
            <w:vAlign w:val="bottom"/>
            <w:tcBorders>
              <w:left w:val="single" w:sz="8" w:color="auto"/>
              <w:right w:val="single" w:sz="8" w:color="auto"/>
            </w:tcBorders>
          </w:tcPr>
          <w:p>
            <w:pPr>
              <w:ind w:left="160"/>
              <w:spacing w:after="0"/>
              <w:rPr>
                <w:sz w:val="20"/>
                <w:szCs w:val="20"/>
                <w:color w:val="auto"/>
              </w:rPr>
            </w:pPr>
            <w:r>
              <w:rPr>
                <w:rFonts w:ascii="Arial" w:cs="Arial" w:eastAsia="Arial" w:hAnsi="Arial"/>
                <w:sz w:val="16"/>
                <w:szCs w:val="16"/>
                <w:color w:val="auto"/>
              </w:rPr>
              <w:t>L.R. Faulkner(c)</w:t>
            </w:r>
          </w:p>
        </w:tc>
        <w:tc>
          <w:tcPr>
            <w:tcW w:w="780" w:type="dxa"/>
            <w:vAlign w:val="bottom"/>
            <w:tcBorders>
              <w:right w:val="single" w:sz="8" w:color="auto"/>
            </w:tcBorders>
          </w:tcPr>
          <w:p>
            <w:pPr>
              <w:jc w:val="right"/>
              <w:ind w:right="22"/>
              <w:spacing w:after="0"/>
              <w:rPr>
                <w:sz w:val="20"/>
                <w:szCs w:val="20"/>
                <w:color w:val="auto"/>
              </w:rPr>
            </w:pPr>
            <w:r>
              <w:rPr>
                <w:rFonts w:ascii="Arial" w:cs="Arial" w:eastAsia="Arial" w:hAnsi="Arial"/>
                <w:sz w:val="16"/>
                <w:szCs w:val="16"/>
                <w:color w:val="auto"/>
              </w:rPr>
              <w:t>50,110</w:t>
            </w:r>
          </w:p>
        </w:tc>
        <w:tc>
          <w:tcPr>
            <w:tcW w:w="780" w:type="dxa"/>
            <w:vAlign w:val="bottom"/>
            <w:tcBorders>
              <w:right w:val="single" w:sz="8" w:color="auto"/>
            </w:tcBorders>
          </w:tcPr>
          <w:p>
            <w:pPr>
              <w:ind w:left="100"/>
              <w:spacing w:after="0"/>
              <w:rPr>
                <w:sz w:val="20"/>
                <w:szCs w:val="20"/>
                <w:color w:val="auto"/>
              </w:rPr>
            </w:pPr>
            <w:r>
              <w:rPr>
                <w:rFonts w:ascii="Arial" w:cs="Arial" w:eastAsia="Arial" w:hAnsi="Arial"/>
                <w:sz w:val="16"/>
                <w:szCs w:val="16"/>
                <w:color w:val="auto"/>
              </w:rPr>
              <w:t>226,650</w:t>
            </w:r>
          </w:p>
        </w:tc>
        <w:tc>
          <w:tcPr>
            <w:tcW w:w="640" w:type="dxa"/>
            <w:vAlign w:val="bottom"/>
            <w:tcBorders>
              <w:right w:val="single" w:sz="8" w:color="auto"/>
            </w:tcBorders>
          </w:tcPr>
          <w:p>
            <w:pPr>
              <w:jc w:val="center"/>
              <w:spacing w:after="0"/>
              <w:rPr>
                <w:sz w:val="20"/>
                <w:szCs w:val="20"/>
                <w:color w:val="auto"/>
              </w:rPr>
            </w:pPr>
            <w:r>
              <w:rPr>
                <w:rFonts w:ascii="Arial" w:cs="Arial" w:eastAsia="Arial" w:hAnsi="Arial"/>
                <w:sz w:val="16"/>
                <w:szCs w:val="16"/>
                <w:color w:val="auto"/>
                <w:w w:val="89"/>
              </w:rPr>
              <w:t>0</w:t>
            </w:r>
          </w:p>
        </w:tc>
        <w:tc>
          <w:tcPr>
            <w:tcW w:w="1100" w:type="dxa"/>
            <w:vAlign w:val="bottom"/>
            <w:tcBorders>
              <w:right w:val="single" w:sz="8" w:color="auto"/>
            </w:tcBorders>
          </w:tcPr>
          <w:p>
            <w:pPr>
              <w:jc w:val="center"/>
              <w:spacing w:after="0"/>
              <w:rPr>
                <w:sz w:val="20"/>
                <w:szCs w:val="20"/>
                <w:color w:val="auto"/>
              </w:rPr>
            </w:pPr>
            <w:r>
              <w:rPr>
                <w:rFonts w:ascii="Arial" w:cs="Arial" w:eastAsia="Arial" w:hAnsi="Arial"/>
                <w:sz w:val="16"/>
                <w:szCs w:val="16"/>
                <w:color w:val="auto"/>
              </w:rPr>
              <w:t>0</w:t>
            </w:r>
          </w:p>
        </w:tc>
        <w:tc>
          <w:tcPr>
            <w:tcW w:w="1100" w:type="dxa"/>
            <w:vAlign w:val="bottom"/>
            <w:tcBorders>
              <w:right w:val="single" w:sz="8" w:color="auto"/>
            </w:tcBorders>
          </w:tcPr>
          <w:p>
            <w:pPr>
              <w:jc w:val="center"/>
              <w:spacing w:after="0"/>
              <w:rPr>
                <w:sz w:val="20"/>
                <w:szCs w:val="20"/>
                <w:color w:val="auto"/>
              </w:rPr>
            </w:pPr>
            <w:r>
              <w:rPr>
                <w:rFonts w:ascii="Arial" w:cs="Arial" w:eastAsia="Arial" w:hAnsi="Arial"/>
                <w:sz w:val="16"/>
                <w:szCs w:val="16"/>
                <w:color w:val="auto"/>
                <w:w w:val="89"/>
              </w:rPr>
              <w:t>0</w:t>
            </w:r>
          </w:p>
        </w:tc>
        <w:tc>
          <w:tcPr>
            <w:tcW w:w="1120" w:type="dxa"/>
            <w:vAlign w:val="bottom"/>
            <w:tcBorders>
              <w:right w:val="single" w:sz="8" w:color="auto"/>
            </w:tcBorders>
          </w:tcPr>
          <w:p>
            <w:pPr>
              <w:jc w:val="center"/>
              <w:spacing w:after="0"/>
              <w:rPr>
                <w:sz w:val="20"/>
                <w:szCs w:val="20"/>
                <w:color w:val="auto"/>
              </w:rPr>
            </w:pPr>
            <w:r>
              <w:rPr>
                <w:rFonts w:ascii="Arial" w:cs="Arial" w:eastAsia="Arial" w:hAnsi="Arial"/>
                <w:sz w:val="16"/>
                <w:szCs w:val="16"/>
                <w:color w:val="auto"/>
                <w:w w:val="97"/>
              </w:rPr>
              <w:t>112</w:t>
            </w:r>
          </w:p>
        </w:tc>
        <w:tc>
          <w:tcPr>
            <w:tcW w:w="800" w:type="dxa"/>
            <w:vAlign w:val="bottom"/>
            <w:tcBorders>
              <w:right w:val="single" w:sz="8" w:color="auto"/>
            </w:tcBorders>
          </w:tcPr>
          <w:p>
            <w:pPr>
              <w:jc w:val="right"/>
              <w:ind w:right="40"/>
              <w:spacing w:after="0"/>
              <w:rPr>
                <w:sz w:val="20"/>
                <w:szCs w:val="20"/>
                <w:color w:val="auto"/>
              </w:rPr>
            </w:pPr>
            <w:r>
              <w:rPr>
                <w:rFonts w:ascii="Arial" w:cs="Arial" w:eastAsia="Arial" w:hAnsi="Arial"/>
                <w:sz w:val="16"/>
                <w:szCs w:val="16"/>
                <w:color w:val="auto"/>
              </w:rPr>
              <w:t>276,872</w:t>
            </w:r>
          </w:p>
        </w:tc>
        <w:tc>
          <w:tcPr>
            <w:tcW w:w="0" w:type="dxa"/>
            <w:vAlign w:val="bottom"/>
          </w:tcPr>
          <w:p>
            <w:pPr>
              <w:spacing w:after="0"/>
              <w:rPr>
                <w:sz w:val="1"/>
                <w:szCs w:val="1"/>
                <w:color w:val="auto"/>
              </w:rPr>
            </w:pPr>
          </w:p>
        </w:tc>
      </w:tr>
      <w:tr>
        <w:trPr>
          <w:trHeight w:val="216"/>
        </w:trPr>
        <w:tc>
          <w:tcPr>
            <w:tcW w:w="3040" w:type="dxa"/>
            <w:vAlign w:val="bottom"/>
            <w:tcBorders>
              <w:left w:val="single" w:sz="8" w:color="auto"/>
              <w:right w:val="single" w:sz="8" w:color="auto"/>
            </w:tcBorders>
            <w:shd w:val="clear" w:color="auto" w:fill="D4DBEB"/>
          </w:tcPr>
          <w:p>
            <w:pPr>
              <w:ind w:left="160"/>
              <w:spacing w:after="0"/>
              <w:rPr>
                <w:sz w:val="20"/>
                <w:szCs w:val="20"/>
                <w:color w:val="auto"/>
              </w:rPr>
            </w:pPr>
            <w:r>
              <w:rPr>
                <w:rFonts w:ascii="Arial" w:cs="Arial" w:eastAsia="Arial" w:hAnsi="Arial"/>
                <w:sz w:val="16"/>
                <w:szCs w:val="16"/>
                <w:color w:val="auto"/>
              </w:rPr>
              <w:t>H.H. Fore(d)</w:t>
            </w:r>
          </w:p>
        </w:tc>
        <w:tc>
          <w:tcPr>
            <w:tcW w:w="780" w:type="dxa"/>
            <w:vAlign w:val="bottom"/>
            <w:tcBorders>
              <w:right w:val="single" w:sz="8" w:color="auto"/>
            </w:tcBorders>
            <w:shd w:val="clear" w:color="auto" w:fill="D4DBEB"/>
          </w:tcPr>
          <w:p>
            <w:pPr>
              <w:jc w:val="right"/>
              <w:ind w:right="22"/>
              <w:spacing w:after="0"/>
              <w:rPr>
                <w:sz w:val="20"/>
                <w:szCs w:val="20"/>
                <w:color w:val="auto"/>
              </w:rPr>
            </w:pPr>
            <w:r>
              <w:rPr>
                <w:rFonts w:ascii="Arial" w:cs="Arial" w:eastAsia="Arial" w:hAnsi="Arial"/>
                <w:sz w:val="16"/>
                <w:szCs w:val="16"/>
                <w:color w:val="auto"/>
              </w:rPr>
              <w:t>110,000</w:t>
            </w:r>
          </w:p>
        </w:tc>
        <w:tc>
          <w:tcPr>
            <w:tcW w:w="780" w:type="dxa"/>
            <w:vAlign w:val="bottom"/>
            <w:tcBorders>
              <w:right w:val="single" w:sz="8" w:color="auto"/>
            </w:tcBorders>
            <w:shd w:val="clear" w:color="auto" w:fill="D4DBEB"/>
          </w:tcPr>
          <w:p>
            <w:pPr>
              <w:ind w:left="100"/>
              <w:spacing w:after="0"/>
              <w:rPr>
                <w:sz w:val="20"/>
                <w:szCs w:val="20"/>
                <w:color w:val="auto"/>
              </w:rPr>
            </w:pPr>
            <w:r>
              <w:rPr>
                <w:rFonts w:ascii="Arial" w:cs="Arial" w:eastAsia="Arial" w:hAnsi="Arial"/>
                <w:sz w:val="16"/>
                <w:szCs w:val="16"/>
                <w:color w:val="auto"/>
              </w:rPr>
              <w:t>226,650</w:t>
            </w:r>
          </w:p>
        </w:tc>
        <w:tc>
          <w:tcPr>
            <w:tcW w:w="640" w:type="dxa"/>
            <w:vAlign w:val="bottom"/>
            <w:tcBorders>
              <w:right w:val="single" w:sz="8" w:color="auto"/>
            </w:tcBorders>
            <w:shd w:val="clear" w:color="auto" w:fill="D4DBEB"/>
          </w:tcPr>
          <w:p>
            <w:pPr>
              <w:jc w:val="center"/>
              <w:spacing w:after="0"/>
              <w:rPr>
                <w:sz w:val="20"/>
                <w:szCs w:val="20"/>
                <w:color w:val="auto"/>
              </w:rPr>
            </w:pPr>
            <w:r>
              <w:rPr>
                <w:rFonts w:ascii="Arial" w:cs="Arial" w:eastAsia="Arial" w:hAnsi="Arial"/>
                <w:sz w:val="16"/>
                <w:szCs w:val="16"/>
                <w:color w:val="auto"/>
                <w:w w:val="89"/>
              </w:rPr>
              <w:t>0</w:t>
            </w:r>
          </w:p>
        </w:tc>
        <w:tc>
          <w:tcPr>
            <w:tcW w:w="1100" w:type="dxa"/>
            <w:vAlign w:val="bottom"/>
            <w:tcBorders>
              <w:right w:val="single" w:sz="8" w:color="auto"/>
            </w:tcBorders>
            <w:shd w:val="clear" w:color="auto" w:fill="D4DBEB"/>
          </w:tcPr>
          <w:p>
            <w:pPr>
              <w:jc w:val="center"/>
              <w:spacing w:after="0"/>
              <w:rPr>
                <w:sz w:val="20"/>
                <w:szCs w:val="20"/>
                <w:color w:val="auto"/>
              </w:rPr>
            </w:pPr>
            <w:r>
              <w:rPr>
                <w:rFonts w:ascii="Arial" w:cs="Arial" w:eastAsia="Arial" w:hAnsi="Arial"/>
                <w:sz w:val="16"/>
                <w:szCs w:val="16"/>
                <w:color w:val="auto"/>
              </w:rPr>
              <w:t>0</w:t>
            </w:r>
          </w:p>
        </w:tc>
        <w:tc>
          <w:tcPr>
            <w:tcW w:w="1100" w:type="dxa"/>
            <w:vAlign w:val="bottom"/>
            <w:tcBorders>
              <w:right w:val="single" w:sz="8" w:color="auto"/>
            </w:tcBorders>
            <w:shd w:val="clear" w:color="auto" w:fill="D4DBEB"/>
          </w:tcPr>
          <w:p>
            <w:pPr>
              <w:jc w:val="center"/>
              <w:spacing w:after="0"/>
              <w:rPr>
                <w:sz w:val="20"/>
                <w:szCs w:val="20"/>
                <w:color w:val="auto"/>
              </w:rPr>
            </w:pPr>
            <w:r>
              <w:rPr>
                <w:rFonts w:ascii="Arial" w:cs="Arial" w:eastAsia="Arial" w:hAnsi="Arial"/>
                <w:sz w:val="16"/>
                <w:szCs w:val="16"/>
                <w:color w:val="auto"/>
                <w:w w:val="89"/>
              </w:rPr>
              <w:t>0</w:t>
            </w:r>
          </w:p>
        </w:tc>
        <w:tc>
          <w:tcPr>
            <w:tcW w:w="1120" w:type="dxa"/>
            <w:vAlign w:val="bottom"/>
            <w:tcBorders>
              <w:right w:val="single" w:sz="8" w:color="auto"/>
            </w:tcBorders>
            <w:shd w:val="clear" w:color="auto" w:fill="D4DBEB"/>
          </w:tcPr>
          <w:p>
            <w:pPr>
              <w:jc w:val="center"/>
              <w:spacing w:after="0"/>
              <w:rPr>
                <w:sz w:val="20"/>
                <w:szCs w:val="20"/>
                <w:color w:val="auto"/>
              </w:rPr>
            </w:pPr>
            <w:r>
              <w:rPr>
                <w:rFonts w:ascii="Arial" w:cs="Arial" w:eastAsia="Arial" w:hAnsi="Arial"/>
                <w:sz w:val="16"/>
                <w:szCs w:val="16"/>
                <w:color w:val="auto"/>
                <w:w w:val="97"/>
              </w:rPr>
              <w:t>268</w:t>
            </w:r>
          </w:p>
        </w:tc>
        <w:tc>
          <w:tcPr>
            <w:tcW w:w="800" w:type="dxa"/>
            <w:vAlign w:val="bottom"/>
            <w:tcBorders>
              <w:right w:val="single" w:sz="8" w:color="auto"/>
            </w:tcBorders>
            <w:shd w:val="clear" w:color="auto" w:fill="D4DBEB"/>
          </w:tcPr>
          <w:p>
            <w:pPr>
              <w:jc w:val="right"/>
              <w:ind w:right="40"/>
              <w:spacing w:after="0"/>
              <w:rPr>
                <w:sz w:val="20"/>
                <w:szCs w:val="20"/>
                <w:color w:val="auto"/>
              </w:rPr>
            </w:pPr>
            <w:r>
              <w:rPr>
                <w:rFonts w:ascii="Arial" w:cs="Arial" w:eastAsia="Arial" w:hAnsi="Arial"/>
                <w:sz w:val="16"/>
                <w:szCs w:val="16"/>
                <w:color w:val="auto"/>
              </w:rPr>
              <w:t>336,918</w:t>
            </w:r>
          </w:p>
        </w:tc>
        <w:tc>
          <w:tcPr>
            <w:tcW w:w="0" w:type="dxa"/>
            <w:vAlign w:val="bottom"/>
          </w:tcPr>
          <w:p>
            <w:pPr>
              <w:spacing w:after="0"/>
              <w:rPr>
                <w:sz w:val="1"/>
                <w:szCs w:val="1"/>
                <w:color w:val="auto"/>
              </w:rPr>
            </w:pPr>
          </w:p>
        </w:tc>
      </w:tr>
      <w:tr>
        <w:trPr>
          <w:trHeight w:val="216"/>
        </w:trPr>
        <w:tc>
          <w:tcPr>
            <w:tcW w:w="3040" w:type="dxa"/>
            <w:vAlign w:val="bottom"/>
            <w:tcBorders>
              <w:left w:val="single" w:sz="8" w:color="auto"/>
              <w:right w:val="single" w:sz="8" w:color="auto"/>
            </w:tcBorders>
          </w:tcPr>
          <w:p>
            <w:pPr>
              <w:ind w:left="160"/>
              <w:spacing w:after="0"/>
              <w:rPr>
                <w:sz w:val="20"/>
                <w:szCs w:val="20"/>
                <w:color w:val="auto"/>
              </w:rPr>
            </w:pPr>
            <w:r>
              <w:rPr>
                <w:rFonts w:ascii="Arial" w:cs="Arial" w:eastAsia="Arial" w:hAnsi="Arial"/>
                <w:sz w:val="16"/>
                <w:szCs w:val="16"/>
                <w:color w:val="auto"/>
              </w:rPr>
              <w:t>K.C. Frazier</w:t>
            </w:r>
          </w:p>
        </w:tc>
        <w:tc>
          <w:tcPr>
            <w:tcW w:w="780" w:type="dxa"/>
            <w:vAlign w:val="bottom"/>
            <w:tcBorders>
              <w:right w:val="single" w:sz="8" w:color="auto"/>
            </w:tcBorders>
          </w:tcPr>
          <w:p>
            <w:pPr>
              <w:jc w:val="right"/>
              <w:ind w:right="22"/>
              <w:spacing w:after="0"/>
              <w:rPr>
                <w:sz w:val="20"/>
                <w:szCs w:val="20"/>
                <w:color w:val="auto"/>
              </w:rPr>
            </w:pPr>
            <w:r>
              <w:rPr>
                <w:rFonts w:ascii="Arial" w:cs="Arial" w:eastAsia="Arial" w:hAnsi="Arial"/>
                <w:sz w:val="16"/>
                <w:szCs w:val="16"/>
                <w:color w:val="auto"/>
              </w:rPr>
              <w:t>110,000</w:t>
            </w:r>
          </w:p>
        </w:tc>
        <w:tc>
          <w:tcPr>
            <w:tcW w:w="780" w:type="dxa"/>
            <w:vAlign w:val="bottom"/>
            <w:tcBorders>
              <w:right w:val="single" w:sz="8" w:color="auto"/>
            </w:tcBorders>
          </w:tcPr>
          <w:p>
            <w:pPr>
              <w:ind w:left="100"/>
              <w:spacing w:after="0"/>
              <w:rPr>
                <w:sz w:val="20"/>
                <w:szCs w:val="20"/>
                <w:color w:val="auto"/>
              </w:rPr>
            </w:pPr>
            <w:r>
              <w:rPr>
                <w:rFonts w:ascii="Arial" w:cs="Arial" w:eastAsia="Arial" w:hAnsi="Arial"/>
                <w:sz w:val="16"/>
                <w:szCs w:val="16"/>
                <w:color w:val="auto"/>
              </w:rPr>
              <w:t>226,650</w:t>
            </w:r>
          </w:p>
        </w:tc>
        <w:tc>
          <w:tcPr>
            <w:tcW w:w="640" w:type="dxa"/>
            <w:vAlign w:val="bottom"/>
            <w:tcBorders>
              <w:right w:val="single" w:sz="8" w:color="auto"/>
            </w:tcBorders>
          </w:tcPr>
          <w:p>
            <w:pPr>
              <w:jc w:val="center"/>
              <w:spacing w:after="0"/>
              <w:rPr>
                <w:sz w:val="20"/>
                <w:szCs w:val="20"/>
                <w:color w:val="auto"/>
              </w:rPr>
            </w:pPr>
            <w:r>
              <w:rPr>
                <w:rFonts w:ascii="Arial" w:cs="Arial" w:eastAsia="Arial" w:hAnsi="Arial"/>
                <w:sz w:val="16"/>
                <w:szCs w:val="16"/>
                <w:color w:val="auto"/>
                <w:w w:val="89"/>
              </w:rPr>
              <w:t>0</w:t>
            </w:r>
          </w:p>
        </w:tc>
        <w:tc>
          <w:tcPr>
            <w:tcW w:w="1100" w:type="dxa"/>
            <w:vAlign w:val="bottom"/>
            <w:tcBorders>
              <w:right w:val="single" w:sz="8" w:color="auto"/>
            </w:tcBorders>
          </w:tcPr>
          <w:p>
            <w:pPr>
              <w:jc w:val="center"/>
              <w:spacing w:after="0"/>
              <w:rPr>
                <w:sz w:val="20"/>
                <w:szCs w:val="20"/>
                <w:color w:val="auto"/>
              </w:rPr>
            </w:pPr>
            <w:r>
              <w:rPr>
                <w:rFonts w:ascii="Arial" w:cs="Arial" w:eastAsia="Arial" w:hAnsi="Arial"/>
                <w:sz w:val="16"/>
                <w:szCs w:val="16"/>
                <w:color w:val="auto"/>
              </w:rPr>
              <w:t>0</w:t>
            </w:r>
          </w:p>
        </w:tc>
        <w:tc>
          <w:tcPr>
            <w:tcW w:w="1100" w:type="dxa"/>
            <w:vAlign w:val="bottom"/>
            <w:tcBorders>
              <w:right w:val="single" w:sz="8" w:color="auto"/>
            </w:tcBorders>
          </w:tcPr>
          <w:p>
            <w:pPr>
              <w:jc w:val="center"/>
              <w:spacing w:after="0"/>
              <w:rPr>
                <w:sz w:val="20"/>
                <w:szCs w:val="20"/>
                <w:color w:val="auto"/>
              </w:rPr>
            </w:pPr>
            <w:r>
              <w:rPr>
                <w:rFonts w:ascii="Arial" w:cs="Arial" w:eastAsia="Arial" w:hAnsi="Arial"/>
                <w:sz w:val="16"/>
                <w:szCs w:val="16"/>
                <w:color w:val="auto"/>
                <w:w w:val="89"/>
              </w:rPr>
              <w:t>0</w:t>
            </w:r>
          </w:p>
        </w:tc>
        <w:tc>
          <w:tcPr>
            <w:tcW w:w="1120" w:type="dxa"/>
            <w:vAlign w:val="bottom"/>
            <w:tcBorders>
              <w:right w:val="single" w:sz="8" w:color="auto"/>
            </w:tcBorders>
          </w:tcPr>
          <w:p>
            <w:pPr>
              <w:jc w:val="center"/>
              <w:spacing w:after="0"/>
              <w:rPr>
                <w:sz w:val="20"/>
                <w:szCs w:val="20"/>
                <w:color w:val="auto"/>
              </w:rPr>
            </w:pPr>
            <w:r>
              <w:rPr>
                <w:rFonts w:ascii="Arial" w:cs="Arial" w:eastAsia="Arial" w:hAnsi="Arial"/>
                <w:sz w:val="16"/>
                <w:szCs w:val="16"/>
                <w:color w:val="auto"/>
                <w:w w:val="97"/>
              </w:rPr>
              <w:t>268</w:t>
            </w:r>
          </w:p>
        </w:tc>
        <w:tc>
          <w:tcPr>
            <w:tcW w:w="800" w:type="dxa"/>
            <w:vAlign w:val="bottom"/>
            <w:tcBorders>
              <w:right w:val="single" w:sz="8" w:color="auto"/>
            </w:tcBorders>
          </w:tcPr>
          <w:p>
            <w:pPr>
              <w:jc w:val="right"/>
              <w:ind w:right="40"/>
              <w:spacing w:after="0"/>
              <w:rPr>
                <w:sz w:val="20"/>
                <w:szCs w:val="20"/>
                <w:color w:val="auto"/>
              </w:rPr>
            </w:pPr>
            <w:r>
              <w:rPr>
                <w:rFonts w:ascii="Arial" w:cs="Arial" w:eastAsia="Arial" w:hAnsi="Arial"/>
                <w:sz w:val="16"/>
                <w:szCs w:val="16"/>
                <w:color w:val="auto"/>
              </w:rPr>
              <w:t>336,918</w:t>
            </w:r>
          </w:p>
        </w:tc>
        <w:tc>
          <w:tcPr>
            <w:tcW w:w="0" w:type="dxa"/>
            <w:vAlign w:val="bottom"/>
          </w:tcPr>
          <w:p>
            <w:pPr>
              <w:spacing w:after="0"/>
              <w:rPr>
                <w:sz w:val="1"/>
                <w:szCs w:val="1"/>
                <w:color w:val="auto"/>
              </w:rPr>
            </w:pPr>
          </w:p>
        </w:tc>
      </w:tr>
      <w:tr>
        <w:trPr>
          <w:trHeight w:val="216"/>
        </w:trPr>
        <w:tc>
          <w:tcPr>
            <w:tcW w:w="3040" w:type="dxa"/>
            <w:vAlign w:val="bottom"/>
            <w:tcBorders>
              <w:left w:val="single" w:sz="8" w:color="auto"/>
              <w:right w:val="single" w:sz="8" w:color="auto"/>
            </w:tcBorders>
            <w:shd w:val="clear" w:color="auto" w:fill="D4DBEB"/>
          </w:tcPr>
          <w:p>
            <w:pPr>
              <w:ind w:left="160"/>
              <w:spacing w:after="0"/>
              <w:rPr>
                <w:sz w:val="20"/>
                <w:szCs w:val="20"/>
                <w:color w:val="auto"/>
              </w:rPr>
            </w:pPr>
            <w:r>
              <w:rPr>
                <w:rFonts w:ascii="Arial" w:cs="Arial" w:eastAsia="Arial" w:hAnsi="Arial"/>
                <w:sz w:val="16"/>
                <w:szCs w:val="16"/>
                <w:color w:val="auto"/>
              </w:rPr>
              <w:t>D.R. Oberhelman</w:t>
            </w:r>
          </w:p>
        </w:tc>
        <w:tc>
          <w:tcPr>
            <w:tcW w:w="780" w:type="dxa"/>
            <w:vAlign w:val="bottom"/>
            <w:tcBorders>
              <w:right w:val="single" w:sz="8" w:color="auto"/>
            </w:tcBorders>
            <w:shd w:val="clear" w:color="auto" w:fill="D4DBEB"/>
          </w:tcPr>
          <w:p>
            <w:pPr>
              <w:jc w:val="right"/>
              <w:ind w:right="22"/>
              <w:spacing w:after="0"/>
              <w:rPr>
                <w:sz w:val="20"/>
                <w:szCs w:val="20"/>
                <w:color w:val="auto"/>
              </w:rPr>
            </w:pPr>
            <w:r>
              <w:rPr>
                <w:rFonts w:ascii="Arial" w:cs="Arial" w:eastAsia="Arial" w:hAnsi="Arial"/>
                <w:sz w:val="16"/>
                <w:szCs w:val="16"/>
                <w:color w:val="auto"/>
              </w:rPr>
              <w:t>110,000</w:t>
            </w:r>
          </w:p>
        </w:tc>
        <w:tc>
          <w:tcPr>
            <w:tcW w:w="780" w:type="dxa"/>
            <w:vAlign w:val="bottom"/>
            <w:tcBorders>
              <w:right w:val="single" w:sz="8" w:color="auto"/>
            </w:tcBorders>
            <w:shd w:val="clear" w:color="auto" w:fill="D4DBEB"/>
          </w:tcPr>
          <w:p>
            <w:pPr>
              <w:ind w:left="100"/>
              <w:spacing w:after="0"/>
              <w:rPr>
                <w:sz w:val="20"/>
                <w:szCs w:val="20"/>
                <w:color w:val="auto"/>
              </w:rPr>
            </w:pPr>
            <w:r>
              <w:rPr>
                <w:rFonts w:ascii="Arial" w:cs="Arial" w:eastAsia="Arial" w:hAnsi="Arial"/>
                <w:sz w:val="16"/>
                <w:szCs w:val="16"/>
                <w:color w:val="auto"/>
              </w:rPr>
              <w:t>226,650</w:t>
            </w:r>
          </w:p>
        </w:tc>
        <w:tc>
          <w:tcPr>
            <w:tcW w:w="640" w:type="dxa"/>
            <w:vAlign w:val="bottom"/>
            <w:tcBorders>
              <w:right w:val="single" w:sz="8" w:color="auto"/>
            </w:tcBorders>
            <w:shd w:val="clear" w:color="auto" w:fill="D4DBEB"/>
          </w:tcPr>
          <w:p>
            <w:pPr>
              <w:jc w:val="center"/>
              <w:spacing w:after="0"/>
              <w:rPr>
                <w:sz w:val="20"/>
                <w:szCs w:val="20"/>
                <w:color w:val="auto"/>
              </w:rPr>
            </w:pPr>
            <w:r>
              <w:rPr>
                <w:rFonts w:ascii="Arial" w:cs="Arial" w:eastAsia="Arial" w:hAnsi="Arial"/>
                <w:sz w:val="16"/>
                <w:szCs w:val="16"/>
                <w:color w:val="auto"/>
                <w:w w:val="89"/>
              </w:rPr>
              <w:t>0</w:t>
            </w:r>
          </w:p>
        </w:tc>
        <w:tc>
          <w:tcPr>
            <w:tcW w:w="1100" w:type="dxa"/>
            <w:vAlign w:val="bottom"/>
            <w:tcBorders>
              <w:right w:val="single" w:sz="8" w:color="auto"/>
            </w:tcBorders>
            <w:shd w:val="clear" w:color="auto" w:fill="D4DBEB"/>
          </w:tcPr>
          <w:p>
            <w:pPr>
              <w:jc w:val="center"/>
              <w:spacing w:after="0"/>
              <w:rPr>
                <w:sz w:val="20"/>
                <w:szCs w:val="20"/>
                <w:color w:val="auto"/>
              </w:rPr>
            </w:pPr>
            <w:r>
              <w:rPr>
                <w:rFonts w:ascii="Arial" w:cs="Arial" w:eastAsia="Arial" w:hAnsi="Arial"/>
                <w:sz w:val="16"/>
                <w:szCs w:val="16"/>
                <w:color w:val="auto"/>
              </w:rPr>
              <w:t>0</w:t>
            </w:r>
          </w:p>
        </w:tc>
        <w:tc>
          <w:tcPr>
            <w:tcW w:w="1100" w:type="dxa"/>
            <w:vAlign w:val="bottom"/>
            <w:tcBorders>
              <w:right w:val="single" w:sz="8" w:color="auto"/>
            </w:tcBorders>
            <w:shd w:val="clear" w:color="auto" w:fill="D4DBEB"/>
          </w:tcPr>
          <w:p>
            <w:pPr>
              <w:jc w:val="center"/>
              <w:spacing w:after="0"/>
              <w:rPr>
                <w:sz w:val="20"/>
                <w:szCs w:val="20"/>
                <w:color w:val="auto"/>
              </w:rPr>
            </w:pPr>
            <w:r>
              <w:rPr>
                <w:rFonts w:ascii="Arial" w:cs="Arial" w:eastAsia="Arial" w:hAnsi="Arial"/>
                <w:sz w:val="16"/>
                <w:szCs w:val="16"/>
                <w:color w:val="auto"/>
                <w:w w:val="89"/>
              </w:rPr>
              <w:t>0</w:t>
            </w:r>
          </w:p>
        </w:tc>
        <w:tc>
          <w:tcPr>
            <w:tcW w:w="1120" w:type="dxa"/>
            <w:vAlign w:val="bottom"/>
            <w:tcBorders>
              <w:right w:val="single" w:sz="8" w:color="auto"/>
            </w:tcBorders>
            <w:shd w:val="clear" w:color="auto" w:fill="D4DBEB"/>
          </w:tcPr>
          <w:p>
            <w:pPr>
              <w:jc w:val="center"/>
              <w:spacing w:after="0"/>
              <w:rPr>
                <w:sz w:val="20"/>
                <w:szCs w:val="20"/>
                <w:color w:val="auto"/>
              </w:rPr>
            </w:pPr>
            <w:r>
              <w:rPr>
                <w:rFonts w:ascii="Arial" w:cs="Arial" w:eastAsia="Arial" w:hAnsi="Arial"/>
                <w:sz w:val="16"/>
                <w:szCs w:val="16"/>
                <w:color w:val="auto"/>
                <w:w w:val="97"/>
              </w:rPr>
              <w:t>268</w:t>
            </w:r>
          </w:p>
        </w:tc>
        <w:tc>
          <w:tcPr>
            <w:tcW w:w="800" w:type="dxa"/>
            <w:vAlign w:val="bottom"/>
            <w:tcBorders>
              <w:right w:val="single" w:sz="8" w:color="auto"/>
            </w:tcBorders>
            <w:shd w:val="clear" w:color="auto" w:fill="D4DBEB"/>
          </w:tcPr>
          <w:p>
            <w:pPr>
              <w:jc w:val="right"/>
              <w:ind w:right="40"/>
              <w:spacing w:after="0"/>
              <w:rPr>
                <w:sz w:val="20"/>
                <w:szCs w:val="20"/>
                <w:color w:val="auto"/>
              </w:rPr>
            </w:pPr>
            <w:r>
              <w:rPr>
                <w:rFonts w:ascii="Arial" w:cs="Arial" w:eastAsia="Arial" w:hAnsi="Arial"/>
                <w:sz w:val="16"/>
                <w:szCs w:val="16"/>
                <w:color w:val="auto"/>
              </w:rPr>
              <w:t>336,918</w:t>
            </w:r>
          </w:p>
        </w:tc>
        <w:tc>
          <w:tcPr>
            <w:tcW w:w="0" w:type="dxa"/>
            <w:vAlign w:val="bottom"/>
          </w:tcPr>
          <w:p>
            <w:pPr>
              <w:spacing w:after="0"/>
              <w:rPr>
                <w:sz w:val="1"/>
                <w:szCs w:val="1"/>
                <w:color w:val="auto"/>
              </w:rPr>
            </w:pPr>
          </w:p>
        </w:tc>
      </w:tr>
      <w:tr>
        <w:trPr>
          <w:trHeight w:val="216"/>
        </w:trPr>
        <w:tc>
          <w:tcPr>
            <w:tcW w:w="3040" w:type="dxa"/>
            <w:vAlign w:val="bottom"/>
            <w:tcBorders>
              <w:left w:val="single" w:sz="8" w:color="auto"/>
              <w:right w:val="single" w:sz="8" w:color="auto"/>
            </w:tcBorders>
          </w:tcPr>
          <w:p>
            <w:pPr>
              <w:ind w:left="160"/>
              <w:spacing w:after="0"/>
              <w:rPr>
                <w:sz w:val="20"/>
                <w:szCs w:val="20"/>
                <w:color w:val="auto"/>
              </w:rPr>
            </w:pPr>
            <w:r>
              <w:rPr>
                <w:rFonts w:ascii="Arial" w:cs="Arial" w:eastAsia="Arial" w:hAnsi="Arial"/>
                <w:sz w:val="16"/>
                <w:szCs w:val="16"/>
                <w:color w:val="auto"/>
              </w:rPr>
              <w:t>S.J. Palmisano</w:t>
            </w:r>
          </w:p>
        </w:tc>
        <w:tc>
          <w:tcPr>
            <w:tcW w:w="780" w:type="dxa"/>
            <w:vAlign w:val="bottom"/>
            <w:tcBorders>
              <w:right w:val="single" w:sz="8" w:color="auto"/>
            </w:tcBorders>
          </w:tcPr>
          <w:p>
            <w:pPr>
              <w:jc w:val="right"/>
              <w:ind w:right="22"/>
              <w:spacing w:after="0"/>
              <w:rPr>
                <w:sz w:val="20"/>
                <w:szCs w:val="20"/>
                <w:color w:val="auto"/>
              </w:rPr>
            </w:pPr>
            <w:r>
              <w:rPr>
                <w:rFonts w:ascii="Arial" w:cs="Arial" w:eastAsia="Arial" w:hAnsi="Arial"/>
                <w:sz w:val="16"/>
                <w:szCs w:val="16"/>
                <w:color w:val="auto"/>
              </w:rPr>
              <w:t>120,000</w:t>
            </w:r>
          </w:p>
        </w:tc>
        <w:tc>
          <w:tcPr>
            <w:tcW w:w="780" w:type="dxa"/>
            <w:vAlign w:val="bottom"/>
            <w:tcBorders>
              <w:right w:val="single" w:sz="8" w:color="auto"/>
            </w:tcBorders>
          </w:tcPr>
          <w:p>
            <w:pPr>
              <w:ind w:left="100"/>
              <w:spacing w:after="0"/>
              <w:rPr>
                <w:sz w:val="20"/>
                <w:szCs w:val="20"/>
                <w:color w:val="auto"/>
              </w:rPr>
            </w:pPr>
            <w:r>
              <w:rPr>
                <w:rFonts w:ascii="Arial" w:cs="Arial" w:eastAsia="Arial" w:hAnsi="Arial"/>
                <w:sz w:val="16"/>
                <w:szCs w:val="16"/>
                <w:color w:val="auto"/>
              </w:rPr>
              <w:t>226,650</w:t>
            </w:r>
          </w:p>
        </w:tc>
        <w:tc>
          <w:tcPr>
            <w:tcW w:w="640" w:type="dxa"/>
            <w:vAlign w:val="bottom"/>
            <w:tcBorders>
              <w:right w:val="single" w:sz="8" w:color="auto"/>
            </w:tcBorders>
          </w:tcPr>
          <w:p>
            <w:pPr>
              <w:jc w:val="center"/>
              <w:spacing w:after="0"/>
              <w:rPr>
                <w:sz w:val="20"/>
                <w:szCs w:val="20"/>
                <w:color w:val="auto"/>
              </w:rPr>
            </w:pPr>
            <w:r>
              <w:rPr>
                <w:rFonts w:ascii="Arial" w:cs="Arial" w:eastAsia="Arial" w:hAnsi="Arial"/>
                <w:sz w:val="16"/>
                <w:szCs w:val="16"/>
                <w:color w:val="auto"/>
                <w:w w:val="89"/>
              </w:rPr>
              <w:t>0</w:t>
            </w:r>
          </w:p>
        </w:tc>
        <w:tc>
          <w:tcPr>
            <w:tcW w:w="1100" w:type="dxa"/>
            <w:vAlign w:val="bottom"/>
            <w:tcBorders>
              <w:right w:val="single" w:sz="8" w:color="auto"/>
            </w:tcBorders>
          </w:tcPr>
          <w:p>
            <w:pPr>
              <w:jc w:val="center"/>
              <w:spacing w:after="0"/>
              <w:rPr>
                <w:sz w:val="20"/>
                <w:szCs w:val="20"/>
                <w:color w:val="auto"/>
              </w:rPr>
            </w:pPr>
            <w:r>
              <w:rPr>
                <w:rFonts w:ascii="Arial" w:cs="Arial" w:eastAsia="Arial" w:hAnsi="Arial"/>
                <w:sz w:val="16"/>
                <w:szCs w:val="16"/>
                <w:color w:val="auto"/>
              </w:rPr>
              <w:t>0</w:t>
            </w:r>
          </w:p>
        </w:tc>
        <w:tc>
          <w:tcPr>
            <w:tcW w:w="1100" w:type="dxa"/>
            <w:vAlign w:val="bottom"/>
            <w:tcBorders>
              <w:right w:val="single" w:sz="8" w:color="auto"/>
            </w:tcBorders>
          </w:tcPr>
          <w:p>
            <w:pPr>
              <w:jc w:val="center"/>
              <w:spacing w:after="0"/>
              <w:rPr>
                <w:sz w:val="20"/>
                <w:szCs w:val="20"/>
                <w:color w:val="auto"/>
              </w:rPr>
            </w:pPr>
            <w:r>
              <w:rPr>
                <w:rFonts w:ascii="Arial" w:cs="Arial" w:eastAsia="Arial" w:hAnsi="Arial"/>
                <w:sz w:val="16"/>
                <w:szCs w:val="16"/>
                <w:color w:val="auto"/>
                <w:w w:val="89"/>
              </w:rPr>
              <w:t>0</w:t>
            </w:r>
          </w:p>
        </w:tc>
        <w:tc>
          <w:tcPr>
            <w:tcW w:w="1120" w:type="dxa"/>
            <w:vAlign w:val="bottom"/>
            <w:tcBorders>
              <w:right w:val="single" w:sz="8" w:color="auto"/>
            </w:tcBorders>
          </w:tcPr>
          <w:p>
            <w:pPr>
              <w:jc w:val="center"/>
              <w:spacing w:after="0"/>
              <w:rPr>
                <w:sz w:val="20"/>
                <w:szCs w:val="20"/>
                <w:color w:val="auto"/>
              </w:rPr>
            </w:pPr>
            <w:r>
              <w:rPr>
                <w:rFonts w:ascii="Arial" w:cs="Arial" w:eastAsia="Arial" w:hAnsi="Arial"/>
                <w:sz w:val="16"/>
                <w:szCs w:val="16"/>
                <w:color w:val="auto"/>
                <w:w w:val="97"/>
              </w:rPr>
              <w:t>268</w:t>
            </w:r>
          </w:p>
        </w:tc>
        <w:tc>
          <w:tcPr>
            <w:tcW w:w="800" w:type="dxa"/>
            <w:vAlign w:val="bottom"/>
            <w:tcBorders>
              <w:right w:val="single" w:sz="8" w:color="auto"/>
            </w:tcBorders>
          </w:tcPr>
          <w:p>
            <w:pPr>
              <w:jc w:val="right"/>
              <w:ind w:right="40"/>
              <w:spacing w:after="0"/>
              <w:rPr>
                <w:sz w:val="20"/>
                <w:szCs w:val="20"/>
                <w:color w:val="auto"/>
              </w:rPr>
            </w:pPr>
            <w:r>
              <w:rPr>
                <w:rFonts w:ascii="Arial" w:cs="Arial" w:eastAsia="Arial" w:hAnsi="Arial"/>
                <w:sz w:val="16"/>
                <w:szCs w:val="16"/>
                <w:color w:val="auto"/>
              </w:rPr>
              <w:t>346,918</w:t>
            </w:r>
          </w:p>
        </w:tc>
        <w:tc>
          <w:tcPr>
            <w:tcW w:w="0" w:type="dxa"/>
            <w:vAlign w:val="bottom"/>
          </w:tcPr>
          <w:p>
            <w:pPr>
              <w:spacing w:after="0"/>
              <w:rPr>
                <w:sz w:val="1"/>
                <w:szCs w:val="1"/>
                <w:color w:val="auto"/>
              </w:rPr>
            </w:pPr>
          </w:p>
        </w:tc>
      </w:tr>
      <w:tr>
        <w:trPr>
          <w:trHeight w:val="216"/>
        </w:trPr>
        <w:tc>
          <w:tcPr>
            <w:tcW w:w="3040" w:type="dxa"/>
            <w:vAlign w:val="bottom"/>
            <w:tcBorders>
              <w:left w:val="single" w:sz="8" w:color="auto"/>
              <w:right w:val="single" w:sz="8" w:color="auto"/>
            </w:tcBorders>
            <w:shd w:val="clear" w:color="auto" w:fill="D4DBEB"/>
          </w:tcPr>
          <w:p>
            <w:pPr>
              <w:ind w:left="160"/>
              <w:spacing w:after="0"/>
              <w:rPr>
                <w:sz w:val="20"/>
                <w:szCs w:val="20"/>
                <w:color w:val="auto"/>
              </w:rPr>
            </w:pPr>
            <w:r>
              <w:rPr>
                <w:rFonts w:ascii="Arial" w:cs="Arial" w:eastAsia="Arial" w:hAnsi="Arial"/>
                <w:sz w:val="16"/>
                <w:szCs w:val="16"/>
                <w:color w:val="auto"/>
              </w:rPr>
              <w:t>S.S Reinemund</w:t>
            </w:r>
          </w:p>
        </w:tc>
        <w:tc>
          <w:tcPr>
            <w:tcW w:w="780" w:type="dxa"/>
            <w:vAlign w:val="bottom"/>
            <w:tcBorders>
              <w:right w:val="single" w:sz="8" w:color="auto"/>
            </w:tcBorders>
            <w:shd w:val="clear" w:color="auto" w:fill="D4DBEB"/>
          </w:tcPr>
          <w:p>
            <w:pPr>
              <w:jc w:val="right"/>
              <w:ind w:right="22"/>
              <w:spacing w:after="0"/>
              <w:rPr>
                <w:sz w:val="20"/>
                <w:szCs w:val="20"/>
                <w:color w:val="auto"/>
              </w:rPr>
            </w:pPr>
            <w:r>
              <w:rPr>
                <w:rFonts w:ascii="Arial" w:cs="Arial" w:eastAsia="Arial" w:hAnsi="Arial"/>
                <w:sz w:val="16"/>
                <w:szCs w:val="16"/>
                <w:color w:val="auto"/>
              </w:rPr>
              <w:t>120,000</w:t>
            </w:r>
          </w:p>
        </w:tc>
        <w:tc>
          <w:tcPr>
            <w:tcW w:w="780" w:type="dxa"/>
            <w:vAlign w:val="bottom"/>
            <w:tcBorders>
              <w:right w:val="single" w:sz="8" w:color="auto"/>
            </w:tcBorders>
            <w:shd w:val="clear" w:color="auto" w:fill="D4DBEB"/>
          </w:tcPr>
          <w:p>
            <w:pPr>
              <w:ind w:left="100"/>
              <w:spacing w:after="0"/>
              <w:rPr>
                <w:sz w:val="20"/>
                <w:szCs w:val="20"/>
                <w:color w:val="auto"/>
              </w:rPr>
            </w:pPr>
            <w:r>
              <w:rPr>
                <w:rFonts w:ascii="Arial" w:cs="Arial" w:eastAsia="Arial" w:hAnsi="Arial"/>
                <w:sz w:val="16"/>
                <w:szCs w:val="16"/>
                <w:color w:val="auto"/>
              </w:rPr>
              <w:t>226,650</w:t>
            </w:r>
          </w:p>
        </w:tc>
        <w:tc>
          <w:tcPr>
            <w:tcW w:w="640" w:type="dxa"/>
            <w:vAlign w:val="bottom"/>
            <w:tcBorders>
              <w:right w:val="single" w:sz="8" w:color="auto"/>
            </w:tcBorders>
            <w:shd w:val="clear" w:color="auto" w:fill="D4DBEB"/>
          </w:tcPr>
          <w:p>
            <w:pPr>
              <w:jc w:val="center"/>
              <w:spacing w:after="0"/>
              <w:rPr>
                <w:sz w:val="20"/>
                <w:szCs w:val="20"/>
                <w:color w:val="auto"/>
              </w:rPr>
            </w:pPr>
            <w:r>
              <w:rPr>
                <w:rFonts w:ascii="Arial" w:cs="Arial" w:eastAsia="Arial" w:hAnsi="Arial"/>
                <w:sz w:val="16"/>
                <w:szCs w:val="16"/>
                <w:color w:val="auto"/>
                <w:w w:val="89"/>
              </w:rPr>
              <w:t>0</w:t>
            </w:r>
          </w:p>
        </w:tc>
        <w:tc>
          <w:tcPr>
            <w:tcW w:w="1100" w:type="dxa"/>
            <w:vAlign w:val="bottom"/>
            <w:tcBorders>
              <w:right w:val="single" w:sz="8" w:color="auto"/>
            </w:tcBorders>
            <w:shd w:val="clear" w:color="auto" w:fill="D4DBEB"/>
          </w:tcPr>
          <w:p>
            <w:pPr>
              <w:jc w:val="center"/>
              <w:spacing w:after="0"/>
              <w:rPr>
                <w:sz w:val="20"/>
                <w:szCs w:val="20"/>
                <w:color w:val="auto"/>
              </w:rPr>
            </w:pPr>
            <w:r>
              <w:rPr>
                <w:rFonts w:ascii="Arial" w:cs="Arial" w:eastAsia="Arial" w:hAnsi="Arial"/>
                <w:sz w:val="16"/>
                <w:szCs w:val="16"/>
                <w:color w:val="auto"/>
              </w:rPr>
              <w:t>0</w:t>
            </w:r>
          </w:p>
        </w:tc>
        <w:tc>
          <w:tcPr>
            <w:tcW w:w="1100" w:type="dxa"/>
            <w:vAlign w:val="bottom"/>
            <w:tcBorders>
              <w:right w:val="single" w:sz="8" w:color="auto"/>
            </w:tcBorders>
            <w:shd w:val="clear" w:color="auto" w:fill="D4DBEB"/>
          </w:tcPr>
          <w:p>
            <w:pPr>
              <w:jc w:val="center"/>
              <w:spacing w:after="0"/>
              <w:rPr>
                <w:sz w:val="20"/>
                <w:szCs w:val="20"/>
                <w:color w:val="auto"/>
              </w:rPr>
            </w:pPr>
            <w:r>
              <w:rPr>
                <w:rFonts w:ascii="Arial" w:cs="Arial" w:eastAsia="Arial" w:hAnsi="Arial"/>
                <w:sz w:val="16"/>
                <w:szCs w:val="16"/>
                <w:color w:val="auto"/>
                <w:w w:val="89"/>
              </w:rPr>
              <w:t>0</w:t>
            </w:r>
          </w:p>
        </w:tc>
        <w:tc>
          <w:tcPr>
            <w:tcW w:w="1120" w:type="dxa"/>
            <w:vAlign w:val="bottom"/>
            <w:tcBorders>
              <w:right w:val="single" w:sz="8" w:color="auto"/>
            </w:tcBorders>
            <w:shd w:val="clear" w:color="auto" w:fill="D4DBEB"/>
          </w:tcPr>
          <w:p>
            <w:pPr>
              <w:jc w:val="center"/>
              <w:spacing w:after="0"/>
              <w:rPr>
                <w:sz w:val="20"/>
                <w:szCs w:val="20"/>
                <w:color w:val="auto"/>
              </w:rPr>
            </w:pPr>
            <w:r>
              <w:rPr>
                <w:rFonts w:ascii="Arial" w:cs="Arial" w:eastAsia="Arial" w:hAnsi="Arial"/>
                <w:sz w:val="16"/>
                <w:szCs w:val="16"/>
                <w:color w:val="auto"/>
                <w:w w:val="97"/>
              </w:rPr>
              <w:t>268</w:t>
            </w:r>
          </w:p>
        </w:tc>
        <w:tc>
          <w:tcPr>
            <w:tcW w:w="800" w:type="dxa"/>
            <w:vAlign w:val="bottom"/>
            <w:tcBorders>
              <w:right w:val="single" w:sz="8" w:color="auto"/>
            </w:tcBorders>
            <w:shd w:val="clear" w:color="auto" w:fill="D4DBEB"/>
          </w:tcPr>
          <w:p>
            <w:pPr>
              <w:jc w:val="right"/>
              <w:ind w:right="40"/>
              <w:spacing w:after="0"/>
              <w:rPr>
                <w:sz w:val="20"/>
                <w:szCs w:val="20"/>
                <w:color w:val="auto"/>
              </w:rPr>
            </w:pPr>
            <w:r>
              <w:rPr>
                <w:rFonts w:ascii="Arial" w:cs="Arial" w:eastAsia="Arial" w:hAnsi="Arial"/>
                <w:sz w:val="16"/>
                <w:szCs w:val="16"/>
                <w:color w:val="auto"/>
              </w:rPr>
              <w:t>346,918</w:t>
            </w:r>
          </w:p>
        </w:tc>
        <w:tc>
          <w:tcPr>
            <w:tcW w:w="0" w:type="dxa"/>
            <w:vAlign w:val="bottom"/>
          </w:tcPr>
          <w:p>
            <w:pPr>
              <w:spacing w:after="0"/>
              <w:rPr>
                <w:sz w:val="1"/>
                <w:szCs w:val="1"/>
                <w:color w:val="auto"/>
              </w:rPr>
            </w:pPr>
          </w:p>
        </w:tc>
      </w:tr>
      <w:tr>
        <w:trPr>
          <w:trHeight w:val="216"/>
        </w:trPr>
        <w:tc>
          <w:tcPr>
            <w:tcW w:w="3040" w:type="dxa"/>
            <w:vAlign w:val="bottom"/>
            <w:tcBorders>
              <w:left w:val="single" w:sz="8" w:color="auto"/>
              <w:bottom w:val="single" w:sz="8" w:color="auto"/>
              <w:right w:val="single" w:sz="8" w:color="auto"/>
            </w:tcBorders>
          </w:tcPr>
          <w:p>
            <w:pPr>
              <w:ind w:left="160"/>
              <w:spacing w:after="0"/>
              <w:rPr>
                <w:sz w:val="20"/>
                <w:szCs w:val="20"/>
                <w:color w:val="auto"/>
              </w:rPr>
            </w:pPr>
            <w:r>
              <w:rPr>
                <w:rFonts w:ascii="Arial" w:cs="Arial" w:eastAsia="Arial" w:hAnsi="Arial"/>
                <w:sz w:val="16"/>
                <w:szCs w:val="16"/>
                <w:color w:val="auto"/>
              </w:rPr>
              <w:t>W.C. Weldon</w:t>
            </w:r>
          </w:p>
        </w:tc>
        <w:tc>
          <w:tcPr>
            <w:tcW w:w="780" w:type="dxa"/>
            <w:vAlign w:val="bottom"/>
            <w:tcBorders>
              <w:bottom w:val="single" w:sz="8" w:color="auto"/>
              <w:right w:val="single" w:sz="8" w:color="auto"/>
            </w:tcBorders>
          </w:tcPr>
          <w:p>
            <w:pPr>
              <w:jc w:val="right"/>
              <w:ind w:right="22"/>
              <w:spacing w:after="0"/>
              <w:rPr>
                <w:sz w:val="20"/>
                <w:szCs w:val="20"/>
                <w:color w:val="auto"/>
              </w:rPr>
            </w:pPr>
            <w:r>
              <w:rPr>
                <w:rFonts w:ascii="Arial" w:cs="Arial" w:eastAsia="Arial" w:hAnsi="Arial"/>
                <w:sz w:val="16"/>
                <w:szCs w:val="16"/>
                <w:color w:val="auto"/>
              </w:rPr>
              <w:t>110,000</w:t>
            </w:r>
          </w:p>
        </w:tc>
        <w:tc>
          <w:tcPr>
            <w:tcW w:w="780" w:type="dxa"/>
            <w:vAlign w:val="bottom"/>
            <w:tcBorders>
              <w:bottom w:val="single" w:sz="8" w:color="auto"/>
              <w:right w:val="single" w:sz="8" w:color="auto"/>
            </w:tcBorders>
          </w:tcPr>
          <w:p>
            <w:pPr>
              <w:ind w:left="100"/>
              <w:spacing w:after="0"/>
              <w:rPr>
                <w:sz w:val="20"/>
                <w:szCs w:val="20"/>
                <w:color w:val="auto"/>
              </w:rPr>
            </w:pPr>
            <w:r>
              <w:rPr>
                <w:rFonts w:ascii="Arial" w:cs="Arial" w:eastAsia="Arial" w:hAnsi="Arial"/>
                <w:sz w:val="16"/>
                <w:szCs w:val="16"/>
                <w:color w:val="auto"/>
              </w:rPr>
              <w:t>226,650</w:t>
            </w:r>
          </w:p>
        </w:tc>
        <w:tc>
          <w:tcPr>
            <w:tcW w:w="64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6"/>
                <w:szCs w:val="16"/>
                <w:color w:val="auto"/>
                <w:w w:val="89"/>
              </w:rPr>
              <w:t>0</w:t>
            </w:r>
          </w:p>
        </w:tc>
        <w:tc>
          <w:tcPr>
            <w:tcW w:w="110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6"/>
                <w:szCs w:val="16"/>
                <w:color w:val="auto"/>
              </w:rPr>
              <w:t>0</w:t>
            </w:r>
          </w:p>
        </w:tc>
        <w:tc>
          <w:tcPr>
            <w:tcW w:w="110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6"/>
                <w:szCs w:val="16"/>
                <w:color w:val="auto"/>
                <w:w w:val="89"/>
              </w:rPr>
              <w:t>0</w:t>
            </w:r>
          </w:p>
        </w:tc>
        <w:tc>
          <w:tcPr>
            <w:tcW w:w="112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6"/>
                <w:szCs w:val="16"/>
                <w:color w:val="auto"/>
                <w:w w:val="97"/>
              </w:rPr>
              <w:t>268</w:t>
            </w:r>
          </w:p>
        </w:tc>
        <w:tc>
          <w:tcPr>
            <w:tcW w:w="800" w:type="dxa"/>
            <w:vAlign w:val="bottom"/>
            <w:tcBorders>
              <w:bottom w:val="single" w:sz="8" w:color="auto"/>
              <w:right w:val="single" w:sz="8" w:color="auto"/>
            </w:tcBorders>
          </w:tcPr>
          <w:p>
            <w:pPr>
              <w:jc w:val="right"/>
              <w:ind w:right="40"/>
              <w:spacing w:after="0"/>
              <w:rPr>
                <w:sz w:val="20"/>
                <w:szCs w:val="20"/>
                <w:color w:val="auto"/>
              </w:rPr>
            </w:pPr>
            <w:r>
              <w:rPr>
                <w:rFonts w:ascii="Arial" w:cs="Arial" w:eastAsia="Arial" w:hAnsi="Arial"/>
                <w:sz w:val="16"/>
                <w:szCs w:val="16"/>
                <w:color w:val="auto"/>
              </w:rPr>
              <w:t>336,918</w:t>
            </w:r>
          </w:p>
        </w:tc>
        <w:tc>
          <w:tcPr>
            <w:tcW w:w="0" w:type="dxa"/>
            <w:vAlign w:val="bottom"/>
          </w:tcPr>
          <w:p>
            <w:pPr>
              <w:spacing w:after="0"/>
              <w:rPr>
                <w:sz w:val="1"/>
                <w:szCs w:val="1"/>
                <w:color w:val="auto"/>
              </w:rPr>
            </w:pPr>
          </w:p>
        </w:tc>
      </w:tr>
    </w:tbl>
    <w:p>
      <w:pPr>
        <w:spacing w:after="0" w:line="103" w:lineRule="exact"/>
        <w:rPr>
          <w:sz w:val="20"/>
          <w:szCs w:val="20"/>
          <w:color w:val="auto"/>
        </w:rPr>
      </w:pPr>
    </w:p>
    <w:p>
      <w:pPr>
        <w:ind w:left="1140" w:right="240" w:hanging="288"/>
        <w:spacing w:after="0" w:line="291" w:lineRule="auto"/>
        <w:tabs>
          <w:tab w:leader="none" w:pos="1140" w:val="left"/>
        </w:tabs>
        <w:numPr>
          <w:ilvl w:val="0"/>
          <w:numId w:val="33"/>
        </w:numPr>
        <w:rPr>
          <w:rFonts w:ascii="Arial" w:cs="Arial" w:eastAsia="Arial" w:hAnsi="Arial"/>
          <w:sz w:val="16"/>
          <w:szCs w:val="16"/>
          <w:color w:val="auto"/>
        </w:rPr>
      </w:pPr>
      <w:r>
        <w:rPr>
          <w:rFonts w:ascii="Arial" w:cs="Arial" w:eastAsia="Arial" w:hAnsi="Arial"/>
          <w:sz w:val="16"/>
          <w:szCs w:val="16"/>
          <w:color w:val="auto"/>
        </w:rPr>
        <w:t>In accordance with SEC rules, the valuation of stock awards in this table represents fair value on the date of grant. Dividends on stock awards are not shown in the table because those amounts are factored into the grant date fair value.</w:t>
      </w:r>
    </w:p>
    <w:p>
      <w:pPr>
        <w:spacing w:after="0" w:line="40" w:lineRule="exact"/>
        <w:rPr>
          <w:rFonts w:ascii="Arial" w:cs="Arial" w:eastAsia="Arial" w:hAnsi="Arial"/>
          <w:sz w:val="16"/>
          <w:szCs w:val="16"/>
          <w:color w:val="auto"/>
        </w:rPr>
      </w:pPr>
    </w:p>
    <w:p>
      <w:pPr>
        <w:ind w:left="1140" w:right="120"/>
        <w:spacing w:after="0" w:line="291" w:lineRule="auto"/>
        <w:rPr>
          <w:rFonts w:ascii="Arial" w:cs="Arial" w:eastAsia="Arial" w:hAnsi="Arial"/>
          <w:sz w:val="16"/>
          <w:szCs w:val="16"/>
          <w:color w:val="auto"/>
        </w:rPr>
      </w:pPr>
      <w:r>
        <w:rPr>
          <w:rFonts w:ascii="Arial" w:cs="Arial" w:eastAsia="Arial" w:hAnsi="Arial"/>
          <w:sz w:val="16"/>
          <w:szCs w:val="16"/>
          <w:color w:val="auto"/>
        </w:rPr>
        <w:t>Each director (other than Dr. Avery, who joined the Board in February 2017) received an annual grant of 2,500 restricted shares in January 2017. The valuation of these awards is based on a market price of $90.66 on the date of grant.</w:t>
      </w:r>
    </w:p>
    <w:p>
      <w:pPr>
        <w:spacing w:after="0" w:line="40" w:lineRule="exact"/>
        <w:rPr>
          <w:rFonts w:ascii="Arial" w:cs="Arial" w:eastAsia="Arial" w:hAnsi="Arial"/>
          <w:sz w:val="16"/>
          <w:szCs w:val="16"/>
          <w:color w:val="auto"/>
        </w:rPr>
      </w:pPr>
    </w:p>
    <w:p>
      <w:pPr>
        <w:ind w:left="1140"/>
        <w:spacing w:after="0" w:line="291" w:lineRule="auto"/>
        <w:rPr>
          <w:rFonts w:ascii="Arial" w:cs="Arial" w:eastAsia="Arial" w:hAnsi="Arial"/>
          <w:sz w:val="16"/>
          <w:szCs w:val="16"/>
          <w:color w:val="auto"/>
        </w:rPr>
      </w:pPr>
      <w:r>
        <w:rPr>
          <w:rFonts w:ascii="Arial" w:cs="Arial" w:eastAsia="Arial" w:hAnsi="Arial"/>
          <w:sz w:val="16"/>
          <w:szCs w:val="16"/>
          <w:color w:val="auto"/>
        </w:rPr>
        <w:t>Dr. Avery received a one-time grant of 8,000 restricted shares upon first being elected to the Board in February 2017. The valuation of this award is based on the market price of $83.31 on the date of the grant.</w:t>
      </w:r>
    </w:p>
    <w:p>
      <w:pPr>
        <w:spacing w:after="0" w:line="40" w:lineRule="exact"/>
        <w:rPr>
          <w:rFonts w:ascii="Arial" w:cs="Arial" w:eastAsia="Arial" w:hAnsi="Arial"/>
          <w:sz w:val="16"/>
          <w:szCs w:val="16"/>
          <w:color w:val="auto"/>
        </w:rPr>
      </w:pPr>
    </w:p>
    <w:p>
      <w:pPr>
        <w:ind w:left="1140"/>
        <w:spacing w:after="0"/>
        <w:rPr>
          <w:rFonts w:ascii="Arial" w:cs="Arial" w:eastAsia="Arial" w:hAnsi="Arial"/>
          <w:sz w:val="16"/>
          <w:szCs w:val="16"/>
          <w:color w:val="auto"/>
        </w:rPr>
      </w:pPr>
      <w:r>
        <w:rPr>
          <w:rFonts w:ascii="Arial" w:cs="Arial" w:eastAsia="Arial" w:hAnsi="Arial"/>
          <w:sz w:val="16"/>
          <w:szCs w:val="16"/>
          <w:color w:val="auto"/>
        </w:rPr>
        <w:t>At year-end 2017, the aggregate number of restricted shares held by each director was as follows:</w:t>
      </w:r>
    </w:p>
    <w:p>
      <w:pPr>
        <w:spacing w:after="0" w:line="246" w:lineRule="exact"/>
        <w:rPr>
          <w:sz w:val="20"/>
          <w:szCs w:val="20"/>
          <w:color w:val="auto"/>
        </w:rPr>
      </w:pPr>
    </w:p>
    <w:tbl>
      <w:tblPr>
        <w:tblLayout w:type="fixed"/>
        <w:tblInd w:w="1170" w:type="dxa"/>
        <w:tblCellMar>
          <w:top w:w="0" w:type="dxa"/>
          <w:left w:w="0" w:type="dxa"/>
          <w:bottom w:w="0" w:type="dxa"/>
          <w:right w:w="0" w:type="dxa"/>
        </w:tblCellMar>
      </w:tblPr>
      <w:tr>
        <w:trPr>
          <w:trHeight w:val="216"/>
        </w:trPr>
        <w:tc>
          <w:tcPr>
            <w:tcW w:w="4440" w:type="dxa"/>
            <w:vAlign w:val="bottom"/>
            <w:tcBorders>
              <w:top w:val="single" w:sz="8" w:color="auto"/>
              <w:left w:val="single" w:sz="8" w:color="auto"/>
              <w:bottom w:val="single" w:sz="8" w:color="auto"/>
              <w:right w:val="single" w:sz="8" w:color="auto"/>
            </w:tcBorders>
          </w:tcPr>
          <w:p>
            <w:pPr>
              <w:ind w:left="140"/>
              <w:spacing w:after="0"/>
              <w:rPr>
                <w:sz w:val="20"/>
                <w:szCs w:val="20"/>
                <w:color w:val="auto"/>
              </w:rPr>
            </w:pPr>
            <w:r>
              <w:rPr>
                <w:rFonts w:ascii="Arial" w:cs="Arial" w:eastAsia="Arial" w:hAnsi="Arial"/>
                <w:sz w:val="14"/>
                <w:szCs w:val="14"/>
                <w:b w:val="1"/>
                <w:bCs w:val="1"/>
                <w:color w:val="auto"/>
              </w:rPr>
              <w:t>Name</w:t>
            </w:r>
          </w:p>
        </w:tc>
        <w:tc>
          <w:tcPr>
            <w:tcW w:w="1580" w:type="dxa"/>
            <w:vAlign w:val="bottom"/>
            <w:tcBorders>
              <w:top w:val="single" w:sz="8" w:color="auto"/>
              <w:bottom w:val="single" w:sz="8" w:color="auto"/>
              <w:right w:val="single" w:sz="8" w:color="auto"/>
            </w:tcBorders>
          </w:tcPr>
          <w:p>
            <w:pPr>
              <w:jc w:val="right"/>
              <w:spacing w:after="0"/>
              <w:rPr>
                <w:sz w:val="20"/>
                <w:szCs w:val="20"/>
                <w:color w:val="auto"/>
              </w:rPr>
            </w:pPr>
            <w:r>
              <w:rPr>
                <w:rFonts w:ascii="Arial" w:cs="Arial" w:eastAsia="Arial" w:hAnsi="Arial"/>
                <w:sz w:val="14"/>
                <w:szCs w:val="14"/>
                <w:b w:val="1"/>
                <w:bCs w:val="1"/>
                <w:color w:val="auto"/>
              </w:rPr>
              <w:t>Restricted Shares (#)</w:t>
            </w:r>
          </w:p>
        </w:tc>
      </w:tr>
      <w:tr>
        <w:trPr>
          <w:trHeight w:val="210"/>
        </w:trPr>
        <w:tc>
          <w:tcPr>
            <w:tcW w:w="4440" w:type="dxa"/>
            <w:vAlign w:val="bottom"/>
            <w:tcBorders>
              <w:left w:val="single" w:sz="8" w:color="auto"/>
              <w:right w:val="single" w:sz="8" w:color="auto"/>
            </w:tcBorders>
            <w:shd w:val="clear" w:color="auto" w:fill="D4DBEB"/>
          </w:tcPr>
          <w:p>
            <w:pPr>
              <w:ind w:left="160"/>
              <w:spacing w:after="0"/>
              <w:rPr>
                <w:sz w:val="20"/>
                <w:szCs w:val="20"/>
                <w:color w:val="auto"/>
              </w:rPr>
            </w:pPr>
            <w:r>
              <w:rPr>
                <w:rFonts w:ascii="Arial" w:cs="Arial" w:eastAsia="Arial" w:hAnsi="Arial"/>
                <w:sz w:val="16"/>
                <w:szCs w:val="16"/>
                <w:color w:val="auto"/>
              </w:rPr>
              <w:t>S.K. Avery</w:t>
            </w:r>
          </w:p>
        </w:tc>
        <w:tc>
          <w:tcPr>
            <w:tcW w:w="1580" w:type="dxa"/>
            <w:vAlign w:val="bottom"/>
            <w:tcBorders>
              <w:right w:val="single" w:sz="8" w:color="auto"/>
            </w:tcBorders>
            <w:shd w:val="clear" w:color="auto" w:fill="D4DBEB"/>
          </w:tcPr>
          <w:p>
            <w:pPr>
              <w:jc w:val="right"/>
              <w:ind w:right="460"/>
              <w:spacing w:after="0"/>
              <w:rPr>
                <w:sz w:val="20"/>
                <w:szCs w:val="20"/>
                <w:color w:val="auto"/>
              </w:rPr>
            </w:pPr>
            <w:r>
              <w:rPr>
                <w:rFonts w:ascii="Arial" w:cs="Arial" w:eastAsia="Arial" w:hAnsi="Arial"/>
                <w:sz w:val="16"/>
                <w:szCs w:val="16"/>
                <w:color w:val="auto"/>
              </w:rPr>
              <w:t>8,000</w:t>
            </w:r>
          </w:p>
        </w:tc>
      </w:tr>
      <w:tr>
        <w:trPr>
          <w:trHeight w:val="216"/>
        </w:trPr>
        <w:tc>
          <w:tcPr>
            <w:tcW w:w="4440" w:type="dxa"/>
            <w:vAlign w:val="bottom"/>
            <w:tcBorders>
              <w:left w:val="single" w:sz="8" w:color="auto"/>
              <w:right w:val="single" w:sz="8" w:color="auto"/>
            </w:tcBorders>
          </w:tcPr>
          <w:p>
            <w:pPr>
              <w:ind w:left="160"/>
              <w:spacing w:after="0"/>
              <w:rPr>
                <w:sz w:val="20"/>
                <w:szCs w:val="20"/>
                <w:color w:val="auto"/>
              </w:rPr>
            </w:pPr>
            <w:r>
              <w:rPr>
                <w:rFonts w:ascii="Arial" w:cs="Arial" w:eastAsia="Arial" w:hAnsi="Arial"/>
                <w:sz w:val="16"/>
                <w:szCs w:val="16"/>
                <w:color w:val="auto"/>
              </w:rPr>
              <w:t>M.J. Boskin</w:t>
            </w:r>
          </w:p>
        </w:tc>
        <w:tc>
          <w:tcPr>
            <w:tcW w:w="1580" w:type="dxa"/>
            <w:vAlign w:val="bottom"/>
            <w:tcBorders>
              <w:right w:val="single" w:sz="8" w:color="auto"/>
            </w:tcBorders>
          </w:tcPr>
          <w:p>
            <w:pPr>
              <w:jc w:val="right"/>
              <w:ind w:right="460"/>
              <w:spacing w:after="0"/>
              <w:rPr>
                <w:sz w:val="20"/>
                <w:szCs w:val="20"/>
                <w:color w:val="auto"/>
              </w:rPr>
            </w:pPr>
            <w:r>
              <w:rPr>
                <w:rFonts w:ascii="Arial" w:cs="Arial" w:eastAsia="Arial" w:hAnsi="Arial"/>
                <w:sz w:val="16"/>
                <w:szCs w:val="16"/>
                <w:color w:val="auto"/>
              </w:rPr>
              <w:t>69,300</w:t>
            </w:r>
          </w:p>
        </w:tc>
      </w:tr>
      <w:tr>
        <w:trPr>
          <w:trHeight w:val="216"/>
        </w:trPr>
        <w:tc>
          <w:tcPr>
            <w:tcW w:w="4440" w:type="dxa"/>
            <w:vAlign w:val="bottom"/>
            <w:tcBorders>
              <w:left w:val="single" w:sz="8" w:color="auto"/>
              <w:right w:val="single" w:sz="8" w:color="auto"/>
            </w:tcBorders>
            <w:shd w:val="clear" w:color="auto" w:fill="D4DBEB"/>
          </w:tcPr>
          <w:p>
            <w:pPr>
              <w:ind w:left="160"/>
              <w:spacing w:after="0"/>
              <w:rPr>
                <w:sz w:val="20"/>
                <w:szCs w:val="20"/>
                <w:color w:val="auto"/>
              </w:rPr>
            </w:pPr>
            <w:r>
              <w:rPr>
                <w:rFonts w:ascii="Arial" w:cs="Arial" w:eastAsia="Arial" w:hAnsi="Arial"/>
                <w:sz w:val="16"/>
                <w:szCs w:val="16"/>
                <w:color w:val="auto"/>
              </w:rPr>
              <w:t>A.F. Braly</w:t>
            </w:r>
          </w:p>
        </w:tc>
        <w:tc>
          <w:tcPr>
            <w:tcW w:w="1580" w:type="dxa"/>
            <w:vAlign w:val="bottom"/>
            <w:tcBorders>
              <w:right w:val="single" w:sz="8" w:color="auto"/>
            </w:tcBorders>
            <w:shd w:val="clear" w:color="auto" w:fill="D4DBEB"/>
          </w:tcPr>
          <w:p>
            <w:pPr>
              <w:jc w:val="right"/>
              <w:ind w:right="460"/>
              <w:spacing w:after="0"/>
              <w:rPr>
                <w:sz w:val="20"/>
                <w:szCs w:val="20"/>
                <w:color w:val="auto"/>
              </w:rPr>
            </w:pPr>
            <w:r>
              <w:rPr>
                <w:rFonts w:ascii="Arial" w:cs="Arial" w:eastAsia="Arial" w:hAnsi="Arial"/>
                <w:sz w:val="16"/>
                <w:szCs w:val="16"/>
                <w:color w:val="auto"/>
              </w:rPr>
              <w:t>10,500</w:t>
            </w:r>
          </w:p>
        </w:tc>
      </w:tr>
      <w:tr>
        <w:trPr>
          <w:trHeight w:val="216"/>
        </w:trPr>
        <w:tc>
          <w:tcPr>
            <w:tcW w:w="4440" w:type="dxa"/>
            <w:vAlign w:val="bottom"/>
            <w:tcBorders>
              <w:left w:val="single" w:sz="8" w:color="auto"/>
              <w:right w:val="single" w:sz="8" w:color="auto"/>
            </w:tcBorders>
          </w:tcPr>
          <w:p>
            <w:pPr>
              <w:ind w:left="160"/>
              <w:spacing w:after="0"/>
              <w:rPr>
                <w:sz w:val="20"/>
                <w:szCs w:val="20"/>
                <w:color w:val="auto"/>
              </w:rPr>
            </w:pPr>
            <w:r>
              <w:rPr>
                <w:rFonts w:ascii="Arial" w:cs="Arial" w:eastAsia="Arial" w:hAnsi="Arial"/>
                <w:sz w:val="16"/>
                <w:szCs w:val="16"/>
                <w:color w:val="auto"/>
              </w:rPr>
              <w:t>U.M. Burns</w:t>
            </w:r>
          </w:p>
        </w:tc>
        <w:tc>
          <w:tcPr>
            <w:tcW w:w="1580" w:type="dxa"/>
            <w:vAlign w:val="bottom"/>
            <w:tcBorders>
              <w:right w:val="single" w:sz="8" w:color="auto"/>
            </w:tcBorders>
          </w:tcPr>
          <w:p>
            <w:pPr>
              <w:jc w:val="right"/>
              <w:ind w:right="460"/>
              <w:spacing w:after="0"/>
              <w:rPr>
                <w:sz w:val="20"/>
                <w:szCs w:val="20"/>
                <w:color w:val="auto"/>
              </w:rPr>
            </w:pPr>
            <w:r>
              <w:rPr>
                <w:rFonts w:ascii="Arial" w:cs="Arial" w:eastAsia="Arial" w:hAnsi="Arial"/>
                <w:sz w:val="16"/>
                <w:szCs w:val="16"/>
                <w:color w:val="auto"/>
              </w:rPr>
              <w:t>20,500</w:t>
            </w:r>
          </w:p>
        </w:tc>
      </w:tr>
      <w:tr>
        <w:trPr>
          <w:trHeight w:val="216"/>
        </w:trPr>
        <w:tc>
          <w:tcPr>
            <w:tcW w:w="4440" w:type="dxa"/>
            <w:vAlign w:val="bottom"/>
            <w:tcBorders>
              <w:left w:val="single" w:sz="8" w:color="auto"/>
              <w:right w:val="single" w:sz="8" w:color="auto"/>
            </w:tcBorders>
            <w:shd w:val="clear" w:color="auto" w:fill="D4DBEB"/>
          </w:tcPr>
          <w:p>
            <w:pPr>
              <w:ind w:left="160"/>
              <w:spacing w:after="0"/>
              <w:rPr>
                <w:sz w:val="20"/>
                <w:szCs w:val="20"/>
                <w:color w:val="auto"/>
              </w:rPr>
            </w:pPr>
            <w:r>
              <w:rPr>
                <w:rFonts w:ascii="Arial" w:cs="Arial" w:eastAsia="Arial" w:hAnsi="Arial"/>
                <w:sz w:val="16"/>
                <w:szCs w:val="16"/>
                <w:color w:val="auto"/>
              </w:rPr>
              <w:t>H.H. Fore</w:t>
            </w:r>
          </w:p>
        </w:tc>
        <w:tc>
          <w:tcPr>
            <w:tcW w:w="1580" w:type="dxa"/>
            <w:vAlign w:val="bottom"/>
            <w:tcBorders>
              <w:right w:val="single" w:sz="8" w:color="auto"/>
            </w:tcBorders>
            <w:shd w:val="clear" w:color="auto" w:fill="D4DBEB"/>
          </w:tcPr>
          <w:p>
            <w:pPr>
              <w:jc w:val="right"/>
              <w:ind w:right="460"/>
              <w:spacing w:after="0"/>
              <w:rPr>
                <w:sz w:val="20"/>
                <w:szCs w:val="20"/>
                <w:color w:val="auto"/>
              </w:rPr>
            </w:pPr>
            <w:r>
              <w:rPr>
                <w:rFonts w:ascii="Arial" w:cs="Arial" w:eastAsia="Arial" w:hAnsi="Arial"/>
                <w:sz w:val="16"/>
                <w:szCs w:val="16"/>
                <w:color w:val="auto"/>
              </w:rPr>
              <w:t>20,500</w:t>
            </w:r>
          </w:p>
        </w:tc>
      </w:tr>
      <w:tr>
        <w:trPr>
          <w:trHeight w:val="216"/>
        </w:trPr>
        <w:tc>
          <w:tcPr>
            <w:tcW w:w="4440" w:type="dxa"/>
            <w:vAlign w:val="bottom"/>
            <w:tcBorders>
              <w:left w:val="single" w:sz="8" w:color="auto"/>
              <w:right w:val="single" w:sz="8" w:color="auto"/>
            </w:tcBorders>
          </w:tcPr>
          <w:p>
            <w:pPr>
              <w:ind w:left="160"/>
              <w:spacing w:after="0"/>
              <w:rPr>
                <w:sz w:val="20"/>
                <w:szCs w:val="20"/>
                <w:color w:val="auto"/>
              </w:rPr>
            </w:pPr>
            <w:r>
              <w:rPr>
                <w:rFonts w:ascii="Arial" w:cs="Arial" w:eastAsia="Arial" w:hAnsi="Arial"/>
                <w:sz w:val="16"/>
                <w:szCs w:val="16"/>
                <w:color w:val="auto"/>
              </w:rPr>
              <w:t>K.C. Frazier</w:t>
            </w:r>
          </w:p>
        </w:tc>
        <w:tc>
          <w:tcPr>
            <w:tcW w:w="1580" w:type="dxa"/>
            <w:vAlign w:val="bottom"/>
            <w:tcBorders>
              <w:right w:val="single" w:sz="8" w:color="auto"/>
            </w:tcBorders>
          </w:tcPr>
          <w:p>
            <w:pPr>
              <w:jc w:val="right"/>
              <w:ind w:right="460"/>
              <w:spacing w:after="0"/>
              <w:rPr>
                <w:sz w:val="20"/>
                <w:szCs w:val="20"/>
                <w:color w:val="auto"/>
              </w:rPr>
            </w:pPr>
            <w:r>
              <w:rPr>
                <w:rFonts w:ascii="Arial" w:cs="Arial" w:eastAsia="Arial" w:hAnsi="Arial"/>
                <w:sz w:val="16"/>
                <w:szCs w:val="16"/>
                <w:color w:val="auto"/>
              </w:rPr>
              <w:t>28,000</w:t>
            </w:r>
          </w:p>
        </w:tc>
      </w:tr>
      <w:tr>
        <w:trPr>
          <w:trHeight w:val="216"/>
        </w:trPr>
        <w:tc>
          <w:tcPr>
            <w:tcW w:w="4440" w:type="dxa"/>
            <w:vAlign w:val="bottom"/>
            <w:tcBorders>
              <w:left w:val="single" w:sz="8" w:color="auto"/>
              <w:right w:val="single" w:sz="8" w:color="auto"/>
            </w:tcBorders>
            <w:shd w:val="clear" w:color="auto" w:fill="D4DBEB"/>
          </w:tcPr>
          <w:p>
            <w:pPr>
              <w:ind w:left="160"/>
              <w:spacing w:after="0"/>
              <w:rPr>
                <w:sz w:val="20"/>
                <w:szCs w:val="20"/>
                <w:color w:val="auto"/>
              </w:rPr>
            </w:pPr>
            <w:r>
              <w:rPr>
                <w:rFonts w:ascii="Arial" w:cs="Arial" w:eastAsia="Arial" w:hAnsi="Arial"/>
                <w:sz w:val="16"/>
                <w:szCs w:val="16"/>
                <w:color w:val="auto"/>
              </w:rPr>
              <w:t>D.R. Oberhelman</w:t>
            </w:r>
          </w:p>
        </w:tc>
        <w:tc>
          <w:tcPr>
            <w:tcW w:w="1580" w:type="dxa"/>
            <w:vAlign w:val="bottom"/>
            <w:tcBorders>
              <w:right w:val="single" w:sz="8" w:color="auto"/>
            </w:tcBorders>
            <w:shd w:val="clear" w:color="auto" w:fill="D4DBEB"/>
          </w:tcPr>
          <w:p>
            <w:pPr>
              <w:jc w:val="right"/>
              <w:ind w:right="460"/>
              <w:spacing w:after="0"/>
              <w:rPr>
                <w:sz w:val="20"/>
                <w:szCs w:val="20"/>
                <w:color w:val="auto"/>
              </w:rPr>
            </w:pPr>
            <w:r>
              <w:rPr>
                <w:rFonts w:ascii="Arial" w:cs="Arial" w:eastAsia="Arial" w:hAnsi="Arial"/>
                <w:sz w:val="16"/>
                <w:szCs w:val="16"/>
                <w:color w:val="auto"/>
              </w:rPr>
              <w:t>13,000</w:t>
            </w:r>
          </w:p>
        </w:tc>
      </w:tr>
      <w:tr>
        <w:trPr>
          <w:trHeight w:val="216"/>
        </w:trPr>
        <w:tc>
          <w:tcPr>
            <w:tcW w:w="4440" w:type="dxa"/>
            <w:vAlign w:val="bottom"/>
            <w:tcBorders>
              <w:left w:val="single" w:sz="8" w:color="auto"/>
              <w:right w:val="single" w:sz="8" w:color="auto"/>
            </w:tcBorders>
          </w:tcPr>
          <w:p>
            <w:pPr>
              <w:ind w:left="160"/>
              <w:spacing w:after="0"/>
              <w:rPr>
                <w:sz w:val="20"/>
                <w:szCs w:val="20"/>
                <w:color w:val="auto"/>
              </w:rPr>
            </w:pPr>
            <w:r>
              <w:rPr>
                <w:rFonts w:ascii="Arial" w:cs="Arial" w:eastAsia="Arial" w:hAnsi="Arial"/>
                <w:sz w:val="16"/>
                <w:szCs w:val="16"/>
                <w:color w:val="auto"/>
              </w:rPr>
              <w:t>S.J. Palmisano</w:t>
            </w:r>
          </w:p>
        </w:tc>
        <w:tc>
          <w:tcPr>
            <w:tcW w:w="1580" w:type="dxa"/>
            <w:vAlign w:val="bottom"/>
            <w:tcBorders>
              <w:right w:val="single" w:sz="8" w:color="auto"/>
            </w:tcBorders>
          </w:tcPr>
          <w:p>
            <w:pPr>
              <w:jc w:val="right"/>
              <w:ind w:right="460"/>
              <w:spacing w:after="0"/>
              <w:rPr>
                <w:sz w:val="20"/>
                <w:szCs w:val="20"/>
                <w:color w:val="auto"/>
              </w:rPr>
            </w:pPr>
            <w:r>
              <w:rPr>
                <w:rFonts w:ascii="Arial" w:cs="Arial" w:eastAsia="Arial" w:hAnsi="Arial"/>
                <w:sz w:val="16"/>
                <w:szCs w:val="16"/>
                <w:color w:val="auto"/>
              </w:rPr>
              <w:t>37,000</w:t>
            </w:r>
          </w:p>
        </w:tc>
      </w:tr>
      <w:tr>
        <w:trPr>
          <w:trHeight w:val="216"/>
        </w:trPr>
        <w:tc>
          <w:tcPr>
            <w:tcW w:w="4440" w:type="dxa"/>
            <w:vAlign w:val="bottom"/>
            <w:tcBorders>
              <w:left w:val="single" w:sz="8" w:color="auto"/>
              <w:right w:val="single" w:sz="8" w:color="auto"/>
            </w:tcBorders>
            <w:shd w:val="clear" w:color="auto" w:fill="D4DBEB"/>
          </w:tcPr>
          <w:p>
            <w:pPr>
              <w:ind w:left="160"/>
              <w:spacing w:after="0"/>
              <w:rPr>
                <w:sz w:val="20"/>
                <w:szCs w:val="20"/>
                <w:color w:val="auto"/>
              </w:rPr>
            </w:pPr>
            <w:r>
              <w:rPr>
                <w:rFonts w:ascii="Arial" w:cs="Arial" w:eastAsia="Arial" w:hAnsi="Arial"/>
                <w:sz w:val="16"/>
                <w:szCs w:val="16"/>
                <w:color w:val="auto"/>
              </w:rPr>
              <w:t>S.S Reinemund</w:t>
            </w:r>
          </w:p>
        </w:tc>
        <w:tc>
          <w:tcPr>
            <w:tcW w:w="1580" w:type="dxa"/>
            <w:vAlign w:val="bottom"/>
            <w:tcBorders>
              <w:right w:val="single" w:sz="8" w:color="auto"/>
            </w:tcBorders>
            <w:shd w:val="clear" w:color="auto" w:fill="D4DBEB"/>
          </w:tcPr>
          <w:p>
            <w:pPr>
              <w:jc w:val="right"/>
              <w:ind w:right="460"/>
              <w:spacing w:after="0"/>
              <w:rPr>
                <w:sz w:val="20"/>
                <w:szCs w:val="20"/>
                <w:color w:val="auto"/>
              </w:rPr>
            </w:pPr>
            <w:r>
              <w:rPr>
                <w:rFonts w:ascii="Arial" w:cs="Arial" w:eastAsia="Arial" w:hAnsi="Arial"/>
                <w:sz w:val="16"/>
                <w:szCs w:val="16"/>
                <w:color w:val="auto"/>
              </w:rPr>
              <w:t>33,000</w:t>
            </w:r>
          </w:p>
        </w:tc>
      </w:tr>
      <w:tr>
        <w:trPr>
          <w:trHeight w:val="216"/>
        </w:trPr>
        <w:tc>
          <w:tcPr>
            <w:tcW w:w="4440" w:type="dxa"/>
            <w:vAlign w:val="bottom"/>
            <w:tcBorders>
              <w:left w:val="single" w:sz="8" w:color="auto"/>
              <w:bottom w:val="single" w:sz="8" w:color="auto"/>
              <w:right w:val="single" w:sz="8" w:color="auto"/>
            </w:tcBorders>
          </w:tcPr>
          <w:p>
            <w:pPr>
              <w:ind w:left="160"/>
              <w:spacing w:after="0"/>
              <w:rPr>
                <w:sz w:val="20"/>
                <w:szCs w:val="20"/>
                <w:color w:val="auto"/>
              </w:rPr>
            </w:pPr>
            <w:r>
              <w:rPr>
                <w:rFonts w:ascii="Arial" w:cs="Arial" w:eastAsia="Arial" w:hAnsi="Arial"/>
                <w:sz w:val="16"/>
                <w:szCs w:val="16"/>
                <w:color w:val="auto"/>
              </w:rPr>
              <w:t>W.C. Weldon</w:t>
            </w:r>
          </w:p>
        </w:tc>
        <w:tc>
          <w:tcPr>
            <w:tcW w:w="1580" w:type="dxa"/>
            <w:vAlign w:val="bottom"/>
            <w:tcBorders>
              <w:bottom w:val="single" w:sz="8" w:color="auto"/>
              <w:right w:val="single" w:sz="8" w:color="auto"/>
            </w:tcBorders>
          </w:tcPr>
          <w:p>
            <w:pPr>
              <w:jc w:val="right"/>
              <w:ind w:right="460"/>
              <w:spacing w:after="0"/>
              <w:rPr>
                <w:sz w:val="20"/>
                <w:szCs w:val="20"/>
                <w:color w:val="auto"/>
              </w:rPr>
            </w:pPr>
            <w:r>
              <w:rPr>
                <w:rFonts w:ascii="Arial" w:cs="Arial" w:eastAsia="Arial" w:hAnsi="Arial"/>
                <w:sz w:val="16"/>
                <w:szCs w:val="16"/>
                <w:color w:val="auto"/>
              </w:rPr>
              <w:t>18,000</w:t>
            </w:r>
          </w:p>
        </w:tc>
      </w:tr>
    </w:tbl>
    <w:p>
      <w:pPr>
        <w:spacing w:after="0" w:line="103" w:lineRule="exact"/>
        <w:rPr>
          <w:sz w:val="20"/>
          <w:szCs w:val="20"/>
          <w:color w:val="auto"/>
        </w:rPr>
      </w:pPr>
    </w:p>
    <w:p>
      <w:pPr>
        <w:ind w:left="1140" w:right="480" w:hanging="288"/>
        <w:spacing w:after="0" w:line="259" w:lineRule="auto"/>
        <w:tabs>
          <w:tab w:leader="none" w:pos="1140" w:val="left"/>
        </w:tabs>
        <w:numPr>
          <w:ilvl w:val="0"/>
          <w:numId w:val="34"/>
        </w:numPr>
        <w:rPr>
          <w:rFonts w:ascii="Arial" w:cs="Arial" w:eastAsia="Arial" w:hAnsi="Arial"/>
          <w:sz w:val="16"/>
          <w:szCs w:val="16"/>
          <w:color w:val="auto"/>
        </w:rPr>
      </w:pPr>
      <w:r>
        <w:rPr>
          <w:rFonts w:ascii="Arial" w:cs="Arial" w:eastAsia="Arial" w:hAnsi="Arial"/>
          <w:sz w:val="16"/>
          <w:szCs w:val="16"/>
          <w:color w:val="auto"/>
        </w:rPr>
        <w:t>The amount shown for each director is the cost of travel accident insurance covering death, dismemberment, or loss of sight, speech, or hearing under a policy purchased by the Corporation with a maximum benefit of $500,000 per individual.</w:t>
      </w:r>
    </w:p>
    <w:p>
      <w:pPr>
        <w:spacing w:after="0" w:line="1" w:lineRule="exact"/>
        <w:rPr>
          <w:rFonts w:ascii="Arial" w:cs="Arial" w:eastAsia="Arial" w:hAnsi="Arial"/>
          <w:sz w:val="16"/>
          <w:szCs w:val="16"/>
          <w:color w:val="auto"/>
        </w:rPr>
      </w:pPr>
    </w:p>
    <w:p>
      <w:pPr>
        <w:ind w:left="1140" w:hanging="288"/>
        <w:spacing w:after="0"/>
        <w:tabs>
          <w:tab w:leader="none" w:pos="1140" w:val="left"/>
        </w:tabs>
        <w:numPr>
          <w:ilvl w:val="0"/>
          <w:numId w:val="34"/>
        </w:numPr>
        <w:rPr>
          <w:rFonts w:ascii="Arial" w:cs="Arial" w:eastAsia="Arial" w:hAnsi="Arial"/>
          <w:sz w:val="16"/>
          <w:szCs w:val="16"/>
          <w:color w:val="auto"/>
        </w:rPr>
      </w:pPr>
      <w:r>
        <w:rPr>
          <w:rFonts w:ascii="Arial" w:cs="Arial" w:eastAsia="Arial" w:hAnsi="Arial"/>
          <w:sz w:val="16"/>
          <w:szCs w:val="16"/>
          <w:color w:val="auto"/>
        </w:rPr>
        <w:t>Retired effective May 31, 2017.</w:t>
      </w:r>
    </w:p>
    <w:p>
      <w:pPr>
        <w:spacing w:after="0" w:line="5" w:lineRule="exact"/>
        <w:rPr>
          <w:rFonts w:ascii="Arial" w:cs="Arial" w:eastAsia="Arial" w:hAnsi="Arial"/>
          <w:sz w:val="16"/>
          <w:szCs w:val="16"/>
          <w:color w:val="auto"/>
        </w:rPr>
      </w:pPr>
    </w:p>
    <w:p>
      <w:pPr>
        <w:ind w:left="1140" w:hanging="288"/>
        <w:spacing w:after="0"/>
        <w:tabs>
          <w:tab w:leader="none" w:pos="1140" w:val="left"/>
        </w:tabs>
        <w:numPr>
          <w:ilvl w:val="0"/>
          <w:numId w:val="34"/>
        </w:numPr>
        <w:rPr>
          <w:rFonts w:ascii="Arial" w:cs="Arial" w:eastAsia="Arial" w:hAnsi="Arial"/>
          <w:sz w:val="16"/>
          <w:szCs w:val="16"/>
          <w:color w:val="auto"/>
        </w:rPr>
      </w:pPr>
      <w:r>
        <w:rPr>
          <w:rFonts w:ascii="Arial" w:cs="Arial" w:eastAsia="Arial" w:hAnsi="Arial"/>
          <w:sz w:val="16"/>
          <w:szCs w:val="16"/>
          <w:color w:val="auto"/>
        </w:rPr>
        <w:t>Resigned effective December 31, 2017.</w:t>
      </w:r>
    </w:p>
    <w:p>
      <w:pPr>
        <w:spacing w:after="0" w:line="196" w:lineRule="exact"/>
        <w:rPr>
          <w:sz w:val="20"/>
          <w:szCs w:val="20"/>
          <w:color w:val="auto"/>
        </w:rPr>
      </w:pPr>
    </w:p>
    <w:p>
      <w:pPr>
        <w:ind w:left="860" w:right="60"/>
        <w:spacing w:after="0" w:line="255" w:lineRule="auto"/>
        <w:rPr>
          <w:sz w:val="20"/>
          <w:szCs w:val="20"/>
          <w:color w:val="auto"/>
        </w:rPr>
      </w:pPr>
      <w:r>
        <w:rPr>
          <w:rFonts w:ascii="Arial" w:cs="Arial" w:eastAsia="Arial" w:hAnsi="Arial"/>
          <w:sz w:val="18"/>
          <w:szCs w:val="18"/>
          <w:color w:val="auto"/>
        </w:rPr>
        <w:t>The non-employee directors are not entitled to any additional payments or benefits as a result of leaving the Board or death except as described above. The non-employee directors are not entitled to any payments or benefits resulting from a change in control of the Corporation.</w:t>
      </w:r>
    </w:p>
    <w:p>
      <w:pPr>
        <w:spacing w:after="0" w:line="97" w:lineRule="exact"/>
        <w:rPr>
          <w:sz w:val="20"/>
          <w:szCs w:val="20"/>
          <w:color w:val="auto"/>
        </w:rPr>
      </w:pPr>
    </w:p>
    <w:p>
      <w:pPr>
        <w:ind w:left="880"/>
        <w:spacing w:after="0"/>
        <w:tabs>
          <w:tab w:leader="none" w:pos="2780" w:val="left"/>
        </w:tabs>
        <w:rPr>
          <w:sz w:val="20"/>
          <w:szCs w:val="20"/>
          <w:color w:val="auto"/>
        </w:rPr>
      </w:pPr>
      <w:r>
        <w:rPr>
          <w:rFonts w:ascii="Arial" w:cs="Arial" w:eastAsia="Arial" w:hAnsi="Arial"/>
          <w:sz w:val="18"/>
          <w:szCs w:val="18"/>
          <w:color w:val="auto"/>
        </w:rPr>
        <w:t>22</w:t>
      </w:r>
      <w:r>
        <w:rPr>
          <w:sz w:val="20"/>
          <w:szCs w:val="20"/>
          <w:color w:val="auto"/>
        </w:rPr>
        <w:tab/>
      </w:r>
      <w:r>
        <w:rPr>
          <w:rFonts w:ascii="Times New Roman" w:cs="Times New Roman" w:eastAsia="Times New Roman" w:hAnsi="Times New Roman"/>
          <w:sz w:val="18"/>
          <w:szCs w:val="18"/>
          <w:i w:val="1"/>
          <w:iCs w:val="1"/>
          <w:color w:val="auto"/>
        </w:rPr>
        <w:t>2018 Proxy Statement</w:t>
      </w:r>
    </w:p>
    <w:p>
      <w:pPr>
        <w:sectPr>
          <w:pgSz w:w="11900" w:h="16838" w:orient="portrait"/>
          <w:cols w:equalWidth="0" w:num="1">
            <w:col w:w="10540"/>
          </w:cols>
          <w:pgMar w:left="240" w:top="455" w:right="1119" w:bottom="1440" w:gutter="0" w:footer="0" w:header="0"/>
        </w:sectPr>
      </w:pPr>
    </w:p>
    <w:bookmarkStart w:id="25" w:name="page26"/>
    <w:bookmarkEnd w:id="25"/>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Times New Roman" w:cs="Times New Roman" w:eastAsia="Times New Roman" w:hAnsi="Times New Roman"/>
            <w:sz w:val="18"/>
            <w:szCs w:val="18"/>
            <w:b w:val="1"/>
            <w:bCs w:val="1"/>
            <w:u w:val="single" w:color="auto"/>
            <w:color w:val="0000EE"/>
          </w:rPr>
          <w:t>Table of Contents</w:t>
        </w:r>
      </w:hyperlink>
    </w:p>
    <w:p>
      <w:pPr>
        <w:spacing w:after="0" w:line="296" w:lineRule="exact"/>
        <w:rPr>
          <w:sz w:val="20"/>
          <w:szCs w:val="20"/>
          <w:color w:val="auto"/>
        </w:rPr>
      </w:pPr>
    </w:p>
    <w:p>
      <w:pPr>
        <w:ind w:left="860"/>
        <w:spacing w:after="0"/>
        <w:rPr>
          <w:sz w:val="20"/>
          <w:szCs w:val="20"/>
          <w:color w:val="auto"/>
        </w:rPr>
      </w:pPr>
      <w:r>
        <w:rPr>
          <w:rFonts w:ascii="Arial" w:cs="Arial" w:eastAsia="Arial" w:hAnsi="Arial"/>
          <w:sz w:val="20"/>
          <w:szCs w:val="20"/>
          <w:b w:val="1"/>
          <w:bCs w:val="1"/>
          <w:color w:val="2B4C9B"/>
        </w:rPr>
        <w:t>Certain Beneficial Owners</w:t>
      </w:r>
    </w:p>
    <w:p>
      <w:pPr>
        <w:spacing w:after="0" w:line="103" w:lineRule="exact"/>
        <w:rPr>
          <w:sz w:val="20"/>
          <w:szCs w:val="20"/>
          <w:color w:val="auto"/>
        </w:rPr>
      </w:pPr>
    </w:p>
    <w:p>
      <w:pPr>
        <w:ind w:left="860" w:right="60"/>
        <w:spacing w:after="0" w:line="276" w:lineRule="auto"/>
        <w:rPr>
          <w:sz w:val="20"/>
          <w:szCs w:val="20"/>
          <w:color w:val="auto"/>
        </w:rPr>
      </w:pPr>
      <w:r>
        <w:rPr>
          <w:rFonts w:ascii="Arial" w:cs="Arial" w:eastAsia="Arial" w:hAnsi="Arial"/>
          <w:sz w:val="18"/>
          <w:szCs w:val="18"/>
          <w:color w:val="auto"/>
        </w:rPr>
        <w:t>Based on our review of ownership reports filed with the SEC, the firms listed below are the only beneficial owners of more than 5 percent of ExxonMobil’s outstanding common stock as of December 31, 2017.</w:t>
      </w:r>
    </w:p>
    <w:p>
      <w:pPr>
        <w:spacing w:after="0" w:line="175" w:lineRule="exact"/>
        <w:rPr>
          <w:sz w:val="20"/>
          <w:szCs w:val="20"/>
          <w:color w:val="auto"/>
        </w:rPr>
      </w:pPr>
    </w:p>
    <w:tbl>
      <w:tblPr>
        <w:tblLayout w:type="fixed"/>
        <w:tblInd w:w="870" w:type="dxa"/>
        <w:tblCellMar>
          <w:top w:w="0" w:type="dxa"/>
          <w:left w:w="0" w:type="dxa"/>
          <w:bottom w:w="0" w:type="dxa"/>
          <w:right w:w="0" w:type="dxa"/>
        </w:tblCellMar>
      </w:tblPr>
      <w:tr>
        <w:trPr>
          <w:trHeight w:val="174"/>
        </w:trPr>
        <w:tc>
          <w:tcPr>
            <w:tcW w:w="3300" w:type="dxa"/>
            <w:vAlign w:val="bottom"/>
            <w:tcBorders>
              <w:top w:val="single" w:sz="8" w:color="auto"/>
              <w:left w:val="single" w:sz="8" w:color="auto"/>
              <w:right w:val="single" w:sz="8" w:color="auto"/>
            </w:tcBorders>
          </w:tcPr>
          <w:p>
            <w:pPr>
              <w:ind w:left="140"/>
              <w:spacing w:after="0"/>
              <w:rPr>
                <w:sz w:val="20"/>
                <w:szCs w:val="20"/>
                <w:color w:val="auto"/>
              </w:rPr>
            </w:pPr>
            <w:r>
              <w:rPr>
                <w:rFonts w:ascii="Arial" w:cs="Arial" w:eastAsia="Arial" w:hAnsi="Arial"/>
                <w:sz w:val="14"/>
                <w:szCs w:val="14"/>
                <w:b w:val="1"/>
                <w:bCs w:val="1"/>
                <w:color w:val="auto"/>
              </w:rPr>
              <w:t>Name and Address</w:t>
            </w:r>
          </w:p>
        </w:tc>
        <w:tc>
          <w:tcPr>
            <w:tcW w:w="1900" w:type="dxa"/>
            <w:vAlign w:val="bottom"/>
            <w:tcBorders>
              <w:top w:val="single" w:sz="8" w:color="auto"/>
              <w:right w:val="single" w:sz="8" w:color="auto"/>
            </w:tcBorders>
          </w:tcPr>
          <w:p>
            <w:pPr>
              <w:jc w:val="right"/>
              <w:ind w:right="663"/>
              <w:spacing w:after="0"/>
              <w:rPr>
                <w:sz w:val="20"/>
                <w:szCs w:val="20"/>
                <w:color w:val="auto"/>
              </w:rPr>
            </w:pPr>
            <w:r>
              <w:rPr>
                <w:rFonts w:ascii="Arial" w:cs="Arial" w:eastAsia="Arial" w:hAnsi="Arial"/>
                <w:sz w:val="14"/>
                <w:szCs w:val="14"/>
                <w:b w:val="1"/>
                <w:bCs w:val="1"/>
                <w:color w:val="auto"/>
              </w:rPr>
              <w:t>Shares</w:t>
            </w:r>
          </w:p>
        </w:tc>
        <w:tc>
          <w:tcPr>
            <w:tcW w:w="1720" w:type="dxa"/>
            <w:vAlign w:val="bottom"/>
            <w:tcBorders>
              <w:top w:val="single" w:sz="8" w:color="auto"/>
              <w:right w:val="single" w:sz="8" w:color="auto"/>
            </w:tcBorders>
          </w:tcPr>
          <w:p>
            <w:pPr>
              <w:jc w:val="center"/>
              <w:ind w:right="83"/>
              <w:spacing w:after="0"/>
              <w:rPr>
                <w:sz w:val="20"/>
                <w:szCs w:val="20"/>
                <w:color w:val="auto"/>
              </w:rPr>
            </w:pPr>
            <w:r>
              <w:rPr>
                <w:rFonts w:ascii="Arial" w:cs="Arial" w:eastAsia="Arial" w:hAnsi="Arial"/>
                <w:sz w:val="14"/>
                <w:szCs w:val="14"/>
                <w:b w:val="1"/>
                <w:bCs w:val="1"/>
                <w:color w:val="auto"/>
              </w:rPr>
              <w:t>Percent of</w:t>
            </w:r>
          </w:p>
        </w:tc>
      </w:tr>
      <w:tr>
        <w:trPr>
          <w:trHeight w:val="191"/>
        </w:trPr>
        <w:tc>
          <w:tcPr>
            <w:tcW w:w="3300" w:type="dxa"/>
            <w:vAlign w:val="bottom"/>
            <w:tcBorders>
              <w:left w:val="single" w:sz="8" w:color="auto"/>
              <w:bottom w:val="single" w:sz="8" w:color="auto"/>
              <w:right w:val="single" w:sz="8" w:color="auto"/>
            </w:tcBorders>
          </w:tcPr>
          <w:p>
            <w:pPr>
              <w:ind w:left="140"/>
              <w:spacing w:after="0"/>
              <w:rPr>
                <w:sz w:val="20"/>
                <w:szCs w:val="20"/>
                <w:color w:val="auto"/>
              </w:rPr>
            </w:pPr>
            <w:r>
              <w:rPr>
                <w:rFonts w:ascii="Arial" w:cs="Arial" w:eastAsia="Arial" w:hAnsi="Arial"/>
                <w:sz w:val="14"/>
                <w:szCs w:val="14"/>
                <w:b w:val="1"/>
                <w:bCs w:val="1"/>
                <w:color w:val="auto"/>
              </w:rPr>
              <w:t>of Beneficial Owner</w:t>
            </w:r>
          </w:p>
        </w:tc>
        <w:tc>
          <w:tcPr>
            <w:tcW w:w="1900" w:type="dxa"/>
            <w:vAlign w:val="bottom"/>
            <w:tcBorders>
              <w:bottom w:val="single" w:sz="8" w:color="auto"/>
              <w:right w:val="single" w:sz="8" w:color="auto"/>
            </w:tcBorders>
          </w:tcPr>
          <w:p>
            <w:pPr>
              <w:jc w:val="right"/>
              <w:ind w:right="663"/>
              <w:spacing w:after="0"/>
              <w:rPr>
                <w:sz w:val="20"/>
                <w:szCs w:val="20"/>
                <w:color w:val="auto"/>
              </w:rPr>
            </w:pPr>
            <w:r>
              <w:rPr>
                <w:rFonts w:ascii="Arial" w:cs="Arial" w:eastAsia="Arial" w:hAnsi="Arial"/>
                <w:sz w:val="14"/>
                <w:szCs w:val="14"/>
                <w:b w:val="1"/>
                <w:bCs w:val="1"/>
                <w:color w:val="auto"/>
              </w:rPr>
              <w:t>Owned</w:t>
            </w:r>
          </w:p>
        </w:tc>
        <w:tc>
          <w:tcPr>
            <w:tcW w:w="1720" w:type="dxa"/>
            <w:vAlign w:val="bottom"/>
            <w:tcBorders>
              <w:bottom w:val="single" w:sz="8" w:color="auto"/>
              <w:right w:val="single" w:sz="8" w:color="auto"/>
            </w:tcBorders>
          </w:tcPr>
          <w:p>
            <w:pPr>
              <w:jc w:val="center"/>
              <w:ind w:right="83"/>
              <w:spacing w:after="0"/>
              <w:rPr>
                <w:sz w:val="20"/>
                <w:szCs w:val="20"/>
                <w:color w:val="auto"/>
              </w:rPr>
            </w:pPr>
            <w:r>
              <w:rPr>
                <w:rFonts w:ascii="Arial" w:cs="Arial" w:eastAsia="Arial" w:hAnsi="Arial"/>
                <w:sz w:val="14"/>
                <w:szCs w:val="14"/>
                <w:b w:val="1"/>
                <w:bCs w:val="1"/>
                <w:color w:val="auto"/>
              </w:rPr>
              <w:t>Class</w:t>
            </w:r>
          </w:p>
        </w:tc>
      </w:tr>
      <w:tr>
        <w:trPr>
          <w:trHeight w:val="178"/>
        </w:trPr>
        <w:tc>
          <w:tcPr>
            <w:tcW w:w="3300" w:type="dxa"/>
            <w:vAlign w:val="bottom"/>
            <w:tcBorders>
              <w:left w:val="single" w:sz="8" w:color="auto"/>
              <w:right w:val="single" w:sz="8" w:color="auto"/>
            </w:tcBorders>
            <w:shd w:val="clear" w:color="auto" w:fill="D4DBEB"/>
          </w:tcPr>
          <w:p>
            <w:pPr>
              <w:ind w:left="160"/>
              <w:spacing w:after="0" w:line="178" w:lineRule="exact"/>
              <w:rPr>
                <w:sz w:val="20"/>
                <w:szCs w:val="20"/>
                <w:color w:val="auto"/>
              </w:rPr>
            </w:pPr>
            <w:r>
              <w:rPr>
                <w:rFonts w:ascii="Arial" w:cs="Arial" w:eastAsia="Arial" w:hAnsi="Arial"/>
                <w:sz w:val="16"/>
                <w:szCs w:val="16"/>
                <w:color w:val="auto"/>
              </w:rPr>
              <w:t>The Vanguard Group</w:t>
            </w:r>
          </w:p>
        </w:tc>
        <w:tc>
          <w:tcPr>
            <w:tcW w:w="1900" w:type="dxa"/>
            <w:vAlign w:val="bottom"/>
            <w:tcBorders>
              <w:right w:val="single" w:sz="8" w:color="auto"/>
            </w:tcBorders>
            <w:shd w:val="clear" w:color="auto" w:fill="D4DBEB"/>
          </w:tcPr>
          <w:p>
            <w:pPr>
              <w:jc w:val="right"/>
              <w:ind w:right="443"/>
              <w:spacing w:after="0" w:line="178" w:lineRule="exact"/>
              <w:rPr>
                <w:sz w:val="20"/>
                <w:szCs w:val="20"/>
                <w:color w:val="auto"/>
              </w:rPr>
            </w:pPr>
            <w:r>
              <w:rPr>
                <w:rFonts w:ascii="Arial" w:cs="Arial" w:eastAsia="Arial" w:hAnsi="Arial"/>
                <w:sz w:val="16"/>
                <w:szCs w:val="16"/>
                <w:color w:val="auto"/>
              </w:rPr>
              <w:t>317,711,413</w:t>
            </w:r>
          </w:p>
        </w:tc>
        <w:tc>
          <w:tcPr>
            <w:tcW w:w="1720" w:type="dxa"/>
            <w:vAlign w:val="bottom"/>
            <w:tcBorders>
              <w:right w:val="single" w:sz="8" w:color="auto"/>
            </w:tcBorders>
            <w:shd w:val="clear" w:color="auto" w:fill="D4DBEB"/>
          </w:tcPr>
          <w:p>
            <w:pPr>
              <w:jc w:val="center"/>
              <w:ind w:right="63"/>
              <w:spacing w:after="0" w:line="178" w:lineRule="exact"/>
              <w:rPr>
                <w:sz w:val="20"/>
                <w:szCs w:val="20"/>
                <w:color w:val="auto"/>
              </w:rPr>
            </w:pPr>
            <w:r>
              <w:rPr>
                <w:rFonts w:ascii="Arial" w:cs="Arial" w:eastAsia="Arial" w:hAnsi="Arial"/>
                <w:sz w:val="16"/>
                <w:szCs w:val="16"/>
                <w:color w:val="auto"/>
              </w:rPr>
              <w:t>7.5%</w:t>
            </w:r>
          </w:p>
        </w:tc>
      </w:tr>
      <w:tr>
        <w:trPr>
          <w:trHeight w:val="203"/>
        </w:trPr>
        <w:tc>
          <w:tcPr>
            <w:tcW w:w="3300" w:type="dxa"/>
            <w:vAlign w:val="bottom"/>
            <w:tcBorders>
              <w:left w:val="single" w:sz="8" w:color="auto"/>
              <w:right w:val="single" w:sz="8" w:color="auto"/>
            </w:tcBorders>
            <w:shd w:val="clear" w:color="auto" w:fill="D4DBEB"/>
          </w:tcPr>
          <w:p>
            <w:pPr>
              <w:ind w:left="160"/>
              <w:spacing w:after="0"/>
              <w:rPr>
                <w:sz w:val="20"/>
                <w:szCs w:val="20"/>
                <w:color w:val="auto"/>
              </w:rPr>
            </w:pPr>
            <w:r>
              <w:rPr>
                <w:rFonts w:ascii="Arial" w:cs="Arial" w:eastAsia="Arial" w:hAnsi="Arial"/>
                <w:sz w:val="16"/>
                <w:szCs w:val="16"/>
                <w:color w:val="auto"/>
              </w:rPr>
              <w:t>100 Vanguard Blvd.</w:t>
            </w:r>
          </w:p>
        </w:tc>
        <w:tc>
          <w:tcPr>
            <w:tcW w:w="1900" w:type="dxa"/>
            <w:vAlign w:val="bottom"/>
            <w:tcBorders>
              <w:right w:val="single" w:sz="8" w:color="auto"/>
            </w:tcBorders>
            <w:shd w:val="clear" w:color="auto" w:fill="D4DBEB"/>
          </w:tcPr>
          <w:p>
            <w:pPr>
              <w:spacing w:after="0"/>
              <w:rPr>
                <w:sz w:val="17"/>
                <w:szCs w:val="17"/>
                <w:color w:val="auto"/>
              </w:rPr>
            </w:pPr>
          </w:p>
        </w:tc>
        <w:tc>
          <w:tcPr>
            <w:tcW w:w="1720" w:type="dxa"/>
            <w:vAlign w:val="bottom"/>
            <w:tcBorders>
              <w:right w:val="single" w:sz="8" w:color="auto"/>
            </w:tcBorders>
            <w:shd w:val="clear" w:color="auto" w:fill="D4DBEB"/>
          </w:tcPr>
          <w:p>
            <w:pPr>
              <w:spacing w:after="0"/>
              <w:rPr>
                <w:sz w:val="17"/>
                <w:szCs w:val="17"/>
                <w:color w:val="auto"/>
              </w:rPr>
            </w:pPr>
          </w:p>
        </w:tc>
      </w:tr>
      <w:tr>
        <w:trPr>
          <w:trHeight w:val="221"/>
        </w:trPr>
        <w:tc>
          <w:tcPr>
            <w:tcW w:w="3300" w:type="dxa"/>
            <w:vAlign w:val="bottom"/>
            <w:tcBorders>
              <w:left w:val="single" w:sz="8" w:color="auto"/>
              <w:right w:val="single" w:sz="8" w:color="auto"/>
            </w:tcBorders>
            <w:shd w:val="clear" w:color="auto" w:fill="D4DBEB"/>
          </w:tcPr>
          <w:p>
            <w:pPr>
              <w:ind w:left="160"/>
              <w:spacing w:after="0"/>
              <w:rPr>
                <w:sz w:val="20"/>
                <w:szCs w:val="20"/>
                <w:color w:val="auto"/>
              </w:rPr>
            </w:pPr>
            <w:r>
              <w:rPr>
                <w:rFonts w:ascii="Arial" w:cs="Arial" w:eastAsia="Arial" w:hAnsi="Arial"/>
                <w:sz w:val="16"/>
                <w:szCs w:val="16"/>
                <w:color w:val="auto"/>
              </w:rPr>
              <w:t>Malvern, PA 19355</w:t>
            </w:r>
          </w:p>
        </w:tc>
        <w:tc>
          <w:tcPr>
            <w:tcW w:w="1900" w:type="dxa"/>
            <w:vAlign w:val="bottom"/>
            <w:tcBorders>
              <w:right w:val="single" w:sz="8" w:color="auto"/>
            </w:tcBorders>
            <w:shd w:val="clear" w:color="auto" w:fill="D4DBEB"/>
          </w:tcPr>
          <w:p>
            <w:pPr>
              <w:spacing w:after="0"/>
              <w:rPr>
                <w:sz w:val="19"/>
                <w:szCs w:val="19"/>
                <w:color w:val="auto"/>
              </w:rPr>
            </w:pPr>
          </w:p>
        </w:tc>
        <w:tc>
          <w:tcPr>
            <w:tcW w:w="1720" w:type="dxa"/>
            <w:vAlign w:val="bottom"/>
            <w:tcBorders>
              <w:right w:val="single" w:sz="8" w:color="auto"/>
            </w:tcBorders>
            <w:shd w:val="clear" w:color="auto" w:fill="D4DBEB"/>
          </w:tcPr>
          <w:p>
            <w:pPr>
              <w:spacing w:after="0"/>
              <w:rPr>
                <w:sz w:val="19"/>
                <w:szCs w:val="19"/>
                <w:color w:val="auto"/>
              </w:rPr>
            </w:pPr>
          </w:p>
        </w:tc>
      </w:tr>
      <w:tr>
        <w:trPr>
          <w:trHeight w:val="184"/>
        </w:trPr>
        <w:tc>
          <w:tcPr>
            <w:tcW w:w="3300" w:type="dxa"/>
            <w:vAlign w:val="bottom"/>
            <w:tcBorders>
              <w:left w:val="single" w:sz="8" w:color="auto"/>
              <w:right w:val="single" w:sz="8" w:color="auto"/>
            </w:tcBorders>
          </w:tcPr>
          <w:p>
            <w:pPr>
              <w:ind w:left="160"/>
              <w:spacing w:after="0"/>
              <w:rPr>
                <w:sz w:val="20"/>
                <w:szCs w:val="20"/>
                <w:color w:val="auto"/>
              </w:rPr>
            </w:pPr>
            <w:r>
              <w:rPr>
                <w:rFonts w:ascii="Arial" w:cs="Arial" w:eastAsia="Arial" w:hAnsi="Arial"/>
                <w:sz w:val="16"/>
                <w:szCs w:val="16"/>
                <w:color w:val="auto"/>
              </w:rPr>
              <w:t>BlackRock, Inc.</w:t>
            </w:r>
          </w:p>
        </w:tc>
        <w:tc>
          <w:tcPr>
            <w:tcW w:w="1900" w:type="dxa"/>
            <w:vAlign w:val="bottom"/>
            <w:tcBorders>
              <w:right w:val="single" w:sz="8" w:color="auto"/>
            </w:tcBorders>
          </w:tcPr>
          <w:p>
            <w:pPr>
              <w:jc w:val="right"/>
              <w:ind w:right="443"/>
              <w:spacing w:after="0"/>
              <w:rPr>
                <w:sz w:val="20"/>
                <w:szCs w:val="20"/>
                <w:color w:val="auto"/>
              </w:rPr>
            </w:pPr>
            <w:r>
              <w:rPr>
                <w:rFonts w:ascii="Arial" w:cs="Arial" w:eastAsia="Arial" w:hAnsi="Arial"/>
                <w:sz w:val="16"/>
                <w:szCs w:val="16"/>
                <w:color w:val="auto"/>
              </w:rPr>
              <w:t>259,208,368</w:t>
            </w:r>
          </w:p>
        </w:tc>
        <w:tc>
          <w:tcPr>
            <w:tcW w:w="1720" w:type="dxa"/>
            <w:vAlign w:val="bottom"/>
            <w:tcBorders>
              <w:right w:val="single" w:sz="8" w:color="auto"/>
            </w:tcBorders>
          </w:tcPr>
          <w:p>
            <w:pPr>
              <w:jc w:val="center"/>
              <w:ind w:right="63"/>
              <w:spacing w:after="0"/>
              <w:rPr>
                <w:sz w:val="20"/>
                <w:szCs w:val="20"/>
                <w:color w:val="auto"/>
              </w:rPr>
            </w:pPr>
            <w:r>
              <w:rPr>
                <w:rFonts w:ascii="Arial" w:cs="Arial" w:eastAsia="Arial" w:hAnsi="Arial"/>
                <w:sz w:val="16"/>
                <w:szCs w:val="16"/>
                <w:color w:val="auto"/>
              </w:rPr>
              <w:t>6.1%</w:t>
            </w:r>
          </w:p>
        </w:tc>
      </w:tr>
      <w:tr>
        <w:trPr>
          <w:trHeight w:val="203"/>
        </w:trPr>
        <w:tc>
          <w:tcPr>
            <w:tcW w:w="3300" w:type="dxa"/>
            <w:vAlign w:val="bottom"/>
            <w:tcBorders>
              <w:left w:val="single" w:sz="8" w:color="auto"/>
              <w:right w:val="single" w:sz="8" w:color="auto"/>
            </w:tcBorders>
          </w:tcPr>
          <w:p>
            <w:pPr>
              <w:ind w:left="160"/>
              <w:spacing w:after="0"/>
              <w:rPr>
                <w:sz w:val="20"/>
                <w:szCs w:val="20"/>
                <w:color w:val="auto"/>
              </w:rPr>
            </w:pPr>
            <w:r>
              <w:rPr>
                <w:rFonts w:ascii="Arial" w:cs="Arial" w:eastAsia="Arial" w:hAnsi="Arial"/>
                <w:sz w:val="16"/>
                <w:szCs w:val="16"/>
                <w:color w:val="auto"/>
              </w:rPr>
              <w:t>55 East 52nd Street</w:t>
            </w:r>
          </w:p>
        </w:tc>
        <w:tc>
          <w:tcPr>
            <w:tcW w:w="1900" w:type="dxa"/>
            <w:vAlign w:val="bottom"/>
            <w:tcBorders>
              <w:right w:val="single" w:sz="8" w:color="auto"/>
            </w:tcBorders>
          </w:tcPr>
          <w:p>
            <w:pPr>
              <w:spacing w:after="0"/>
              <w:rPr>
                <w:sz w:val="17"/>
                <w:szCs w:val="17"/>
                <w:color w:val="auto"/>
              </w:rPr>
            </w:pPr>
          </w:p>
        </w:tc>
        <w:tc>
          <w:tcPr>
            <w:tcW w:w="1720" w:type="dxa"/>
            <w:vAlign w:val="bottom"/>
            <w:tcBorders>
              <w:right w:val="single" w:sz="8" w:color="auto"/>
            </w:tcBorders>
          </w:tcPr>
          <w:p>
            <w:pPr>
              <w:spacing w:after="0"/>
              <w:rPr>
                <w:sz w:val="17"/>
                <w:szCs w:val="17"/>
                <w:color w:val="auto"/>
              </w:rPr>
            </w:pPr>
          </w:p>
        </w:tc>
      </w:tr>
      <w:tr>
        <w:trPr>
          <w:trHeight w:val="220"/>
        </w:trPr>
        <w:tc>
          <w:tcPr>
            <w:tcW w:w="3300" w:type="dxa"/>
            <w:vAlign w:val="bottom"/>
            <w:tcBorders>
              <w:left w:val="single" w:sz="8" w:color="auto"/>
              <w:right w:val="single" w:sz="8" w:color="auto"/>
            </w:tcBorders>
          </w:tcPr>
          <w:p>
            <w:pPr>
              <w:ind w:left="160"/>
              <w:spacing w:after="0"/>
              <w:rPr>
                <w:sz w:val="20"/>
                <w:szCs w:val="20"/>
                <w:color w:val="auto"/>
              </w:rPr>
            </w:pPr>
            <w:r>
              <w:rPr>
                <w:rFonts w:ascii="Arial" w:cs="Arial" w:eastAsia="Arial" w:hAnsi="Arial"/>
                <w:sz w:val="16"/>
                <w:szCs w:val="16"/>
                <w:color w:val="auto"/>
              </w:rPr>
              <w:t>New York, NY 10055</w:t>
            </w:r>
          </w:p>
        </w:tc>
        <w:tc>
          <w:tcPr>
            <w:tcW w:w="1900" w:type="dxa"/>
            <w:vAlign w:val="bottom"/>
            <w:tcBorders>
              <w:right w:val="single" w:sz="8" w:color="auto"/>
            </w:tcBorders>
          </w:tcPr>
          <w:p>
            <w:pPr>
              <w:spacing w:after="0"/>
              <w:rPr>
                <w:sz w:val="19"/>
                <w:szCs w:val="19"/>
                <w:color w:val="auto"/>
              </w:rPr>
            </w:pPr>
          </w:p>
        </w:tc>
        <w:tc>
          <w:tcPr>
            <w:tcW w:w="1720" w:type="dxa"/>
            <w:vAlign w:val="bottom"/>
            <w:tcBorders>
              <w:right w:val="single" w:sz="8" w:color="auto"/>
            </w:tcBorders>
          </w:tcPr>
          <w:p>
            <w:pPr>
              <w:spacing w:after="0"/>
              <w:rPr>
                <w:sz w:val="19"/>
                <w:szCs w:val="19"/>
                <w:color w:val="auto"/>
              </w:rPr>
            </w:pPr>
          </w:p>
        </w:tc>
      </w:tr>
      <w:tr>
        <w:trPr>
          <w:trHeight w:val="185"/>
        </w:trPr>
        <w:tc>
          <w:tcPr>
            <w:tcW w:w="3300" w:type="dxa"/>
            <w:vAlign w:val="bottom"/>
            <w:tcBorders>
              <w:left w:val="single" w:sz="8" w:color="auto"/>
              <w:right w:val="single" w:sz="8" w:color="auto"/>
            </w:tcBorders>
            <w:shd w:val="clear" w:color="auto" w:fill="D4DBEB"/>
          </w:tcPr>
          <w:p>
            <w:pPr>
              <w:ind w:left="160"/>
              <w:spacing w:after="0"/>
              <w:rPr>
                <w:sz w:val="20"/>
                <w:szCs w:val="20"/>
                <w:color w:val="auto"/>
              </w:rPr>
            </w:pPr>
            <w:r>
              <w:rPr>
                <w:rFonts w:ascii="Arial" w:cs="Arial" w:eastAsia="Arial" w:hAnsi="Arial"/>
                <w:sz w:val="16"/>
                <w:szCs w:val="16"/>
                <w:color w:val="auto"/>
              </w:rPr>
              <w:t>State Street Corporation</w:t>
            </w:r>
          </w:p>
        </w:tc>
        <w:tc>
          <w:tcPr>
            <w:tcW w:w="1900" w:type="dxa"/>
            <w:vAlign w:val="bottom"/>
            <w:tcBorders>
              <w:right w:val="single" w:sz="8" w:color="auto"/>
            </w:tcBorders>
            <w:shd w:val="clear" w:color="auto" w:fill="D4DBEB"/>
          </w:tcPr>
          <w:p>
            <w:pPr>
              <w:jc w:val="right"/>
              <w:ind w:right="443"/>
              <w:spacing w:after="0"/>
              <w:rPr>
                <w:sz w:val="20"/>
                <w:szCs w:val="20"/>
                <w:color w:val="auto"/>
              </w:rPr>
            </w:pPr>
            <w:r>
              <w:rPr>
                <w:rFonts w:ascii="Arial" w:cs="Arial" w:eastAsia="Arial" w:hAnsi="Arial"/>
                <w:sz w:val="16"/>
                <w:szCs w:val="16"/>
                <w:color w:val="auto"/>
              </w:rPr>
              <w:t>213,671,449</w:t>
            </w:r>
          </w:p>
        </w:tc>
        <w:tc>
          <w:tcPr>
            <w:tcW w:w="1720" w:type="dxa"/>
            <w:vAlign w:val="bottom"/>
            <w:tcBorders>
              <w:right w:val="single" w:sz="8" w:color="auto"/>
            </w:tcBorders>
            <w:shd w:val="clear" w:color="auto" w:fill="D4DBEB"/>
          </w:tcPr>
          <w:p>
            <w:pPr>
              <w:jc w:val="center"/>
              <w:ind w:right="63"/>
              <w:spacing w:after="0"/>
              <w:rPr>
                <w:sz w:val="20"/>
                <w:szCs w:val="20"/>
                <w:color w:val="auto"/>
              </w:rPr>
            </w:pPr>
            <w:r>
              <w:rPr>
                <w:rFonts w:ascii="Arial" w:cs="Arial" w:eastAsia="Arial" w:hAnsi="Arial"/>
                <w:sz w:val="16"/>
                <w:szCs w:val="16"/>
                <w:color w:val="auto"/>
              </w:rPr>
              <w:t>5.0%</w:t>
            </w:r>
          </w:p>
        </w:tc>
      </w:tr>
      <w:tr>
        <w:trPr>
          <w:trHeight w:val="203"/>
        </w:trPr>
        <w:tc>
          <w:tcPr>
            <w:tcW w:w="3300" w:type="dxa"/>
            <w:vAlign w:val="bottom"/>
            <w:tcBorders>
              <w:left w:val="single" w:sz="8" w:color="auto"/>
              <w:right w:val="single" w:sz="8" w:color="auto"/>
            </w:tcBorders>
            <w:shd w:val="clear" w:color="auto" w:fill="D4DBEB"/>
          </w:tcPr>
          <w:p>
            <w:pPr>
              <w:ind w:left="160"/>
              <w:spacing w:after="0"/>
              <w:rPr>
                <w:sz w:val="20"/>
                <w:szCs w:val="20"/>
                <w:color w:val="auto"/>
              </w:rPr>
            </w:pPr>
            <w:r>
              <w:rPr>
                <w:rFonts w:ascii="Arial" w:cs="Arial" w:eastAsia="Arial" w:hAnsi="Arial"/>
                <w:sz w:val="16"/>
                <w:szCs w:val="16"/>
                <w:color w:val="auto"/>
              </w:rPr>
              <w:t>One Lincoln Street</w:t>
            </w:r>
          </w:p>
        </w:tc>
        <w:tc>
          <w:tcPr>
            <w:tcW w:w="1900" w:type="dxa"/>
            <w:vAlign w:val="bottom"/>
            <w:tcBorders>
              <w:right w:val="single" w:sz="8" w:color="auto"/>
            </w:tcBorders>
            <w:shd w:val="clear" w:color="auto" w:fill="D4DBEB"/>
          </w:tcPr>
          <w:p>
            <w:pPr>
              <w:spacing w:after="0"/>
              <w:rPr>
                <w:sz w:val="17"/>
                <w:szCs w:val="17"/>
                <w:color w:val="auto"/>
              </w:rPr>
            </w:pPr>
          </w:p>
        </w:tc>
        <w:tc>
          <w:tcPr>
            <w:tcW w:w="1720" w:type="dxa"/>
            <w:vAlign w:val="bottom"/>
            <w:tcBorders>
              <w:right w:val="single" w:sz="8" w:color="auto"/>
            </w:tcBorders>
            <w:shd w:val="clear" w:color="auto" w:fill="D4DBEB"/>
          </w:tcPr>
          <w:p>
            <w:pPr>
              <w:spacing w:after="0"/>
              <w:rPr>
                <w:sz w:val="17"/>
                <w:szCs w:val="17"/>
                <w:color w:val="auto"/>
              </w:rPr>
            </w:pPr>
          </w:p>
        </w:tc>
      </w:tr>
      <w:tr>
        <w:trPr>
          <w:trHeight w:val="220"/>
        </w:trPr>
        <w:tc>
          <w:tcPr>
            <w:tcW w:w="3300" w:type="dxa"/>
            <w:vAlign w:val="bottom"/>
            <w:tcBorders>
              <w:left w:val="single" w:sz="8" w:color="auto"/>
              <w:bottom w:val="single" w:sz="8" w:color="auto"/>
              <w:right w:val="single" w:sz="8" w:color="auto"/>
            </w:tcBorders>
            <w:shd w:val="clear" w:color="auto" w:fill="D4DBEB"/>
          </w:tcPr>
          <w:p>
            <w:pPr>
              <w:ind w:left="160"/>
              <w:spacing w:after="0"/>
              <w:rPr>
                <w:sz w:val="20"/>
                <w:szCs w:val="20"/>
                <w:color w:val="auto"/>
              </w:rPr>
            </w:pPr>
            <w:r>
              <w:rPr>
                <w:rFonts w:ascii="Arial" w:cs="Arial" w:eastAsia="Arial" w:hAnsi="Arial"/>
                <w:sz w:val="16"/>
                <w:szCs w:val="16"/>
                <w:color w:val="auto"/>
              </w:rPr>
              <w:t>Boston, MA 02111</w:t>
            </w:r>
          </w:p>
        </w:tc>
        <w:tc>
          <w:tcPr>
            <w:tcW w:w="1900" w:type="dxa"/>
            <w:vAlign w:val="bottom"/>
            <w:tcBorders>
              <w:bottom w:val="single" w:sz="8" w:color="auto"/>
              <w:right w:val="single" w:sz="8" w:color="auto"/>
            </w:tcBorders>
            <w:shd w:val="clear" w:color="auto" w:fill="D4DBEB"/>
          </w:tcPr>
          <w:p>
            <w:pPr>
              <w:spacing w:after="0"/>
              <w:rPr>
                <w:sz w:val="19"/>
                <w:szCs w:val="19"/>
                <w:color w:val="auto"/>
              </w:rPr>
            </w:pPr>
          </w:p>
        </w:tc>
        <w:tc>
          <w:tcPr>
            <w:tcW w:w="1720" w:type="dxa"/>
            <w:vAlign w:val="bottom"/>
            <w:tcBorders>
              <w:bottom w:val="single" w:sz="8" w:color="auto"/>
              <w:right w:val="single" w:sz="8" w:color="auto"/>
            </w:tcBorders>
            <w:shd w:val="clear" w:color="auto" w:fill="D4DBEB"/>
          </w:tcPr>
          <w:p>
            <w:pPr>
              <w:spacing w:after="0"/>
              <w:rPr>
                <w:sz w:val="19"/>
                <w:szCs w:val="19"/>
                <w:color w:val="auto"/>
              </w:rPr>
            </w:pPr>
          </w:p>
        </w:tc>
      </w:tr>
    </w:tbl>
    <w:p>
      <w:pPr>
        <w:spacing w:after="0" w:line="184" w:lineRule="exact"/>
        <w:rPr>
          <w:sz w:val="20"/>
          <w:szCs w:val="20"/>
          <w:color w:val="auto"/>
        </w:rPr>
      </w:pPr>
    </w:p>
    <w:p>
      <w:pPr>
        <w:ind w:left="860"/>
        <w:spacing w:after="0"/>
        <w:rPr>
          <w:sz w:val="20"/>
          <w:szCs w:val="20"/>
          <w:color w:val="auto"/>
        </w:rPr>
      </w:pPr>
      <w:r>
        <w:rPr>
          <w:rFonts w:ascii="Arial" w:cs="Arial" w:eastAsia="Arial" w:hAnsi="Arial"/>
          <w:sz w:val="20"/>
          <w:szCs w:val="20"/>
          <w:b w:val="1"/>
          <w:bCs w:val="1"/>
          <w:color w:val="2B4C9B"/>
        </w:rPr>
        <w:t>Director and Executive Officer Stock Ownership</w:t>
      </w:r>
    </w:p>
    <w:p>
      <w:pPr>
        <w:spacing w:after="0" w:line="103" w:lineRule="exact"/>
        <w:rPr>
          <w:sz w:val="20"/>
          <w:szCs w:val="20"/>
          <w:color w:val="auto"/>
        </w:rPr>
      </w:pPr>
    </w:p>
    <w:p>
      <w:pPr>
        <w:ind w:left="860" w:right="300"/>
        <w:spacing w:after="0" w:line="248" w:lineRule="auto"/>
        <w:rPr>
          <w:sz w:val="20"/>
          <w:szCs w:val="20"/>
          <w:color w:val="auto"/>
        </w:rPr>
      </w:pPr>
      <w:r>
        <w:rPr>
          <w:rFonts w:ascii="Arial" w:cs="Arial" w:eastAsia="Arial" w:hAnsi="Arial"/>
          <w:sz w:val="18"/>
          <w:szCs w:val="18"/>
          <w:color w:val="auto"/>
        </w:rPr>
        <w:t>These tables show the number of ExxonMobil common shares each executive named in the Summary Compensation Table on page 45 and each non-employee director or director nominee owned on February 28, 2018. In these tables, ownership means the right to direct the voting or the sale of shares, even if those rights are shared with someone else. None of these individuals owns more than 0.02 percent of the outstanding shares.</w:t>
      </w:r>
    </w:p>
    <w:p>
      <w:pPr>
        <w:spacing w:after="0" w:line="201" w:lineRule="exact"/>
        <w:rPr>
          <w:sz w:val="20"/>
          <w:szCs w:val="20"/>
          <w:color w:val="auto"/>
        </w:rPr>
      </w:pPr>
    </w:p>
    <w:tbl>
      <w:tblPr>
        <w:tblLayout w:type="fixed"/>
        <w:tblInd w:w="870" w:type="dxa"/>
        <w:tblCellMar>
          <w:top w:w="0" w:type="dxa"/>
          <w:left w:w="0" w:type="dxa"/>
          <w:bottom w:w="0" w:type="dxa"/>
          <w:right w:w="0" w:type="dxa"/>
        </w:tblCellMar>
      </w:tblPr>
      <w:tr>
        <w:trPr>
          <w:trHeight w:val="174"/>
        </w:trPr>
        <w:tc>
          <w:tcPr>
            <w:tcW w:w="5240" w:type="dxa"/>
            <w:vAlign w:val="bottom"/>
            <w:tcBorders>
              <w:top w:val="single" w:sz="8" w:color="auto"/>
              <w:left w:val="single" w:sz="8" w:color="auto"/>
              <w:right w:val="single" w:sz="8" w:color="auto"/>
            </w:tcBorders>
          </w:tcPr>
          <w:p>
            <w:pPr>
              <w:spacing w:after="0"/>
              <w:rPr>
                <w:sz w:val="15"/>
                <w:szCs w:val="15"/>
                <w:color w:val="auto"/>
              </w:rPr>
            </w:pPr>
          </w:p>
        </w:tc>
        <w:tc>
          <w:tcPr>
            <w:tcW w:w="1780" w:type="dxa"/>
            <w:vAlign w:val="bottom"/>
            <w:tcBorders>
              <w:top w:val="single" w:sz="8" w:color="auto"/>
              <w:right w:val="single" w:sz="8" w:color="auto"/>
            </w:tcBorders>
          </w:tcPr>
          <w:p>
            <w:pPr>
              <w:spacing w:after="0"/>
              <w:rPr>
                <w:sz w:val="15"/>
                <w:szCs w:val="15"/>
                <w:color w:val="auto"/>
              </w:rPr>
            </w:pPr>
          </w:p>
        </w:tc>
        <w:tc>
          <w:tcPr>
            <w:tcW w:w="1840" w:type="dxa"/>
            <w:vAlign w:val="bottom"/>
            <w:tcBorders>
              <w:top w:val="single" w:sz="8" w:color="auto"/>
              <w:right w:val="single" w:sz="8" w:color="auto"/>
            </w:tcBorders>
          </w:tcPr>
          <w:p>
            <w:pPr>
              <w:jc w:val="center"/>
              <w:spacing w:after="0"/>
              <w:rPr>
                <w:sz w:val="20"/>
                <w:szCs w:val="20"/>
                <w:color w:val="auto"/>
              </w:rPr>
            </w:pPr>
            <w:r>
              <w:rPr>
                <w:rFonts w:ascii="Arial" w:cs="Arial" w:eastAsia="Arial" w:hAnsi="Arial"/>
                <w:sz w:val="14"/>
                <w:szCs w:val="14"/>
                <w:b w:val="1"/>
                <w:bCs w:val="1"/>
                <w:color w:val="auto"/>
              </w:rPr>
              <w:t>Shares Covered by</w:t>
            </w:r>
          </w:p>
        </w:tc>
      </w:tr>
      <w:tr>
        <w:trPr>
          <w:trHeight w:val="191"/>
        </w:trPr>
        <w:tc>
          <w:tcPr>
            <w:tcW w:w="5240" w:type="dxa"/>
            <w:vAlign w:val="bottom"/>
            <w:tcBorders>
              <w:left w:val="single" w:sz="8" w:color="auto"/>
              <w:bottom w:val="single" w:sz="8" w:color="auto"/>
              <w:right w:val="single" w:sz="8" w:color="auto"/>
            </w:tcBorders>
          </w:tcPr>
          <w:p>
            <w:pPr>
              <w:ind w:left="140"/>
              <w:spacing w:after="0"/>
              <w:rPr>
                <w:sz w:val="20"/>
                <w:szCs w:val="20"/>
                <w:color w:val="auto"/>
              </w:rPr>
            </w:pPr>
            <w:r>
              <w:rPr>
                <w:rFonts w:ascii="Arial" w:cs="Arial" w:eastAsia="Arial" w:hAnsi="Arial"/>
                <w:sz w:val="14"/>
                <w:szCs w:val="14"/>
                <w:b w:val="1"/>
                <w:bCs w:val="1"/>
                <w:color w:val="auto"/>
              </w:rPr>
              <w:t>Named Executive Officer</w:t>
            </w:r>
          </w:p>
        </w:tc>
        <w:tc>
          <w:tcPr>
            <w:tcW w:w="1780" w:type="dxa"/>
            <w:vAlign w:val="bottom"/>
            <w:tcBorders>
              <w:bottom w:val="single" w:sz="8" w:color="auto"/>
              <w:right w:val="single" w:sz="8" w:color="auto"/>
            </w:tcBorders>
          </w:tcPr>
          <w:p>
            <w:pPr>
              <w:jc w:val="right"/>
              <w:ind w:right="263"/>
              <w:spacing w:after="0" w:line="191" w:lineRule="exact"/>
              <w:rPr>
                <w:sz w:val="20"/>
                <w:szCs w:val="20"/>
                <w:color w:val="auto"/>
              </w:rPr>
            </w:pPr>
            <w:r>
              <w:rPr>
                <w:rFonts w:ascii="Arial" w:cs="Arial" w:eastAsia="Arial" w:hAnsi="Arial"/>
                <w:sz w:val="13"/>
                <w:szCs w:val="13"/>
                <w:b w:val="1"/>
                <w:bCs w:val="1"/>
                <w:color w:val="auto"/>
              </w:rPr>
              <w:t>Shares Owned</w:t>
            </w:r>
            <w:r>
              <w:rPr>
                <w:rFonts w:ascii="Arial" w:cs="Arial" w:eastAsia="Arial" w:hAnsi="Arial"/>
                <w:sz w:val="22"/>
                <w:szCs w:val="22"/>
                <w:b w:val="1"/>
                <w:bCs w:val="1"/>
                <w:color w:val="auto"/>
                <w:vertAlign w:val="superscript"/>
              </w:rPr>
              <w:t>(1)</w:t>
            </w:r>
          </w:p>
        </w:tc>
        <w:tc>
          <w:tcPr>
            <w:tcW w:w="184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4"/>
                <w:szCs w:val="14"/>
                <w:b w:val="1"/>
                <w:bCs w:val="1"/>
                <w:color w:val="auto"/>
              </w:rPr>
              <w:t>Exercisable Options</w:t>
            </w:r>
          </w:p>
        </w:tc>
      </w:tr>
      <w:tr>
        <w:trPr>
          <w:trHeight w:val="210"/>
        </w:trPr>
        <w:tc>
          <w:tcPr>
            <w:tcW w:w="5240" w:type="dxa"/>
            <w:vAlign w:val="bottom"/>
            <w:tcBorders>
              <w:left w:val="single" w:sz="8" w:color="auto"/>
              <w:right w:val="single" w:sz="8" w:color="auto"/>
            </w:tcBorders>
            <w:shd w:val="clear" w:color="auto" w:fill="D4DBEB"/>
          </w:tcPr>
          <w:p>
            <w:pPr>
              <w:ind w:left="160"/>
              <w:spacing w:after="0"/>
              <w:rPr>
                <w:sz w:val="20"/>
                <w:szCs w:val="20"/>
                <w:color w:val="auto"/>
              </w:rPr>
            </w:pPr>
            <w:r>
              <w:rPr>
                <w:rFonts w:ascii="Arial" w:cs="Arial" w:eastAsia="Arial" w:hAnsi="Arial"/>
                <w:sz w:val="16"/>
                <w:szCs w:val="16"/>
                <w:color w:val="auto"/>
              </w:rPr>
              <w:t>D.W. Woods</w:t>
            </w:r>
          </w:p>
        </w:tc>
        <w:tc>
          <w:tcPr>
            <w:tcW w:w="1780" w:type="dxa"/>
            <w:vAlign w:val="bottom"/>
            <w:tcBorders>
              <w:right w:val="single" w:sz="8" w:color="auto"/>
            </w:tcBorders>
            <w:shd w:val="clear" w:color="auto" w:fill="D4DBEB"/>
          </w:tcPr>
          <w:p>
            <w:pPr>
              <w:jc w:val="right"/>
              <w:ind w:right="543"/>
              <w:spacing w:after="0"/>
              <w:rPr>
                <w:sz w:val="20"/>
                <w:szCs w:val="20"/>
                <w:color w:val="auto"/>
              </w:rPr>
            </w:pPr>
            <w:r>
              <w:rPr>
                <w:rFonts w:ascii="Arial" w:cs="Arial" w:eastAsia="Arial" w:hAnsi="Arial"/>
                <w:sz w:val="16"/>
                <w:szCs w:val="16"/>
                <w:color w:val="auto"/>
              </w:rPr>
              <w:t>72,686</w:t>
            </w:r>
          </w:p>
        </w:tc>
        <w:tc>
          <w:tcPr>
            <w:tcW w:w="1840" w:type="dxa"/>
            <w:vAlign w:val="bottom"/>
            <w:tcBorders>
              <w:right w:val="single" w:sz="8" w:color="auto"/>
            </w:tcBorders>
            <w:shd w:val="clear" w:color="auto" w:fill="D4DBEB"/>
          </w:tcPr>
          <w:p>
            <w:pPr>
              <w:jc w:val="center"/>
              <w:spacing w:after="0"/>
              <w:rPr>
                <w:sz w:val="20"/>
                <w:szCs w:val="20"/>
                <w:color w:val="auto"/>
              </w:rPr>
            </w:pPr>
            <w:r>
              <w:rPr>
                <w:rFonts w:ascii="Arial" w:cs="Arial" w:eastAsia="Arial" w:hAnsi="Arial"/>
                <w:sz w:val="16"/>
                <w:szCs w:val="16"/>
                <w:color w:val="auto"/>
              </w:rPr>
              <w:t>0</w:t>
            </w:r>
          </w:p>
        </w:tc>
      </w:tr>
      <w:tr>
        <w:trPr>
          <w:trHeight w:val="216"/>
        </w:trPr>
        <w:tc>
          <w:tcPr>
            <w:tcW w:w="5240" w:type="dxa"/>
            <w:vAlign w:val="bottom"/>
            <w:tcBorders>
              <w:left w:val="single" w:sz="8" w:color="auto"/>
              <w:right w:val="single" w:sz="8" w:color="auto"/>
            </w:tcBorders>
          </w:tcPr>
          <w:p>
            <w:pPr>
              <w:ind w:left="160"/>
              <w:spacing w:after="0"/>
              <w:rPr>
                <w:sz w:val="20"/>
                <w:szCs w:val="20"/>
                <w:color w:val="auto"/>
              </w:rPr>
            </w:pPr>
            <w:r>
              <w:rPr>
                <w:rFonts w:ascii="Arial" w:cs="Arial" w:eastAsia="Arial" w:hAnsi="Arial"/>
                <w:sz w:val="16"/>
                <w:szCs w:val="16"/>
                <w:color w:val="auto"/>
              </w:rPr>
              <w:t>M.W. Albers</w:t>
            </w:r>
          </w:p>
        </w:tc>
        <w:tc>
          <w:tcPr>
            <w:tcW w:w="1780" w:type="dxa"/>
            <w:vAlign w:val="bottom"/>
            <w:tcBorders>
              <w:right w:val="single" w:sz="8" w:color="auto"/>
            </w:tcBorders>
          </w:tcPr>
          <w:p>
            <w:pPr>
              <w:jc w:val="right"/>
              <w:ind w:right="543"/>
              <w:spacing w:after="0"/>
              <w:rPr>
                <w:sz w:val="20"/>
                <w:szCs w:val="20"/>
                <w:color w:val="auto"/>
              </w:rPr>
            </w:pPr>
            <w:r>
              <w:rPr>
                <w:rFonts w:ascii="Arial" w:cs="Arial" w:eastAsia="Arial" w:hAnsi="Arial"/>
                <w:sz w:val="16"/>
                <w:szCs w:val="16"/>
                <w:color w:val="auto"/>
              </w:rPr>
              <w:t>408,610</w:t>
            </w:r>
          </w:p>
        </w:tc>
        <w:tc>
          <w:tcPr>
            <w:tcW w:w="1840" w:type="dxa"/>
            <w:vAlign w:val="bottom"/>
            <w:tcBorders>
              <w:right w:val="single" w:sz="8" w:color="auto"/>
            </w:tcBorders>
          </w:tcPr>
          <w:p>
            <w:pPr>
              <w:jc w:val="center"/>
              <w:spacing w:after="0"/>
              <w:rPr>
                <w:sz w:val="20"/>
                <w:szCs w:val="20"/>
                <w:color w:val="auto"/>
              </w:rPr>
            </w:pPr>
            <w:r>
              <w:rPr>
                <w:rFonts w:ascii="Arial" w:cs="Arial" w:eastAsia="Arial" w:hAnsi="Arial"/>
                <w:sz w:val="16"/>
                <w:szCs w:val="16"/>
                <w:color w:val="auto"/>
              </w:rPr>
              <w:t>0</w:t>
            </w:r>
          </w:p>
        </w:tc>
      </w:tr>
      <w:tr>
        <w:trPr>
          <w:trHeight w:val="216"/>
        </w:trPr>
        <w:tc>
          <w:tcPr>
            <w:tcW w:w="5240" w:type="dxa"/>
            <w:vAlign w:val="bottom"/>
            <w:tcBorders>
              <w:left w:val="single" w:sz="8" w:color="auto"/>
              <w:right w:val="single" w:sz="8" w:color="auto"/>
            </w:tcBorders>
            <w:shd w:val="clear" w:color="auto" w:fill="D4DBEB"/>
          </w:tcPr>
          <w:p>
            <w:pPr>
              <w:ind w:left="160"/>
              <w:spacing w:after="0"/>
              <w:rPr>
                <w:sz w:val="20"/>
                <w:szCs w:val="20"/>
                <w:color w:val="auto"/>
              </w:rPr>
            </w:pPr>
            <w:r>
              <w:rPr>
                <w:rFonts w:ascii="Arial" w:cs="Arial" w:eastAsia="Arial" w:hAnsi="Arial"/>
                <w:sz w:val="16"/>
                <w:szCs w:val="16"/>
                <w:color w:val="auto"/>
              </w:rPr>
              <w:t>M.J. Dolan</w:t>
            </w:r>
          </w:p>
        </w:tc>
        <w:tc>
          <w:tcPr>
            <w:tcW w:w="1780" w:type="dxa"/>
            <w:vAlign w:val="bottom"/>
            <w:tcBorders>
              <w:right w:val="single" w:sz="8" w:color="auto"/>
            </w:tcBorders>
            <w:shd w:val="clear" w:color="auto" w:fill="D4DBEB"/>
          </w:tcPr>
          <w:p>
            <w:pPr>
              <w:jc w:val="right"/>
              <w:ind w:right="403"/>
              <w:spacing w:after="0" w:line="216" w:lineRule="exact"/>
              <w:rPr>
                <w:sz w:val="20"/>
                <w:szCs w:val="20"/>
                <w:color w:val="auto"/>
              </w:rPr>
            </w:pPr>
            <w:r>
              <w:rPr>
                <w:rFonts w:ascii="Arial" w:cs="Arial" w:eastAsia="Arial" w:hAnsi="Arial"/>
                <w:sz w:val="15"/>
                <w:szCs w:val="15"/>
                <w:color w:val="auto"/>
              </w:rPr>
              <w:t>509,105</w:t>
            </w:r>
            <w:r>
              <w:rPr>
                <w:rFonts w:ascii="Arial" w:cs="Arial" w:eastAsia="Arial" w:hAnsi="Arial"/>
                <w:sz w:val="25"/>
                <w:szCs w:val="25"/>
                <w:color w:val="auto"/>
                <w:vertAlign w:val="superscript"/>
              </w:rPr>
              <w:t>(2)</w:t>
            </w:r>
          </w:p>
        </w:tc>
        <w:tc>
          <w:tcPr>
            <w:tcW w:w="1840" w:type="dxa"/>
            <w:vAlign w:val="bottom"/>
            <w:tcBorders>
              <w:right w:val="single" w:sz="8" w:color="auto"/>
            </w:tcBorders>
            <w:shd w:val="clear" w:color="auto" w:fill="D4DBEB"/>
          </w:tcPr>
          <w:p>
            <w:pPr>
              <w:jc w:val="center"/>
              <w:spacing w:after="0"/>
              <w:rPr>
                <w:sz w:val="20"/>
                <w:szCs w:val="20"/>
                <w:color w:val="auto"/>
              </w:rPr>
            </w:pPr>
            <w:r>
              <w:rPr>
                <w:rFonts w:ascii="Arial" w:cs="Arial" w:eastAsia="Arial" w:hAnsi="Arial"/>
                <w:sz w:val="16"/>
                <w:szCs w:val="16"/>
                <w:color w:val="auto"/>
              </w:rPr>
              <w:t>0</w:t>
            </w:r>
          </w:p>
        </w:tc>
      </w:tr>
      <w:tr>
        <w:trPr>
          <w:trHeight w:val="216"/>
        </w:trPr>
        <w:tc>
          <w:tcPr>
            <w:tcW w:w="5240" w:type="dxa"/>
            <w:vAlign w:val="bottom"/>
            <w:tcBorders>
              <w:left w:val="single" w:sz="8" w:color="auto"/>
              <w:right w:val="single" w:sz="8" w:color="auto"/>
            </w:tcBorders>
          </w:tcPr>
          <w:p>
            <w:pPr>
              <w:ind w:left="160"/>
              <w:spacing w:after="0"/>
              <w:rPr>
                <w:sz w:val="20"/>
                <w:szCs w:val="20"/>
                <w:color w:val="auto"/>
              </w:rPr>
            </w:pPr>
            <w:r>
              <w:rPr>
                <w:rFonts w:ascii="Arial" w:cs="Arial" w:eastAsia="Arial" w:hAnsi="Arial"/>
                <w:sz w:val="16"/>
                <w:szCs w:val="16"/>
                <w:color w:val="auto"/>
              </w:rPr>
              <w:t>N.W. Duffin</w:t>
            </w:r>
          </w:p>
        </w:tc>
        <w:tc>
          <w:tcPr>
            <w:tcW w:w="1780" w:type="dxa"/>
            <w:vAlign w:val="bottom"/>
            <w:tcBorders>
              <w:right w:val="single" w:sz="8" w:color="auto"/>
            </w:tcBorders>
          </w:tcPr>
          <w:p>
            <w:pPr>
              <w:jc w:val="right"/>
              <w:ind w:right="403"/>
              <w:spacing w:after="0" w:line="216" w:lineRule="exact"/>
              <w:rPr>
                <w:sz w:val="20"/>
                <w:szCs w:val="20"/>
                <w:color w:val="auto"/>
              </w:rPr>
            </w:pPr>
            <w:r>
              <w:rPr>
                <w:rFonts w:ascii="Arial" w:cs="Arial" w:eastAsia="Arial" w:hAnsi="Arial"/>
                <w:sz w:val="15"/>
                <w:szCs w:val="15"/>
                <w:color w:val="auto"/>
              </w:rPr>
              <w:t>250,606</w:t>
            </w:r>
            <w:r>
              <w:rPr>
                <w:rFonts w:ascii="Arial" w:cs="Arial" w:eastAsia="Arial" w:hAnsi="Arial"/>
                <w:sz w:val="25"/>
                <w:szCs w:val="25"/>
                <w:color w:val="auto"/>
                <w:vertAlign w:val="superscript"/>
              </w:rPr>
              <w:t>(3)</w:t>
            </w:r>
          </w:p>
        </w:tc>
        <w:tc>
          <w:tcPr>
            <w:tcW w:w="1840" w:type="dxa"/>
            <w:vAlign w:val="bottom"/>
            <w:tcBorders>
              <w:right w:val="single" w:sz="8" w:color="auto"/>
            </w:tcBorders>
          </w:tcPr>
          <w:p>
            <w:pPr>
              <w:jc w:val="center"/>
              <w:spacing w:after="0"/>
              <w:rPr>
                <w:sz w:val="20"/>
                <w:szCs w:val="20"/>
                <w:color w:val="auto"/>
              </w:rPr>
            </w:pPr>
            <w:r>
              <w:rPr>
                <w:rFonts w:ascii="Arial" w:cs="Arial" w:eastAsia="Arial" w:hAnsi="Arial"/>
                <w:sz w:val="16"/>
                <w:szCs w:val="16"/>
                <w:color w:val="auto"/>
              </w:rPr>
              <w:t>0</w:t>
            </w:r>
          </w:p>
        </w:tc>
      </w:tr>
      <w:tr>
        <w:trPr>
          <w:trHeight w:val="216"/>
        </w:trPr>
        <w:tc>
          <w:tcPr>
            <w:tcW w:w="5240" w:type="dxa"/>
            <w:vAlign w:val="bottom"/>
            <w:tcBorders>
              <w:left w:val="single" w:sz="8" w:color="auto"/>
              <w:bottom w:val="single" w:sz="8" w:color="auto"/>
              <w:right w:val="single" w:sz="8" w:color="auto"/>
            </w:tcBorders>
            <w:shd w:val="clear" w:color="auto" w:fill="D4DBEB"/>
          </w:tcPr>
          <w:p>
            <w:pPr>
              <w:ind w:left="160"/>
              <w:spacing w:after="0"/>
              <w:rPr>
                <w:sz w:val="20"/>
                <w:szCs w:val="20"/>
                <w:color w:val="auto"/>
              </w:rPr>
            </w:pPr>
            <w:r>
              <w:rPr>
                <w:rFonts w:ascii="Arial" w:cs="Arial" w:eastAsia="Arial" w:hAnsi="Arial"/>
                <w:sz w:val="16"/>
                <w:szCs w:val="16"/>
                <w:color w:val="auto"/>
              </w:rPr>
              <w:t>A.P. Swiger</w:t>
            </w:r>
          </w:p>
        </w:tc>
        <w:tc>
          <w:tcPr>
            <w:tcW w:w="1780" w:type="dxa"/>
            <w:vAlign w:val="bottom"/>
            <w:tcBorders>
              <w:bottom w:val="single" w:sz="8" w:color="auto"/>
              <w:right w:val="single" w:sz="8" w:color="auto"/>
            </w:tcBorders>
            <w:shd w:val="clear" w:color="auto" w:fill="D4DBEB"/>
          </w:tcPr>
          <w:p>
            <w:pPr>
              <w:jc w:val="right"/>
              <w:ind w:right="543"/>
              <w:spacing w:after="0"/>
              <w:rPr>
                <w:sz w:val="20"/>
                <w:szCs w:val="20"/>
                <w:color w:val="auto"/>
              </w:rPr>
            </w:pPr>
            <w:r>
              <w:rPr>
                <w:rFonts w:ascii="Arial" w:cs="Arial" w:eastAsia="Arial" w:hAnsi="Arial"/>
                <w:sz w:val="16"/>
                <w:szCs w:val="16"/>
                <w:color w:val="auto"/>
              </w:rPr>
              <w:t>469,631</w:t>
            </w:r>
          </w:p>
        </w:tc>
        <w:tc>
          <w:tcPr>
            <w:tcW w:w="1840" w:type="dxa"/>
            <w:vAlign w:val="bottom"/>
            <w:tcBorders>
              <w:bottom w:val="single" w:sz="8" w:color="auto"/>
              <w:right w:val="single" w:sz="8" w:color="auto"/>
            </w:tcBorders>
            <w:shd w:val="clear" w:color="auto" w:fill="D4DBEB"/>
          </w:tcPr>
          <w:p>
            <w:pPr>
              <w:jc w:val="center"/>
              <w:spacing w:after="0"/>
              <w:rPr>
                <w:sz w:val="20"/>
                <w:szCs w:val="20"/>
                <w:color w:val="auto"/>
              </w:rPr>
            </w:pPr>
            <w:r>
              <w:rPr>
                <w:rFonts w:ascii="Arial" w:cs="Arial" w:eastAsia="Arial" w:hAnsi="Arial"/>
                <w:sz w:val="16"/>
                <w:szCs w:val="16"/>
                <w:color w:val="auto"/>
              </w:rPr>
              <w:t>0</w:t>
            </w:r>
          </w:p>
        </w:tc>
      </w:tr>
    </w:tbl>
    <w:p>
      <w:pPr>
        <w:spacing w:after="0" w:line="63" w:lineRule="exact"/>
        <w:rPr>
          <w:sz w:val="20"/>
          <w:szCs w:val="20"/>
          <w:color w:val="auto"/>
        </w:rPr>
      </w:pPr>
    </w:p>
    <w:p>
      <w:pPr>
        <w:ind w:left="1140" w:hanging="288"/>
        <w:spacing w:after="0" w:line="259" w:lineRule="auto"/>
        <w:tabs>
          <w:tab w:leader="none" w:pos="1140" w:val="left"/>
        </w:tabs>
        <w:numPr>
          <w:ilvl w:val="0"/>
          <w:numId w:val="35"/>
        </w:numPr>
        <w:rPr>
          <w:rFonts w:ascii="Arial" w:cs="Arial" w:eastAsia="Arial" w:hAnsi="Arial"/>
          <w:sz w:val="16"/>
          <w:szCs w:val="16"/>
          <w:color w:val="auto"/>
        </w:rPr>
      </w:pPr>
      <w:r>
        <w:rPr>
          <w:rFonts w:ascii="Arial" w:cs="Arial" w:eastAsia="Arial" w:hAnsi="Arial"/>
          <w:sz w:val="16"/>
          <w:szCs w:val="16"/>
          <w:color w:val="auto"/>
        </w:rPr>
        <w:t>Does not include unvested restricted stock units, which do not carry voting rights prior to the issuance of shares on settlement of the awards.</w:t>
      </w:r>
    </w:p>
    <w:p>
      <w:pPr>
        <w:spacing w:after="0" w:line="1" w:lineRule="exact"/>
        <w:rPr>
          <w:rFonts w:ascii="Arial" w:cs="Arial" w:eastAsia="Arial" w:hAnsi="Arial"/>
          <w:sz w:val="16"/>
          <w:szCs w:val="16"/>
          <w:color w:val="auto"/>
        </w:rPr>
      </w:pPr>
    </w:p>
    <w:p>
      <w:pPr>
        <w:ind w:left="1140" w:hanging="288"/>
        <w:spacing w:after="0"/>
        <w:tabs>
          <w:tab w:leader="none" w:pos="1140" w:val="left"/>
        </w:tabs>
        <w:numPr>
          <w:ilvl w:val="0"/>
          <w:numId w:val="35"/>
        </w:numPr>
        <w:rPr>
          <w:rFonts w:ascii="Arial" w:cs="Arial" w:eastAsia="Arial" w:hAnsi="Arial"/>
          <w:sz w:val="16"/>
          <w:szCs w:val="16"/>
          <w:color w:val="auto"/>
        </w:rPr>
      </w:pPr>
      <w:r>
        <w:rPr>
          <w:rFonts w:ascii="Arial" w:cs="Arial" w:eastAsia="Arial" w:hAnsi="Arial"/>
          <w:sz w:val="16"/>
          <w:szCs w:val="16"/>
          <w:color w:val="auto"/>
        </w:rPr>
        <w:t>Includes 184,003 shares jointly owned with spouse.</w:t>
      </w:r>
    </w:p>
    <w:p>
      <w:pPr>
        <w:spacing w:after="0" w:line="5" w:lineRule="exact"/>
        <w:rPr>
          <w:rFonts w:ascii="Arial" w:cs="Arial" w:eastAsia="Arial" w:hAnsi="Arial"/>
          <w:sz w:val="16"/>
          <w:szCs w:val="16"/>
          <w:color w:val="auto"/>
        </w:rPr>
      </w:pPr>
    </w:p>
    <w:p>
      <w:pPr>
        <w:ind w:left="1140" w:hanging="288"/>
        <w:spacing w:after="0"/>
        <w:tabs>
          <w:tab w:leader="none" w:pos="1140" w:val="left"/>
        </w:tabs>
        <w:numPr>
          <w:ilvl w:val="0"/>
          <w:numId w:val="35"/>
        </w:numPr>
        <w:rPr>
          <w:rFonts w:ascii="Arial" w:cs="Arial" w:eastAsia="Arial" w:hAnsi="Arial"/>
          <w:sz w:val="16"/>
          <w:szCs w:val="16"/>
          <w:color w:val="auto"/>
        </w:rPr>
      </w:pPr>
      <w:r>
        <w:rPr>
          <w:rFonts w:ascii="Arial" w:cs="Arial" w:eastAsia="Arial" w:hAnsi="Arial"/>
          <w:sz w:val="16"/>
          <w:szCs w:val="16"/>
          <w:color w:val="auto"/>
        </w:rPr>
        <w:t>Co-trustee and co-beneficiary with spouse in family trust for 93,529 shares.</w:t>
      </w:r>
    </w:p>
    <w:p>
      <w:pPr>
        <w:spacing w:after="0" w:line="226" w:lineRule="exact"/>
        <w:rPr>
          <w:sz w:val="20"/>
          <w:szCs w:val="20"/>
          <w:color w:val="auto"/>
        </w:rPr>
      </w:pPr>
    </w:p>
    <w:tbl>
      <w:tblPr>
        <w:tblLayout w:type="fixed"/>
        <w:tblInd w:w="870" w:type="dxa"/>
        <w:tblCellMar>
          <w:top w:w="0" w:type="dxa"/>
          <w:left w:w="0" w:type="dxa"/>
          <w:bottom w:w="0" w:type="dxa"/>
          <w:right w:w="0" w:type="dxa"/>
        </w:tblCellMar>
      </w:tblPr>
      <w:tr>
        <w:trPr>
          <w:trHeight w:val="176"/>
        </w:trPr>
        <w:tc>
          <w:tcPr>
            <w:tcW w:w="3240" w:type="dxa"/>
            <w:vAlign w:val="bottom"/>
            <w:tcBorders>
              <w:top w:val="single" w:sz="8" w:color="auto"/>
              <w:left w:val="single" w:sz="8" w:color="auto"/>
              <w:bottom w:val="single" w:sz="8" w:color="auto"/>
              <w:right w:val="single" w:sz="8" w:color="auto"/>
            </w:tcBorders>
          </w:tcPr>
          <w:p>
            <w:pPr>
              <w:ind w:left="140"/>
              <w:spacing w:after="0"/>
              <w:rPr>
                <w:sz w:val="20"/>
                <w:szCs w:val="20"/>
                <w:color w:val="auto"/>
              </w:rPr>
            </w:pPr>
            <w:r>
              <w:rPr>
                <w:rFonts w:ascii="Arial" w:cs="Arial" w:eastAsia="Arial" w:hAnsi="Arial"/>
                <w:sz w:val="14"/>
                <w:szCs w:val="14"/>
                <w:b w:val="1"/>
                <w:bCs w:val="1"/>
                <w:color w:val="auto"/>
              </w:rPr>
              <w:t>Non-Employee Director</w:t>
            </w:r>
          </w:p>
        </w:tc>
        <w:tc>
          <w:tcPr>
            <w:tcW w:w="1640" w:type="dxa"/>
            <w:vAlign w:val="bottom"/>
            <w:tcBorders>
              <w:top w:val="single" w:sz="8" w:color="auto"/>
              <w:bottom w:val="single" w:sz="8" w:color="auto"/>
              <w:right w:val="single" w:sz="8" w:color="auto"/>
            </w:tcBorders>
          </w:tcPr>
          <w:p>
            <w:pPr>
              <w:jc w:val="right"/>
              <w:ind w:right="260"/>
              <w:spacing w:after="0"/>
              <w:rPr>
                <w:sz w:val="20"/>
                <w:szCs w:val="20"/>
                <w:color w:val="auto"/>
              </w:rPr>
            </w:pPr>
            <w:r>
              <w:rPr>
                <w:rFonts w:ascii="Arial" w:cs="Arial" w:eastAsia="Arial" w:hAnsi="Arial"/>
                <w:sz w:val="14"/>
                <w:szCs w:val="14"/>
                <w:b w:val="1"/>
                <w:bCs w:val="1"/>
                <w:color w:val="auto"/>
              </w:rPr>
              <w:t>Shares Owned</w:t>
            </w:r>
          </w:p>
        </w:tc>
      </w:tr>
      <w:tr>
        <w:trPr>
          <w:trHeight w:val="210"/>
        </w:trPr>
        <w:tc>
          <w:tcPr>
            <w:tcW w:w="3240" w:type="dxa"/>
            <w:vAlign w:val="bottom"/>
            <w:tcBorders>
              <w:left w:val="single" w:sz="8" w:color="auto"/>
              <w:right w:val="single" w:sz="8" w:color="auto"/>
            </w:tcBorders>
            <w:shd w:val="clear" w:color="auto" w:fill="D4DBEB"/>
          </w:tcPr>
          <w:p>
            <w:pPr>
              <w:ind w:left="160"/>
              <w:spacing w:after="0"/>
              <w:rPr>
                <w:sz w:val="20"/>
                <w:szCs w:val="20"/>
                <w:color w:val="auto"/>
              </w:rPr>
            </w:pPr>
            <w:r>
              <w:rPr>
                <w:rFonts w:ascii="Arial" w:cs="Arial" w:eastAsia="Arial" w:hAnsi="Arial"/>
                <w:sz w:val="16"/>
                <w:szCs w:val="16"/>
                <w:color w:val="auto"/>
              </w:rPr>
              <w:t>S.K. Avery</w:t>
            </w:r>
          </w:p>
        </w:tc>
        <w:tc>
          <w:tcPr>
            <w:tcW w:w="1640" w:type="dxa"/>
            <w:vAlign w:val="bottom"/>
            <w:tcBorders>
              <w:right w:val="single" w:sz="8" w:color="auto"/>
            </w:tcBorders>
            <w:shd w:val="clear" w:color="auto" w:fill="D4DBEB"/>
          </w:tcPr>
          <w:p>
            <w:pPr>
              <w:jc w:val="right"/>
              <w:ind w:right="540"/>
              <w:spacing w:after="0"/>
              <w:rPr>
                <w:sz w:val="20"/>
                <w:szCs w:val="20"/>
                <w:color w:val="auto"/>
              </w:rPr>
            </w:pPr>
            <w:r>
              <w:rPr>
                <w:rFonts w:ascii="Arial" w:cs="Arial" w:eastAsia="Arial" w:hAnsi="Arial"/>
                <w:sz w:val="16"/>
                <w:szCs w:val="16"/>
                <w:color w:val="auto"/>
              </w:rPr>
              <w:t>10,500</w:t>
            </w:r>
          </w:p>
        </w:tc>
      </w:tr>
      <w:tr>
        <w:trPr>
          <w:trHeight w:val="216"/>
        </w:trPr>
        <w:tc>
          <w:tcPr>
            <w:tcW w:w="3240" w:type="dxa"/>
            <w:vAlign w:val="bottom"/>
            <w:tcBorders>
              <w:left w:val="single" w:sz="8" w:color="auto"/>
              <w:right w:val="single" w:sz="8" w:color="auto"/>
            </w:tcBorders>
          </w:tcPr>
          <w:p>
            <w:pPr>
              <w:ind w:left="160"/>
              <w:spacing w:after="0"/>
              <w:rPr>
                <w:sz w:val="20"/>
                <w:szCs w:val="20"/>
                <w:color w:val="auto"/>
              </w:rPr>
            </w:pPr>
            <w:r>
              <w:rPr>
                <w:rFonts w:ascii="Arial" w:cs="Arial" w:eastAsia="Arial" w:hAnsi="Arial"/>
                <w:sz w:val="16"/>
                <w:szCs w:val="16"/>
                <w:color w:val="auto"/>
              </w:rPr>
              <w:t>M.J. Boskin</w:t>
            </w:r>
          </w:p>
        </w:tc>
        <w:tc>
          <w:tcPr>
            <w:tcW w:w="1640" w:type="dxa"/>
            <w:vAlign w:val="bottom"/>
            <w:tcBorders>
              <w:right w:val="single" w:sz="8" w:color="auto"/>
            </w:tcBorders>
          </w:tcPr>
          <w:p>
            <w:pPr>
              <w:jc w:val="right"/>
              <w:ind w:right="540"/>
              <w:spacing w:after="0"/>
              <w:rPr>
                <w:sz w:val="20"/>
                <w:szCs w:val="20"/>
                <w:color w:val="auto"/>
              </w:rPr>
            </w:pPr>
            <w:r>
              <w:rPr>
                <w:rFonts w:ascii="Arial" w:cs="Arial" w:eastAsia="Arial" w:hAnsi="Arial"/>
                <w:sz w:val="16"/>
                <w:szCs w:val="16"/>
                <w:color w:val="auto"/>
              </w:rPr>
              <w:t>71,800</w:t>
            </w:r>
          </w:p>
        </w:tc>
      </w:tr>
      <w:tr>
        <w:trPr>
          <w:trHeight w:val="216"/>
        </w:trPr>
        <w:tc>
          <w:tcPr>
            <w:tcW w:w="3240" w:type="dxa"/>
            <w:vAlign w:val="bottom"/>
            <w:tcBorders>
              <w:left w:val="single" w:sz="8" w:color="auto"/>
              <w:right w:val="single" w:sz="8" w:color="auto"/>
            </w:tcBorders>
            <w:shd w:val="clear" w:color="auto" w:fill="D4DBEB"/>
          </w:tcPr>
          <w:p>
            <w:pPr>
              <w:ind w:left="160"/>
              <w:spacing w:after="0"/>
              <w:rPr>
                <w:sz w:val="20"/>
                <w:szCs w:val="20"/>
                <w:color w:val="auto"/>
              </w:rPr>
            </w:pPr>
            <w:r>
              <w:rPr>
                <w:rFonts w:ascii="Arial" w:cs="Arial" w:eastAsia="Arial" w:hAnsi="Arial"/>
                <w:sz w:val="16"/>
                <w:szCs w:val="16"/>
                <w:color w:val="auto"/>
              </w:rPr>
              <w:t>A.F. Braly</w:t>
            </w:r>
          </w:p>
        </w:tc>
        <w:tc>
          <w:tcPr>
            <w:tcW w:w="1640" w:type="dxa"/>
            <w:vAlign w:val="bottom"/>
            <w:tcBorders>
              <w:right w:val="single" w:sz="8" w:color="auto"/>
            </w:tcBorders>
            <w:shd w:val="clear" w:color="auto" w:fill="D4DBEB"/>
          </w:tcPr>
          <w:p>
            <w:pPr>
              <w:jc w:val="right"/>
              <w:ind w:right="540"/>
              <w:spacing w:after="0"/>
              <w:rPr>
                <w:sz w:val="20"/>
                <w:szCs w:val="20"/>
                <w:color w:val="auto"/>
              </w:rPr>
            </w:pPr>
            <w:r>
              <w:rPr>
                <w:rFonts w:ascii="Arial" w:cs="Arial" w:eastAsia="Arial" w:hAnsi="Arial"/>
                <w:sz w:val="16"/>
                <w:szCs w:val="16"/>
                <w:color w:val="auto"/>
              </w:rPr>
              <w:t>15,075</w:t>
            </w:r>
          </w:p>
        </w:tc>
      </w:tr>
      <w:tr>
        <w:trPr>
          <w:trHeight w:val="216"/>
        </w:trPr>
        <w:tc>
          <w:tcPr>
            <w:tcW w:w="3240" w:type="dxa"/>
            <w:vAlign w:val="bottom"/>
            <w:tcBorders>
              <w:left w:val="single" w:sz="8" w:color="auto"/>
              <w:right w:val="single" w:sz="8" w:color="auto"/>
            </w:tcBorders>
          </w:tcPr>
          <w:p>
            <w:pPr>
              <w:ind w:left="160"/>
              <w:spacing w:after="0"/>
              <w:rPr>
                <w:sz w:val="20"/>
                <w:szCs w:val="20"/>
                <w:color w:val="auto"/>
              </w:rPr>
            </w:pPr>
            <w:r>
              <w:rPr>
                <w:rFonts w:ascii="Arial" w:cs="Arial" w:eastAsia="Arial" w:hAnsi="Arial"/>
                <w:sz w:val="16"/>
                <w:szCs w:val="16"/>
                <w:color w:val="auto"/>
              </w:rPr>
              <w:t>U.M. Burns</w:t>
            </w:r>
          </w:p>
        </w:tc>
        <w:tc>
          <w:tcPr>
            <w:tcW w:w="1640" w:type="dxa"/>
            <w:vAlign w:val="bottom"/>
            <w:tcBorders>
              <w:right w:val="single" w:sz="8" w:color="auto"/>
            </w:tcBorders>
          </w:tcPr>
          <w:p>
            <w:pPr>
              <w:jc w:val="right"/>
              <w:ind w:right="540"/>
              <w:spacing w:after="0"/>
              <w:rPr>
                <w:sz w:val="20"/>
                <w:szCs w:val="20"/>
                <w:color w:val="auto"/>
              </w:rPr>
            </w:pPr>
            <w:r>
              <w:rPr>
                <w:rFonts w:ascii="Arial" w:cs="Arial" w:eastAsia="Arial" w:hAnsi="Arial"/>
                <w:sz w:val="16"/>
                <w:szCs w:val="16"/>
                <w:color w:val="auto"/>
              </w:rPr>
              <w:t>23,206</w:t>
            </w:r>
          </w:p>
        </w:tc>
      </w:tr>
      <w:tr>
        <w:trPr>
          <w:trHeight w:val="216"/>
        </w:trPr>
        <w:tc>
          <w:tcPr>
            <w:tcW w:w="3240" w:type="dxa"/>
            <w:vAlign w:val="bottom"/>
            <w:tcBorders>
              <w:left w:val="single" w:sz="8" w:color="auto"/>
              <w:right w:val="single" w:sz="8" w:color="auto"/>
            </w:tcBorders>
            <w:shd w:val="clear" w:color="auto" w:fill="D4DBEB"/>
          </w:tcPr>
          <w:p>
            <w:pPr>
              <w:ind w:left="160"/>
              <w:spacing w:after="0"/>
              <w:rPr>
                <w:sz w:val="20"/>
                <w:szCs w:val="20"/>
                <w:color w:val="auto"/>
              </w:rPr>
            </w:pPr>
            <w:r>
              <w:rPr>
                <w:rFonts w:ascii="Arial" w:cs="Arial" w:eastAsia="Arial" w:hAnsi="Arial"/>
                <w:sz w:val="16"/>
                <w:szCs w:val="16"/>
                <w:color w:val="auto"/>
              </w:rPr>
              <w:t>K.C. Frazier</w:t>
            </w:r>
          </w:p>
        </w:tc>
        <w:tc>
          <w:tcPr>
            <w:tcW w:w="1640" w:type="dxa"/>
            <w:vAlign w:val="bottom"/>
            <w:tcBorders>
              <w:right w:val="single" w:sz="8" w:color="auto"/>
            </w:tcBorders>
            <w:shd w:val="clear" w:color="auto" w:fill="D4DBEB"/>
          </w:tcPr>
          <w:p>
            <w:pPr>
              <w:jc w:val="right"/>
              <w:ind w:right="540"/>
              <w:spacing w:after="0"/>
              <w:rPr>
                <w:sz w:val="20"/>
                <w:szCs w:val="20"/>
                <w:color w:val="auto"/>
              </w:rPr>
            </w:pPr>
            <w:r>
              <w:rPr>
                <w:rFonts w:ascii="Arial" w:cs="Arial" w:eastAsia="Arial" w:hAnsi="Arial"/>
                <w:sz w:val="16"/>
                <w:szCs w:val="16"/>
                <w:color w:val="auto"/>
              </w:rPr>
              <w:t>30,500</w:t>
            </w:r>
          </w:p>
        </w:tc>
      </w:tr>
      <w:tr>
        <w:trPr>
          <w:trHeight w:val="216"/>
        </w:trPr>
        <w:tc>
          <w:tcPr>
            <w:tcW w:w="3240" w:type="dxa"/>
            <w:vAlign w:val="bottom"/>
            <w:tcBorders>
              <w:left w:val="single" w:sz="8" w:color="auto"/>
              <w:right w:val="single" w:sz="8" w:color="auto"/>
            </w:tcBorders>
          </w:tcPr>
          <w:p>
            <w:pPr>
              <w:ind w:left="160"/>
              <w:spacing w:after="0"/>
              <w:rPr>
                <w:sz w:val="20"/>
                <w:szCs w:val="20"/>
                <w:color w:val="auto"/>
              </w:rPr>
            </w:pPr>
            <w:r>
              <w:rPr>
                <w:rFonts w:ascii="Arial" w:cs="Arial" w:eastAsia="Arial" w:hAnsi="Arial"/>
                <w:sz w:val="16"/>
                <w:szCs w:val="16"/>
                <w:color w:val="auto"/>
              </w:rPr>
              <w:t>S.A. Kandarian</w:t>
            </w:r>
          </w:p>
        </w:tc>
        <w:tc>
          <w:tcPr>
            <w:tcW w:w="1640" w:type="dxa"/>
            <w:vAlign w:val="bottom"/>
            <w:tcBorders>
              <w:right w:val="single" w:sz="8" w:color="auto"/>
            </w:tcBorders>
          </w:tcPr>
          <w:p>
            <w:pPr>
              <w:jc w:val="right"/>
              <w:ind w:right="540"/>
              <w:spacing w:after="0"/>
              <w:rPr>
                <w:sz w:val="20"/>
                <w:szCs w:val="20"/>
                <w:color w:val="auto"/>
              </w:rPr>
            </w:pPr>
            <w:r>
              <w:rPr>
                <w:rFonts w:ascii="Arial" w:cs="Arial" w:eastAsia="Arial" w:hAnsi="Arial"/>
                <w:sz w:val="16"/>
                <w:szCs w:val="16"/>
                <w:color w:val="auto"/>
              </w:rPr>
              <w:t>8,000</w:t>
            </w:r>
          </w:p>
        </w:tc>
      </w:tr>
      <w:tr>
        <w:trPr>
          <w:trHeight w:val="216"/>
        </w:trPr>
        <w:tc>
          <w:tcPr>
            <w:tcW w:w="3240" w:type="dxa"/>
            <w:vAlign w:val="bottom"/>
            <w:tcBorders>
              <w:left w:val="single" w:sz="8" w:color="auto"/>
              <w:right w:val="single" w:sz="8" w:color="auto"/>
            </w:tcBorders>
            <w:shd w:val="clear" w:color="auto" w:fill="D4DBEB"/>
          </w:tcPr>
          <w:p>
            <w:pPr>
              <w:ind w:left="160"/>
              <w:spacing w:after="0"/>
              <w:rPr>
                <w:sz w:val="20"/>
                <w:szCs w:val="20"/>
                <w:color w:val="auto"/>
              </w:rPr>
            </w:pPr>
            <w:r>
              <w:rPr>
                <w:rFonts w:ascii="Arial" w:cs="Arial" w:eastAsia="Arial" w:hAnsi="Arial"/>
                <w:sz w:val="16"/>
                <w:szCs w:val="16"/>
                <w:color w:val="auto"/>
              </w:rPr>
              <w:t>D.R. Oberhelman</w:t>
            </w:r>
          </w:p>
        </w:tc>
        <w:tc>
          <w:tcPr>
            <w:tcW w:w="1640" w:type="dxa"/>
            <w:vAlign w:val="bottom"/>
            <w:tcBorders>
              <w:right w:val="single" w:sz="8" w:color="auto"/>
            </w:tcBorders>
            <w:shd w:val="clear" w:color="auto" w:fill="D4DBEB"/>
          </w:tcPr>
          <w:p>
            <w:pPr>
              <w:jc w:val="right"/>
              <w:ind w:right="540"/>
              <w:spacing w:after="0"/>
              <w:rPr>
                <w:sz w:val="20"/>
                <w:szCs w:val="20"/>
                <w:color w:val="auto"/>
              </w:rPr>
            </w:pPr>
            <w:r>
              <w:rPr>
                <w:rFonts w:ascii="Arial" w:cs="Arial" w:eastAsia="Arial" w:hAnsi="Arial"/>
                <w:sz w:val="16"/>
                <w:szCs w:val="16"/>
                <w:color w:val="auto"/>
              </w:rPr>
              <w:t>15,500</w:t>
            </w:r>
          </w:p>
        </w:tc>
      </w:tr>
      <w:tr>
        <w:trPr>
          <w:trHeight w:val="216"/>
        </w:trPr>
        <w:tc>
          <w:tcPr>
            <w:tcW w:w="3240" w:type="dxa"/>
            <w:vAlign w:val="bottom"/>
            <w:tcBorders>
              <w:left w:val="single" w:sz="8" w:color="auto"/>
              <w:right w:val="single" w:sz="8" w:color="auto"/>
            </w:tcBorders>
          </w:tcPr>
          <w:p>
            <w:pPr>
              <w:ind w:left="160"/>
              <w:spacing w:after="0"/>
              <w:rPr>
                <w:sz w:val="20"/>
                <w:szCs w:val="20"/>
                <w:color w:val="auto"/>
              </w:rPr>
            </w:pPr>
            <w:r>
              <w:rPr>
                <w:rFonts w:ascii="Arial" w:cs="Arial" w:eastAsia="Arial" w:hAnsi="Arial"/>
                <w:sz w:val="16"/>
                <w:szCs w:val="16"/>
                <w:color w:val="auto"/>
              </w:rPr>
              <w:t>S.J. Palmisano</w:t>
            </w:r>
          </w:p>
        </w:tc>
        <w:tc>
          <w:tcPr>
            <w:tcW w:w="1640" w:type="dxa"/>
            <w:vAlign w:val="bottom"/>
            <w:tcBorders>
              <w:right w:val="single" w:sz="8" w:color="auto"/>
            </w:tcBorders>
          </w:tcPr>
          <w:p>
            <w:pPr>
              <w:jc w:val="right"/>
              <w:ind w:right="540"/>
              <w:spacing w:after="0"/>
              <w:rPr>
                <w:sz w:val="20"/>
                <w:szCs w:val="20"/>
                <w:color w:val="auto"/>
              </w:rPr>
            </w:pPr>
            <w:r>
              <w:rPr>
                <w:rFonts w:ascii="Arial" w:cs="Arial" w:eastAsia="Arial" w:hAnsi="Arial"/>
                <w:sz w:val="16"/>
                <w:szCs w:val="16"/>
                <w:color w:val="auto"/>
              </w:rPr>
              <w:t>39,500</w:t>
            </w:r>
          </w:p>
        </w:tc>
      </w:tr>
      <w:tr>
        <w:trPr>
          <w:trHeight w:val="216"/>
        </w:trPr>
        <w:tc>
          <w:tcPr>
            <w:tcW w:w="3240" w:type="dxa"/>
            <w:vAlign w:val="bottom"/>
            <w:tcBorders>
              <w:left w:val="single" w:sz="8" w:color="auto"/>
              <w:right w:val="single" w:sz="8" w:color="auto"/>
            </w:tcBorders>
            <w:shd w:val="clear" w:color="auto" w:fill="D4DBEB"/>
          </w:tcPr>
          <w:p>
            <w:pPr>
              <w:ind w:left="160"/>
              <w:spacing w:after="0"/>
              <w:rPr>
                <w:sz w:val="20"/>
                <w:szCs w:val="20"/>
                <w:color w:val="auto"/>
              </w:rPr>
            </w:pPr>
            <w:r>
              <w:rPr>
                <w:rFonts w:ascii="Arial" w:cs="Arial" w:eastAsia="Arial" w:hAnsi="Arial"/>
                <w:sz w:val="16"/>
                <w:szCs w:val="16"/>
                <w:color w:val="auto"/>
              </w:rPr>
              <w:t>S.S Reinemund</w:t>
            </w:r>
          </w:p>
        </w:tc>
        <w:tc>
          <w:tcPr>
            <w:tcW w:w="1640" w:type="dxa"/>
            <w:vAlign w:val="bottom"/>
            <w:tcBorders>
              <w:right w:val="single" w:sz="8" w:color="auto"/>
            </w:tcBorders>
            <w:shd w:val="clear" w:color="auto" w:fill="D4DBEB"/>
          </w:tcPr>
          <w:p>
            <w:pPr>
              <w:jc w:val="right"/>
              <w:ind w:right="540"/>
              <w:spacing w:after="0"/>
              <w:rPr>
                <w:sz w:val="20"/>
                <w:szCs w:val="20"/>
                <w:color w:val="auto"/>
              </w:rPr>
            </w:pPr>
            <w:r>
              <w:rPr>
                <w:rFonts w:ascii="Arial" w:cs="Arial" w:eastAsia="Arial" w:hAnsi="Arial"/>
                <w:sz w:val="16"/>
                <w:szCs w:val="16"/>
                <w:color w:val="auto"/>
              </w:rPr>
              <w:t>45,625</w:t>
            </w:r>
          </w:p>
        </w:tc>
      </w:tr>
      <w:tr>
        <w:trPr>
          <w:trHeight w:val="189"/>
        </w:trPr>
        <w:tc>
          <w:tcPr>
            <w:tcW w:w="3240" w:type="dxa"/>
            <w:vAlign w:val="bottom"/>
            <w:tcBorders>
              <w:left w:val="single" w:sz="8" w:color="auto"/>
              <w:bottom w:val="single" w:sz="8" w:color="auto"/>
              <w:right w:val="single" w:sz="8" w:color="auto"/>
            </w:tcBorders>
          </w:tcPr>
          <w:p>
            <w:pPr>
              <w:ind w:left="160"/>
              <w:spacing w:after="0"/>
              <w:rPr>
                <w:sz w:val="20"/>
                <w:szCs w:val="20"/>
                <w:color w:val="auto"/>
              </w:rPr>
            </w:pPr>
            <w:r>
              <w:rPr>
                <w:rFonts w:ascii="Arial" w:cs="Arial" w:eastAsia="Arial" w:hAnsi="Arial"/>
                <w:sz w:val="16"/>
                <w:szCs w:val="16"/>
                <w:color w:val="auto"/>
              </w:rPr>
              <w:t>W.C. Weldon</w:t>
            </w:r>
          </w:p>
        </w:tc>
        <w:tc>
          <w:tcPr>
            <w:tcW w:w="1640" w:type="dxa"/>
            <w:vAlign w:val="bottom"/>
            <w:tcBorders>
              <w:bottom w:val="single" w:sz="8" w:color="auto"/>
              <w:right w:val="single" w:sz="8" w:color="auto"/>
            </w:tcBorders>
          </w:tcPr>
          <w:p>
            <w:pPr>
              <w:jc w:val="right"/>
              <w:ind w:right="540"/>
              <w:spacing w:after="0"/>
              <w:rPr>
                <w:sz w:val="20"/>
                <w:szCs w:val="20"/>
                <w:color w:val="auto"/>
              </w:rPr>
            </w:pPr>
            <w:r>
              <w:rPr>
                <w:rFonts w:ascii="Arial" w:cs="Arial" w:eastAsia="Arial" w:hAnsi="Arial"/>
                <w:sz w:val="16"/>
                <w:szCs w:val="16"/>
                <w:color w:val="auto"/>
              </w:rPr>
              <w:t>21,660</w:t>
            </w:r>
          </w:p>
        </w:tc>
      </w:tr>
    </w:tbl>
    <w:p>
      <w:pPr>
        <w:spacing w:after="0" w:line="85" w:lineRule="exact"/>
        <w:rPr>
          <w:sz w:val="20"/>
          <w:szCs w:val="20"/>
          <w:color w:val="auto"/>
        </w:rPr>
      </w:pPr>
    </w:p>
    <w:p>
      <w:pPr>
        <w:ind w:left="860" w:right="300"/>
        <w:spacing w:after="0" w:line="255" w:lineRule="auto"/>
        <w:rPr>
          <w:sz w:val="20"/>
          <w:szCs w:val="20"/>
          <w:color w:val="auto"/>
        </w:rPr>
      </w:pPr>
      <w:r>
        <w:rPr>
          <w:rFonts w:ascii="Arial" w:cs="Arial" w:eastAsia="Arial" w:hAnsi="Arial"/>
          <w:sz w:val="18"/>
          <w:szCs w:val="18"/>
          <w:color w:val="auto"/>
        </w:rPr>
        <w:t>On February 28, 2018, ExxonMobil’s incumbent directors and executive officers (30 people) together owned 3,214,905 shares of ExxonMobil stock and zero shares covered by exercisable options, representing about 0.08 percent of the outstanding shares.</w:t>
      </w:r>
    </w:p>
    <w:p>
      <w:pPr>
        <w:spacing w:after="0" w:line="97" w:lineRule="exact"/>
        <w:rPr>
          <w:sz w:val="20"/>
          <w:szCs w:val="20"/>
          <w:color w:val="auto"/>
        </w:rPr>
      </w:pPr>
    </w:p>
    <w:tbl>
      <w:tblPr>
        <w:tblLayout w:type="fixed"/>
        <w:tblInd w:w="6960" w:type="dxa"/>
        <w:tblCellMar>
          <w:top w:w="0" w:type="dxa"/>
          <w:left w:w="0" w:type="dxa"/>
          <w:bottom w:w="0" w:type="dxa"/>
          <w:right w:w="0" w:type="dxa"/>
        </w:tblCellMar>
      </w:tblPr>
      <w:tr>
        <w:trPr>
          <w:trHeight w:val="243"/>
        </w:trPr>
        <w:tc>
          <w:tcPr>
            <w:tcW w:w="2440" w:type="dxa"/>
            <w:vAlign w:val="bottom"/>
          </w:tcPr>
          <w:p>
            <w:pPr>
              <w:spacing w:after="0"/>
              <w:rPr>
                <w:sz w:val="20"/>
                <w:szCs w:val="20"/>
                <w:color w:val="auto"/>
              </w:rPr>
            </w:pPr>
            <w:r>
              <w:rPr>
                <w:rFonts w:ascii="Times New Roman" w:cs="Times New Roman" w:eastAsia="Times New Roman" w:hAnsi="Times New Roman"/>
                <w:sz w:val="18"/>
                <w:szCs w:val="18"/>
                <w:i w:val="1"/>
                <w:iCs w:val="1"/>
                <w:color w:val="auto"/>
              </w:rPr>
              <w:t>2018 Proxy Statement</w:t>
            </w:r>
          </w:p>
        </w:tc>
        <w:tc>
          <w:tcPr>
            <w:tcW w:w="1060" w:type="dxa"/>
            <w:vAlign w:val="bottom"/>
          </w:tcPr>
          <w:p>
            <w:pPr>
              <w:jc w:val="right"/>
              <w:spacing w:after="0"/>
              <w:rPr>
                <w:sz w:val="20"/>
                <w:szCs w:val="20"/>
                <w:color w:val="auto"/>
              </w:rPr>
            </w:pPr>
            <w:r>
              <w:rPr>
                <w:rFonts w:ascii="Arial" w:cs="Arial" w:eastAsia="Arial" w:hAnsi="Arial"/>
                <w:sz w:val="18"/>
                <w:szCs w:val="18"/>
                <w:color w:val="auto"/>
              </w:rPr>
              <w:t>23</w:t>
            </w:r>
          </w:p>
        </w:tc>
      </w:tr>
    </w:tbl>
    <w:p>
      <w:pPr>
        <w:sectPr>
          <w:pgSz w:w="11900" w:h="16838" w:orient="portrait"/>
          <w:cols w:equalWidth="0" w:num="1">
            <w:col w:w="10580"/>
          </w:cols>
          <w:pgMar w:left="240" w:top="455" w:right="1079" w:bottom="1440" w:gutter="0" w:footer="0" w:header="0"/>
        </w:sectPr>
      </w:pPr>
    </w:p>
    <w:bookmarkStart w:id="26" w:name="page27"/>
    <w:bookmarkEnd w:id="26"/>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Times New Roman" w:cs="Times New Roman" w:eastAsia="Times New Roman" w:hAnsi="Times New Roman"/>
            <w:sz w:val="18"/>
            <w:szCs w:val="18"/>
            <w:b w:val="1"/>
            <w:bCs w:val="1"/>
            <w:u w:val="single" w:color="auto"/>
            <w:color w:val="0000EE"/>
          </w:rPr>
          <w:t>Table of Contents</w:t>
        </w:r>
      </w:hyperlink>
    </w:p>
    <w:p>
      <w:pPr>
        <w:spacing w:after="0" w:line="303" w:lineRule="exact"/>
        <w:rPr>
          <w:sz w:val="20"/>
          <w:szCs w:val="20"/>
          <w:color w:val="auto"/>
        </w:rPr>
      </w:pPr>
    </w:p>
    <w:p>
      <w:pPr>
        <w:ind w:left="860"/>
        <w:spacing w:after="0"/>
        <w:rPr>
          <w:sz w:val="20"/>
          <w:szCs w:val="20"/>
          <w:color w:val="auto"/>
        </w:rPr>
      </w:pPr>
      <w:r>
        <w:rPr>
          <w:rFonts w:ascii="Arial" w:cs="Arial" w:eastAsia="Arial" w:hAnsi="Arial"/>
          <w:sz w:val="18"/>
          <w:szCs w:val="18"/>
          <w:b w:val="1"/>
          <w:bCs w:val="1"/>
          <w:color w:val="auto"/>
        </w:rPr>
        <w:t>Section 16(a) Beneficial Ownership Reporting Compliance</w:t>
      </w:r>
    </w:p>
    <w:p>
      <w:pPr>
        <w:spacing w:after="0" w:line="106" w:lineRule="exact"/>
        <w:rPr>
          <w:sz w:val="20"/>
          <w:szCs w:val="20"/>
          <w:color w:val="auto"/>
        </w:rPr>
      </w:pPr>
    </w:p>
    <w:p>
      <w:pPr>
        <w:ind w:left="860" w:right="180"/>
        <w:spacing w:after="0" w:line="255" w:lineRule="auto"/>
        <w:rPr>
          <w:sz w:val="20"/>
          <w:szCs w:val="20"/>
          <w:color w:val="auto"/>
        </w:rPr>
      </w:pPr>
      <w:r>
        <w:rPr>
          <w:rFonts w:ascii="Arial" w:cs="Arial" w:eastAsia="Arial" w:hAnsi="Arial"/>
          <w:sz w:val="18"/>
          <w:szCs w:val="18"/>
          <w:color w:val="auto"/>
        </w:rPr>
        <w:t>Section 16(a) of the Securities and Exchange Act of 1934 requires our executive officers and directors to file reports of their ownership and changes in ownership of ExxonMobil stock on Forms 3, 4, and 5 with the SEC. We are not aware of any unfiled or late reports for 2017.</w:t>
      </w:r>
    </w:p>
    <w:p>
      <w:pPr>
        <w:spacing w:after="0" w:line="162" w:lineRule="exact"/>
        <w:rPr>
          <w:sz w:val="20"/>
          <w:szCs w:val="20"/>
          <w:color w:val="auto"/>
        </w:rPr>
      </w:pPr>
    </w:p>
    <w:p>
      <w:pPr>
        <w:ind w:left="860"/>
        <w:spacing w:after="0"/>
        <w:rPr>
          <w:sz w:val="20"/>
          <w:szCs w:val="20"/>
          <w:color w:val="auto"/>
        </w:rPr>
      </w:pPr>
      <w:r>
        <w:rPr>
          <w:rFonts w:ascii="Arial" w:cs="Arial" w:eastAsia="Arial" w:hAnsi="Arial"/>
          <w:sz w:val="18"/>
          <w:szCs w:val="18"/>
          <w:b w:val="1"/>
          <w:bCs w:val="1"/>
          <w:color w:val="2B4C9B"/>
        </w:rPr>
        <w:t>Audit Committee Report</w:t>
      </w:r>
    </w:p>
    <w:p>
      <w:pPr>
        <w:spacing w:after="0" w:line="106" w:lineRule="exact"/>
        <w:rPr>
          <w:sz w:val="20"/>
          <w:szCs w:val="20"/>
          <w:color w:val="auto"/>
        </w:rPr>
      </w:pPr>
    </w:p>
    <w:p>
      <w:pPr>
        <w:ind w:left="860" w:right="580"/>
        <w:spacing w:after="0" w:line="243" w:lineRule="auto"/>
        <w:rPr>
          <w:sz w:val="20"/>
          <w:szCs w:val="20"/>
          <w:color w:val="auto"/>
        </w:rPr>
      </w:pPr>
      <w:r>
        <w:rPr>
          <w:rFonts w:ascii="Arial" w:cs="Arial" w:eastAsia="Arial" w:hAnsi="Arial"/>
          <w:sz w:val="18"/>
          <w:szCs w:val="18"/>
          <w:color w:val="auto"/>
        </w:rPr>
        <w:t xml:space="preserve">The primary function of our Committee is oversight of the Corporation’s financial reporting process, public financial reports, internal accounting and financial controls, and the independent audit of the annual consolidated financial statements. Our Committee acts under a charter, which can be found on the ExxonMobil website at </w:t>
      </w:r>
      <w:r>
        <w:rPr>
          <w:rFonts w:ascii="Arial" w:cs="Arial" w:eastAsia="Arial" w:hAnsi="Arial"/>
          <w:sz w:val="18"/>
          <w:szCs w:val="18"/>
          <w:i w:val="1"/>
          <w:iCs w:val="1"/>
          <w:color w:val="auto"/>
        </w:rPr>
        <w:t xml:space="preserve">exxonmobil.com/auditcharter. </w:t>
      </w:r>
      <w:r>
        <w:rPr>
          <w:rFonts w:ascii="Arial" w:cs="Arial" w:eastAsia="Arial" w:hAnsi="Arial"/>
          <w:sz w:val="18"/>
          <w:szCs w:val="18"/>
          <w:color w:val="auto"/>
        </w:rPr>
        <w:t>We review the adequacy of the charter at least annually. All of our members are</w:t>
      </w:r>
      <w:r>
        <w:rPr>
          <w:rFonts w:ascii="Arial" w:cs="Arial" w:eastAsia="Arial" w:hAnsi="Arial"/>
          <w:sz w:val="18"/>
          <w:szCs w:val="18"/>
          <w:i w:val="1"/>
          <w:iCs w:val="1"/>
          <w:color w:val="auto"/>
        </w:rPr>
        <w:t xml:space="preserve"> </w:t>
      </w:r>
      <w:r>
        <w:rPr>
          <w:rFonts w:ascii="Arial" w:cs="Arial" w:eastAsia="Arial" w:hAnsi="Arial"/>
          <w:sz w:val="18"/>
          <w:szCs w:val="18"/>
          <w:color w:val="auto"/>
        </w:rPr>
        <w:t>independent directors. We held 11 meetings in 2017 at which, as discussed in more detail below, we had extensive reports and discussions with the independent auditors, internal auditors, and members of management.</w:t>
      </w:r>
    </w:p>
    <w:p>
      <w:pPr>
        <w:spacing w:after="0" w:line="174" w:lineRule="exact"/>
        <w:rPr>
          <w:sz w:val="20"/>
          <w:szCs w:val="20"/>
          <w:color w:val="auto"/>
        </w:rPr>
      </w:pPr>
    </w:p>
    <w:p>
      <w:pPr>
        <w:ind w:left="860" w:right="100"/>
        <w:spacing w:after="0"/>
        <w:rPr>
          <w:sz w:val="20"/>
          <w:szCs w:val="20"/>
          <w:color w:val="auto"/>
        </w:rPr>
      </w:pPr>
      <w:r>
        <w:rPr>
          <w:rFonts w:ascii="Arial" w:cs="Arial" w:eastAsia="Arial" w:hAnsi="Arial"/>
          <w:sz w:val="18"/>
          <w:szCs w:val="18"/>
          <w:color w:val="auto"/>
        </w:rPr>
        <w:t xml:space="preserve">In performing our oversight function, we reviewed and discussed the consolidated financial statements with management and PricewaterhouseCoopers LLP (PwC), the independent auditors. Management and PwC indicated that the Corporation’s consolidated financial statements were fairly stated in accordance with generally accepted accounting principles. We discussed significant accounting policies applied by the Corporation in its financial statements, as well as alternative treatments. We discussed with PwC matters covered by Public Company Accounting Oversight Board (PCAOB) standards, including PCAOB AS 1301 </w:t>
      </w:r>
      <w:r>
        <w:rPr>
          <w:rFonts w:ascii="Arial" w:cs="Arial" w:eastAsia="Arial" w:hAnsi="Arial"/>
          <w:sz w:val="18"/>
          <w:szCs w:val="18"/>
          <w:i w:val="1"/>
          <w:iCs w:val="1"/>
          <w:color w:val="auto"/>
        </w:rPr>
        <w:t>Communication with Audit Committees</w:t>
      </w:r>
      <w:r>
        <w:rPr>
          <w:rFonts w:ascii="Arial" w:cs="Arial" w:eastAsia="Arial" w:hAnsi="Arial"/>
          <w:sz w:val="18"/>
          <w:szCs w:val="18"/>
          <w:color w:val="auto"/>
        </w:rPr>
        <w:t>. In addition, we reviewed and discussed management’s report on internal control over financial reporting and the related audits performed by PwC, which confirmed the effectiveness of the Corporation’s internal control over financial reporting.</w:t>
      </w:r>
    </w:p>
    <w:p>
      <w:pPr>
        <w:spacing w:after="0" w:line="181" w:lineRule="exact"/>
        <w:rPr>
          <w:sz w:val="20"/>
          <w:szCs w:val="20"/>
          <w:color w:val="auto"/>
        </w:rPr>
      </w:pPr>
    </w:p>
    <w:p>
      <w:pPr>
        <w:ind w:left="860" w:right="140"/>
        <w:spacing w:after="0" w:line="255" w:lineRule="auto"/>
        <w:rPr>
          <w:sz w:val="20"/>
          <w:szCs w:val="20"/>
          <w:color w:val="auto"/>
        </w:rPr>
      </w:pPr>
      <w:r>
        <w:rPr>
          <w:rFonts w:ascii="Arial" w:cs="Arial" w:eastAsia="Arial" w:hAnsi="Arial"/>
          <w:sz w:val="18"/>
          <w:szCs w:val="18"/>
          <w:color w:val="auto"/>
        </w:rPr>
        <w:t>We also discussed with PwC its independence from the Corporation and management, including the communications PwC is required to provide us under applicable PCAOB rules. We considered the non-audit services provided by PwC to the Corporation, and concluded that the auditors’ independence has been maintained.</w:t>
      </w:r>
    </w:p>
    <w:p>
      <w:pPr>
        <w:spacing w:after="0" w:line="164" w:lineRule="exact"/>
        <w:rPr>
          <w:sz w:val="20"/>
          <w:szCs w:val="20"/>
          <w:color w:val="auto"/>
        </w:rPr>
      </w:pPr>
    </w:p>
    <w:p>
      <w:pPr>
        <w:ind w:left="860" w:right="20"/>
        <w:spacing w:after="0" w:line="248" w:lineRule="auto"/>
        <w:rPr>
          <w:sz w:val="20"/>
          <w:szCs w:val="20"/>
          <w:color w:val="auto"/>
        </w:rPr>
      </w:pPr>
      <w:r>
        <w:rPr>
          <w:rFonts w:ascii="Arial" w:cs="Arial" w:eastAsia="Arial" w:hAnsi="Arial"/>
          <w:sz w:val="18"/>
          <w:szCs w:val="18"/>
          <w:color w:val="auto"/>
        </w:rPr>
        <w:t>We discussed with the Corporation’s internal auditors and PwC the overall scope and plans for their respective audits. We met with the internal auditors and PwC at each meeting, both with and without management present. Discussions included the results of their examinations, their evaluations of the Corporation’s internal controls, and the overall quality of the Corporation’s financial reporting.</w:t>
      </w:r>
    </w:p>
    <w:p>
      <w:pPr>
        <w:spacing w:after="0" w:line="171" w:lineRule="exact"/>
        <w:rPr>
          <w:sz w:val="20"/>
          <w:szCs w:val="20"/>
          <w:color w:val="auto"/>
        </w:rPr>
      </w:pPr>
    </w:p>
    <w:p>
      <w:pPr>
        <w:ind w:left="860" w:right="200"/>
        <w:spacing w:after="0" w:line="276" w:lineRule="auto"/>
        <w:rPr>
          <w:sz w:val="20"/>
          <w:szCs w:val="20"/>
          <w:color w:val="auto"/>
        </w:rPr>
      </w:pPr>
      <w:r>
        <w:rPr>
          <w:rFonts w:ascii="Arial" w:cs="Arial" w:eastAsia="Arial" w:hAnsi="Arial"/>
          <w:sz w:val="18"/>
          <w:szCs w:val="18"/>
          <w:color w:val="auto"/>
        </w:rPr>
        <w:t>We discussed with the Corporation’s management the comprehensive, long-standing risk management and compliance processes of the Corporation, and reviewed several topics of interest.</w:t>
      </w:r>
    </w:p>
    <w:p>
      <w:pPr>
        <w:spacing w:after="0" w:line="145" w:lineRule="exact"/>
        <w:rPr>
          <w:sz w:val="20"/>
          <w:szCs w:val="20"/>
          <w:color w:val="auto"/>
        </w:rPr>
      </w:pPr>
    </w:p>
    <w:p>
      <w:pPr>
        <w:ind w:left="860" w:right="60"/>
        <w:spacing w:after="0" w:line="248" w:lineRule="auto"/>
        <w:rPr>
          <w:sz w:val="20"/>
          <w:szCs w:val="20"/>
          <w:color w:val="auto"/>
        </w:rPr>
      </w:pPr>
      <w:r>
        <w:rPr>
          <w:rFonts w:ascii="Arial" w:cs="Arial" w:eastAsia="Arial" w:hAnsi="Arial"/>
          <w:sz w:val="18"/>
          <w:szCs w:val="18"/>
          <w:color w:val="auto"/>
        </w:rPr>
        <w:t xml:space="preserve">Based on the reviews and discussions referred to above, in reliance on management and PwC, and subject to the limitations of our role described below, we recommended to the Board, and the Board approved, the inclusion of the audited financial statements in the Corporation’s </w:t>
      </w:r>
      <w:r>
        <w:rPr>
          <w:rFonts w:ascii="Arial" w:cs="Arial" w:eastAsia="Arial" w:hAnsi="Arial"/>
          <w:sz w:val="18"/>
          <w:szCs w:val="18"/>
          <w:i w:val="1"/>
          <w:iCs w:val="1"/>
          <w:color w:val="auto"/>
        </w:rPr>
        <w:t>Annual Report on Form 10-K</w:t>
      </w:r>
      <w:r>
        <w:rPr>
          <w:rFonts w:ascii="Arial" w:cs="Arial" w:eastAsia="Arial" w:hAnsi="Arial"/>
          <w:sz w:val="18"/>
          <w:szCs w:val="18"/>
          <w:color w:val="auto"/>
        </w:rPr>
        <w:t xml:space="preserve"> for the year ended December 31, 2017, for filing with the SEC.</w:t>
      </w:r>
    </w:p>
    <w:p>
      <w:pPr>
        <w:spacing w:after="0" w:line="171" w:lineRule="exact"/>
        <w:rPr>
          <w:sz w:val="20"/>
          <w:szCs w:val="20"/>
          <w:color w:val="auto"/>
        </w:rPr>
      </w:pPr>
    </w:p>
    <w:p>
      <w:pPr>
        <w:ind w:left="860"/>
        <w:spacing w:after="0" w:line="276" w:lineRule="auto"/>
        <w:rPr>
          <w:sz w:val="20"/>
          <w:szCs w:val="20"/>
          <w:color w:val="auto"/>
        </w:rPr>
      </w:pPr>
      <w:r>
        <w:rPr>
          <w:rFonts w:ascii="Arial" w:cs="Arial" w:eastAsia="Arial" w:hAnsi="Arial"/>
          <w:sz w:val="18"/>
          <w:szCs w:val="18"/>
          <w:color w:val="auto"/>
        </w:rPr>
        <w:t>We have also appointed PwC to audit the Corporation’s financial statements for 2018, subject to shareholder ratification of that appointment.</w:t>
      </w:r>
    </w:p>
    <w:p>
      <w:pPr>
        <w:spacing w:after="0" w:line="145" w:lineRule="exact"/>
        <w:rPr>
          <w:sz w:val="20"/>
          <w:szCs w:val="20"/>
          <w:color w:val="auto"/>
        </w:rPr>
      </w:pPr>
    </w:p>
    <w:p>
      <w:pPr>
        <w:ind w:left="860" w:right="80"/>
        <w:spacing w:after="0"/>
        <w:rPr>
          <w:sz w:val="20"/>
          <w:szCs w:val="20"/>
          <w:color w:val="auto"/>
        </w:rPr>
      </w:pPr>
      <w:r>
        <w:rPr>
          <w:rFonts w:ascii="Arial" w:cs="Arial" w:eastAsia="Arial" w:hAnsi="Arial"/>
          <w:sz w:val="18"/>
          <w:szCs w:val="18"/>
          <w:color w:val="auto"/>
        </w:rPr>
        <w:t>In carrying out our responsibilities, we look to management and the independent auditors. Management is responsible for the preparation and fair presentation of the Corporation’s financial statements and for maintaining effective internal control. Management is also responsible for assessing and maintaining the effectiveness of internal control over the financial reporting process in compliance with Sarbanes-Oxley Section 404 requirements. The independent auditors are responsible for auditing the Corporation’s annual financial statements, and expressing an opinion as to whether the statements are fairly stated in conformity with generally accepted accounting principles. In addition, the independent auditors are responsible for auditing the Corporation’s internal control over financial reporting and for expressing an opinion on the effectiveness of internal control over financial reporting. The independent auditors perform their responsibilities in accordance with the standards of the PCAOB. Our members</w:t>
      </w:r>
    </w:p>
    <w:p>
      <w:pPr>
        <w:spacing w:after="0" w:line="109" w:lineRule="exact"/>
        <w:rPr>
          <w:sz w:val="20"/>
          <w:szCs w:val="20"/>
          <w:color w:val="auto"/>
        </w:rPr>
      </w:pPr>
    </w:p>
    <w:p>
      <w:pPr>
        <w:ind w:left="880"/>
        <w:spacing w:after="0"/>
        <w:tabs>
          <w:tab w:leader="none" w:pos="2780" w:val="left"/>
        </w:tabs>
        <w:rPr>
          <w:sz w:val="20"/>
          <w:szCs w:val="20"/>
          <w:color w:val="auto"/>
        </w:rPr>
      </w:pPr>
      <w:r>
        <w:rPr>
          <w:rFonts w:ascii="Arial" w:cs="Arial" w:eastAsia="Arial" w:hAnsi="Arial"/>
          <w:sz w:val="18"/>
          <w:szCs w:val="18"/>
          <w:color w:val="auto"/>
        </w:rPr>
        <w:t>24</w:t>
      </w:r>
      <w:r>
        <w:rPr>
          <w:sz w:val="20"/>
          <w:szCs w:val="20"/>
          <w:color w:val="auto"/>
        </w:rPr>
        <w:tab/>
      </w:r>
      <w:r>
        <w:rPr>
          <w:rFonts w:ascii="Times New Roman" w:cs="Times New Roman" w:eastAsia="Times New Roman" w:hAnsi="Times New Roman"/>
          <w:sz w:val="18"/>
          <w:szCs w:val="18"/>
          <w:i w:val="1"/>
          <w:iCs w:val="1"/>
          <w:color w:val="auto"/>
        </w:rPr>
        <w:t>2018 Proxy Statement</w:t>
      </w:r>
    </w:p>
    <w:p>
      <w:pPr>
        <w:sectPr>
          <w:pgSz w:w="11900" w:h="16838" w:orient="portrait"/>
          <w:cols w:equalWidth="0" w:num="1">
            <w:col w:w="10560"/>
          </w:cols>
          <w:pgMar w:left="240" w:top="455" w:right="1099" w:bottom="1440" w:gutter="0" w:footer="0" w:header="0"/>
        </w:sectPr>
      </w:pPr>
    </w:p>
    <w:bookmarkStart w:id="27" w:name="page28"/>
    <w:bookmarkEnd w:id="27"/>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Times New Roman" w:cs="Times New Roman" w:eastAsia="Times New Roman" w:hAnsi="Times New Roman"/>
            <w:sz w:val="18"/>
            <w:szCs w:val="18"/>
            <w:b w:val="1"/>
            <w:bCs w:val="1"/>
            <w:u w:val="single" w:color="auto"/>
            <w:color w:val="0000EE"/>
          </w:rPr>
          <w:t>Table of Contents</w:t>
        </w:r>
      </w:hyperlink>
    </w:p>
    <w:p>
      <w:pPr>
        <w:spacing w:after="0" w:line="305" w:lineRule="exact"/>
        <w:rPr>
          <w:sz w:val="20"/>
          <w:szCs w:val="20"/>
          <w:color w:val="auto"/>
        </w:rPr>
      </w:pPr>
    </w:p>
    <w:p>
      <w:pPr>
        <w:ind w:left="860" w:right="260"/>
        <w:spacing w:after="0" w:line="276" w:lineRule="auto"/>
        <w:rPr>
          <w:sz w:val="20"/>
          <w:szCs w:val="20"/>
          <w:color w:val="auto"/>
        </w:rPr>
      </w:pPr>
      <w:r>
        <w:rPr>
          <w:rFonts w:ascii="Arial" w:cs="Arial" w:eastAsia="Arial" w:hAnsi="Arial"/>
          <w:sz w:val="18"/>
          <w:szCs w:val="18"/>
          <w:color w:val="auto"/>
        </w:rPr>
        <w:t>are not professionally engaged in the practice of accounting or auditing, and are not experts under the Securities Act of 1933 in either of those fields or in auditor independence.</w:t>
      </w:r>
    </w:p>
    <w:p>
      <w:pPr>
        <w:sectPr>
          <w:pgSz w:w="11900" w:h="16838" w:orient="portrait"/>
          <w:cols w:equalWidth="0" w:num="1">
            <w:col w:w="10560"/>
          </w:cols>
          <w:pgMar w:left="240" w:top="455" w:right="1099" w:bottom="1440" w:gutter="0" w:footer="0" w:header="0"/>
        </w:sectPr>
      </w:pPr>
    </w:p>
    <w:p>
      <w:pPr>
        <w:spacing w:after="0" w:line="172" w:lineRule="exact"/>
        <w:rPr>
          <w:sz w:val="20"/>
          <w:szCs w:val="20"/>
          <w:color w:val="auto"/>
        </w:rPr>
      </w:pPr>
    </w:p>
    <w:p>
      <w:pPr>
        <w:ind w:left="880"/>
        <w:spacing w:after="0"/>
        <w:rPr>
          <w:sz w:val="20"/>
          <w:szCs w:val="20"/>
          <w:color w:val="auto"/>
        </w:rPr>
      </w:pPr>
      <w:r>
        <w:rPr>
          <w:rFonts w:ascii="Arial" w:cs="Arial" w:eastAsia="Arial" w:hAnsi="Arial"/>
          <w:sz w:val="17"/>
          <w:szCs w:val="17"/>
          <w:color w:val="auto"/>
        </w:rPr>
        <w:t>Ursula M. Burns, Chair</w:t>
      </w:r>
    </w:p>
    <w:p>
      <w:pPr>
        <w:spacing w:after="0" w:line="29" w:lineRule="exact"/>
        <w:rPr>
          <w:sz w:val="20"/>
          <w:szCs w:val="20"/>
          <w:color w:val="auto"/>
        </w:rPr>
      </w:pPr>
    </w:p>
    <w:p>
      <w:pPr>
        <w:ind w:left="880"/>
        <w:spacing w:after="0"/>
        <w:rPr>
          <w:sz w:val="20"/>
          <w:szCs w:val="20"/>
          <w:color w:val="auto"/>
        </w:rPr>
      </w:pPr>
      <w:r>
        <w:rPr>
          <w:rFonts w:ascii="Arial" w:cs="Arial" w:eastAsia="Arial" w:hAnsi="Arial"/>
          <w:sz w:val="18"/>
          <w:szCs w:val="18"/>
          <w:color w:val="auto"/>
        </w:rPr>
        <w:t>William C. Weldon</w:t>
      </w:r>
    </w:p>
    <w:p>
      <w:pPr>
        <w:spacing w:after="0" w:line="20" w:lineRule="exact"/>
        <w:rPr>
          <w:sz w:val="20"/>
          <w:szCs w:val="20"/>
          <w:color w:val="auto"/>
        </w:rPr>
      </w:pPr>
      <w:r>
        <w:rPr>
          <w:sz w:val="20"/>
          <w:szCs w:val="20"/>
          <w:color w:val="auto"/>
        </w:rPr>
        <w:br w:type="column"/>
      </w:r>
    </w:p>
    <w:p>
      <w:pPr>
        <w:spacing w:after="0" w:line="152" w:lineRule="exact"/>
        <w:rPr>
          <w:sz w:val="20"/>
          <w:szCs w:val="20"/>
          <w:color w:val="auto"/>
        </w:rPr>
      </w:pPr>
    </w:p>
    <w:p>
      <w:pPr>
        <w:spacing w:after="0"/>
        <w:rPr>
          <w:sz w:val="20"/>
          <w:szCs w:val="20"/>
          <w:color w:val="auto"/>
        </w:rPr>
      </w:pPr>
      <w:r>
        <w:rPr>
          <w:rFonts w:ascii="Arial" w:cs="Arial" w:eastAsia="Arial" w:hAnsi="Arial"/>
          <w:sz w:val="17"/>
          <w:szCs w:val="17"/>
          <w:color w:val="auto"/>
        </w:rPr>
        <w:t>Douglas R. Oberhelman</w:t>
      </w:r>
    </w:p>
    <w:p>
      <w:pPr>
        <w:spacing w:after="0" w:line="436" w:lineRule="exact"/>
        <w:rPr>
          <w:sz w:val="20"/>
          <w:szCs w:val="20"/>
          <w:color w:val="auto"/>
        </w:rPr>
      </w:pPr>
    </w:p>
    <w:p>
      <w:pPr>
        <w:sectPr>
          <w:pgSz w:w="11900" w:h="16838" w:orient="portrait"/>
          <w:cols w:equalWidth="0" w:num="2">
            <w:col w:w="5300" w:space="720"/>
            <w:col w:w="4540"/>
          </w:cols>
          <w:pgMar w:left="240" w:top="455" w:right="1099" w:bottom="1440" w:gutter="0" w:footer="0" w:header="0"/>
          <w:type w:val="continuous"/>
        </w:sectPr>
      </w:pPr>
    </w:p>
    <w:p>
      <w:pPr>
        <w:spacing w:after="0" w:line="197" w:lineRule="exact"/>
        <w:rPr>
          <w:sz w:val="20"/>
          <w:szCs w:val="20"/>
          <w:color w:val="auto"/>
        </w:rPr>
      </w:pPr>
    </w:p>
    <w:p>
      <w:pPr>
        <w:ind w:left="860"/>
        <w:spacing w:after="0"/>
        <w:rPr>
          <w:sz w:val="20"/>
          <w:szCs w:val="20"/>
          <w:color w:val="auto"/>
        </w:rPr>
      </w:pPr>
      <w:r>
        <w:rPr>
          <w:rFonts w:ascii="Arial" w:cs="Arial" w:eastAsia="Arial" w:hAnsi="Arial"/>
          <w:sz w:val="20"/>
          <w:szCs w:val="20"/>
          <w:b w:val="1"/>
          <w:bCs w:val="1"/>
          <w:color w:val="auto"/>
        </w:rPr>
        <w:t>Item 2 – Ratification of Independent Auditors</w:t>
      </w:r>
    </w:p>
    <w:p>
      <w:pPr>
        <w:spacing w:after="0" w:line="103" w:lineRule="exact"/>
        <w:rPr>
          <w:sz w:val="20"/>
          <w:szCs w:val="20"/>
          <w:color w:val="auto"/>
        </w:rPr>
      </w:pPr>
    </w:p>
    <w:p>
      <w:pPr>
        <w:ind w:left="860" w:right="200"/>
        <w:spacing w:after="0" w:line="276" w:lineRule="auto"/>
        <w:rPr>
          <w:sz w:val="20"/>
          <w:szCs w:val="20"/>
          <w:color w:val="auto"/>
        </w:rPr>
      </w:pPr>
      <w:r>
        <w:rPr>
          <w:rFonts w:ascii="Arial" w:cs="Arial" w:eastAsia="Arial" w:hAnsi="Arial"/>
          <w:sz w:val="18"/>
          <w:szCs w:val="18"/>
          <w:color w:val="auto"/>
        </w:rPr>
        <w:t>The Audit Committee has appointed PricewaterhouseCoopers LLP (PwC) to audit ExxonMobil’s financial statements for 2018. We are asking you to ratify that appointment.</w:t>
      </w:r>
    </w:p>
    <w:p>
      <w:pPr>
        <w:spacing w:after="0" w:line="143" w:lineRule="exact"/>
        <w:rPr>
          <w:sz w:val="20"/>
          <w:szCs w:val="20"/>
          <w:color w:val="auto"/>
        </w:rPr>
      </w:pPr>
    </w:p>
    <w:p>
      <w:pPr>
        <w:ind w:left="860"/>
        <w:spacing w:after="0"/>
        <w:rPr>
          <w:sz w:val="20"/>
          <w:szCs w:val="20"/>
          <w:color w:val="auto"/>
        </w:rPr>
      </w:pPr>
      <w:r>
        <w:rPr>
          <w:rFonts w:ascii="Arial" w:cs="Arial" w:eastAsia="Arial" w:hAnsi="Arial"/>
          <w:sz w:val="18"/>
          <w:szCs w:val="18"/>
          <w:b w:val="1"/>
          <w:bCs w:val="1"/>
          <w:color w:val="auto"/>
        </w:rPr>
        <w:t>Total Fees</w:t>
      </w:r>
    </w:p>
    <w:p>
      <w:pPr>
        <w:spacing w:after="0" w:line="106" w:lineRule="exact"/>
        <w:rPr>
          <w:sz w:val="20"/>
          <w:szCs w:val="20"/>
          <w:color w:val="auto"/>
        </w:rPr>
      </w:pPr>
    </w:p>
    <w:p>
      <w:pPr>
        <w:ind w:left="860" w:right="440"/>
        <w:spacing w:after="0" w:line="245" w:lineRule="auto"/>
        <w:rPr>
          <w:sz w:val="20"/>
          <w:szCs w:val="20"/>
          <w:color w:val="auto"/>
        </w:rPr>
      </w:pPr>
      <w:r>
        <w:rPr>
          <w:rFonts w:ascii="Arial" w:cs="Arial" w:eastAsia="Arial" w:hAnsi="Arial"/>
          <w:sz w:val="18"/>
          <w:szCs w:val="18"/>
          <w:color w:val="auto"/>
        </w:rPr>
        <w:t xml:space="preserve">The total fees for PwC professional services rendered to ExxonMobil for the year ended December 31, 2017, were $45.1 million, an increase of $8.8 million from 2016. The Audit Committee reviewed and pre-approved all services in accordance with the service pre-approval policies and procedures, which can be found on the ExxonMobil website at </w:t>
      </w:r>
      <w:r>
        <w:rPr>
          <w:rFonts w:ascii="Arial" w:cs="Arial" w:eastAsia="Arial" w:hAnsi="Arial"/>
          <w:sz w:val="18"/>
          <w:szCs w:val="18"/>
          <w:i w:val="1"/>
          <w:iCs w:val="1"/>
          <w:color w:val="auto"/>
        </w:rPr>
        <w:t xml:space="preserve">exxonmobil.com/pre-approval. </w:t>
      </w:r>
      <w:r>
        <w:rPr>
          <w:rFonts w:ascii="Arial" w:cs="Arial" w:eastAsia="Arial" w:hAnsi="Arial"/>
          <w:sz w:val="18"/>
          <w:szCs w:val="18"/>
          <w:color w:val="auto"/>
        </w:rPr>
        <w:t>The Audit Committee did not use the “de minimis” exception to pre-approval that is</w:t>
      </w:r>
      <w:r>
        <w:rPr>
          <w:rFonts w:ascii="Arial" w:cs="Arial" w:eastAsia="Arial" w:hAnsi="Arial"/>
          <w:sz w:val="18"/>
          <w:szCs w:val="18"/>
          <w:i w:val="1"/>
          <w:iCs w:val="1"/>
          <w:color w:val="auto"/>
        </w:rPr>
        <w:t xml:space="preserve"> </w:t>
      </w:r>
      <w:r>
        <w:rPr>
          <w:rFonts w:ascii="Arial" w:cs="Arial" w:eastAsia="Arial" w:hAnsi="Arial"/>
          <w:sz w:val="18"/>
          <w:szCs w:val="18"/>
          <w:color w:val="auto"/>
        </w:rPr>
        <w:t>available under SEC rules. The following table summarizes the fees, which are described in more detail below.</w:t>
      </w:r>
    </w:p>
    <w:p>
      <w:pPr>
        <w:spacing w:after="0" w:line="202" w:lineRule="exact"/>
        <w:rPr>
          <w:sz w:val="20"/>
          <w:szCs w:val="20"/>
          <w:color w:val="auto"/>
        </w:rPr>
      </w:pPr>
    </w:p>
    <w:tbl>
      <w:tblPr>
        <w:tblLayout w:type="fixed"/>
        <w:tblInd w:w="3620" w:type="dxa"/>
        <w:tblCellMar>
          <w:top w:w="0" w:type="dxa"/>
          <w:left w:w="0" w:type="dxa"/>
          <w:bottom w:w="0" w:type="dxa"/>
          <w:right w:w="0" w:type="dxa"/>
        </w:tblCellMar>
      </w:tblPr>
      <w:tr>
        <w:trPr>
          <w:trHeight w:val="209"/>
        </w:trPr>
        <w:tc>
          <w:tcPr>
            <w:tcW w:w="1640" w:type="dxa"/>
            <w:vAlign w:val="bottom"/>
          </w:tcPr>
          <w:p>
            <w:pPr>
              <w:spacing w:after="0"/>
              <w:rPr>
                <w:sz w:val="18"/>
                <w:szCs w:val="18"/>
                <w:color w:val="auto"/>
              </w:rPr>
            </w:pPr>
          </w:p>
        </w:tc>
        <w:tc>
          <w:tcPr>
            <w:tcW w:w="780" w:type="dxa"/>
            <w:vAlign w:val="bottom"/>
            <w:tcBorders>
              <w:bottom w:val="single" w:sz="8" w:color="auto"/>
            </w:tcBorders>
            <w:gridSpan w:val="2"/>
          </w:tcPr>
          <w:p>
            <w:pPr>
              <w:jc w:val="right"/>
              <w:spacing w:after="0"/>
              <w:rPr>
                <w:sz w:val="20"/>
                <w:szCs w:val="20"/>
                <w:color w:val="auto"/>
              </w:rPr>
            </w:pPr>
            <w:r>
              <w:rPr>
                <w:rFonts w:ascii="Arial" w:cs="Arial" w:eastAsia="Arial" w:hAnsi="Arial"/>
                <w:sz w:val="16"/>
                <w:szCs w:val="16"/>
                <w:b w:val="1"/>
                <w:bCs w:val="1"/>
                <w:color w:val="auto"/>
              </w:rPr>
              <w:t>2017</w:t>
            </w:r>
          </w:p>
        </w:tc>
        <w:tc>
          <w:tcPr>
            <w:tcW w:w="440" w:type="dxa"/>
            <w:vAlign w:val="bottom"/>
            <w:tcBorders>
              <w:bottom w:val="single" w:sz="8" w:color="auto"/>
            </w:tcBorders>
          </w:tcPr>
          <w:p>
            <w:pPr>
              <w:spacing w:after="0"/>
              <w:rPr>
                <w:sz w:val="18"/>
                <w:szCs w:val="18"/>
                <w:color w:val="auto"/>
              </w:rPr>
            </w:pPr>
          </w:p>
        </w:tc>
        <w:tc>
          <w:tcPr>
            <w:tcW w:w="880" w:type="dxa"/>
            <w:vAlign w:val="bottom"/>
            <w:tcBorders>
              <w:bottom w:val="single" w:sz="8" w:color="auto"/>
            </w:tcBorders>
            <w:gridSpan w:val="2"/>
          </w:tcPr>
          <w:p>
            <w:pPr>
              <w:jc w:val="right"/>
              <w:spacing w:after="0"/>
              <w:rPr>
                <w:sz w:val="20"/>
                <w:szCs w:val="20"/>
                <w:color w:val="auto"/>
              </w:rPr>
            </w:pPr>
            <w:r>
              <w:rPr>
                <w:rFonts w:ascii="Arial" w:cs="Arial" w:eastAsia="Arial" w:hAnsi="Arial"/>
                <w:sz w:val="16"/>
                <w:szCs w:val="16"/>
                <w:b w:val="1"/>
                <w:bCs w:val="1"/>
                <w:color w:val="auto"/>
              </w:rPr>
              <w:t>2016</w:t>
            </w:r>
          </w:p>
        </w:tc>
        <w:tc>
          <w:tcPr>
            <w:tcW w:w="440" w:type="dxa"/>
            <w:vAlign w:val="bottom"/>
            <w:tcBorders>
              <w:bottom w:val="single" w:sz="8" w:color="auto"/>
            </w:tcBorders>
          </w:tcPr>
          <w:p>
            <w:pPr>
              <w:spacing w:after="0"/>
              <w:rPr>
                <w:sz w:val="18"/>
                <w:szCs w:val="18"/>
                <w:color w:val="auto"/>
              </w:rPr>
            </w:pPr>
          </w:p>
        </w:tc>
      </w:tr>
      <w:tr>
        <w:trPr>
          <w:trHeight w:val="242"/>
        </w:trPr>
        <w:tc>
          <w:tcPr>
            <w:tcW w:w="164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2120" w:type="dxa"/>
            <w:vAlign w:val="bottom"/>
            <w:gridSpan w:val="5"/>
          </w:tcPr>
          <w:p>
            <w:pPr>
              <w:ind w:left="180"/>
              <w:spacing w:after="0"/>
              <w:rPr>
                <w:sz w:val="20"/>
                <w:szCs w:val="20"/>
                <w:color w:val="auto"/>
              </w:rPr>
            </w:pPr>
            <w:r>
              <w:rPr>
                <w:rFonts w:ascii="Arial" w:cs="Arial" w:eastAsia="Arial" w:hAnsi="Arial"/>
                <w:sz w:val="16"/>
                <w:szCs w:val="16"/>
                <w:color w:val="auto"/>
              </w:rPr>
              <w:t>(millions of dollars)</w:t>
            </w:r>
          </w:p>
        </w:tc>
      </w:tr>
      <w:tr>
        <w:trPr>
          <w:trHeight w:val="278"/>
        </w:trPr>
        <w:tc>
          <w:tcPr>
            <w:tcW w:w="1640" w:type="dxa"/>
            <w:vAlign w:val="bottom"/>
            <w:shd w:val="clear" w:color="auto" w:fill="D4DBEB"/>
          </w:tcPr>
          <w:p>
            <w:pPr>
              <w:ind w:left="20"/>
              <w:spacing w:after="0"/>
              <w:rPr>
                <w:sz w:val="20"/>
                <w:szCs w:val="20"/>
                <w:color w:val="auto"/>
              </w:rPr>
            </w:pPr>
            <w:r>
              <w:rPr>
                <w:rFonts w:ascii="Arial" w:cs="Arial" w:eastAsia="Arial" w:hAnsi="Arial"/>
                <w:sz w:val="18"/>
                <w:szCs w:val="18"/>
                <w:color w:val="auto"/>
              </w:rPr>
              <w:t>Audit Fees</w:t>
            </w:r>
          </w:p>
        </w:tc>
        <w:tc>
          <w:tcPr>
            <w:tcW w:w="1220" w:type="dxa"/>
            <w:vAlign w:val="bottom"/>
            <w:gridSpan w:val="3"/>
            <w:shd w:val="clear" w:color="auto" w:fill="D4DBEB"/>
          </w:tcPr>
          <w:p>
            <w:pPr>
              <w:jc w:val="right"/>
              <w:ind w:right="440"/>
              <w:spacing w:after="0"/>
              <w:rPr>
                <w:sz w:val="20"/>
                <w:szCs w:val="20"/>
                <w:color w:val="auto"/>
              </w:rPr>
            </w:pPr>
            <w:r>
              <w:rPr>
                <w:rFonts w:ascii="Arial" w:cs="Arial" w:eastAsia="Arial" w:hAnsi="Arial"/>
                <w:sz w:val="18"/>
                <w:szCs w:val="18"/>
                <w:color w:val="auto"/>
              </w:rPr>
              <w:t>32.2</w:t>
            </w:r>
          </w:p>
        </w:tc>
        <w:tc>
          <w:tcPr>
            <w:tcW w:w="880" w:type="dxa"/>
            <w:vAlign w:val="bottom"/>
            <w:gridSpan w:val="2"/>
            <w:shd w:val="clear" w:color="auto" w:fill="D4DBEB"/>
          </w:tcPr>
          <w:p>
            <w:pPr>
              <w:jc w:val="right"/>
              <w:ind w:right="10"/>
              <w:spacing w:after="0"/>
              <w:rPr>
                <w:sz w:val="20"/>
                <w:szCs w:val="20"/>
                <w:color w:val="auto"/>
              </w:rPr>
            </w:pPr>
            <w:r>
              <w:rPr>
                <w:rFonts w:ascii="Arial" w:cs="Arial" w:eastAsia="Arial" w:hAnsi="Arial"/>
                <w:sz w:val="18"/>
                <w:szCs w:val="18"/>
                <w:color w:val="auto"/>
              </w:rPr>
              <w:t>28.0</w:t>
            </w:r>
          </w:p>
        </w:tc>
        <w:tc>
          <w:tcPr>
            <w:tcW w:w="440" w:type="dxa"/>
            <w:vAlign w:val="bottom"/>
            <w:shd w:val="clear" w:color="auto" w:fill="D4DBEB"/>
          </w:tcPr>
          <w:p>
            <w:pPr>
              <w:spacing w:after="0"/>
              <w:rPr>
                <w:sz w:val="24"/>
                <w:szCs w:val="24"/>
                <w:color w:val="auto"/>
              </w:rPr>
            </w:pPr>
          </w:p>
        </w:tc>
      </w:tr>
      <w:tr>
        <w:trPr>
          <w:trHeight w:val="220"/>
        </w:trPr>
        <w:tc>
          <w:tcPr>
            <w:tcW w:w="1640" w:type="dxa"/>
            <w:vAlign w:val="bottom"/>
          </w:tcPr>
          <w:p>
            <w:pPr>
              <w:ind w:left="20"/>
              <w:spacing w:after="0"/>
              <w:rPr>
                <w:sz w:val="20"/>
                <w:szCs w:val="20"/>
                <w:color w:val="auto"/>
              </w:rPr>
            </w:pPr>
            <w:r>
              <w:rPr>
                <w:rFonts w:ascii="Arial" w:cs="Arial" w:eastAsia="Arial" w:hAnsi="Arial"/>
                <w:sz w:val="18"/>
                <w:szCs w:val="18"/>
                <w:color w:val="auto"/>
              </w:rPr>
              <w:t>Audit-Related</w:t>
            </w:r>
          </w:p>
        </w:tc>
        <w:tc>
          <w:tcPr>
            <w:tcW w:w="42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440" w:type="dxa"/>
            <w:vAlign w:val="bottom"/>
          </w:tcPr>
          <w:p>
            <w:pPr>
              <w:spacing w:after="0"/>
              <w:rPr>
                <w:sz w:val="19"/>
                <w:szCs w:val="19"/>
                <w:color w:val="auto"/>
              </w:rPr>
            </w:pPr>
          </w:p>
        </w:tc>
      </w:tr>
      <w:tr>
        <w:trPr>
          <w:trHeight w:val="248"/>
        </w:trPr>
        <w:tc>
          <w:tcPr>
            <w:tcW w:w="1640" w:type="dxa"/>
            <w:vAlign w:val="bottom"/>
          </w:tcPr>
          <w:p>
            <w:pPr>
              <w:ind w:left="20"/>
              <w:spacing w:after="0"/>
              <w:rPr>
                <w:sz w:val="20"/>
                <w:szCs w:val="20"/>
                <w:color w:val="auto"/>
              </w:rPr>
            </w:pPr>
            <w:r>
              <w:rPr>
                <w:rFonts w:ascii="Arial" w:cs="Arial" w:eastAsia="Arial" w:hAnsi="Arial"/>
                <w:sz w:val="18"/>
                <w:szCs w:val="18"/>
                <w:color w:val="auto"/>
              </w:rPr>
              <w:t>Fees</w:t>
            </w:r>
          </w:p>
        </w:tc>
        <w:tc>
          <w:tcPr>
            <w:tcW w:w="1220" w:type="dxa"/>
            <w:vAlign w:val="bottom"/>
            <w:gridSpan w:val="3"/>
          </w:tcPr>
          <w:p>
            <w:pPr>
              <w:jc w:val="right"/>
              <w:ind w:right="440"/>
              <w:spacing w:after="0"/>
              <w:rPr>
                <w:sz w:val="20"/>
                <w:szCs w:val="20"/>
                <w:color w:val="auto"/>
              </w:rPr>
            </w:pPr>
            <w:r>
              <w:rPr>
                <w:rFonts w:ascii="Arial" w:cs="Arial" w:eastAsia="Arial" w:hAnsi="Arial"/>
                <w:sz w:val="18"/>
                <w:szCs w:val="18"/>
                <w:color w:val="auto"/>
              </w:rPr>
              <w:t>11.4</w:t>
            </w:r>
          </w:p>
        </w:tc>
        <w:tc>
          <w:tcPr>
            <w:tcW w:w="880" w:type="dxa"/>
            <w:vAlign w:val="bottom"/>
            <w:gridSpan w:val="2"/>
          </w:tcPr>
          <w:p>
            <w:pPr>
              <w:jc w:val="right"/>
              <w:ind w:right="10"/>
              <w:spacing w:after="0"/>
              <w:rPr>
                <w:sz w:val="20"/>
                <w:szCs w:val="20"/>
                <w:color w:val="auto"/>
              </w:rPr>
            </w:pPr>
            <w:r>
              <w:rPr>
                <w:rFonts w:ascii="Arial" w:cs="Arial" w:eastAsia="Arial" w:hAnsi="Arial"/>
                <w:sz w:val="18"/>
                <w:szCs w:val="18"/>
                <w:color w:val="auto"/>
              </w:rPr>
              <w:t>7.5</w:t>
            </w:r>
          </w:p>
        </w:tc>
        <w:tc>
          <w:tcPr>
            <w:tcW w:w="440" w:type="dxa"/>
            <w:vAlign w:val="bottom"/>
          </w:tcPr>
          <w:p>
            <w:pPr>
              <w:spacing w:after="0"/>
              <w:rPr>
                <w:sz w:val="21"/>
                <w:szCs w:val="21"/>
                <w:color w:val="auto"/>
              </w:rPr>
            </w:pPr>
          </w:p>
        </w:tc>
      </w:tr>
      <w:tr>
        <w:trPr>
          <w:trHeight w:val="275"/>
        </w:trPr>
        <w:tc>
          <w:tcPr>
            <w:tcW w:w="1640" w:type="dxa"/>
            <w:vAlign w:val="bottom"/>
            <w:shd w:val="clear" w:color="auto" w:fill="D4DBEB"/>
          </w:tcPr>
          <w:p>
            <w:pPr>
              <w:ind w:left="20"/>
              <w:spacing w:after="0"/>
              <w:rPr>
                <w:sz w:val="20"/>
                <w:szCs w:val="20"/>
                <w:color w:val="auto"/>
              </w:rPr>
            </w:pPr>
            <w:r>
              <w:rPr>
                <w:rFonts w:ascii="Arial" w:cs="Arial" w:eastAsia="Arial" w:hAnsi="Arial"/>
                <w:sz w:val="18"/>
                <w:szCs w:val="18"/>
                <w:color w:val="auto"/>
              </w:rPr>
              <w:t>Tax Fees</w:t>
            </w:r>
          </w:p>
        </w:tc>
        <w:tc>
          <w:tcPr>
            <w:tcW w:w="1220" w:type="dxa"/>
            <w:vAlign w:val="bottom"/>
            <w:gridSpan w:val="3"/>
            <w:shd w:val="clear" w:color="auto" w:fill="D4DBEB"/>
          </w:tcPr>
          <w:p>
            <w:pPr>
              <w:jc w:val="right"/>
              <w:ind w:right="440"/>
              <w:spacing w:after="0"/>
              <w:rPr>
                <w:sz w:val="20"/>
                <w:szCs w:val="20"/>
                <w:color w:val="auto"/>
              </w:rPr>
            </w:pPr>
            <w:r>
              <w:rPr>
                <w:rFonts w:ascii="Arial" w:cs="Arial" w:eastAsia="Arial" w:hAnsi="Arial"/>
                <w:sz w:val="18"/>
                <w:szCs w:val="18"/>
                <w:color w:val="auto"/>
              </w:rPr>
              <w:t>1.5</w:t>
            </w:r>
          </w:p>
        </w:tc>
        <w:tc>
          <w:tcPr>
            <w:tcW w:w="880" w:type="dxa"/>
            <w:vAlign w:val="bottom"/>
            <w:gridSpan w:val="2"/>
            <w:shd w:val="clear" w:color="auto" w:fill="D4DBEB"/>
          </w:tcPr>
          <w:p>
            <w:pPr>
              <w:jc w:val="right"/>
              <w:ind w:right="10"/>
              <w:spacing w:after="0"/>
              <w:rPr>
                <w:sz w:val="20"/>
                <w:szCs w:val="20"/>
                <w:color w:val="auto"/>
              </w:rPr>
            </w:pPr>
            <w:r>
              <w:rPr>
                <w:rFonts w:ascii="Arial" w:cs="Arial" w:eastAsia="Arial" w:hAnsi="Arial"/>
                <w:sz w:val="18"/>
                <w:szCs w:val="18"/>
                <w:color w:val="auto"/>
              </w:rPr>
              <w:t>0.8</w:t>
            </w:r>
          </w:p>
        </w:tc>
        <w:tc>
          <w:tcPr>
            <w:tcW w:w="440" w:type="dxa"/>
            <w:vAlign w:val="bottom"/>
            <w:shd w:val="clear" w:color="auto" w:fill="D4DBEB"/>
          </w:tcPr>
          <w:p>
            <w:pPr>
              <w:spacing w:after="0"/>
              <w:rPr>
                <w:sz w:val="23"/>
                <w:szCs w:val="23"/>
                <w:color w:val="auto"/>
              </w:rPr>
            </w:pPr>
          </w:p>
        </w:tc>
      </w:tr>
      <w:tr>
        <w:trPr>
          <w:trHeight w:val="261"/>
        </w:trPr>
        <w:tc>
          <w:tcPr>
            <w:tcW w:w="1640" w:type="dxa"/>
            <w:vAlign w:val="bottom"/>
          </w:tcPr>
          <w:p>
            <w:pPr>
              <w:ind w:left="20"/>
              <w:spacing w:after="0"/>
              <w:rPr>
                <w:sz w:val="20"/>
                <w:szCs w:val="20"/>
                <w:color w:val="auto"/>
              </w:rPr>
            </w:pPr>
            <w:r>
              <w:rPr>
                <w:rFonts w:ascii="Arial" w:cs="Arial" w:eastAsia="Arial" w:hAnsi="Arial"/>
                <w:sz w:val="18"/>
                <w:szCs w:val="18"/>
                <w:color w:val="auto"/>
              </w:rPr>
              <w:t>All Other Fees</w:t>
            </w:r>
          </w:p>
        </w:tc>
        <w:tc>
          <w:tcPr>
            <w:tcW w:w="420" w:type="dxa"/>
            <w:vAlign w:val="bottom"/>
          </w:tcPr>
          <w:p>
            <w:pPr>
              <w:spacing w:after="0"/>
              <w:rPr>
                <w:sz w:val="22"/>
                <w:szCs w:val="22"/>
                <w:color w:val="auto"/>
              </w:rPr>
            </w:pPr>
          </w:p>
        </w:tc>
        <w:tc>
          <w:tcPr>
            <w:tcW w:w="800" w:type="dxa"/>
            <w:vAlign w:val="bottom"/>
            <w:gridSpan w:val="2"/>
          </w:tcPr>
          <w:p>
            <w:pPr>
              <w:jc w:val="right"/>
              <w:ind w:right="440"/>
              <w:spacing w:after="0"/>
              <w:rPr>
                <w:sz w:val="20"/>
                <w:szCs w:val="20"/>
                <w:color w:val="auto"/>
              </w:rPr>
            </w:pPr>
            <w:r>
              <w:rPr>
                <w:rFonts w:ascii="Arial" w:cs="Arial" w:eastAsia="Arial" w:hAnsi="Arial"/>
                <w:sz w:val="18"/>
                <w:szCs w:val="18"/>
                <w:color w:val="auto"/>
              </w:rPr>
              <w:t>—</w:t>
            </w:r>
          </w:p>
        </w:tc>
        <w:tc>
          <w:tcPr>
            <w:tcW w:w="460" w:type="dxa"/>
            <w:vAlign w:val="bottom"/>
          </w:tcPr>
          <w:p>
            <w:pPr>
              <w:spacing w:after="0"/>
              <w:rPr>
                <w:sz w:val="22"/>
                <w:szCs w:val="22"/>
                <w:color w:val="auto"/>
              </w:rPr>
            </w:pPr>
          </w:p>
        </w:tc>
        <w:tc>
          <w:tcPr>
            <w:tcW w:w="860" w:type="dxa"/>
            <w:vAlign w:val="bottom"/>
            <w:gridSpan w:val="2"/>
          </w:tcPr>
          <w:p>
            <w:pPr>
              <w:jc w:val="right"/>
              <w:ind w:right="540"/>
              <w:spacing w:after="0"/>
              <w:rPr>
                <w:sz w:val="20"/>
                <w:szCs w:val="20"/>
                <w:color w:val="auto"/>
              </w:rPr>
            </w:pPr>
            <w:r>
              <w:rPr>
                <w:rFonts w:ascii="Arial" w:cs="Arial" w:eastAsia="Arial" w:hAnsi="Arial"/>
                <w:sz w:val="18"/>
                <w:szCs w:val="18"/>
                <w:color w:val="auto"/>
              </w:rPr>
              <w:t>—</w:t>
            </w:r>
          </w:p>
        </w:tc>
      </w:tr>
      <w:tr>
        <w:trPr>
          <w:trHeight w:val="50"/>
        </w:trPr>
        <w:tc>
          <w:tcPr>
            <w:tcW w:w="1640" w:type="dxa"/>
            <w:vAlign w:val="bottom"/>
            <w:tcBorders>
              <w:bottom w:val="single" w:sz="8" w:color="D4DBEB"/>
            </w:tcBorders>
          </w:tcPr>
          <w:p>
            <w:pPr>
              <w:spacing w:after="0"/>
              <w:rPr>
                <w:sz w:val="4"/>
                <w:szCs w:val="4"/>
                <w:color w:val="auto"/>
              </w:rPr>
            </w:pPr>
          </w:p>
        </w:tc>
        <w:tc>
          <w:tcPr>
            <w:tcW w:w="420" w:type="dxa"/>
            <w:vAlign w:val="bottom"/>
            <w:tcBorders>
              <w:bottom w:val="single" w:sz="8" w:color="D4DBEB"/>
            </w:tcBorders>
          </w:tcPr>
          <w:p>
            <w:pPr>
              <w:spacing w:after="0"/>
              <w:rPr>
                <w:sz w:val="4"/>
                <w:szCs w:val="4"/>
                <w:color w:val="auto"/>
              </w:rPr>
            </w:pPr>
          </w:p>
        </w:tc>
        <w:tc>
          <w:tcPr>
            <w:tcW w:w="360" w:type="dxa"/>
            <w:vAlign w:val="bottom"/>
            <w:tcBorders>
              <w:bottom w:val="single" w:sz="8" w:color="auto"/>
            </w:tcBorders>
          </w:tcPr>
          <w:p>
            <w:pPr>
              <w:spacing w:after="0"/>
              <w:rPr>
                <w:sz w:val="4"/>
                <w:szCs w:val="4"/>
                <w:color w:val="auto"/>
              </w:rPr>
            </w:pPr>
          </w:p>
        </w:tc>
        <w:tc>
          <w:tcPr>
            <w:tcW w:w="440" w:type="dxa"/>
            <w:vAlign w:val="bottom"/>
            <w:tcBorders>
              <w:bottom w:val="single" w:sz="8" w:color="D4DBEB"/>
            </w:tcBorders>
          </w:tcPr>
          <w:p>
            <w:pPr>
              <w:spacing w:after="0"/>
              <w:rPr>
                <w:sz w:val="4"/>
                <w:szCs w:val="4"/>
                <w:color w:val="auto"/>
              </w:rPr>
            </w:pPr>
          </w:p>
        </w:tc>
        <w:tc>
          <w:tcPr>
            <w:tcW w:w="460" w:type="dxa"/>
            <w:vAlign w:val="bottom"/>
            <w:tcBorders>
              <w:bottom w:val="single" w:sz="8" w:color="D4DBEB"/>
            </w:tcBorders>
          </w:tcPr>
          <w:p>
            <w:pPr>
              <w:spacing w:after="0"/>
              <w:rPr>
                <w:sz w:val="4"/>
                <w:szCs w:val="4"/>
                <w:color w:val="auto"/>
              </w:rPr>
            </w:pPr>
          </w:p>
        </w:tc>
        <w:tc>
          <w:tcPr>
            <w:tcW w:w="420" w:type="dxa"/>
            <w:vAlign w:val="bottom"/>
            <w:tcBorders>
              <w:bottom w:val="single" w:sz="8" w:color="auto"/>
            </w:tcBorders>
          </w:tcPr>
          <w:p>
            <w:pPr>
              <w:spacing w:after="0"/>
              <w:rPr>
                <w:sz w:val="4"/>
                <w:szCs w:val="4"/>
                <w:color w:val="auto"/>
              </w:rPr>
            </w:pPr>
          </w:p>
        </w:tc>
        <w:tc>
          <w:tcPr>
            <w:tcW w:w="440" w:type="dxa"/>
            <w:vAlign w:val="bottom"/>
            <w:tcBorders>
              <w:bottom w:val="single" w:sz="8" w:color="D4DBEB"/>
            </w:tcBorders>
          </w:tcPr>
          <w:p>
            <w:pPr>
              <w:spacing w:after="0"/>
              <w:rPr>
                <w:sz w:val="4"/>
                <w:szCs w:val="4"/>
                <w:color w:val="auto"/>
              </w:rPr>
            </w:pPr>
          </w:p>
        </w:tc>
      </w:tr>
      <w:tr>
        <w:trPr>
          <w:trHeight w:val="223"/>
        </w:trPr>
        <w:tc>
          <w:tcPr>
            <w:tcW w:w="1640" w:type="dxa"/>
            <w:vAlign w:val="bottom"/>
            <w:shd w:val="clear" w:color="auto" w:fill="D4DBEB"/>
          </w:tcPr>
          <w:p>
            <w:pPr>
              <w:ind w:left="20"/>
              <w:spacing w:after="0"/>
              <w:rPr>
                <w:sz w:val="20"/>
                <w:szCs w:val="20"/>
                <w:color w:val="auto"/>
              </w:rPr>
            </w:pPr>
            <w:r>
              <w:rPr>
                <w:rFonts w:ascii="Arial" w:cs="Arial" w:eastAsia="Arial" w:hAnsi="Arial"/>
                <w:sz w:val="18"/>
                <w:szCs w:val="18"/>
                <w:color w:val="auto"/>
              </w:rPr>
              <w:t>Total</w:t>
            </w:r>
          </w:p>
        </w:tc>
        <w:tc>
          <w:tcPr>
            <w:tcW w:w="420" w:type="dxa"/>
            <w:vAlign w:val="bottom"/>
            <w:shd w:val="clear" w:color="auto" w:fill="D4DBEB"/>
          </w:tcPr>
          <w:p>
            <w:pPr>
              <w:spacing w:after="0"/>
              <w:rPr>
                <w:sz w:val="19"/>
                <w:szCs w:val="19"/>
                <w:color w:val="auto"/>
              </w:rPr>
            </w:pPr>
          </w:p>
        </w:tc>
        <w:tc>
          <w:tcPr>
            <w:tcW w:w="360" w:type="dxa"/>
            <w:vAlign w:val="bottom"/>
            <w:shd w:val="clear" w:color="auto" w:fill="D4DBEB"/>
          </w:tcPr>
          <w:p>
            <w:pPr>
              <w:jc w:val="right"/>
              <w:spacing w:after="0"/>
              <w:rPr>
                <w:sz w:val="20"/>
                <w:szCs w:val="20"/>
                <w:color w:val="auto"/>
              </w:rPr>
            </w:pPr>
            <w:r>
              <w:rPr>
                <w:rFonts w:ascii="Arial" w:cs="Arial" w:eastAsia="Arial" w:hAnsi="Arial"/>
                <w:sz w:val="18"/>
                <w:szCs w:val="18"/>
                <w:color w:val="auto"/>
                <w:w w:val="96"/>
              </w:rPr>
              <w:t>45.1</w:t>
            </w:r>
          </w:p>
        </w:tc>
        <w:tc>
          <w:tcPr>
            <w:tcW w:w="440" w:type="dxa"/>
            <w:vAlign w:val="bottom"/>
            <w:shd w:val="clear" w:color="auto" w:fill="D4DBEB"/>
          </w:tcPr>
          <w:p>
            <w:pPr>
              <w:spacing w:after="0"/>
              <w:rPr>
                <w:sz w:val="19"/>
                <w:szCs w:val="19"/>
                <w:color w:val="auto"/>
              </w:rPr>
            </w:pPr>
          </w:p>
        </w:tc>
        <w:tc>
          <w:tcPr>
            <w:tcW w:w="460" w:type="dxa"/>
            <w:vAlign w:val="bottom"/>
            <w:shd w:val="clear" w:color="auto" w:fill="D4DBEB"/>
          </w:tcPr>
          <w:p>
            <w:pPr>
              <w:spacing w:after="0"/>
              <w:rPr>
                <w:sz w:val="19"/>
                <w:szCs w:val="19"/>
                <w:color w:val="auto"/>
              </w:rPr>
            </w:pPr>
          </w:p>
        </w:tc>
        <w:tc>
          <w:tcPr>
            <w:tcW w:w="420" w:type="dxa"/>
            <w:vAlign w:val="bottom"/>
            <w:shd w:val="clear" w:color="auto" w:fill="D4DBEB"/>
          </w:tcPr>
          <w:p>
            <w:pPr>
              <w:jc w:val="right"/>
              <w:ind w:right="10"/>
              <w:spacing w:after="0"/>
              <w:rPr>
                <w:sz w:val="20"/>
                <w:szCs w:val="20"/>
                <w:color w:val="auto"/>
              </w:rPr>
            </w:pPr>
            <w:r>
              <w:rPr>
                <w:rFonts w:ascii="Arial" w:cs="Arial" w:eastAsia="Arial" w:hAnsi="Arial"/>
                <w:sz w:val="18"/>
                <w:szCs w:val="18"/>
                <w:color w:val="auto"/>
                <w:w w:val="85"/>
              </w:rPr>
              <w:t>36.3</w:t>
            </w:r>
          </w:p>
        </w:tc>
        <w:tc>
          <w:tcPr>
            <w:tcW w:w="440" w:type="dxa"/>
            <w:vAlign w:val="bottom"/>
            <w:shd w:val="clear" w:color="auto" w:fill="D4DBEB"/>
          </w:tcPr>
          <w:p>
            <w:pPr>
              <w:spacing w:after="0"/>
              <w:rPr>
                <w:sz w:val="19"/>
                <w:szCs w:val="19"/>
                <w:color w:val="auto"/>
              </w:rPr>
            </w:pPr>
          </w:p>
        </w:tc>
      </w:tr>
    </w:tbl>
    <w:p>
      <w:pPr>
        <w:spacing w:after="0" w:line="191" w:lineRule="exact"/>
        <w:rPr>
          <w:sz w:val="20"/>
          <w:szCs w:val="20"/>
          <w:color w:val="auto"/>
        </w:rPr>
      </w:pPr>
    </w:p>
    <w:p>
      <w:pPr>
        <w:ind w:left="860"/>
        <w:spacing w:after="0"/>
        <w:rPr>
          <w:sz w:val="20"/>
          <w:szCs w:val="20"/>
          <w:color w:val="auto"/>
        </w:rPr>
      </w:pPr>
      <w:r>
        <w:rPr>
          <w:rFonts w:ascii="Arial" w:cs="Arial" w:eastAsia="Arial" w:hAnsi="Arial"/>
          <w:sz w:val="18"/>
          <w:szCs w:val="18"/>
          <w:b w:val="1"/>
          <w:bCs w:val="1"/>
          <w:color w:val="auto"/>
        </w:rPr>
        <w:t>Audit Fees</w:t>
      </w:r>
    </w:p>
    <w:p>
      <w:pPr>
        <w:spacing w:after="0" w:line="106" w:lineRule="exact"/>
        <w:rPr>
          <w:sz w:val="20"/>
          <w:szCs w:val="20"/>
          <w:color w:val="auto"/>
        </w:rPr>
      </w:pPr>
    </w:p>
    <w:p>
      <w:pPr>
        <w:ind w:left="860" w:right="60"/>
        <w:spacing w:after="0" w:line="248" w:lineRule="auto"/>
        <w:rPr>
          <w:sz w:val="20"/>
          <w:szCs w:val="20"/>
          <w:color w:val="auto"/>
        </w:rPr>
      </w:pPr>
      <w:r>
        <w:rPr>
          <w:rFonts w:ascii="Arial" w:cs="Arial" w:eastAsia="Arial" w:hAnsi="Arial"/>
          <w:sz w:val="18"/>
          <w:szCs w:val="18"/>
          <w:color w:val="auto"/>
        </w:rPr>
        <w:t>The aggregate fees for PwC professional services rendered for the annual audits of ExxonMobil’s financial statements for the year ended December 31, 2017, and for the reviews of the financial statements included in our quarterly reports on Form 10-Q for that year were $32.2 million (versus $28.0 million for 2016), with the increase primarily due to acquisition-related work.</w:t>
      </w:r>
    </w:p>
    <w:p>
      <w:pPr>
        <w:spacing w:after="0" w:line="169" w:lineRule="exact"/>
        <w:rPr>
          <w:sz w:val="20"/>
          <w:szCs w:val="20"/>
          <w:color w:val="auto"/>
        </w:rPr>
      </w:pPr>
    </w:p>
    <w:p>
      <w:pPr>
        <w:ind w:left="860"/>
        <w:spacing w:after="0"/>
        <w:rPr>
          <w:sz w:val="20"/>
          <w:szCs w:val="20"/>
          <w:color w:val="auto"/>
        </w:rPr>
      </w:pPr>
      <w:r>
        <w:rPr>
          <w:rFonts w:ascii="Arial" w:cs="Arial" w:eastAsia="Arial" w:hAnsi="Arial"/>
          <w:sz w:val="18"/>
          <w:szCs w:val="18"/>
          <w:b w:val="1"/>
          <w:bCs w:val="1"/>
          <w:color w:val="auto"/>
        </w:rPr>
        <w:t>Audit-Related Fees</w:t>
      </w:r>
    </w:p>
    <w:p>
      <w:pPr>
        <w:spacing w:after="0" w:line="106" w:lineRule="exact"/>
        <w:rPr>
          <w:sz w:val="20"/>
          <w:szCs w:val="20"/>
          <w:color w:val="auto"/>
        </w:rPr>
      </w:pPr>
    </w:p>
    <w:p>
      <w:pPr>
        <w:ind w:left="860" w:right="20"/>
        <w:spacing w:after="0" w:line="255" w:lineRule="auto"/>
        <w:rPr>
          <w:sz w:val="20"/>
          <w:szCs w:val="20"/>
          <w:color w:val="auto"/>
        </w:rPr>
      </w:pPr>
      <w:r>
        <w:rPr>
          <w:rFonts w:ascii="Arial" w:cs="Arial" w:eastAsia="Arial" w:hAnsi="Arial"/>
          <w:sz w:val="18"/>
          <w:szCs w:val="18"/>
          <w:color w:val="auto"/>
        </w:rPr>
        <w:t>The aggregate fees for PwC Audit-Related services rendered to ExxonMobil for the year ended December 31, 2017, were $11.4 million (versus $7.5 million in 2016), with the increase primarily due to support work regarding regulatory matters. Audit-related services were mainly related to benefit plans audits and other attestation procedures.</w:t>
      </w:r>
    </w:p>
    <w:p>
      <w:pPr>
        <w:spacing w:after="0" w:line="162" w:lineRule="exact"/>
        <w:rPr>
          <w:sz w:val="20"/>
          <w:szCs w:val="20"/>
          <w:color w:val="auto"/>
        </w:rPr>
      </w:pPr>
    </w:p>
    <w:p>
      <w:pPr>
        <w:ind w:left="860"/>
        <w:spacing w:after="0"/>
        <w:rPr>
          <w:sz w:val="20"/>
          <w:szCs w:val="20"/>
          <w:color w:val="auto"/>
        </w:rPr>
      </w:pPr>
      <w:r>
        <w:rPr>
          <w:rFonts w:ascii="Arial" w:cs="Arial" w:eastAsia="Arial" w:hAnsi="Arial"/>
          <w:sz w:val="18"/>
          <w:szCs w:val="18"/>
          <w:b w:val="1"/>
          <w:bCs w:val="1"/>
          <w:color w:val="auto"/>
        </w:rPr>
        <w:t>Tax Fees</w:t>
      </w:r>
    </w:p>
    <w:p>
      <w:pPr>
        <w:spacing w:after="0" w:line="106" w:lineRule="exact"/>
        <w:rPr>
          <w:sz w:val="20"/>
          <w:szCs w:val="20"/>
          <w:color w:val="auto"/>
        </w:rPr>
      </w:pPr>
    </w:p>
    <w:p>
      <w:pPr>
        <w:ind w:left="860"/>
        <w:spacing w:after="0"/>
        <w:rPr>
          <w:sz w:val="20"/>
          <w:szCs w:val="20"/>
          <w:color w:val="auto"/>
        </w:rPr>
      </w:pPr>
      <w:r>
        <w:rPr>
          <w:rFonts w:ascii="Arial" w:cs="Arial" w:eastAsia="Arial" w:hAnsi="Arial"/>
          <w:sz w:val="18"/>
          <w:szCs w:val="18"/>
          <w:color w:val="auto"/>
        </w:rPr>
        <w:t>The aggregate fees for PwC Tax services rendered to ExxonMobil for the year ended December 31, 2017, were</w:t>
      </w:r>
    </w:p>
    <w:p>
      <w:pPr>
        <w:spacing w:after="0" w:line="18" w:lineRule="exact"/>
        <w:rPr>
          <w:sz w:val="20"/>
          <w:szCs w:val="20"/>
          <w:color w:val="auto"/>
        </w:rPr>
      </w:pPr>
    </w:p>
    <w:p>
      <w:pPr>
        <w:ind w:left="860"/>
        <w:spacing w:after="0" w:line="251" w:lineRule="auto"/>
        <w:rPr>
          <w:sz w:val="20"/>
          <w:szCs w:val="20"/>
          <w:color w:val="auto"/>
        </w:rPr>
      </w:pPr>
      <w:r>
        <w:rPr>
          <w:rFonts w:ascii="Arial" w:cs="Arial" w:eastAsia="Arial" w:hAnsi="Arial"/>
          <w:sz w:val="18"/>
          <w:szCs w:val="18"/>
          <w:color w:val="auto"/>
        </w:rPr>
        <w:t>$1.5 million (versus $0.8 million for 2016), with the increase primarily due to acquisition-related work. These services were mainly related to assisting various ExxonMobil affiliates with the preparation of local tax filings and related services.</w:t>
      </w:r>
    </w:p>
    <w:p>
      <w:pPr>
        <w:spacing w:after="0" w:line="164" w:lineRule="exact"/>
        <w:rPr>
          <w:sz w:val="20"/>
          <w:szCs w:val="20"/>
          <w:color w:val="auto"/>
        </w:rPr>
      </w:pPr>
    </w:p>
    <w:p>
      <w:pPr>
        <w:ind w:left="860"/>
        <w:spacing w:after="0"/>
        <w:rPr>
          <w:sz w:val="20"/>
          <w:szCs w:val="20"/>
          <w:color w:val="auto"/>
        </w:rPr>
      </w:pPr>
      <w:r>
        <w:rPr>
          <w:rFonts w:ascii="Arial" w:cs="Arial" w:eastAsia="Arial" w:hAnsi="Arial"/>
          <w:sz w:val="18"/>
          <w:szCs w:val="18"/>
          <w:b w:val="1"/>
          <w:bCs w:val="1"/>
          <w:color w:val="auto"/>
        </w:rPr>
        <w:t>All Other Fees</w:t>
      </w:r>
    </w:p>
    <w:p>
      <w:pPr>
        <w:spacing w:after="0" w:line="106" w:lineRule="exact"/>
        <w:rPr>
          <w:sz w:val="20"/>
          <w:szCs w:val="20"/>
          <w:color w:val="auto"/>
        </w:rPr>
      </w:pPr>
    </w:p>
    <w:p>
      <w:pPr>
        <w:jc w:val="both"/>
        <w:ind w:left="860" w:right="480"/>
        <w:spacing w:after="0" w:line="306" w:lineRule="auto"/>
        <w:rPr>
          <w:sz w:val="20"/>
          <w:szCs w:val="20"/>
          <w:color w:val="auto"/>
        </w:rPr>
      </w:pPr>
      <w:r>
        <w:rPr>
          <w:rFonts w:ascii="Arial" w:cs="Arial" w:eastAsia="Arial" w:hAnsi="Arial"/>
          <w:sz w:val="17"/>
          <w:szCs w:val="17"/>
          <w:color w:val="auto"/>
        </w:rPr>
        <w:t>The aggregate fees for PwC services rendered to ExxonMobil, other than the services described above under “Audit Fees,” “Audit-Related Fees,” and “Tax Fees,” for the year ended December 31, 2017, were zero (also zero in 2016).</w:t>
      </w:r>
    </w:p>
    <w:p>
      <w:pPr>
        <w:spacing w:after="0" w:line="123" w:lineRule="exact"/>
        <w:rPr>
          <w:sz w:val="20"/>
          <w:szCs w:val="20"/>
          <w:color w:val="auto"/>
        </w:rPr>
      </w:pPr>
    </w:p>
    <w:p>
      <w:pPr>
        <w:ind w:left="860" w:right="500"/>
        <w:spacing w:after="0" w:line="276" w:lineRule="auto"/>
        <w:rPr>
          <w:sz w:val="20"/>
          <w:szCs w:val="20"/>
          <w:color w:val="auto"/>
        </w:rPr>
      </w:pPr>
      <w:r>
        <w:rPr>
          <w:rFonts w:ascii="Arial" w:cs="Arial" w:eastAsia="Arial" w:hAnsi="Arial"/>
          <w:sz w:val="18"/>
          <w:szCs w:val="18"/>
          <w:color w:val="auto"/>
        </w:rPr>
        <w:t>We believe PwC is well qualified to perform this work. A PwC representative will be at the annual meeting to answer appropriate questions and to make a statement if desired.</w:t>
      </w:r>
    </w:p>
    <w:p>
      <w:pPr>
        <w:spacing w:after="0" w:line="143" w:lineRule="exact"/>
        <w:rPr>
          <w:sz w:val="20"/>
          <w:szCs w:val="20"/>
          <w:color w:val="auto"/>
        </w:rPr>
      </w:pPr>
    </w:p>
    <w:p>
      <w:pPr>
        <w:ind w:left="3000"/>
        <w:spacing w:after="0"/>
        <w:rPr>
          <w:sz w:val="20"/>
          <w:szCs w:val="20"/>
          <w:color w:val="auto"/>
        </w:rPr>
      </w:pPr>
      <w:r>
        <w:rPr>
          <w:rFonts w:ascii="Arial" w:cs="Arial" w:eastAsia="Arial" w:hAnsi="Arial"/>
          <w:sz w:val="18"/>
          <w:szCs w:val="18"/>
          <w:b w:val="1"/>
          <w:bCs w:val="1"/>
          <w:color w:val="2B4C9B"/>
        </w:rPr>
        <w:t>The Audit Committee recommends you vote FOR this proposal.</w:t>
      </w:r>
    </w:p>
    <w:p>
      <w:pPr>
        <w:spacing w:after="0" w:line="146" w:lineRule="exact"/>
        <w:rPr>
          <w:sz w:val="20"/>
          <w:szCs w:val="20"/>
          <w:color w:val="auto"/>
        </w:rPr>
      </w:pPr>
    </w:p>
    <w:tbl>
      <w:tblPr>
        <w:tblLayout w:type="fixed"/>
        <w:tblInd w:w="6960" w:type="dxa"/>
        <w:tblCellMar>
          <w:top w:w="0" w:type="dxa"/>
          <w:left w:w="0" w:type="dxa"/>
          <w:bottom w:w="0" w:type="dxa"/>
          <w:right w:w="0" w:type="dxa"/>
        </w:tblCellMar>
      </w:tblPr>
      <w:tr>
        <w:trPr>
          <w:trHeight w:val="243"/>
        </w:trPr>
        <w:tc>
          <w:tcPr>
            <w:tcW w:w="2440" w:type="dxa"/>
            <w:vAlign w:val="bottom"/>
          </w:tcPr>
          <w:p>
            <w:pPr>
              <w:spacing w:after="0"/>
              <w:rPr>
                <w:sz w:val="20"/>
                <w:szCs w:val="20"/>
                <w:color w:val="auto"/>
              </w:rPr>
            </w:pPr>
            <w:r>
              <w:rPr>
                <w:rFonts w:ascii="Times New Roman" w:cs="Times New Roman" w:eastAsia="Times New Roman" w:hAnsi="Times New Roman"/>
                <w:sz w:val="18"/>
                <w:szCs w:val="18"/>
                <w:i w:val="1"/>
                <w:iCs w:val="1"/>
                <w:color w:val="auto"/>
              </w:rPr>
              <w:t>2018 Proxy Statement</w:t>
            </w:r>
          </w:p>
        </w:tc>
        <w:tc>
          <w:tcPr>
            <w:tcW w:w="1060" w:type="dxa"/>
            <w:vAlign w:val="bottom"/>
          </w:tcPr>
          <w:p>
            <w:pPr>
              <w:jc w:val="right"/>
              <w:spacing w:after="0"/>
              <w:rPr>
                <w:sz w:val="20"/>
                <w:szCs w:val="20"/>
                <w:color w:val="auto"/>
              </w:rPr>
            </w:pPr>
            <w:r>
              <w:rPr>
                <w:rFonts w:ascii="Arial" w:cs="Arial" w:eastAsia="Arial" w:hAnsi="Arial"/>
                <w:sz w:val="18"/>
                <w:szCs w:val="18"/>
                <w:color w:val="auto"/>
              </w:rPr>
              <w:t>25</w:t>
            </w:r>
          </w:p>
        </w:tc>
      </w:tr>
    </w:tbl>
    <w:p>
      <w:pPr>
        <w:sectPr>
          <w:pgSz w:w="11900" w:h="16838" w:orient="portrait"/>
          <w:cols w:equalWidth="0" w:num="1">
            <w:col w:w="10560"/>
          </w:cols>
          <w:pgMar w:left="240" w:top="455" w:right="1099" w:bottom="1440" w:gutter="0" w:footer="0" w:header="0"/>
          <w:type w:val="continuous"/>
        </w:sectPr>
      </w:pPr>
    </w:p>
    <w:bookmarkStart w:id="28" w:name="page29"/>
    <w:bookmarkEnd w:id="28"/>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Times New Roman" w:cs="Times New Roman" w:eastAsia="Times New Roman" w:hAnsi="Times New Roman"/>
            <w:sz w:val="18"/>
            <w:szCs w:val="18"/>
            <w:b w:val="1"/>
            <w:bCs w:val="1"/>
            <w:u w:val="single" w:color="auto"/>
            <w:color w:val="0000EE"/>
          </w:rPr>
          <w:t>Table of Contents</w:t>
        </w:r>
      </w:hyperlink>
    </w:p>
    <w:p>
      <w:pPr>
        <w:spacing w:after="0" w:line="296" w:lineRule="exact"/>
        <w:rPr>
          <w:sz w:val="20"/>
          <w:szCs w:val="20"/>
          <w:color w:val="auto"/>
        </w:rPr>
      </w:pPr>
    </w:p>
    <w:p>
      <w:pPr>
        <w:ind w:left="860"/>
        <w:spacing w:after="0"/>
        <w:rPr>
          <w:sz w:val="20"/>
          <w:szCs w:val="20"/>
          <w:color w:val="auto"/>
        </w:rPr>
      </w:pPr>
      <w:r>
        <w:rPr>
          <w:rFonts w:ascii="Arial" w:cs="Arial" w:eastAsia="Arial" w:hAnsi="Arial"/>
          <w:sz w:val="20"/>
          <w:szCs w:val="20"/>
          <w:b w:val="1"/>
          <w:bCs w:val="1"/>
          <w:color w:val="2B4C9B"/>
        </w:rPr>
        <w:t>Compensation Committee Report</w:t>
      </w:r>
    </w:p>
    <w:p>
      <w:pPr>
        <w:spacing w:after="0" w:line="103" w:lineRule="exact"/>
        <w:rPr>
          <w:sz w:val="20"/>
          <w:szCs w:val="20"/>
          <w:color w:val="auto"/>
        </w:rPr>
      </w:pPr>
    </w:p>
    <w:p>
      <w:pPr>
        <w:jc w:val="both"/>
        <w:ind w:left="860" w:right="60"/>
        <w:spacing w:after="0" w:line="245" w:lineRule="auto"/>
        <w:rPr>
          <w:sz w:val="20"/>
          <w:szCs w:val="20"/>
          <w:color w:val="auto"/>
        </w:rPr>
      </w:pPr>
      <w:r>
        <w:rPr>
          <w:rFonts w:ascii="Arial" w:cs="Arial" w:eastAsia="Arial" w:hAnsi="Arial"/>
          <w:sz w:val="18"/>
          <w:szCs w:val="18"/>
          <w:color w:val="auto"/>
        </w:rPr>
        <w:t xml:space="preserve">The Compensation Committee of the Board of Directors has reviewed and discussed the Compensation Discussion and Analysis with management of the Corporation. Based on that review and discussion, we recommended to the Board that the Compensation Discussion and Analysis be included in the Corporation’s proxy statement for the 2018 annual meeting of shareholders, and also incorporated by reference in the Corporation’s </w:t>
      </w:r>
      <w:r>
        <w:rPr>
          <w:rFonts w:ascii="Arial" w:cs="Arial" w:eastAsia="Arial" w:hAnsi="Arial"/>
          <w:sz w:val="18"/>
          <w:szCs w:val="18"/>
          <w:i w:val="1"/>
          <w:iCs w:val="1"/>
          <w:color w:val="auto"/>
        </w:rPr>
        <w:t>Annual Report on Form 10-K</w:t>
      </w:r>
      <w:r>
        <w:rPr>
          <w:rFonts w:ascii="Arial" w:cs="Arial" w:eastAsia="Arial" w:hAnsi="Arial"/>
          <w:sz w:val="18"/>
          <w:szCs w:val="18"/>
          <w:color w:val="auto"/>
        </w:rPr>
        <w:t xml:space="preserve"> for the year ended December 31, 2017.</w:t>
      </w:r>
    </w:p>
    <w:p>
      <w:pPr>
        <w:sectPr>
          <w:pgSz w:w="11900" w:h="16838" w:orient="portrait"/>
          <w:cols w:equalWidth="0" w:num="1">
            <w:col w:w="10560"/>
          </w:cols>
          <w:pgMar w:left="240" w:top="455" w:right="1099" w:bottom="1440" w:gutter="0" w:footer="0" w:header="0"/>
        </w:sectPr>
      </w:pPr>
    </w:p>
    <w:p>
      <w:pPr>
        <w:spacing w:after="0" w:line="200" w:lineRule="exact"/>
        <w:rPr>
          <w:sz w:val="20"/>
          <w:szCs w:val="20"/>
          <w:color w:val="auto"/>
        </w:rPr>
      </w:pPr>
    </w:p>
    <w:p>
      <w:pPr>
        <w:ind w:left="880"/>
        <w:spacing w:after="0"/>
        <w:rPr>
          <w:sz w:val="20"/>
          <w:szCs w:val="20"/>
          <w:color w:val="auto"/>
        </w:rPr>
      </w:pPr>
      <w:r>
        <w:rPr>
          <w:rFonts w:ascii="Arial" w:cs="Arial" w:eastAsia="Arial" w:hAnsi="Arial"/>
          <w:sz w:val="17"/>
          <w:szCs w:val="17"/>
          <w:color w:val="auto"/>
        </w:rPr>
        <w:t>Samuel J. Palmisano, Chair</w:t>
      </w:r>
    </w:p>
    <w:p>
      <w:pPr>
        <w:spacing w:after="0" w:line="25" w:lineRule="exact"/>
        <w:rPr>
          <w:sz w:val="20"/>
          <w:szCs w:val="20"/>
          <w:color w:val="auto"/>
        </w:rPr>
      </w:pPr>
    </w:p>
    <w:p>
      <w:pPr>
        <w:ind w:left="880"/>
        <w:spacing w:after="0"/>
        <w:rPr>
          <w:sz w:val="20"/>
          <w:szCs w:val="20"/>
          <w:color w:val="auto"/>
        </w:rPr>
      </w:pPr>
      <w:r>
        <w:rPr>
          <w:rFonts w:ascii="Arial" w:cs="Arial" w:eastAsia="Arial" w:hAnsi="Arial"/>
          <w:sz w:val="18"/>
          <w:szCs w:val="18"/>
          <w:color w:val="auto"/>
        </w:rPr>
        <w:t>Angela F. Braly</w:t>
      </w:r>
    </w:p>
    <w:p>
      <w:pPr>
        <w:ind w:left="880"/>
        <w:spacing w:after="0"/>
        <w:rPr>
          <w:sz w:val="20"/>
          <w:szCs w:val="20"/>
          <w:color w:val="auto"/>
        </w:rPr>
      </w:pPr>
      <w:r>
        <w:rPr>
          <w:rFonts w:ascii="Arial" w:cs="Arial" w:eastAsia="Arial" w:hAnsi="Arial"/>
          <w:sz w:val="18"/>
          <w:szCs w:val="18"/>
          <w:color w:val="auto"/>
        </w:rPr>
        <w:t>Steven A. Kandarian</w:t>
      </w:r>
    </w:p>
    <w:p>
      <w:pPr>
        <w:spacing w:after="0" w:line="20" w:lineRule="exact"/>
        <w:rPr>
          <w:sz w:val="20"/>
          <w:szCs w:val="20"/>
          <w:color w:val="auto"/>
        </w:rPr>
      </w:pPr>
      <w:r>
        <w:rPr>
          <w:sz w:val="20"/>
          <w:szCs w:val="20"/>
          <w:color w:val="auto"/>
        </w:rPr>
        <w:br w:type="column"/>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color w:val="auto"/>
        </w:rPr>
        <w:t>Michael J. Boskin</w:t>
      </w:r>
    </w:p>
    <w:p>
      <w:pPr>
        <w:spacing w:after="0" w:line="18" w:lineRule="exact"/>
        <w:rPr>
          <w:sz w:val="20"/>
          <w:szCs w:val="20"/>
          <w:color w:val="auto"/>
        </w:rPr>
      </w:pPr>
    </w:p>
    <w:p>
      <w:pPr>
        <w:spacing w:after="0"/>
        <w:rPr>
          <w:sz w:val="20"/>
          <w:szCs w:val="20"/>
          <w:color w:val="auto"/>
        </w:rPr>
      </w:pPr>
      <w:r>
        <w:rPr>
          <w:rFonts w:ascii="Arial" w:cs="Arial" w:eastAsia="Arial" w:hAnsi="Arial"/>
          <w:sz w:val="18"/>
          <w:szCs w:val="18"/>
          <w:color w:val="auto"/>
        </w:rPr>
        <w:t>Kenneth C. Frazier</w:t>
      </w:r>
    </w:p>
    <w:p>
      <w:pPr>
        <w:spacing w:after="0" w:line="402" w:lineRule="exact"/>
        <w:rPr>
          <w:sz w:val="20"/>
          <w:szCs w:val="20"/>
          <w:color w:val="auto"/>
        </w:rPr>
      </w:pPr>
    </w:p>
    <w:p>
      <w:pPr>
        <w:sectPr>
          <w:pgSz w:w="11900" w:h="16838" w:orient="portrait"/>
          <w:cols w:equalWidth="0" w:num="2">
            <w:col w:w="5140" w:space="720"/>
            <w:col w:w="4700"/>
          </w:cols>
          <w:pgMar w:left="240" w:top="455" w:right="1099" w:bottom="1440" w:gutter="0" w:footer="0" w:header="0"/>
          <w:type w:val="continuous"/>
        </w:sectPr>
      </w:pPr>
    </w:p>
    <w:p>
      <w:pPr>
        <w:spacing w:after="0" w:line="197" w:lineRule="exact"/>
        <w:rPr>
          <w:sz w:val="20"/>
          <w:szCs w:val="20"/>
          <w:color w:val="auto"/>
        </w:rPr>
      </w:pPr>
    </w:p>
    <w:p>
      <w:pPr>
        <w:ind w:left="860"/>
        <w:spacing w:after="0"/>
        <w:rPr>
          <w:sz w:val="20"/>
          <w:szCs w:val="20"/>
          <w:color w:val="auto"/>
        </w:rPr>
      </w:pPr>
      <w:r>
        <w:rPr>
          <w:rFonts w:ascii="Arial" w:cs="Arial" w:eastAsia="Arial" w:hAnsi="Arial"/>
          <w:sz w:val="20"/>
          <w:szCs w:val="20"/>
          <w:b w:val="1"/>
          <w:bCs w:val="1"/>
          <w:color w:val="auto"/>
        </w:rPr>
        <w:t>Item 3 – Advisory Vote to Approve Executive Compensation</w:t>
      </w:r>
    </w:p>
    <w:p>
      <w:pPr>
        <w:spacing w:after="0" w:line="103" w:lineRule="exact"/>
        <w:rPr>
          <w:sz w:val="20"/>
          <w:szCs w:val="20"/>
          <w:color w:val="auto"/>
        </w:rPr>
      </w:pPr>
    </w:p>
    <w:p>
      <w:pPr>
        <w:ind w:left="860" w:right="20"/>
        <w:spacing w:after="0" w:line="276" w:lineRule="auto"/>
        <w:rPr>
          <w:sz w:val="20"/>
          <w:szCs w:val="20"/>
          <w:color w:val="auto"/>
        </w:rPr>
      </w:pPr>
      <w:r>
        <w:rPr>
          <w:rFonts w:ascii="Arial" w:cs="Arial" w:eastAsia="Arial" w:hAnsi="Arial"/>
          <w:sz w:val="18"/>
          <w:szCs w:val="18"/>
          <w:color w:val="auto"/>
        </w:rPr>
        <w:t>At the meeting, shareholders will be asked to vote on a non-binding resolution to approve the compensation of the Named Executive Officers (NEOs), listed in the Summary Compensation Table.</w:t>
      </w:r>
    </w:p>
    <w:p>
      <w:pPr>
        <w:spacing w:after="0" w:line="145" w:lineRule="exact"/>
        <w:rPr>
          <w:sz w:val="20"/>
          <w:szCs w:val="20"/>
          <w:color w:val="auto"/>
        </w:rPr>
      </w:pPr>
    </w:p>
    <w:p>
      <w:pPr>
        <w:ind w:left="860"/>
        <w:spacing w:after="0" w:line="276" w:lineRule="auto"/>
        <w:rPr>
          <w:sz w:val="20"/>
          <w:szCs w:val="20"/>
          <w:color w:val="auto"/>
        </w:rPr>
      </w:pPr>
      <w:r>
        <w:rPr>
          <w:rFonts w:ascii="Arial" w:cs="Arial" w:eastAsia="Arial" w:hAnsi="Arial"/>
          <w:sz w:val="18"/>
          <w:szCs w:val="18"/>
          <w:color w:val="auto"/>
        </w:rPr>
        <w:t>When casting your vote, we encourage you to consider the content of our Executive Compensation Overview and detailed information included in the Compensation Discussion and Analysis beginning on page 27.</w:t>
      </w:r>
    </w:p>
    <w:p>
      <w:pPr>
        <w:spacing w:after="0" w:line="145" w:lineRule="exact"/>
        <w:rPr>
          <w:sz w:val="20"/>
          <w:szCs w:val="20"/>
          <w:color w:val="auto"/>
        </w:rPr>
      </w:pPr>
    </w:p>
    <w:p>
      <w:pPr>
        <w:ind w:left="860" w:right="440"/>
        <w:spacing w:after="0" w:line="276" w:lineRule="auto"/>
        <w:rPr>
          <w:sz w:val="20"/>
          <w:szCs w:val="20"/>
          <w:color w:val="auto"/>
        </w:rPr>
      </w:pPr>
      <w:r>
        <w:rPr>
          <w:rFonts w:ascii="Arial" w:cs="Arial" w:eastAsia="Arial" w:hAnsi="Arial"/>
          <w:sz w:val="18"/>
          <w:szCs w:val="18"/>
          <w:color w:val="auto"/>
        </w:rPr>
        <w:t>The Board continues to support the overall design of the compensation program, which is characterized by three key features:</w:t>
      </w:r>
    </w:p>
    <w:p>
      <w:pPr>
        <w:spacing w:after="0" w:line="49" w:lineRule="exact"/>
        <w:rPr>
          <w:sz w:val="20"/>
          <w:szCs w:val="20"/>
          <w:color w:val="auto"/>
        </w:rPr>
      </w:pPr>
    </w:p>
    <w:p>
      <w:pPr>
        <w:ind w:left="1240" w:right="180" w:hanging="388"/>
        <w:spacing w:after="0" w:line="277" w:lineRule="auto"/>
        <w:tabs>
          <w:tab w:leader="none" w:pos="1240" w:val="left"/>
        </w:tabs>
        <w:numPr>
          <w:ilvl w:val="0"/>
          <w:numId w:val="36"/>
        </w:numPr>
        <w:rPr>
          <w:rFonts w:ascii="Times New Roman" w:cs="Times New Roman" w:eastAsia="Times New Roman" w:hAnsi="Times New Roman"/>
          <w:sz w:val="18"/>
          <w:szCs w:val="18"/>
          <w:color w:val="auto"/>
        </w:rPr>
      </w:pPr>
      <w:r>
        <w:rPr>
          <w:rFonts w:ascii="Arial" w:cs="Arial" w:eastAsia="Arial" w:hAnsi="Arial"/>
          <w:sz w:val="18"/>
          <w:szCs w:val="18"/>
          <w:b w:val="1"/>
          <w:bCs w:val="1"/>
          <w:color w:val="auto"/>
        </w:rPr>
        <w:t xml:space="preserve">Ties compensation to the experience of long-term shareholders – </w:t>
      </w:r>
      <w:r>
        <w:rPr>
          <w:rFonts w:ascii="Arial" w:cs="Arial" w:eastAsia="Arial" w:hAnsi="Arial"/>
          <w:sz w:val="18"/>
          <w:szCs w:val="18"/>
          <w:color w:val="auto"/>
        </w:rPr>
        <w:t>The majority of compensation is delivered in</w:t>
      </w:r>
      <w:r>
        <w:rPr>
          <w:rFonts w:ascii="Arial" w:cs="Arial" w:eastAsia="Arial" w:hAnsi="Arial"/>
          <w:sz w:val="18"/>
          <w:szCs w:val="18"/>
          <w:b w:val="1"/>
          <w:bCs w:val="1"/>
          <w:color w:val="auto"/>
        </w:rPr>
        <w:t xml:space="preserve"> </w:t>
      </w:r>
      <w:r>
        <w:rPr>
          <w:rFonts w:ascii="Arial" w:cs="Arial" w:eastAsia="Arial" w:hAnsi="Arial"/>
          <w:sz w:val="18"/>
          <w:szCs w:val="18"/>
          <w:color w:val="auto"/>
        </w:rPr>
        <w:t>the form of performance shares, linking the ultimate value of pay to the performance of ExxonMobil stock.</w:t>
      </w:r>
    </w:p>
    <w:p>
      <w:pPr>
        <w:spacing w:after="0" w:line="47" w:lineRule="exact"/>
        <w:rPr>
          <w:rFonts w:ascii="Times New Roman" w:cs="Times New Roman" w:eastAsia="Times New Roman" w:hAnsi="Times New Roman"/>
          <w:sz w:val="18"/>
          <w:szCs w:val="18"/>
          <w:color w:val="auto"/>
        </w:rPr>
      </w:pPr>
    </w:p>
    <w:p>
      <w:pPr>
        <w:ind w:left="1240" w:right="340" w:hanging="388"/>
        <w:spacing w:after="0" w:line="256" w:lineRule="auto"/>
        <w:tabs>
          <w:tab w:leader="none" w:pos="1240" w:val="left"/>
        </w:tabs>
        <w:numPr>
          <w:ilvl w:val="0"/>
          <w:numId w:val="36"/>
        </w:numPr>
        <w:rPr>
          <w:rFonts w:ascii="Times New Roman" w:cs="Times New Roman" w:eastAsia="Times New Roman" w:hAnsi="Times New Roman"/>
          <w:sz w:val="18"/>
          <w:szCs w:val="18"/>
          <w:color w:val="auto"/>
        </w:rPr>
      </w:pPr>
      <w:r>
        <w:rPr>
          <w:rFonts w:ascii="Arial" w:cs="Arial" w:eastAsia="Arial" w:hAnsi="Arial"/>
          <w:sz w:val="18"/>
          <w:szCs w:val="18"/>
          <w:b w:val="1"/>
          <w:bCs w:val="1"/>
          <w:color w:val="auto"/>
        </w:rPr>
        <w:t xml:space="preserve">Recognizes the long-term nature of ExxonMobil’s business model – </w:t>
      </w:r>
      <w:r>
        <w:rPr>
          <w:rFonts w:ascii="Arial" w:cs="Arial" w:eastAsia="Arial" w:hAnsi="Arial"/>
          <w:sz w:val="18"/>
          <w:szCs w:val="18"/>
          <w:color w:val="auto"/>
        </w:rPr>
        <w:t>Performance shares are subject to the</w:t>
      </w:r>
      <w:r>
        <w:rPr>
          <w:rFonts w:ascii="Arial" w:cs="Arial" w:eastAsia="Arial" w:hAnsi="Arial"/>
          <w:sz w:val="18"/>
          <w:szCs w:val="18"/>
          <w:b w:val="1"/>
          <w:bCs w:val="1"/>
          <w:color w:val="auto"/>
        </w:rPr>
        <w:t xml:space="preserve"> </w:t>
      </w:r>
      <w:r>
        <w:rPr>
          <w:rFonts w:ascii="Arial" w:cs="Arial" w:eastAsia="Arial" w:hAnsi="Arial"/>
          <w:sz w:val="18"/>
          <w:szCs w:val="18"/>
          <w:color w:val="auto"/>
        </w:rPr>
        <w:t>longest restriction periods in industry, including through the commodity price cycle and into retirement. Therefore, executives are encouraged to take a long-term view in their business decision-making.</w:t>
      </w:r>
    </w:p>
    <w:p>
      <w:pPr>
        <w:spacing w:after="0" w:line="66" w:lineRule="exact"/>
        <w:rPr>
          <w:rFonts w:ascii="Times New Roman" w:cs="Times New Roman" w:eastAsia="Times New Roman" w:hAnsi="Times New Roman"/>
          <w:sz w:val="18"/>
          <w:szCs w:val="18"/>
          <w:color w:val="auto"/>
        </w:rPr>
      </w:pPr>
    </w:p>
    <w:p>
      <w:pPr>
        <w:ind w:left="1240" w:right="340" w:hanging="388"/>
        <w:spacing w:after="0" w:line="249" w:lineRule="auto"/>
        <w:tabs>
          <w:tab w:leader="none" w:pos="1240" w:val="left"/>
        </w:tabs>
        <w:numPr>
          <w:ilvl w:val="0"/>
          <w:numId w:val="36"/>
        </w:numPr>
        <w:rPr>
          <w:rFonts w:ascii="Times New Roman" w:cs="Times New Roman" w:eastAsia="Times New Roman" w:hAnsi="Times New Roman"/>
          <w:sz w:val="18"/>
          <w:szCs w:val="18"/>
          <w:color w:val="auto"/>
        </w:rPr>
      </w:pPr>
      <w:r>
        <w:rPr>
          <w:rFonts w:ascii="Arial" w:cs="Arial" w:eastAsia="Arial" w:hAnsi="Arial"/>
          <w:sz w:val="18"/>
          <w:szCs w:val="18"/>
          <w:b w:val="1"/>
          <w:bCs w:val="1"/>
          <w:color w:val="auto"/>
        </w:rPr>
        <w:t xml:space="preserve">Links executives’ compensation to Company performance – </w:t>
      </w:r>
      <w:r>
        <w:rPr>
          <w:rFonts w:ascii="Arial" w:cs="Arial" w:eastAsia="Arial" w:hAnsi="Arial"/>
          <w:sz w:val="18"/>
          <w:szCs w:val="18"/>
          <w:color w:val="auto"/>
        </w:rPr>
        <w:t>The number of shares at grant is determined by</w:t>
      </w:r>
      <w:r>
        <w:rPr>
          <w:rFonts w:ascii="Arial" w:cs="Arial" w:eastAsia="Arial" w:hAnsi="Arial"/>
          <w:sz w:val="18"/>
          <w:szCs w:val="18"/>
          <w:b w:val="1"/>
          <w:bCs w:val="1"/>
          <w:color w:val="auto"/>
        </w:rPr>
        <w:t xml:space="preserve"> </w:t>
      </w:r>
      <w:r>
        <w:rPr>
          <w:rFonts w:ascii="Arial" w:cs="Arial" w:eastAsia="Arial" w:hAnsi="Arial"/>
          <w:sz w:val="18"/>
          <w:szCs w:val="18"/>
          <w:color w:val="auto"/>
        </w:rPr>
        <w:t>relative Company performance versus industry peers and market orientation of total compensation. We set the highest standards, requiring industry-leading results over the investment lead times of the business (10 years) in pre-established performance metrics.</w:t>
      </w:r>
    </w:p>
    <w:p>
      <w:pPr>
        <w:spacing w:after="0" w:line="169" w:lineRule="exact"/>
        <w:rPr>
          <w:sz w:val="20"/>
          <w:szCs w:val="20"/>
          <w:color w:val="auto"/>
        </w:rPr>
      </w:pPr>
    </w:p>
    <w:p>
      <w:pPr>
        <w:ind w:left="860" w:right="300"/>
        <w:spacing w:after="0" w:line="276" w:lineRule="auto"/>
        <w:rPr>
          <w:sz w:val="20"/>
          <w:szCs w:val="20"/>
          <w:color w:val="auto"/>
        </w:rPr>
      </w:pPr>
      <w:r>
        <w:rPr>
          <w:rFonts w:ascii="Arial" w:cs="Arial" w:eastAsia="Arial" w:hAnsi="Arial"/>
          <w:sz w:val="18"/>
          <w:szCs w:val="18"/>
          <w:color w:val="auto"/>
        </w:rPr>
        <w:t>For 2017, Company performance remains industry-leading in all but one of these performance metrics. As a result, the Compensation Committee has reduced 2017 CEO and NEO performance share awards.</w:t>
      </w:r>
    </w:p>
    <w:p>
      <w:pPr>
        <w:spacing w:after="0" w:line="145" w:lineRule="exact"/>
        <w:rPr>
          <w:sz w:val="20"/>
          <w:szCs w:val="20"/>
          <w:color w:val="auto"/>
        </w:rPr>
      </w:pPr>
    </w:p>
    <w:p>
      <w:pPr>
        <w:ind w:left="860" w:right="60"/>
        <w:spacing w:after="0" w:line="255" w:lineRule="auto"/>
        <w:rPr>
          <w:sz w:val="20"/>
          <w:szCs w:val="20"/>
          <w:color w:val="auto"/>
        </w:rPr>
      </w:pPr>
      <w:r>
        <w:rPr>
          <w:rFonts w:ascii="Arial" w:cs="Arial" w:eastAsia="Arial" w:hAnsi="Arial"/>
          <w:sz w:val="18"/>
          <w:szCs w:val="18"/>
          <w:color w:val="auto"/>
        </w:rPr>
        <w:t>We continue to listen and respond to the feedback we receive from shareholders during our shareholder engagement process regarding the design of our compensation program. This year, shareholder feedback resulted in specific changes to the compensation program and improvements in our disclosure.</w:t>
      </w:r>
    </w:p>
    <w:p>
      <w:pPr>
        <w:spacing w:after="0" w:line="162" w:lineRule="exact"/>
        <w:rPr>
          <w:sz w:val="20"/>
          <w:szCs w:val="20"/>
          <w:color w:val="auto"/>
        </w:rPr>
      </w:pPr>
    </w:p>
    <w:p>
      <w:pPr>
        <w:jc w:val="center"/>
        <w:ind w:right="-859"/>
        <w:spacing w:after="0"/>
        <w:rPr>
          <w:sz w:val="20"/>
          <w:szCs w:val="20"/>
          <w:color w:val="auto"/>
        </w:rPr>
      </w:pPr>
      <w:r>
        <w:rPr>
          <w:rFonts w:ascii="Arial" w:cs="Arial" w:eastAsia="Arial" w:hAnsi="Arial"/>
          <w:sz w:val="18"/>
          <w:szCs w:val="18"/>
          <w:b w:val="1"/>
          <w:bCs w:val="1"/>
          <w:color w:val="2B4C9B"/>
        </w:rPr>
        <w:t>The Board recommends an advisory vote FOR the following resolution:</w:t>
      </w:r>
    </w:p>
    <w:p>
      <w:pPr>
        <w:spacing w:after="0" w:line="214" w:lineRule="exact"/>
        <w:rPr>
          <w:sz w:val="20"/>
          <w:szCs w:val="20"/>
          <w:color w:val="auto"/>
        </w:rPr>
      </w:pPr>
    </w:p>
    <w:p>
      <w:pPr>
        <w:ind w:left="860"/>
        <w:spacing w:after="0" w:line="255" w:lineRule="auto"/>
        <w:rPr>
          <w:sz w:val="20"/>
          <w:szCs w:val="20"/>
          <w:color w:val="auto"/>
        </w:rPr>
      </w:pPr>
      <w:r>
        <w:rPr>
          <w:rFonts w:ascii="Arial" w:cs="Arial" w:eastAsia="Arial" w:hAnsi="Arial"/>
          <w:sz w:val="18"/>
          <w:szCs w:val="18"/>
          <w:color w:val="auto"/>
        </w:rPr>
        <w:t>RESOLVED: That shareholders approve the compensation of the Named Executive Officers as disclosed pursuant to Item 402 of SEC Regulation S-K, including the Compensation Discussion and Analysis, compensation tables, and narrative discussion on pages 27 to 53 of this proxy statement.</w:t>
      </w:r>
    </w:p>
    <w:p>
      <w:pPr>
        <w:spacing w:after="0" w:line="97" w:lineRule="exact"/>
        <w:rPr>
          <w:sz w:val="20"/>
          <w:szCs w:val="20"/>
          <w:color w:val="auto"/>
        </w:rPr>
      </w:pPr>
    </w:p>
    <w:p>
      <w:pPr>
        <w:ind w:left="880"/>
        <w:spacing w:after="0"/>
        <w:tabs>
          <w:tab w:leader="none" w:pos="2780" w:val="left"/>
        </w:tabs>
        <w:rPr>
          <w:sz w:val="20"/>
          <w:szCs w:val="20"/>
          <w:color w:val="auto"/>
        </w:rPr>
      </w:pPr>
      <w:r>
        <w:rPr>
          <w:rFonts w:ascii="Arial" w:cs="Arial" w:eastAsia="Arial" w:hAnsi="Arial"/>
          <w:sz w:val="18"/>
          <w:szCs w:val="18"/>
          <w:color w:val="auto"/>
        </w:rPr>
        <w:t>26</w:t>
      </w:r>
      <w:r>
        <w:rPr>
          <w:sz w:val="20"/>
          <w:szCs w:val="20"/>
          <w:color w:val="auto"/>
        </w:rPr>
        <w:tab/>
      </w:r>
      <w:r>
        <w:rPr>
          <w:rFonts w:ascii="Times New Roman" w:cs="Times New Roman" w:eastAsia="Times New Roman" w:hAnsi="Times New Roman"/>
          <w:sz w:val="18"/>
          <w:szCs w:val="18"/>
          <w:i w:val="1"/>
          <w:iCs w:val="1"/>
          <w:color w:val="auto"/>
        </w:rPr>
        <w:t>2018 Proxy Statement</w:t>
      </w:r>
    </w:p>
    <w:p>
      <w:pPr>
        <w:sectPr>
          <w:pgSz w:w="11900" w:h="16838" w:orient="portrait"/>
          <w:cols w:equalWidth="0" w:num="1">
            <w:col w:w="10560"/>
          </w:cols>
          <w:pgMar w:left="240" w:top="455" w:right="1099" w:bottom="1440" w:gutter="0" w:footer="0" w:header="0"/>
          <w:type w:val="continuous"/>
        </w:sectPr>
      </w:pPr>
    </w:p>
    <w:bookmarkStart w:id="29" w:name="page30"/>
    <w:bookmarkEnd w:id="29"/>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Times New Roman" w:cs="Times New Roman" w:eastAsia="Times New Roman" w:hAnsi="Times New Roman"/>
            <w:sz w:val="18"/>
            <w:szCs w:val="18"/>
            <w:b w:val="1"/>
            <w:bCs w:val="1"/>
            <w:u w:val="single" w:color="auto"/>
            <w:color w:val="0000EE"/>
          </w:rPr>
          <w:t>Table of Contents</w:t>
        </w:r>
      </w:hyperlink>
    </w:p>
    <w:p>
      <w:pPr>
        <w:spacing w:after="0" w:line="300" w:lineRule="exact"/>
        <w:rPr>
          <w:sz w:val="20"/>
          <w:szCs w:val="20"/>
          <w:color w:val="auto"/>
        </w:rPr>
      </w:pPr>
    </w:p>
    <w:p>
      <w:pPr>
        <w:ind w:left="860"/>
        <w:spacing w:after="0"/>
        <w:rPr>
          <w:sz w:val="20"/>
          <w:szCs w:val="20"/>
          <w:color w:val="auto"/>
        </w:rPr>
      </w:pPr>
      <w:r>
        <w:rPr>
          <w:rFonts w:ascii="Arial" w:cs="Arial" w:eastAsia="Arial" w:hAnsi="Arial"/>
          <w:sz w:val="23"/>
          <w:szCs w:val="23"/>
          <w:b w:val="1"/>
          <w:bCs w:val="1"/>
          <w:color w:val="2B4C9B"/>
        </w:rPr>
        <w:t>COMPENSATION DISCUSSION AND ANALYSIS</w:t>
      </w:r>
    </w:p>
    <w:p>
      <w:pPr>
        <w:spacing w:after="0" w:line="200" w:lineRule="exact"/>
        <w:rPr>
          <w:sz w:val="20"/>
          <w:szCs w:val="20"/>
          <w:color w:val="auto"/>
        </w:rPr>
      </w:pPr>
    </w:p>
    <w:p>
      <w:pPr>
        <w:spacing w:after="0" w:line="200" w:lineRule="exact"/>
        <w:rPr>
          <w:sz w:val="20"/>
          <w:szCs w:val="20"/>
          <w:color w:val="auto"/>
        </w:rPr>
      </w:pPr>
    </w:p>
    <w:p>
      <w:pPr>
        <w:spacing w:after="0" w:line="250" w:lineRule="exact"/>
        <w:rPr>
          <w:sz w:val="20"/>
          <w:szCs w:val="20"/>
          <w:color w:val="auto"/>
        </w:rPr>
      </w:pPr>
    </w:p>
    <w:tbl>
      <w:tblPr>
        <w:tblLayout w:type="fixed"/>
        <w:tblInd w:w="860" w:type="dxa"/>
        <w:tblCellMar>
          <w:top w:w="0" w:type="dxa"/>
          <w:left w:w="0" w:type="dxa"/>
          <w:bottom w:w="0" w:type="dxa"/>
          <w:right w:w="0" w:type="dxa"/>
        </w:tblCellMar>
      </w:tblPr>
      <w:tr>
        <w:trPr>
          <w:trHeight w:val="207"/>
        </w:trPr>
        <w:tc>
          <w:tcPr>
            <w:tcW w:w="2640" w:type="dxa"/>
            <w:vAlign w:val="bottom"/>
          </w:tcPr>
          <w:p>
            <w:pPr>
              <w:spacing w:after="0"/>
              <w:rPr>
                <w:sz w:val="20"/>
                <w:szCs w:val="20"/>
                <w:color w:val="auto"/>
              </w:rPr>
            </w:pPr>
            <w:r>
              <w:rPr>
                <w:rFonts w:ascii="Arial" w:cs="Arial" w:eastAsia="Arial" w:hAnsi="Arial"/>
                <w:sz w:val="18"/>
                <w:szCs w:val="18"/>
                <w:b w:val="1"/>
                <w:bCs w:val="1"/>
                <w:color w:val="auto"/>
              </w:rPr>
              <w:t>Executive Compensation</w:t>
            </w:r>
          </w:p>
        </w:tc>
        <w:tc>
          <w:tcPr>
            <w:tcW w:w="64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w:t>
            </w:r>
          </w:p>
        </w:tc>
        <w:tc>
          <w:tcPr>
            <w:tcW w:w="1780" w:type="dxa"/>
            <w:vAlign w:val="bottom"/>
            <w:tcBorders>
              <w:bottom w:val="single" w:sz="8" w:color="0000EE"/>
            </w:tcBorders>
            <w:gridSpan w:val="12"/>
          </w:tcPr>
          <w:p>
            <w:pPr>
              <w:spacing w:after="0"/>
              <w:rPr>
                <w:rFonts w:ascii="Arial" w:cs="Arial" w:eastAsia="Arial" w:hAnsi="Arial"/>
                <w:sz w:val="18"/>
                <w:szCs w:val="18"/>
                <w:color w:val="0000EE"/>
                <w:w w:val="98"/>
              </w:rPr>
            </w:pPr>
            <w:hyperlink w:anchor="page31">
              <w:r>
                <w:rPr>
                  <w:rFonts w:ascii="Arial" w:cs="Arial" w:eastAsia="Arial" w:hAnsi="Arial"/>
                  <w:sz w:val="18"/>
                  <w:szCs w:val="18"/>
                  <w:color w:val="0000EE"/>
                  <w:w w:val="98"/>
                </w:rPr>
                <w:t>Letter to Shareholders</w:t>
              </w:r>
            </w:hyperlink>
          </w:p>
        </w:tc>
        <w:tc>
          <w:tcPr>
            <w:tcW w:w="2620" w:type="dxa"/>
            <w:vAlign w:val="bottom"/>
            <w:gridSpan w:val="21"/>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2640" w:type="dxa"/>
            <w:vAlign w:val="bottom"/>
          </w:tcPr>
          <w:p>
            <w:pPr>
              <w:spacing w:after="0" w:line="196" w:lineRule="exact"/>
              <w:rPr>
                <w:sz w:val="20"/>
                <w:szCs w:val="20"/>
                <w:color w:val="auto"/>
              </w:rPr>
            </w:pPr>
            <w:r>
              <w:rPr>
                <w:rFonts w:ascii="Arial" w:cs="Arial" w:eastAsia="Arial" w:hAnsi="Arial"/>
                <w:sz w:val="18"/>
                <w:szCs w:val="18"/>
                <w:b w:val="1"/>
                <w:bCs w:val="1"/>
                <w:color w:val="auto"/>
              </w:rPr>
              <w:t>Overview</w:t>
            </w:r>
          </w:p>
        </w:tc>
        <w:tc>
          <w:tcPr>
            <w:tcW w:w="640" w:type="dxa"/>
            <w:vAlign w:val="bottom"/>
          </w:tcPr>
          <w:p>
            <w:pPr>
              <w:ind w:left="240"/>
              <w:spacing w:after="0" w:line="196" w:lineRule="exact"/>
              <w:rPr>
                <w:sz w:val="20"/>
                <w:szCs w:val="20"/>
                <w:color w:val="auto"/>
              </w:rPr>
            </w:pPr>
            <w:r>
              <w:rPr>
                <w:rFonts w:ascii="Times New Roman" w:cs="Times New Roman" w:eastAsia="Times New Roman" w:hAnsi="Times New Roman"/>
                <w:sz w:val="18"/>
                <w:szCs w:val="18"/>
                <w:color w:val="auto"/>
              </w:rPr>
              <w:t>•</w:t>
            </w:r>
          </w:p>
        </w:tc>
        <w:tc>
          <w:tcPr>
            <w:tcW w:w="4400" w:type="dxa"/>
            <w:vAlign w:val="bottom"/>
            <w:gridSpan w:val="33"/>
          </w:tcPr>
          <w:p>
            <w:pPr>
              <w:spacing w:after="0" w:line="196" w:lineRule="exact"/>
              <w:rPr>
                <w:rFonts w:ascii="Arial" w:cs="Arial" w:eastAsia="Arial" w:hAnsi="Arial"/>
                <w:sz w:val="18"/>
                <w:szCs w:val="18"/>
                <w:color w:val="0000EE"/>
              </w:rPr>
            </w:pPr>
            <w:hyperlink w:anchor="page31">
              <w:r>
                <w:rPr>
                  <w:rFonts w:ascii="Arial" w:cs="Arial" w:eastAsia="Arial" w:hAnsi="Arial"/>
                  <w:sz w:val="18"/>
                  <w:szCs w:val="18"/>
                  <w:color w:val="0000EE"/>
                </w:rPr>
                <w:t>Shareholder Engagement</w:t>
              </w:r>
            </w:hyperlink>
          </w:p>
        </w:tc>
        <w:tc>
          <w:tcPr>
            <w:tcW w:w="0" w:type="dxa"/>
            <w:vAlign w:val="bottom"/>
          </w:tcPr>
          <w:p>
            <w:pPr>
              <w:spacing w:after="0"/>
              <w:rPr>
                <w:sz w:val="1"/>
                <w:szCs w:val="1"/>
                <w:color w:val="auto"/>
              </w:rPr>
            </w:pPr>
          </w:p>
        </w:tc>
      </w:tr>
      <w:tr>
        <w:trPr>
          <w:trHeight w:val="196"/>
        </w:trPr>
        <w:tc>
          <w:tcPr>
            <w:tcW w:w="2640" w:type="dxa"/>
            <w:vAlign w:val="bottom"/>
          </w:tcPr>
          <w:p>
            <w:pPr>
              <w:spacing w:after="0"/>
              <w:rPr>
                <w:sz w:val="17"/>
                <w:szCs w:val="17"/>
                <w:color w:val="auto"/>
              </w:rPr>
            </w:pPr>
          </w:p>
        </w:tc>
        <w:tc>
          <w:tcPr>
            <w:tcW w:w="640" w:type="dxa"/>
            <w:vAlign w:val="bottom"/>
          </w:tcPr>
          <w:p>
            <w:pPr>
              <w:ind w:left="240"/>
              <w:spacing w:after="0" w:line="196" w:lineRule="exact"/>
              <w:rPr>
                <w:sz w:val="20"/>
                <w:szCs w:val="20"/>
                <w:color w:val="auto"/>
              </w:rPr>
            </w:pPr>
            <w:r>
              <w:rPr>
                <w:rFonts w:ascii="Times New Roman" w:cs="Times New Roman" w:eastAsia="Times New Roman" w:hAnsi="Times New Roman"/>
                <w:sz w:val="18"/>
                <w:szCs w:val="18"/>
                <w:color w:val="auto"/>
              </w:rPr>
              <w:t>•</w:t>
            </w:r>
          </w:p>
        </w:tc>
        <w:tc>
          <w:tcPr>
            <w:tcW w:w="2040" w:type="dxa"/>
            <w:vAlign w:val="bottom"/>
            <w:tcBorders>
              <w:top w:val="single" w:sz="8" w:color="0000EE"/>
            </w:tcBorders>
            <w:gridSpan w:val="16"/>
          </w:tcPr>
          <w:p>
            <w:pPr>
              <w:spacing w:after="0" w:line="196" w:lineRule="exact"/>
              <w:rPr>
                <w:rFonts w:ascii="Arial" w:cs="Arial" w:eastAsia="Arial" w:hAnsi="Arial"/>
                <w:sz w:val="18"/>
                <w:szCs w:val="18"/>
                <w:color w:val="0000EE"/>
              </w:rPr>
            </w:pPr>
            <w:hyperlink w:anchor="page31">
              <w:r>
                <w:rPr>
                  <w:rFonts w:ascii="Arial" w:cs="Arial" w:eastAsia="Arial" w:hAnsi="Arial"/>
                  <w:sz w:val="18"/>
                  <w:szCs w:val="18"/>
                  <w:color w:val="0000EE"/>
                </w:rPr>
                <w:t>Say-On-Pay Results</w:t>
              </w:r>
            </w:hyperlink>
          </w:p>
        </w:tc>
        <w:tc>
          <w:tcPr>
            <w:tcW w:w="2360" w:type="dxa"/>
            <w:vAlign w:val="bottom"/>
            <w:gridSpan w:val="17"/>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2640" w:type="dxa"/>
            <w:vAlign w:val="bottom"/>
          </w:tcPr>
          <w:p>
            <w:pPr>
              <w:spacing w:after="0"/>
              <w:rPr>
                <w:sz w:val="17"/>
                <w:szCs w:val="17"/>
                <w:color w:val="auto"/>
              </w:rPr>
            </w:pPr>
          </w:p>
        </w:tc>
        <w:tc>
          <w:tcPr>
            <w:tcW w:w="640" w:type="dxa"/>
            <w:vAlign w:val="bottom"/>
          </w:tcPr>
          <w:p>
            <w:pPr>
              <w:ind w:left="240"/>
              <w:spacing w:after="0" w:line="196" w:lineRule="exact"/>
              <w:rPr>
                <w:sz w:val="20"/>
                <w:szCs w:val="20"/>
                <w:color w:val="auto"/>
              </w:rPr>
            </w:pPr>
            <w:r>
              <w:rPr>
                <w:rFonts w:ascii="Times New Roman" w:cs="Times New Roman" w:eastAsia="Times New Roman" w:hAnsi="Times New Roman"/>
                <w:sz w:val="18"/>
                <w:szCs w:val="18"/>
                <w:color w:val="auto"/>
              </w:rPr>
              <w:t>•</w:t>
            </w:r>
          </w:p>
        </w:tc>
        <w:tc>
          <w:tcPr>
            <w:tcW w:w="1600" w:type="dxa"/>
            <w:vAlign w:val="bottom"/>
            <w:tcBorders>
              <w:top w:val="single" w:sz="8" w:color="0000EE"/>
              <w:bottom w:val="single" w:sz="8" w:color="0000EE"/>
            </w:tcBorders>
            <w:gridSpan w:val="9"/>
          </w:tcPr>
          <w:p>
            <w:pPr>
              <w:spacing w:after="0" w:line="196" w:lineRule="exact"/>
              <w:rPr>
                <w:rFonts w:ascii="Arial" w:cs="Arial" w:eastAsia="Arial" w:hAnsi="Arial"/>
                <w:sz w:val="18"/>
                <w:szCs w:val="18"/>
                <w:color w:val="0000EE"/>
                <w:w w:val="98"/>
              </w:rPr>
            </w:pPr>
            <w:hyperlink w:anchor="page32">
              <w:r>
                <w:rPr>
                  <w:rFonts w:ascii="Arial" w:cs="Arial" w:eastAsia="Arial" w:hAnsi="Arial"/>
                  <w:sz w:val="18"/>
                  <w:szCs w:val="18"/>
                  <w:color w:val="0000EE"/>
                  <w:w w:val="98"/>
                </w:rPr>
                <w:t>Executive Summary</w:t>
              </w:r>
            </w:hyperlink>
          </w:p>
        </w:tc>
        <w:tc>
          <w:tcPr>
            <w:tcW w:w="20" w:type="dxa"/>
            <w:vAlign w:val="bottom"/>
            <w:tcBorders>
              <w:top w:val="single" w:sz="8" w:color="0000EE"/>
            </w:tcBorders>
          </w:tcPr>
          <w:p>
            <w:pPr>
              <w:spacing w:after="0"/>
              <w:rPr>
                <w:sz w:val="17"/>
                <w:szCs w:val="17"/>
                <w:color w:val="auto"/>
              </w:rPr>
            </w:pPr>
          </w:p>
        </w:tc>
        <w:tc>
          <w:tcPr>
            <w:tcW w:w="2780" w:type="dxa"/>
            <w:vAlign w:val="bottom"/>
            <w:gridSpan w:val="23"/>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2640" w:type="dxa"/>
            <w:vAlign w:val="bottom"/>
          </w:tcPr>
          <w:p>
            <w:pPr>
              <w:spacing w:after="0"/>
              <w:rPr>
                <w:sz w:val="17"/>
                <w:szCs w:val="17"/>
                <w:color w:val="auto"/>
              </w:rPr>
            </w:pPr>
          </w:p>
        </w:tc>
        <w:tc>
          <w:tcPr>
            <w:tcW w:w="640" w:type="dxa"/>
            <w:vAlign w:val="bottom"/>
          </w:tcPr>
          <w:p>
            <w:pPr>
              <w:ind w:left="240"/>
              <w:spacing w:after="0" w:line="196" w:lineRule="exact"/>
              <w:rPr>
                <w:sz w:val="20"/>
                <w:szCs w:val="20"/>
                <w:color w:val="auto"/>
              </w:rPr>
            </w:pPr>
            <w:r>
              <w:rPr>
                <w:rFonts w:ascii="Times New Roman" w:cs="Times New Roman" w:eastAsia="Times New Roman" w:hAnsi="Times New Roman"/>
                <w:sz w:val="18"/>
                <w:szCs w:val="18"/>
                <w:color w:val="auto"/>
              </w:rPr>
              <w:t>•</w:t>
            </w:r>
          </w:p>
        </w:tc>
        <w:tc>
          <w:tcPr>
            <w:tcW w:w="2300" w:type="dxa"/>
            <w:vAlign w:val="bottom"/>
            <w:tcBorders>
              <w:bottom w:val="single" w:sz="8" w:color="0000EE"/>
            </w:tcBorders>
            <w:gridSpan w:val="20"/>
          </w:tcPr>
          <w:p>
            <w:pPr>
              <w:spacing w:after="0" w:line="196" w:lineRule="exact"/>
              <w:rPr>
                <w:rFonts w:ascii="Arial" w:cs="Arial" w:eastAsia="Arial" w:hAnsi="Arial"/>
                <w:sz w:val="18"/>
                <w:szCs w:val="18"/>
                <w:color w:val="0000EE"/>
                <w:w w:val="99"/>
              </w:rPr>
            </w:pPr>
            <w:hyperlink w:anchor="page33">
              <w:r>
                <w:rPr>
                  <w:rFonts w:ascii="Arial" w:cs="Arial" w:eastAsia="Arial" w:hAnsi="Arial"/>
                  <w:sz w:val="18"/>
                  <w:szCs w:val="18"/>
                  <w:color w:val="0000EE"/>
                  <w:w w:val="99"/>
                </w:rPr>
                <w:t>Performance Share Program</w:t>
              </w:r>
            </w:hyperlink>
          </w:p>
        </w:tc>
        <w:tc>
          <w:tcPr>
            <w:tcW w:w="2100" w:type="dxa"/>
            <w:vAlign w:val="bottom"/>
            <w:gridSpan w:val="13"/>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2640" w:type="dxa"/>
            <w:vAlign w:val="bottom"/>
          </w:tcPr>
          <w:p>
            <w:pPr>
              <w:spacing w:after="0"/>
              <w:rPr>
                <w:sz w:val="17"/>
                <w:szCs w:val="17"/>
                <w:color w:val="auto"/>
              </w:rPr>
            </w:pPr>
          </w:p>
        </w:tc>
        <w:tc>
          <w:tcPr>
            <w:tcW w:w="640" w:type="dxa"/>
            <w:vAlign w:val="bottom"/>
          </w:tcPr>
          <w:p>
            <w:pPr>
              <w:ind w:left="240"/>
              <w:spacing w:after="0" w:line="196" w:lineRule="exact"/>
              <w:rPr>
                <w:sz w:val="20"/>
                <w:szCs w:val="20"/>
                <w:color w:val="auto"/>
              </w:rPr>
            </w:pPr>
            <w:r>
              <w:rPr>
                <w:rFonts w:ascii="Times New Roman" w:cs="Times New Roman" w:eastAsia="Times New Roman" w:hAnsi="Times New Roman"/>
                <w:sz w:val="18"/>
                <w:szCs w:val="18"/>
                <w:color w:val="auto"/>
              </w:rPr>
              <w:t>•</w:t>
            </w:r>
          </w:p>
        </w:tc>
        <w:tc>
          <w:tcPr>
            <w:tcW w:w="4400" w:type="dxa"/>
            <w:vAlign w:val="bottom"/>
            <w:gridSpan w:val="33"/>
          </w:tcPr>
          <w:p>
            <w:pPr>
              <w:spacing w:after="0" w:line="196" w:lineRule="exact"/>
              <w:rPr>
                <w:rFonts w:ascii="Arial" w:cs="Arial" w:eastAsia="Arial" w:hAnsi="Arial"/>
                <w:sz w:val="18"/>
                <w:szCs w:val="18"/>
                <w:color w:val="0000EE"/>
              </w:rPr>
            </w:pPr>
            <w:hyperlink w:anchor="page35">
              <w:r>
                <w:rPr>
                  <w:rFonts w:ascii="Arial" w:cs="Arial" w:eastAsia="Arial" w:hAnsi="Arial"/>
                  <w:sz w:val="18"/>
                  <w:szCs w:val="18"/>
                  <w:color w:val="0000EE"/>
                </w:rPr>
                <w:t>Bonus Program</w:t>
              </w:r>
            </w:hyperlink>
          </w:p>
        </w:tc>
        <w:tc>
          <w:tcPr>
            <w:tcW w:w="0" w:type="dxa"/>
            <w:vAlign w:val="bottom"/>
          </w:tcPr>
          <w:p>
            <w:pPr>
              <w:spacing w:after="0"/>
              <w:rPr>
                <w:sz w:val="1"/>
                <w:szCs w:val="1"/>
                <w:color w:val="auto"/>
              </w:rPr>
            </w:pPr>
          </w:p>
        </w:tc>
      </w:tr>
      <w:tr>
        <w:trPr>
          <w:trHeight w:val="20"/>
        </w:trPr>
        <w:tc>
          <w:tcPr>
            <w:tcW w:w="264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500" w:type="dxa"/>
            <w:vAlign w:val="bottom"/>
            <w:shd w:val="clear" w:color="auto" w:fill="0000EE"/>
          </w:tcPr>
          <w:p>
            <w:pPr>
              <w:spacing w:after="0" w:line="20" w:lineRule="exact"/>
              <w:rPr>
                <w:sz w:val="1"/>
                <w:szCs w:val="1"/>
                <w:color w:val="auto"/>
              </w:rPr>
            </w:pPr>
          </w:p>
        </w:tc>
        <w:tc>
          <w:tcPr>
            <w:tcW w:w="420" w:type="dxa"/>
            <w:vAlign w:val="bottom"/>
            <w:shd w:val="clear" w:color="auto" w:fill="0000EE"/>
          </w:tcPr>
          <w:p>
            <w:pPr>
              <w:spacing w:after="0" w:line="20" w:lineRule="exact"/>
              <w:rPr>
                <w:sz w:val="1"/>
                <w:szCs w:val="1"/>
                <w:color w:val="auto"/>
              </w:rPr>
            </w:pPr>
          </w:p>
        </w:tc>
        <w:tc>
          <w:tcPr>
            <w:tcW w:w="320" w:type="dxa"/>
            <w:vAlign w:val="bottom"/>
            <w:tcBorders>
              <w:right w:val="single" w:sz="8" w:color="0000EE"/>
            </w:tcBorders>
            <w:shd w:val="clear" w:color="auto" w:fill="0000EE"/>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gridSpan w:val="3"/>
          </w:tcPr>
          <w:p>
            <w:pPr>
              <w:spacing w:after="0" w:line="20" w:lineRule="exact"/>
              <w:rPr>
                <w:sz w:val="1"/>
                <w:szCs w:val="1"/>
                <w:color w:val="auto"/>
              </w:rPr>
            </w:pPr>
          </w:p>
        </w:tc>
        <w:tc>
          <w:tcPr>
            <w:tcW w:w="18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2640" w:type="dxa"/>
            <w:vAlign w:val="bottom"/>
          </w:tcPr>
          <w:p>
            <w:pPr>
              <w:spacing w:after="0"/>
              <w:rPr>
                <w:sz w:val="17"/>
                <w:szCs w:val="17"/>
                <w:color w:val="auto"/>
              </w:rPr>
            </w:pPr>
          </w:p>
        </w:tc>
        <w:tc>
          <w:tcPr>
            <w:tcW w:w="640" w:type="dxa"/>
            <w:vAlign w:val="bottom"/>
          </w:tcPr>
          <w:p>
            <w:pPr>
              <w:ind w:left="240"/>
              <w:spacing w:after="0" w:line="196" w:lineRule="exact"/>
              <w:rPr>
                <w:sz w:val="20"/>
                <w:szCs w:val="20"/>
                <w:color w:val="auto"/>
              </w:rPr>
            </w:pPr>
            <w:r>
              <w:rPr>
                <w:rFonts w:ascii="Times New Roman" w:cs="Times New Roman" w:eastAsia="Times New Roman" w:hAnsi="Times New Roman"/>
                <w:sz w:val="18"/>
                <w:szCs w:val="18"/>
                <w:color w:val="auto"/>
              </w:rPr>
              <w:t>•</w:t>
            </w:r>
          </w:p>
        </w:tc>
        <w:tc>
          <w:tcPr>
            <w:tcW w:w="2940" w:type="dxa"/>
            <w:vAlign w:val="bottom"/>
            <w:tcBorders>
              <w:bottom w:val="single" w:sz="8" w:color="0000EE"/>
            </w:tcBorders>
            <w:gridSpan w:val="28"/>
          </w:tcPr>
          <w:p>
            <w:pPr>
              <w:spacing w:after="0" w:line="196" w:lineRule="exact"/>
              <w:rPr>
                <w:rFonts w:ascii="Arial" w:cs="Arial" w:eastAsia="Arial" w:hAnsi="Arial"/>
                <w:sz w:val="18"/>
                <w:szCs w:val="18"/>
                <w:color w:val="0000EE"/>
                <w:w w:val="99"/>
              </w:rPr>
            </w:pPr>
            <w:hyperlink w:anchor="page35">
              <w:r>
                <w:rPr>
                  <w:rFonts w:ascii="Arial" w:cs="Arial" w:eastAsia="Arial" w:hAnsi="Arial"/>
                  <w:sz w:val="18"/>
                  <w:szCs w:val="18"/>
                  <w:color w:val="0000EE"/>
                  <w:w w:val="99"/>
                </w:rPr>
                <w:t>Benchmarking and Scale/Complexity</w:t>
              </w:r>
            </w:hyperlink>
          </w:p>
        </w:tc>
        <w:tc>
          <w:tcPr>
            <w:tcW w:w="1460" w:type="dxa"/>
            <w:vAlign w:val="bottom"/>
            <w:gridSpan w:val="5"/>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2640" w:type="dxa"/>
            <w:vAlign w:val="bottom"/>
          </w:tcPr>
          <w:p>
            <w:pPr>
              <w:spacing w:after="0"/>
              <w:rPr>
                <w:sz w:val="17"/>
                <w:szCs w:val="17"/>
                <w:color w:val="auto"/>
              </w:rPr>
            </w:pPr>
          </w:p>
        </w:tc>
        <w:tc>
          <w:tcPr>
            <w:tcW w:w="640" w:type="dxa"/>
            <w:vAlign w:val="bottom"/>
          </w:tcPr>
          <w:p>
            <w:pPr>
              <w:ind w:left="240"/>
              <w:spacing w:after="0" w:line="196" w:lineRule="exact"/>
              <w:rPr>
                <w:sz w:val="20"/>
                <w:szCs w:val="20"/>
                <w:color w:val="auto"/>
              </w:rPr>
            </w:pPr>
            <w:r>
              <w:rPr>
                <w:rFonts w:ascii="Times New Roman" w:cs="Times New Roman" w:eastAsia="Times New Roman" w:hAnsi="Times New Roman"/>
                <w:sz w:val="18"/>
                <w:szCs w:val="18"/>
                <w:color w:val="auto"/>
              </w:rPr>
              <w:t>•</w:t>
            </w:r>
          </w:p>
        </w:tc>
        <w:tc>
          <w:tcPr>
            <w:tcW w:w="4400" w:type="dxa"/>
            <w:vAlign w:val="bottom"/>
            <w:gridSpan w:val="33"/>
          </w:tcPr>
          <w:p>
            <w:pPr>
              <w:spacing w:after="0" w:line="196" w:lineRule="exact"/>
              <w:rPr>
                <w:rFonts w:ascii="Arial" w:cs="Arial" w:eastAsia="Arial" w:hAnsi="Arial"/>
                <w:sz w:val="18"/>
                <w:szCs w:val="18"/>
                <w:color w:val="0000EE"/>
              </w:rPr>
            </w:pPr>
            <w:hyperlink w:anchor="page36">
              <w:r>
                <w:rPr>
                  <w:rFonts w:ascii="Arial" w:cs="Arial" w:eastAsia="Arial" w:hAnsi="Arial"/>
                  <w:sz w:val="18"/>
                  <w:szCs w:val="18"/>
                  <w:color w:val="0000EE"/>
                </w:rPr>
                <w:t>Compensation for CEO Position</w:t>
              </w:r>
            </w:hyperlink>
          </w:p>
        </w:tc>
        <w:tc>
          <w:tcPr>
            <w:tcW w:w="0" w:type="dxa"/>
            <w:vAlign w:val="bottom"/>
          </w:tcPr>
          <w:p>
            <w:pPr>
              <w:spacing w:after="0"/>
              <w:rPr>
                <w:sz w:val="1"/>
                <w:szCs w:val="1"/>
                <w:color w:val="auto"/>
              </w:rPr>
            </w:pPr>
          </w:p>
        </w:tc>
      </w:tr>
      <w:tr>
        <w:trPr>
          <w:trHeight w:val="196"/>
        </w:trPr>
        <w:tc>
          <w:tcPr>
            <w:tcW w:w="2640" w:type="dxa"/>
            <w:vAlign w:val="bottom"/>
          </w:tcPr>
          <w:p>
            <w:pPr>
              <w:spacing w:after="0"/>
              <w:rPr>
                <w:sz w:val="17"/>
                <w:szCs w:val="17"/>
                <w:color w:val="auto"/>
              </w:rPr>
            </w:pPr>
          </w:p>
        </w:tc>
        <w:tc>
          <w:tcPr>
            <w:tcW w:w="640" w:type="dxa"/>
            <w:vAlign w:val="bottom"/>
          </w:tcPr>
          <w:p>
            <w:pPr>
              <w:ind w:left="240"/>
              <w:spacing w:after="0" w:line="196" w:lineRule="exact"/>
              <w:rPr>
                <w:sz w:val="20"/>
                <w:szCs w:val="20"/>
                <w:color w:val="auto"/>
              </w:rPr>
            </w:pPr>
            <w:r>
              <w:rPr>
                <w:rFonts w:ascii="Times New Roman" w:cs="Times New Roman" w:eastAsia="Times New Roman" w:hAnsi="Times New Roman"/>
                <w:sz w:val="18"/>
                <w:szCs w:val="18"/>
                <w:color w:val="auto"/>
              </w:rPr>
              <w:t>•</w:t>
            </w:r>
          </w:p>
        </w:tc>
        <w:tc>
          <w:tcPr>
            <w:tcW w:w="2540" w:type="dxa"/>
            <w:vAlign w:val="bottom"/>
            <w:tcBorders>
              <w:top w:val="single" w:sz="8" w:color="0000EE"/>
            </w:tcBorders>
            <w:gridSpan w:val="25"/>
          </w:tcPr>
          <w:p>
            <w:pPr>
              <w:spacing w:after="0" w:line="196" w:lineRule="exact"/>
              <w:rPr>
                <w:rFonts w:ascii="Arial" w:cs="Arial" w:eastAsia="Arial" w:hAnsi="Arial"/>
                <w:sz w:val="18"/>
                <w:szCs w:val="18"/>
                <w:color w:val="0000EE"/>
              </w:rPr>
            </w:pPr>
            <w:hyperlink w:anchor="page37">
              <w:r>
                <w:rPr>
                  <w:rFonts w:ascii="Arial" w:cs="Arial" w:eastAsia="Arial" w:hAnsi="Arial"/>
                  <w:sz w:val="18"/>
                  <w:szCs w:val="18"/>
                  <w:color w:val="0000EE"/>
                </w:rPr>
                <w:t>Company Performance</w:t>
              </w:r>
            </w:hyperlink>
          </w:p>
        </w:tc>
        <w:tc>
          <w:tcPr>
            <w:tcW w:w="1860" w:type="dxa"/>
            <w:vAlign w:val="bottom"/>
            <w:gridSpan w:val="8"/>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264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500" w:type="dxa"/>
            <w:vAlign w:val="bottom"/>
            <w:shd w:val="clear" w:color="auto" w:fill="0000EE"/>
          </w:tcPr>
          <w:p>
            <w:pPr>
              <w:spacing w:after="0" w:line="20" w:lineRule="exact"/>
              <w:rPr>
                <w:sz w:val="1"/>
                <w:szCs w:val="1"/>
                <w:color w:val="auto"/>
              </w:rPr>
            </w:pPr>
          </w:p>
        </w:tc>
        <w:tc>
          <w:tcPr>
            <w:tcW w:w="420" w:type="dxa"/>
            <w:vAlign w:val="bottom"/>
            <w:shd w:val="clear" w:color="auto" w:fill="0000EE"/>
          </w:tcPr>
          <w:p>
            <w:pPr>
              <w:spacing w:after="0" w:line="20" w:lineRule="exact"/>
              <w:rPr>
                <w:sz w:val="1"/>
                <w:szCs w:val="1"/>
                <w:color w:val="auto"/>
              </w:rPr>
            </w:pPr>
          </w:p>
        </w:tc>
        <w:tc>
          <w:tcPr>
            <w:tcW w:w="320" w:type="dxa"/>
            <w:vAlign w:val="bottom"/>
            <w:tcBorders>
              <w:right w:val="single" w:sz="8" w:color="0000EE"/>
            </w:tcBorders>
            <w:shd w:val="clear" w:color="auto" w:fill="0000EE"/>
          </w:tcPr>
          <w:p>
            <w:pPr>
              <w:spacing w:after="0" w:line="20" w:lineRule="exact"/>
              <w:rPr>
                <w:sz w:val="1"/>
                <w:szCs w:val="1"/>
                <w:color w:val="auto"/>
              </w:rPr>
            </w:pPr>
          </w:p>
        </w:tc>
        <w:tc>
          <w:tcPr>
            <w:tcW w:w="100" w:type="dxa"/>
            <w:vAlign w:val="bottom"/>
            <w:tcBorders>
              <w:left w:val="single" w:sz="8" w:color="0000EE"/>
            </w:tcBorders>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180" w:type="dxa"/>
            <w:vAlign w:val="bottom"/>
            <w:gridSpan w:val="3"/>
            <w:shd w:val="clear" w:color="auto" w:fill="0000EE"/>
          </w:tcPr>
          <w:p>
            <w:pPr>
              <w:spacing w:after="0" w:line="20" w:lineRule="exact"/>
              <w:rPr>
                <w:sz w:val="1"/>
                <w:szCs w:val="1"/>
                <w:color w:val="auto"/>
              </w:rPr>
            </w:pPr>
          </w:p>
        </w:tc>
        <w:tc>
          <w:tcPr>
            <w:tcW w:w="180" w:type="dxa"/>
            <w:vAlign w:val="bottom"/>
            <w:gridSpan w:val="2"/>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6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gridSpan w:val="2"/>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2640" w:type="dxa"/>
            <w:vAlign w:val="bottom"/>
            <w:vMerge w:val="restart"/>
          </w:tcPr>
          <w:p>
            <w:pPr>
              <w:spacing w:after="0"/>
              <w:rPr>
                <w:sz w:val="20"/>
                <w:szCs w:val="20"/>
                <w:color w:val="auto"/>
              </w:rPr>
            </w:pPr>
            <w:r>
              <w:rPr>
                <w:rFonts w:ascii="Arial" w:cs="Arial" w:eastAsia="Arial" w:hAnsi="Arial"/>
                <w:sz w:val="18"/>
                <w:szCs w:val="18"/>
                <w:b w:val="1"/>
                <w:bCs w:val="1"/>
                <w:color w:val="auto"/>
              </w:rPr>
              <w:t>Key Elements of the</w:t>
            </w:r>
          </w:p>
        </w:tc>
        <w:tc>
          <w:tcPr>
            <w:tcW w:w="640" w:type="dxa"/>
            <w:vAlign w:val="bottom"/>
          </w:tcPr>
          <w:p>
            <w:pPr>
              <w:ind w:left="240"/>
              <w:spacing w:after="0" w:line="196" w:lineRule="exact"/>
              <w:rPr>
                <w:sz w:val="20"/>
                <w:szCs w:val="20"/>
                <w:color w:val="auto"/>
              </w:rPr>
            </w:pPr>
            <w:r>
              <w:rPr>
                <w:rFonts w:ascii="Times New Roman" w:cs="Times New Roman" w:eastAsia="Times New Roman" w:hAnsi="Times New Roman"/>
                <w:sz w:val="18"/>
                <w:szCs w:val="18"/>
                <w:color w:val="auto"/>
              </w:rPr>
              <w:t>•</w:t>
            </w:r>
          </w:p>
        </w:tc>
        <w:tc>
          <w:tcPr>
            <w:tcW w:w="2340" w:type="dxa"/>
            <w:vAlign w:val="bottom"/>
            <w:tcBorders>
              <w:bottom w:val="single" w:sz="8" w:color="0000EE"/>
            </w:tcBorders>
            <w:gridSpan w:val="21"/>
          </w:tcPr>
          <w:p>
            <w:pPr>
              <w:spacing w:after="0" w:line="196" w:lineRule="exact"/>
              <w:rPr>
                <w:rFonts w:ascii="Arial" w:cs="Arial" w:eastAsia="Arial" w:hAnsi="Arial"/>
                <w:sz w:val="18"/>
                <w:szCs w:val="18"/>
                <w:color w:val="0000EE"/>
                <w:w w:val="99"/>
              </w:rPr>
            </w:pPr>
            <w:hyperlink w:anchor="page39">
              <w:r>
                <w:rPr>
                  <w:rFonts w:ascii="Arial" w:cs="Arial" w:eastAsia="Arial" w:hAnsi="Arial"/>
                  <w:sz w:val="18"/>
                  <w:szCs w:val="18"/>
                  <w:color w:val="0000EE"/>
                  <w:w w:val="99"/>
                </w:rPr>
                <w:t>Sound Governance Practices</w:t>
              </w:r>
            </w:hyperlink>
          </w:p>
        </w:tc>
        <w:tc>
          <w:tcPr>
            <w:tcW w:w="2060" w:type="dxa"/>
            <w:vAlign w:val="bottom"/>
            <w:gridSpan w:val="12"/>
          </w:tcPr>
          <w:p>
            <w:pPr>
              <w:spacing w:after="0"/>
              <w:rPr>
                <w:sz w:val="17"/>
                <w:szCs w:val="17"/>
                <w:color w:val="auto"/>
              </w:rPr>
            </w:pPr>
          </w:p>
        </w:tc>
        <w:tc>
          <w:tcPr>
            <w:tcW w:w="0" w:type="dxa"/>
            <w:vAlign w:val="bottom"/>
          </w:tcPr>
          <w:p>
            <w:pPr>
              <w:spacing w:after="0"/>
              <w:rPr>
                <w:sz w:val="1"/>
                <w:szCs w:val="1"/>
                <w:color w:val="auto"/>
              </w:rPr>
            </w:pPr>
          </w:p>
        </w:tc>
      </w:tr>
      <w:tr>
        <w:trPr>
          <w:trHeight w:val="210"/>
        </w:trPr>
        <w:tc>
          <w:tcPr>
            <w:tcW w:w="2640" w:type="dxa"/>
            <w:vAlign w:val="bottom"/>
            <w:vMerge w:val="continue"/>
          </w:tcPr>
          <w:p>
            <w:pPr>
              <w:spacing w:after="0"/>
              <w:rPr>
                <w:sz w:val="18"/>
                <w:szCs w:val="18"/>
                <w:color w:val="auto"/>
              </w:rPr>
            </w:pPr>
          </w:p>
        </w:tc>
        <w:tc>
          <w:tcPr>
            <w:tcW w:w="64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w:t>
            </w:r>
          </w:p>
        </w:tc>
        <w:tc>
          <w:tcPr>
            <w:tcW w:w="4400" w:type="dxa"/>
            <w:vAlign w:val="bottom"/>
            <w:gridSpan w:val="33"/>
          </w:tcPr>
          <w:p>
            <w:pPr>
              <w:spacing w:after="0"/>
              <w:rPr>
                <w:rFonts w:ascii="Arial" w:cs="Arial" w:eastAsia="Arial" w:hAnsi="Arial"/>
                <w:sz w:val="18"/>
                <w:szCs w:val="18"/>
                <w:color w:val="0000EE"/>
              </w:rPr>
            </w:pPr>
            <w:hyperlink w:anchor="page41">
              <w:r>
                <w:rPr>
                  <w:rFonts w:ascii="Arial" w:cs="Arial" w:eastAsia="Arial" w:hAnsi="Arial"/>
                  <w:sz w:val="18"/>
                  <w:szCs w:val="18"/>
                  <w:color w:val="0000EE"/>
                </w:rPr>
                <w:t>Salary</w:t>
              </w:r>
            </w:hyperlink>
          </w:p>
        </w:tc>
        <w:tc>
          <w:tcPr>
            <w:tcW w:w="0" w:type="dxa"/>
            <w:vAlign w:val="bottom"/>
          </w:tcPr>
          <w:p>
            <w:pPr>
              <w:spacing w:after="0"/>
              <w:rPr>
                <w:sz w:val="1"/>
                <w:szCs w:val="1"/>
                <w:color w:val="auto"/>
              </w:rPr>
            </w:pPr>
          </w:p>
        </w:tc>
      </w:tr>
      <w:tr>
        <w:trPr>
          <w:trHeight w:val="20"/>
        </w:trPr>
        <w:tc>
          <w:tcPr>
            <w:tcW w:w="2640" w:type="dxa"/>
            <w:vAlign w:val="bottom"/>
            <w:vMerge w:val="restart"/>
          </w:tcPr>
          <w:p>
            <w:pPr>
              <w:spacing w:after="0"/>
              <w:rPr>
                <w:sz w:val="20"/>
                <w:szCs w:val="20"/>
                <w:color w:val="auto"/>
              </w:rPr>
            </w:pPr>
            <w:r>
              <w:rPr>
                <w:rFonts w:ascii="Arial" w:cs="Arial" w:eastAsia="Arial" w:hAnsi="Arial"/>
                <w:sz w:val="18"/>
                <w:szCs w:val="18"/>
                <w:b w:val="1"/>
                <w:bCs w:val="1"/>
                <w:color w:val="auto"/>
              </w:rPr>
              <w:t>Compensation Program and</w:t>
            </w:r>
          </w:p>
        </w:tc>
        <w:tc>
          <w:tcPr>
            <w:tcW w:w="640" w:type="dxa"/>
            <w:vAlign w:val="bottom"/>
          </w:tcPr>
          <w:p>
            <w:pPr>
              <w:spacing w:after="0" w:line="20" w:lineRule="exact"/>
              <w:rPr>
                <w:sz w:val="1"/>
                <w:szCs w:val="1"/>
                <w:color w:val="auto"/>
              </w:rPr>
            </w:pPr>
          </w:p>
        </w:tc>
        <w:tc>
          <w:tcPr>
            <w:tcW w:w="500" w:type="dxa"/>
            <w:vAlign w:val="bottom"/>
            <w:shd w:val="clear" w:color="auto" w:fill="0000EE"/>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gridSpan w:val="3"/>
          </w:tcPr>
          <w:p>
            <w:pPr>
              <w:spacing w:after="0" w:line="20" w:lineRule="exact"/>
              <w:rPr>
                <w:sz w:val="1"/>
                <w:szCs w:val="1"/>
                <w:color w:val="auto"/>
              </w:rPr>
            </w:pPr>
          </w:p>
        </w:tc>
        <w:tc>
          <w:tcPr>
            <w:tcW w:w="200" w:type="dxa"/>
            <w:vAlign w:val="bottom"/>
            <w:gridSpan w:val="3"/>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gridSpan w:val="3"/>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6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gridSpan w:val="2"/>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2640" w:type="dxa"/>
            <w:vAlign w:val="bottom"/>
            <w:vMerge w:val="continue"/>
          </w:tcPr>
          <w:p>
            <w:pPr>
              <w:spacing w:after="0"/>
              <w:rPr>
                <w:sz w:val="17"/>
                <w:szCs w:val="17"/>
                <w:color w:val="auto"/>
              </w:rPr>
            </w:pPr>
          </w:p>
        </w:tc>
        <w:tc>
          <w:tcPr>
            <w:tcW w:w="640" w:type="dxa"/>
            <w:vAlign w:val="bottom"/>
          </w:tcPr>
          <w:p>
            <w:pPr>
              <w:ind w:left="240"/>
              <w:spacing w:after="0" w:line="196" w:lineRule="exact"/>
              <w:rPr>
                <w:sz w:val="20"/>
                <w:szCs w:val="20"/>
                <w:color w:val="auto"/>
              </w:rPr>
            </w:pPr>
            <w:r>
              <w:rPr>
                <w:rFonts w:ascii="Times New Roman" w:cs="Times New Roman" w:eastAsia="Times New Roman" w:hAnsi="Times New Roman"/>
                <w:sz w:val="18"/>
                <w:szCs w:val="18"/>
                <w:color w:val="auto"/>
              </w:rPr>
              <w:t>•</w:t>
            </w:r>
          </w:p>
        </w:tc>
        <w:tc>
          <w:tcPr>
            <w:tcW w:w="1860" w:type="dxa"/>
            <w:vAlign w:val="bottom"/>
            <w:tcBorders>
              <w:bottom w:val="single" w:sz="8" w:color="0000EE"/>
            </w:tcBorders>
            <w:gridSpan w:val="14"/>
          </w:tcPr>
          <w:p>
            <w:pPr>
              <w:spacing w:after="0" w:line="196" w:lineRule="exact"/>
              <w:rPr>
                <w:rFonts w:ascii="Arial" w:cs="Arial" w:eastAsia="Arial" w:hAnsi="Arial"/>
                <w:sz w:val="18"/>
                <w:szCs w:val="18"/>
                <w:color w:val="0000EE"/>
                <w:w w:val="98"/>
              </w:rPr>
            </w:pPr>
            <w:hyperlink w:anchor="page41">
              <w:r>
                <w:rPr>
                  <w:rFonts w:ascii="Arial" w:cs="Arial" w:eastAsia="Arial" w:hAnsi="Arial"/>
                  <w:sz w:val="18"/>
                  <w:szCs w:val="18"/>
                  <w:color w:val="0000EE"/>
                  <w:w w:val="98"/>
                </w:rPr>
                <w:t>Annual Bonus Program</w:t>
              </w:r>
            </w:hyperlink>
          </w:p>
        </w:tc>
        <w:tc>
          <w:tcPr>
            <w:tcW w:w="2540" w:type="dxa"/>
            <w:vAlign w:val="bottom"/>
            <w:gridSpan w:val="19"/>
          </w:tcPr>
          <w:p>
            <w:pPr>
              <w:spacing w:after="0"/>
              <w:rPr>
                <w:sz w:val="17"/>
                <w:szCs w:val="17"/>
                <w:color w:val="auto"/>
              </w:rPr>
            </w:pPr>
          </w:p>
        </w:tc>
        <w:tc>
          <w:tcPr>
            <w:tcW w:w="0" w:type="dxa"/>
            <w:vAlign w:val="bottom"/>
          </w:tcPr>
          <w:p>
            <w:pPr>
              <w:spacing w:after="0"/>
              <w:rPr>
                <w:sz w:val="1"/>
                <w:szCs w:val="1"/>
                <w:color w:val="auto"/>
              </w:rPr>
            </w:pPr>
          </w:p>
        </w:tc>
      </w:tr>
      <w:tr>
        <w:trPr>
          <w:trHeight w:val="190"/>
        </w:trPr>
        <w:tc>
          <w:tcPr>
            <w:tcW w:w="2640" w:type="dxa"/>
            <w:vAlign w:val="bottom"/>
          </w:tcPr>
          <w:p>
            <w:pPr>
              <w:spacing w:after="0" w:line="182" w:lineRule="exact"/>
              <w:rPr>
                <w:sz w:val="20"/>
                <w:szCs w:val="20"/>
                <w:color w:val="auto"/>
              </w:rPr>
            </w:pPr>
            <w:r>
              <w:rPr>
                <w:rFonts w:ascii="Arial" w:cs="Arial" w:eastAsia="Arial" w:hAnsi="Arial"/>
                <w:sz w:val="18"/>
                <w:szCs w:val="18"/>
                <w:b w:val="1"/>
                <w:bCs w:val="1"/>
                <w:color w:val="auto"/>
              </w:rPr>
              <w:t>Compensation Committee</w:t>
            </w:r>
          </w:p>
        </w:tc>
        <w:tc>
          <w:tcPr>
            <w:tcW w:w="640" w:type="dxa"/>
            <w:vAlign w:val="bottom"/>
          </w:tcPr>
          <w:p>
            <w:pPr>
              <w:ind w:left="240"/>
              <w:spacing w:after="0" w:line="182" w:lineRule="exact"/>
              <w:rPr>
                <w:sz w:val="20"/>
                <w:szCs w:val="20"/>
                <w:color w:val="auto"/>
              </w:rPr>
            </w:pPr>
            <w:r>
              <w:rPr>
                <w:rFonts w:ascii="Times New Roman" w:cs="Times New Roman" w:eastAsia="Times New Roman" w:hAnsi="Times New Roman"/>
                <w:sz w:val="18"/>
                <w:szCs w:val="18"/>
                <w:color w:val="auto"/>
              </w:rPr>
              <w:t>•</w:t>
            </w:r>
          </w:p>
        </w:tc>
        <w:tc>
          <w:tcPr>
            <w:tcW w:w="2300" w:type="dxa"/>
            <w:vAlign w:val="bottom"/>
            <w:tcBorders>
              <w:bottom w:val="single" w:sz="8" w:color="0000EE"/>
            </w:tcBorders>
            <w:gridSpan w:val="20"/>
          </w:tcPr>
          <w:p>
            <w:pPr>
              <w:spacing w:after="0" w:line="182" w:lineRule="exact"/>
              <w:rPr>
                <w:rFonts w:ascii="Arial" w:cs="Arial" w:eastAsia="Arial" w:hAnsi="Arial"/>
                <w:sz w:val="18"/>
                <w:szCs w:val="18"/>
                <w:color w:val="0000EE"/>
                <w:w w:val="99"/>
              </w:rPr>
            </w:pPr>
            <w:hyperlink w:anchor="page42">
              <w:r>
                <w:rPr>
                  <w:rFonts w:ascii="Arial" w:cs="Arial" w:eastAsia="Arial" w:hAnsi="Arial"/>
                  <w:sz w:val="18"/>
                  <w:szCs w:val="18"/>
                  <w:color w:val="0000EE"/>
                  <w:w w:val="99"/>
                </w:rPr>
                <w:t>Performance Share Program</w:t>
              </w:r>
            </w:hyperlink>
          </w:p>
        </w:tc>
        <w:tc>
          <w:tcPr>
            <w:tcW w:w="2100" w:type="dxa"/>
            <w:vAlign w:val="bottom"/>
            <w:gridSpan w:val="13"/>
          </w:tcPr>
          <w:p>
            <w:pPr>
              <w:spacing w:after="0"/>
              <w:rPr>
                <w:sz w:val="16"/>
                <w:szCs w:val="16"/>
                <w:color w:val="auto"/>
              </w:rPr>
            </w:pPr>
          </w:p>
        </w:tc>
        <w:tc>
          <w:tcPr>
            <w:tcW w:w="0" w:type="dxa"/>
            <w:vAlign w:val="bottom"/>
          </w:tcPr>
          <w:p>
            <w:pPr>
              <w:spacing w:after="0"/>
              <w:rPr>
                <w:sz w:val="1"/>
                <w:szCs w:val="1"/>
                <w:color w:val="auto"/>
              </w:rPr>
            </w:pPr>
          </w:p>
        </w:tc>
      </w:tr>
      <w:tr>
        <w:trPr>
          <w:trHeight w:val="203"/>
        </w:trPr>
        <w:tc>
          <w:tcPr>
            <w:tcW w:w="2640" w:type="dxa"/>
            <w:vAlign w:val="bottom"/>
          </w:tcPr>
          <w:p>
            <w:pPr>
              <w:spacing w:after="0" w:line="202" w:lineRule="exact"/>
              <w:rPr>
                <w:sz w:val="20"/>
                <w:szCs w:val="20"/>
                <w:color w:val="auto"/>
              </w:rPr>
            </w:pPr>
            <w:r>
              <w:rPr>
                <w:rFonts w:ascii="Arial" w:cs="Arial" w:eastAsia="Arial" w:hAnsi="Arial"/>
                <w:sz w:val="18"/>
                <w:szCs w:val="18"/>
                <w:b w:val="1"/>
                <w:bCs w:val="1"/>
                <w:color w:val="auto"/>
              </w:rPr>
              <w:t>2017 Decisions</w:t>
            </w:r>
          </w:p>
        </w:tc>
        <w:tc>
          <w:tcPr>
            <w:tcW w:w="640" w:type="dxa"/>
            <w:vAlign w:val="bottom"/>
          </w:tcPr>
          <w:p>
            <w:pPr>
              <w:ind w:left="240"/>
              <w:spacing w:after="0" w:line="202" w:lineRule="exact"/>
              <w:rPr>
                <w:sz w:val="20"/>
                <w:szCs w:val="20"/>
                <w:color w:val="auto"/>
              </w:rPr>
            </w:pPr>
            <w:r>
              <w:rPr>
                <w:rFonts w:ascii="Times New Roman" w:cs="Times New Roman" w:eastAsia="Times New Roman" w:hAnsi="Times New Roman"/>
                <w:sz w:val="18"/>
                <w:szCs w:val="18"/>
                <w:color w:val="auto"/>
              </w:rPr>
              <w:t>•</w:t>
            </w:r>
          </w:p>
        </w:tc>
        <w:tc>
          <w:tcPr>
            <w:tcW w:w="1400" w:type="dxa"/>
            <w:vAlign w:val="bottom"/>
            <w:tcBorders>
              <w:bottom w:val="single" w:sz="8" w:color="0000EE"/>
            </w:tcBorders>
            <w:gridSpan w:val="7"/>
          </w:tcPr>
          <w:p>
            <w:pPr>
              <w:spacing w:after="0" w:line="202" w:lineRule="exact"/>
              <w:rPr>
                <w:rFonts w:ascii="Arial" w:cs="Arial" w:eastAsia="Arial" w:hAnsi="Arial"/>
                <w:sz w:val="18"/>
                <w:szCs w:val="18"/>
                <w:color w:val="0000EE"/>
                <w:w w:val="99"/>
              </w:rPr>
            </w:pPr>
            <w:hyperlink w:anchor="page42">
              <w:r>
                <w:rPr>
                  <w:rFonts w:ascii="Arial" w:cs="Arial" w:eastAsia="Arial" w:hAnsi="Arial"/>
                  <w:sz w:val="18"/>
                  <w:szCs w:val="18"/>
                  <w:color w:val="0000EE"/>
                  <w:w w:val="99"/>
                </w:rPr>
                <w:t>Retirement Plans</w:t>
              </w:r>
            </w:hyperlink>
          </w:p>
        </w:tc>
        <w:tc>
          <w:tcPr>
            <w:tcW w:w="3000" w:type="dxa"/>
            <w:vAlign w:val="bottom"/>
            <w:gridSpan w:val="26"/>
          </w:tcPr>
          <w:p>
            <w:pPr>
              <w:spacing w:after="0"/>
              <w:rPr>
                <w:sz w:val="17"/>
                <w:szCs w:val="17"/>
                <w:color w:val="auto"/>
              </w:rPr>
            </w:pPr>
          </w:p>
        </w:tc>
        <w:tc>
          <w:tcPr>
            <w:tcW w:w="0" w:type="dxa"/>
            <w:vAlign w:val="bottom"/>
          </w:tcPr>
          <w:p>
            <w:pPr>
              <w:spacing w:after="0"/>
              <w:rPr>
                <w:sz w:val="1"/>
                <w:szCs w:val="1"/>
                <w:color w:val="auto"/>
              </w:rPr>
            </w:pPr>
          </w:p>
        </w:tc>
      </w:tr>
      <w:tr>
        <w:trPr>
          <w:trHeight w:val="210"/>
        </w:trPr>
        <w:tc>
          <w:tcPr>
            <w:tcW w:w="2640" w:type="dxa"/>
            <w:vAlign w:val="bottom"/>
          </w:tcPr>
          <w:p>
            <w:pPr>
              <w:spacing w:after="0"/>
              <w:rPr>
                <w:sz w:val="20"/>
                <w:szCs w:val="20"/>
                <w:color w:val="auto"/>
              </w:rPr>
            </w:pPr>
            <w:r>
              <w:rPr>
                <w:rFonts w:ascii="Arial" w:cs="Arial" w:eastAsia="Arial" w:hAnsi="Arial"/>
                <w:sz w:val="18"/>
                <w:szCs w:val="18"/>
                <w:b w:val="1"/>
                <w:bCs w:val="1"/>
                <w:color w:val="auto"/>
              </w:rPr>
              <w:t>Other Key Elements of the</w:t>
            </w:r>
          </w:p>
        </w:tc>
        <w:tc>
          <w:tcPr>
            <w:tcW w:w="64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w:t>
            </w:r>
          </w:p>
        </w:tc>
        <w:tc>
          <w:tcPr>
            <w:tcW w:w="1980" w:type="dxa"/>
            <w:vAlign w:val="bottom"/>
            <w:tcBorders>
              <w:bottom w:val="single" w:sz="8" w:color="0000EE"/>
            </w:tcBorders>
            <w:gridSpan w:val="15"/>
          </w:tcPr>
          <w:p>
            <w:pPr>
              <w:spacing w:after="0"/>
              <w:rPr>
                <w:rFonts w:ascii="Arial" w:cs="Arial" w:eastAsia="Arial" w:hAnsi="Arial"/>
                <w:sz w:val="18"/>
                <w:szCs w:val="18"/>
                <w:color w:val="0000EE"/>
                <w:w w:val="98"/>
              </w:rPr>
            </w:pPr>
            <w:hyperlink w:anchor="page43">
              <w:r>
                <w:rPr>
                  <w:rFonts w:ascii="Arial" w:cs="Arial" w:eastAsia="Arial" w:hAnsi="Arial"/>
                  <w:sz w:val="18"/>
                  <w:szCs w:val="18"/>
                  <w:color w:val="0000EE"/>
                  <w:w w:val="98"/>
                </w:rPr>
                <w:t>Benchmarking Principles</w:t>
              </w:r>
            </w:hyperlink>
          </w:p>
        </w:tc>
        <w:tc>
          <w:tcPr>
            <w:tcW w:w="2420" w:type="dxa"/>
            <w:vAlign w:val="bottom"/>
            <w:gridSpan w:val="18"/>
          </w:tcPr>
          <w:p>
            <w:pPr>
              <w:spacing w:after="0"/>
              <w:rPr>
                <w:sz w:val="18"/>
                <w:szCs w:val="18"/>
                <w:color w:val="auto"/>
              </w:rPr>
            </w:pPr>
          </w:p>
        </w:tc>
        <w:tc>
          <w:tcPr>
            <w:tcW w:w="0" w:type="dxa"/>
            <w:vAlign w:val="bottom"/>
          </w:tcPr>
          <w:p>
            <w:pPr>
              <w:spacing w:after="0"/>
              <w:rPr>
                <w:sz w:val="1"/>
                <w:szCs w:val="1"/>
                <w:color w:val="auto"/>
              </w:rPr>
            </w:pPr>
          </w:p>
        </w:tc>
      </w:tr>
      <w:tr>
        <w:trPr>
          <w:trHeight w:val="196"/>
        </w:trPr>
        <w:tc>
          <w:tcPr>
            <w:tcW w:w="2640" w:type="dxa"/>
            <w:vAlign w:val="bottom"/>
          </w:tcPr>
          <w:p>
            <w:pPr>
              <w:spacing w:after="0" w:line="196" w:lineRule="exact"/>
              <w:rPr>
                <w:sz w:val="20"/>
                <w:szCs w:val="20"/>
                <w:color w:val="auto"/>
              </w:rPr>
            </w:pPr>
            <w:r>
              <w:rPr>
                <w:rFonts w:ascii="Arial" w:cs="Arial" w:eastAsia="Arial" w:hAnsi="Arial"/>
                <w:sz w:val="18"/>
                <w:szCs w:val="18"/>
                <w:b w:val="1"/>
                <w:bCs w:val="1"/>
                <w:color w:val="auto"/>
              </w:rPr>
              <w:t>Compensation Program</w:t>
            </w:r>
          </w:p>
        </w:tc>
        <w:tc>
          <w:tcPr>
            <w:tcW w:w="640" w:type="dxa"/>
            <w:vAlign w:val="bottom"/>
          </w:tcPr>
          <w:p>
            <w:pPr>
              <w:ind w:left="240"/>
              <w:spacing w:after="0" w:line="196" w:lineRule="exact"/>
              <w:rPr>
                <w:sz w:val="20"/>
                <w:szCs w:val="20"/>
                <w:color w:val="auto"/>
              </w:rPr>
            </w:pPr>
            <w:r>
              <w:rPr>
                <w:rFonts w:ascii="Times New Roman" w:cs="Times New Roman" w:eastAsia="Times New Roman" w:hAnsi="Times New Roman"/>
                <w:sz w:val="18"/>
                <w:szCs w:val="18"/>
                <w:color w:val="auto"/>
              </w:rPr>
              <w:t>•</w:t>
            </w:r>
          </w:p>
        </w:tc>
        <w:tc>
          <w:tcPr>
            <w:tcW w:w="4400" w:type="dxa"/>
            <w:vAlign w:val="bottom"/>
            <w:gridSpan w:val="33"/>
          </w:tcPr>
          <w:p>
            <w:pPr>
              <w:spacing w:after="0" w:line="196" w:lineRule="exact"/>
              <w:rPr>
                <w:rFonts w:ascii="Arial" w:cs="Arial" w:eastAsia="Arial" w:hAnsi="Arial"/>
                <w:sz w:val="18"/>
                <w:szCs w:val="18"/>
                <w:color w:val="0000EE"/>
              </w:rPr>
            </w:pPr>
            <w:hyperlink w:anchor="page44">
              <w:r>
                <w:rPr>
                  <w:rFonts w:ascii="Arial" w:cs="Arial" w:eastAsia="Arial" w:hAnsi="Arial"/>
                  <w:sz w:val="18"/>
                  <w:szCs w:val="18"/>
                  <w:color w:val="0000EE"/>
                </w:rPr>
                <w:t>Performance Measurements</w:t>
              </w:r>
            </w:hyperlink>
          </w:p>
        </w:tc>
        <w:tc>
          <w:tcPr>
            <w:tcW w:w="0" w:type="dxa"/>
            <w:vAlign w:val="bottom"/>
          </w:tcPr>
          <w:p>
            <w:pPr>
              <w:spacing w:after="0"/>
              <w:rPr>
                <w:sz w:val="1"/>
                <w:szCs w:val="1"/>
                <w:color w:val="auto"/>
              </w:rPr>
            </w:pPr>
          </w:p>
        </w:tc>
      </w:tr>
      <w:tr>
        <w:trPr>
          <w:trHeight w:val="196"/>
        </w:trPr>
        <w:tc>
          <w:tcPr>
            <w:tcW w:w="2640" w:type="dxa"/>
            <w:vAlign w:val="bottom"/>
          </w:tcPr>
          <w:p>
            <w:pPr>
              <w:spacing w:after="0"/>
              <w:rPr>
                <w:sz w:val="17"/>
                <w:szCs w:val="17"/>
                <w:color w:val="auto"/>
              </w:rPr>
            </w:pPr>
          </w:p>
        </w:tc>
        <w:tc>
          <w:tcPr>
            <w:tcW w:w="640" w:type="dxa"/>
            <w:vAlign w:val="bottom"/>
          </w:tcPr>
          <w:p>
            <w:pPr>
              <w:ind w:left="240"/>
              <w:spacing w:after="0" w:line="196" w:lineRule="exact"/>
              <w:rPr>
                <w:sz w:val="20"/>
                <w:szCs w:val="20"/>
                <w:color w:val="auto"/>
              </w:rPr>
            </w:pPr>
            <w:r>
              <w:rPr>
                <w:rFonts w:ascii="Times New Roman" w:cs="Times New Roman" w:eastAsia="Times New Roman" w:hAnsi="Times New Roman"/>
                <w:sz w:val="18"/>
                <w:szCs w:val="18"/>
                <w:color w:val="auto"/>
              </w:rPr>
              <w:t>•</w:t>
            </w:r>
          </w:p>
        </w:tc>
        <w:tc>
          <w:tcPr>
            <w:tcW w:w="2260" w:type="dxa"/>
            <w:vAlign w:val="bottom"/>
            <w:tcBorders>
              <w:top w:val="single" w:sz="8" w:color="0000EE"/>
            </w:tcBorders>
            <w:gridSpan w:val="19"/>
          </w:tcPr>
          <w:p>
            <w:pPr>
              <w:spacing w:after="0" w:line="196" w:lineRule="exact"/>
              <w:rPr>
                <w:rFonts w:ascii="Arial" w:cs="Arial" w:eastAsia="Arial" w:hAnsi="Arial"/>
                <w:sz w:val="18"/>
                <w:szCs w:val="18"/>
                <w:color w:val="0000EE"/>
              </w:rPr>
            </w:pPr>
            <w:hyperlink w:anchor="page45">
              <w:r>
                <w:rPr>
                  <w:rFonts w:ascii="Arial" w:cs="Arial" w:eastAsia="Arial" w:hAnsi="Arial"/>
                  <w:sz w:val="18"/>
                  <w:szCs w:val="18"/>
                  <w:color w:val="0000EE"/>
                </w:rPr>
                <w:t>Share Utilization</w:t>
              </w:r>
            </w:hyperlink>
          </w:p>
        </w:tc>
        <w:tc>
          <w:tcPr>
            <w:tcW w:w="2140" w:type="dxa"/>
            <w:vAlign w:val="bottom"/>
            <w:gridSpan w:val="14"/>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264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920" w:type="dxa"/>
            <w:vAlign w:val="bottom"/>
            <w:gridSpan w:val="2"/>
            <w:shd w:val="clear" w:color="auto" w:fill="0000EE"/>
          </w:tcPr>
          <w:p>
            <w:pPr>
              <w:spacing w:after="0" w:line="20" w:lineRule="exact"/>
              <w:rPr>
                <w:sz w:val="1"/>
                <w:szCs w:val="1"/>
                <w:color w:val="auto"/>
              </w:rPr>
            </w:pPr>
          </w:p>
        </w:tc>
        <w:tc>
          <w:tcPr>
            <w:tcW w:w="320" w:type="dxa"/>
            <w:vAlign w:val="bottom"/>
            <w:tcBorders>
              <w:right w:val="single" w:sz="8" w:color="0000EE"/>
            </w:tcBorders>
            <w:shd w:val="clear" w:color="auto" w:fill="0000EE"/>
          </w:tcPr>
          <w:p>
            <w:pPr>
              <w:spacing w:after="0" w:line="20" w:lineRule="exact"/>
              <w:rPr>
                <w:sz w:val="1"/>
                <w:szCs w:val="1"/>
                <w:color w:val="auto"/>
              </w:rPr>
            </w:pPr>
          </w:p>
        </w:tc>
        <w:tc>
          <w:tcPr>
            <w:tcW w:w="100" w:type="dxa"/>
            <w:vAlign w:val="bottom"/>
            <w:tcBorders>
              <w:left w:val="single" w:sz="8" w:color="0000EE"/>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c>
          <w:tcPr>
            <w:tcW w:w="180" w:type="dxa"/>
            <w:vAlign w:val="bottom"/>
            <w:gridSpan w:val="3"/>
          </w:tcPr>
          <w:p>
            <w:pPr>
              <w:spacing w:after="0" w:line="20" w:lineRule="exact"/>
              <w:rPr>
                <w:sz w:val="1"/>
                <w:szCs w:val="1"/>
                <w:color w:val="auto"/>
              </w:rPr>
            </w:pPr>
          </w:p>
        </w:tc>
        <w:tc>
          <w:tcPr>
            <w:tcW w:w="500" w:type="dxa"/>
            <w:vAlign w:val="bottom"/>
            <w:gridSpan w:val="6"/>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gridSpan w:val="4"/>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6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gridSpan w:val="2"/>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2640" w:type="dxa"/>
            <w:vAlign w:val="bottom"/>
          </w:tcPr>
          <w:p>
            <w:pPr>
              <w:spacing w:after="0"/>
              <w:rPr>
                <w:sz w:val="17"/>
                <w:szCs w:val="17"/>
                <w:color w:val="auto"/>
              </w:rPr>
            </w:pPr>
          </w:p>
        </w:tc>
        <w:tc>
          <w:tcPr>
            <w:tcW w:w="640" w:type="dxa"/>
            <w:vAlign w:val="bottom"/>
          </w:tcPr>
          <w:p>
            <w:pPr>
              <w:ind w:left="240"/>
              <w:spacing w:after="0" w:line="196" w:lineRule="exact"/>
              <w:rPr>
                <w:sz w:val="20"/>
                <w:szCs w:val="20"/>
                <w:color w:val="auto"/>
              </w:rPr>
            </w:pPr>
            <w:r>
              <w:rPr>
                <w:rFonts w:ascii="Times New Roman" w:cs="Times New Roman" w:eastAsia="Times New Roman" w:hAnsi="Times New Roman"/>
                <w:sz w:val="18"/>
                <w:szCs w:val="18"/>
                <w:color w:val="auto"/>
              </w:rPr>
              <w:t>•</w:t>
            </w:r>
          </w:p>
        </w:tc>
        <w:tc>
          <w:tcPr>
            <w:tcW w:w="1480" w:type="dxa"/>
            <w:vAlign w:val="bottom"/>
            <w:tcBorders>
              <w:bottom w:val="single" w:sz="8" w:color="0000EE"/>
            </w:tcBorders>
            <w:gridSpan w:val="8"/>
          </w:tcPr>
          <w:p>
            <w:pPr>
              <w:spacing w:after="0" w:line="196" w:lineRule="exact"/>
              <w:rPr>
                <w:rFonts w:ascii="Arial" w:cs="Arial" w:eastAsia="Arial" w:hAnsi="Arial"/>
                <w:sz w:val="18"/>
                <w:szCs w:val="18"/>
                <w:color w:val="0000EE"/>
                <w:w w:val="98"/>
              </w:rPr>
            </w:pPr>
            <w:hyperlink w:anchor="page45">
              <w:r>
                <w:rPr>
                  <w:rFonts w:ascii="Arial" w:cs="Arial" w:eastAsia="Arial" w:hAnsi="Arial"/>
                  <w:sz w:val="18"/>
                  <w:szCs w:val="18"/>
                  <w:color w:val="0000EE"/>
                  <w:w w:val="98"/>
                </w:rPr>
                <w:t>Granting Practices</w:t>
              </w:r>
            </w:hyperlink>
          </w:p>
        </w:tc>
        <w:tc>
          <w:tcPr>
            <w:tcW w:w="2920" w:type="dxa"/>
            <w:vAlign w:val="bottom"/>
            <w:gridSpan w:val="25"/>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2640" w:type="dxa"/>
            <w:vAlign w:val="bottom"/>
          </w:tcPr>
          <w:p>
            <w:pPr>
              <w:spacing w:after="0"/>
              <w:rPr>
                <w:sz w:val="17"/>
                <w:szCs w:val="17"/>
                <w:color w:val="auto"/>
              </w:rPr>
            </w:pPr>
          </w:p>
        </w:tc>
        <w:tc>
          <w:tcPr>
            <w:tcW w:w="640" w:type="dxa"/>
            <w:vAlign w:val="bottom"/>
          </w:tcPr>
          <w:p>
            <w:pPr>
              <w:ind w:left="240"/>
              <w:spacing w:after="0" w:line="196" w:lineRule="exact"/>
              <w:rPr>
                <w:sz w:val="20"/>
                <w:szCs w:val="20"/>
                <w:color w:val="auto"/>
              </w:rPr>
            </w:pPr>
            <w:r>
              <w:rPr>
                <w:rFonts w:ascii="Times New Roman" w:cs="Times New Roman" w:eastAsia="Times New Roman" w:hAnsi="Times New Roman"/>
                <w:sz w:val="18"/>
                <w:szCs w:val="18"/>
                <w:color w:val="auto"/>
              </w:rPr>
              <w:t>•</w:t>
            </w:r>
          </w:p>
        </w:tc>
        <w:tc>
          <w:tcPr>
            <w:tcW w:w="1380" w:type="dxa"/>
            <w:vAlign w:val="bottom"/>
            <w:tcBorders>
              <w:bottom w:val="single" w:sz="8" w:color="0000EE"/>
            </w:tcBorders>
            <w:gridSpan w:val="6"/>
          </w:tcPr>
          <w:p>
            <w:pPr>
              <w:spacing w:after="0" w:line="196" w:lineRule="exact"/>
              <w:rPr>
                <w:rFonts w:ascii="Arial" w:cs="Arial" w:eastAsia="Arial" w:hAnsi="Arial"/>
                <w:sz w:val="18"/>
                <w:szCs w:val="18"/>
                <w:color w:val="0000EE"/>
                <w:w w:val="99"/>
              </w:rPr>
            </w:pPr>
            <w:hyperlink w:anchor="page45">
              <w:r>
                <w:rPr>
                  <w:rFonts w:ascii="Arial" w:cs="Arial" w:eastAsia="Arial" w:hAnsi="Arial"/>
                  <w:sz w:val="18"/>
                  <w:szCs w:val="18"/>
                  <w:color w:val="0000EE"/>
                  <w:w w:val="99"/>
                </w:rPr>
                <w:t>Stock Ownership</w:t>
              </w:r>
            </w:hyperlink>
          </w:p>
        </w:tc>
        <w:tc>
          <w:tcPr>
            <w:tcW w:w="3020" w:type="dxa"/>
            <w:vAlign w:val="bottom"/>
            <w:gridSpan w:val="27"/>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2640" w:type="dxa"/>
            <w:vAlign w:val="bottom"/>
          </w:tcPr>
          <w:p>
            <w:pPr>
              <w:spacing w:after="0"/>
              <w:rPr>
                <w:sz w:val="17"/>
                <w:szCs w:val="17"/>
                <w:color w:val="auto"/>
              </w:rPr>
            </w:pPr>
          </w:p>
        </w:tc>
        <w:tc>
          <w:tcPr>
            <w:tcW w:w="640" w:type="dxa"/>
            <w:vAlign w:val="bottom"/>
          </w:tcPr>
          <w:p>
            <w:pPr>
              <w:ind w:left="240"/>
              <w:spacing w:after="0" w:line="196" w:lineRule="exact"/>
              <w:rPr>
                <w:sz w:val="20"/>
                <w:szCs w:val="20"/>
                <w:color w:val="auto"/>
              </w:rPr>
            </w:pPr>
            <w:r>
              <w:rPr>
                <w:rFonts w:ascii="Times New Roman" w:cs="Times New Roman" w:eastAsia="Times New Roman" w:hAnsi="Times New Roman"/>
                <w:sz w:val="18"/>
                <w:szCs w:val="18"/>
                <w:color w:val="auto"/>
              </w:rPr>
              <w:t>•</w:t>
            </w:r>
          </w:p>
        </w:tc>
        <w:tc>
          <w:tcPr>
            <w:tcW w:w="1240" w:type="dxa"/>
            <w:vAlign w:val="bottom"/>
            <w:tcBorders>
              <w:bottom w:val="single" w:sz="8" w:color="0000EE"/>
            </w:tcBorders>
            <w:gridSpan w:val="3"/>
          </w:tcPr>
          <w:p>
            <w:pPr>
              <w:spacing w:after="0" w:line="196" w:lineRule="exact"/>
              <w:rPr>
                <w:rFonts w:ascii="Arial" w:cs="Arial" w:eastAsia="Arial" w:hAnsi="Arial"/>
                <w:sz w:val="18"/>
                <w:szCs w:val="18"/>
                <w:color w:val="0000EE"/>
                <w:w w:val="99"/>
              </w:rPr>
            </w:pPr>
            <w:hyperlink w:anchor="page46">
              <w:r>
                <w:rPr>
                  <w:rFonts w:ascii="Arial" w:cs="Arial" w:eastAsia="Arial" w:hAnsi="Arial"/>
                  <w:sz w:val="18"/>
                  <w:szCs w:val="18"/>
                  <w:color w:val="0000EE"/>
                  <w:w w:val="99"/>
                </w:rPr>
                <w:t>Hedging Policy</w:t>
              </w:r>
            </w:hyperlink>
          </w:p>
        </w:tc>
        <w:tc>
          <w:tcPr>
            <w:tcW w:w="3160" w:type="dxa"/>
            <w:vAlign w:val="bottom"/>
            <w:gridSpan w:val="30"/>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2640" w:type="dxa"/>
            <w:vAlign w:val="bottom"/>
          </w:tcPr>
          <w:p>
            <w:pPr>
              <w:spacing w:after="0"/>
              <w:rPr>
                <w:sz w:val="17"/>
                <w:szCs w:val="17"/>
                <w:color w:val="auto"/>
              </w:rPr>
            </w:pPr>
          </w:p>
        </w:tc>
        <w:tc>
          <w:tcPr>
            <w:tcW w:w="640" w:type="dxa"/>
            <w:vAlign w:val="bottom"/>
          </w:tcPr>
          <w:p>
            <w:pPr>
              <w:ind w:left="240"/>
              <w:spacing w:after="0" w:line="196" w:lineRule="exact"/>
              <w:rPr>
                <w:sz w:val="20"/>
                <w:szCs w:val="20"/>
                <w:color w:val="auto"/>
              </w:rPr>
            </w:pPr>
            <w:r>
              <w:rPr>
                <w:rFonts w:ascii="Times New Roman" w:cs="Times New Roman" w:eastAsia="Times New Roman" w:hAnsi="Times New Roman"/>
                <w:sz w:val="18"/>
                <w:szCs w:val="18"/>
                <w:color w:val="auto"/>
              </w:rPr>
              <w:t>•</w:t>
            </w:r>
          </w:p>
        </w:tc>
        <w:tc>
          <w:tcPr>
            <w:tcW w:w="3360" w:type="dxa"/>
            <w:vAlign w:val="bottom"/>
            <w:tcBorders>
              <w:bottom w:val="single" w:sz="8" w:color="0000EE"/>
            </w:tcBorders>
            <w:gridSpan w:val="30"/>
          </w:tcPr>
          <w:p>
            <w:pPr>
              <w:spacing w:after="0" w:line="196" w:lineRule="exact"/>
              <w:rPr>
                <w:rFonts w:ascii="Arial" w:cs="Arial" w:eastAsia="Arial" w:hAnsi="Arial"/>
                <w:sz w:val="18"/>
                <w:szCs w:val="18"/>
                <w:color w:val="0000EE"/>
                <w:w w:val="99"/>
              </w:rPr>
            </w:pPr>
            <w:hyperlink w:anchor="page46">
              <w:r>
                <w:rPr>
                  <w:rFonts w:ascii="Arial" w:cs="Arial" w:eastAsia="Arial" w:hAnsi="Arial"/>
                  <w:sz w:val="18"/>
                  <w:szCs w:val="18"/>
                  <w:color w:val="0000EE"/>
                  <w:w w:val="99"/>
                </w:rPr>
                <w:t>Clawback Policy and Forfeiture Provisions</w:t>
              </w:r>
            </w:hyperlink>
          </w:p>
        </w:tc>
        <w:tc>
          <w:tcPr>
            <w:tcW w:w="1040" w:type="dxa"/>
            <w:vAlign w:val="bottom"/>
            <w:gridSpan w:val="3"/>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2640" w:type="dxa"/>
            <w:vAlign w:val="bottom"/>
          </w:tcPr>
          <w:p>
            <w:pPr>
              <w:spacing w:after="0"/>
              <w:rPr>
                <w:sz w:val="17"/>
                <w:szCs w:val="17"/>
                <w:color w:val="auto"/>
              </w:rPr>
            </w:pPr>
          </w:p>
        </w:tc>
        <w:tc>
          <w:tcPr>
            <w:tcW w:w="640" w:type="dxa"/>
            <w:vAlign w:val="bottom"/>
          </w:tcPr>
          <w:p>
            <w:pPr>
              <w:ind w:left="240"/>
              <w:spacing w:after="0" w:line="196" w:lineRule="exact"/>
              <w:rPr>
                <w:sz w:val="20"/>
                <w:szCs w:val="20"/>
                <w:color w:val="auto"/>
              </w:rPr>
            </w:pPr>
            <w:r>
              <w:rPr>
                <w:rFonts w:ascii="Times New Roman" w:cs="Times New Roman" w:eastAsia="Times New Roman" w:hAnsi="Times New Roman"/>
                <w:sz w:val="18"/>
                <w:szCs w:val="18"/>
                <w:color w:val="auto"/>
              </w:rPr>
              <w:t>•</w:t>
            </w:r>
          </w:p>
        </w:tc>
        <w:tc>
          <w:tcPr>
            <w:tcW w:w="2180" w:type="dxa"/>
            <w:vAlign w:val="bottom"/>
            <w:tcBorders>
              <w:bottom w:val="single" w:sz="8" w:color="0000EE"/>
            </w:tcBorders>
            <w:gridSpan w:val="18"/>
          </w:tcPr>
          <w:p>
            <w:pPr>
              <w:spacing w:after="0" w:line="196" w:lineRule="exact"/>
              <w:rPr>
                <w:rFonts w:ascii="Arial" w:cs="Arial" w:eastAsia="Arial" w:hAnsi="Arial"/>
                <w:sz w:val="18"/>
                <w:szCs w:val="18"/>
                <w:color w:val="0000EE"/>
                <w:w w:val="99"/>
              </w:rPr>
            </w:pPr>
            <w:hyperlink w:anchor="page46">
              <w:r>
                <w:rPr>
                  <w:rFonts w:ascii="Arial" w:cs="Arial" w:eastAsia="Arial" w:hAnsi="Arial"/>
                  <w:sz w:val="18"/>
                  <w:szCs w:val="18"/>
                  <w:color w:val="0000EE"/>
                  <w:w w:val="99"/>
                </w:rPr>
                <w:t>Employment Arrangements</w:t>
              </w:r>
            </w:hyperlink>
          </w:p>
        </w:tc>
        <w:tc>
          <w:tcPr>
            <w:tcW w:w="2220" w:type="dxa"/>
            <w:vAlign w:val="bottom"/>
            <w:gridSpan w:val="15"/>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2640" w:type="dxa"/>
            <w:vAlign w:val="bottom"/>
          </w:tcPr>
          <w:p>
            <w:pPr>
              <w:spacing w:after="0"/>
              <w:rPr>
                <w:sz w:val="17"/>
                <w:szCs w:val="17"/>
                <w:color w:val="auto"/>
              </w:rPr>
            </w:pPr>
          </w:p>
        </w:tc>
        <w:tc>
          <w:tcPr>
            <w:tcW w:w="640" w:type="dxa"/>
            <w:vAlign w:val="bottom"/>
          </w:tcPr>
          <w:p>
            <w:pPr>
              <w:ind w:left="240"/>
              <w:spacing w:after="0" w:line="196" w:lineRule="exact"/>
              <w:rPr>
                <w:sz w:val="20"/>
                <w:szCs w:val="20"/>
                <w:color w:val="auto"/>
              </w:rPr>
            </w:pPr>
            <w:r>
              <w:rPr>
                <w:rFonts w:ascii="Times New Roman" w:cs="Times New Roman" w:eastAsia="Times New Roman" w:hAnsi="Times New Roman"/>
                <w:sz w:val="18"/>
                <w:szCs w:val="18"/>
                <w:color w:val="auto"/>
              </w:rPr>
              <w:t>•</w:t>
            </w:r>
          </w:p>
        </w:tc>
        <w:tc>
          <w:tcPr>
            <w:tcW w:w="4400" w:type="dxa"/>
            <w:vAlign w:val="bottom"/>
            <w:gridSpan w:val="33"/>
          </w:tcPr>
          <w:p>
            <w:pPr>
              <w:spacing w:after="0" w:line="196" w:lineRule="exact"/>
              <w:rPr>
                <w:rFonts w:ascii="Arial" w:cs="Arial" w:eastAsia="Arial" w:hAnsi="Arial"/>
                <w:sz w:val="18"/>
                <w:szCs w:val="18"/>
                <w:color w:val="0000EE"/>
              </w:rPr>
            </w:pPr>
            <w:hyperlink w:anchor="page46">
              <w:r>
                <w:rPr>
                  <w:rFonts w:ascii="Arial" w:cs="Arial" w:eastAsia="Arial" w:hAnsi="Arial"/>
                  <w:sz w:val="18"/>
                  <w:szCs w:val="18"/>
                  <w:color w:val="0000EE"/>
                </w:rPr>
                <w:t>Tax Matters</w:t>
              </w:r>
            </w:hyperlink>
          </w:p>
        </w:tc>
        <w:tc>
          <w:tcPr>
            <w:tcW w:w="0" w:type="dxa"/>
            <w:vAlign w:val="bottom"/>
          </w:tcPr>
          <w:p>
            <w:pPr>
              <w:spacing w:after="0"/>
              <w:rPr>
                <w:sz w:val="1"/>
                <w:szCs w:val="1"/>
                <w:color w:val="auto"/>
              </w:rPr>
            </w:pPr>
          </w:p>
        </w:tc>
      </w:tr>
      <w:tr>
        <w:trPr>
          <w:trHeight w:val="20"/>
        </w:trPr>
        <w:tc>
          <w:tcPr>
            <w:tcW w:w="264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920" w:type="dxa"/>
            <w:vAlign w:val="bottom"/>
            <w:gridSpan w:val="2"/>
            <w:shd w:val="clear" w:color="auto" w:fill="0000EE"/>
          </w:tcPr>
          <w:p>
            <w:pPr>
              <w:spacing w:after="0" w:line="20" w:lineRule="exact"/>
              <w:rPr>
                <w:sz w:val="1"/>
                <w:szCs w:val="1"/>
                <w:color w:val="auto"/>
              </w:rPr>
            </w:pPr>
          </w:p>
        </w:tc>
        <w:tc>
          <w:tcPr>
            <w:tcW w:w="42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00" w:type="dxa"/>
            <w:vAlign w:val="bottom"/>
            <w:gridSpan w:val="6"/>
          </w:tcPr>
          <w:p>
            <w:pPr>
              <w:spacing w:after="0" w:line="20" w:lineRule="exact"/>
              <w:rPr>
                <w:sz w:val="1"/>
                <w:szCs w:val="1"/>
                <w:color w:val="auto"/>
              </w:rPr>
            </w:pPr>
          </w:p>
        </w:tc>
        <w:tc>
          <w:tcPr>
            <w:tcW w:w="500" w:type="dxa"/>
            <w:vAlign w:val="bottom"/>
            <w:gridSpan w:val="6"/>
          </w:tcPr>
          <w:p>
            <w:pPr>
              <w:spacing w:after="0" w:line="20" w:lineRule="exact"/>
              <w:rPr>
                <w:sz w:val="1"/>
                <w:szCs w:val="1"/>
                <w:color w:val="auto"/>
              </w:rPr>
            </w:pPr>
          </w:p>
        </w:tc>
        <w:tc>
          <w:tcPr>
            <w:tcW w:w="200" w:type="dxa"/>
            <w:vAlign w:val="bottom"/>
            <w:gridSpan w:val="5"/>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6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gridSpan w:val="2"/>
          </w:tcPr>
          <w:p>
            <w:pPr>
              <w:spacing w:after="0" w:line="20" w:lineRule="exact"/>
              <w:rPr>
                <w:sz w:val="1"/>
                <w:szCs w:val="1"/>
                <w:color w:val="auto"/>
              </w:rPr>
            </w:pPr>
          </w:p>
        </w:tc>
        <w:tc>
          <w:tcPr>
            <w:tcW w:w="480" w:type="dxa"/>
            <w:vAlign w:val="bottom"/>
            <w:gridSpan w:val="2"/>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2640" w:type="dxa"/>
            <w:vAlign w:val="bottom"/>
            <w:vMerge w:val="restart"/>
          </w:tcPr>
          <w:p>
            <w:pPr>
              <w:spacing w:after="0"/>
              <w:rPr>
                <w:sz w:val="20"/>
                <w:szCs w:val="20"/>
                <w:color w:val="auto"/>
              </w:rPr>
            </w:pPr>
            <w:r>
              <w:rPr>
                <w:rFonts w:ascii="Arial" w:cs="Arial" w:eastAsia="Arial" w:hAnsi="Arial"/>
                <w:sz w:val="18"/>
                <w:szCs w:val="18"/>
                <w:b w:val="1"/>
                <w:bCs w:val="1"/>
                <w:color w:val="auto"/>
              </w:rPr>
              <w:t>Executive Compensation</w:t>
            </w:r>
          </w:p>
        </w:tc>
        <w:tc>
          <w:tcPr>
            <w:tcW w:w="640" w:type="dxa"/>
            <w:vAlign w:val="bottom"/>
          </w:tcPr>
          <w:p>
            <w:pPr>
              <w:ind w:left="240"/>
              <w:spacing w:after="0" w:line="196" w:lineRule="exact"/>
              <w:rPr>
                <w:sz w:val="20"/>
                <w:szCs w:val="20"/>
                <w:color w:val="auto"/>
              </w:rPr>
            </w:pPr>
            <w:r>
              <w:rPr>
                <w:rFonts w:ascii="Times New Roman" w:cs="Times New Roman" w:eastAsia="Times New Roman" w:hAnsi="Times New Roman"/>
                <w:sz w:val="18"/>
                <w:szCs w:val="18"/>
                <w:color w:val="auto"/>
              </w:rPr>
              <w:t>•</w:t>
            </w:r>
          </w:p>
        </w:tc>
        <w:tc>
          <w:tcPr>
            <w:tcW w:w="4400" w:type="dxa"/>
            <w:vAlign w:val="bottom"/>
            <w:gridSpan w:val="33"/>
          </w:tcPr>
          <w:p>
            <w:pPr>
              <w:spacing w:after="0" w:line="196" w:lineRule="exact"/>
              <w:rPr>
                <w:rFonts w:ascii="Arial" w:cs="Arial" w:eastAsia="Arial" w:hAnsi="Arial"/>
                <w:sz w:val="18"/>
                <w:szCs w:val="18"/>
                <w:color w:val="0000EE"/>
              </w:rPr>
            </w:pPr>
            <w:hyperlink w:anchor="page47">
              <w:r>
                <w:rPr>
                  <w:rFonts w:ascii="Arial" w:cs="Arial" w:eastAsia="Arial" w:hAnsi="Arial"/>
                  <w:sz w:val="18"/>
                  <w:szCs w:val="18"/>
                  <w:color w:val="0000EE"/>
                </w:rPr>
                <w:t>Changes to Company Performance Metrics</w:t>
              </w:r>
            </w:hyperlink>
          </w:p>
        </w:tc>
        <w:tc>
          <w:tcPr>
            <w:tcW w:w="0" w:type="dxa"/>
            <w:vAlign w:val="bottom"/>
          </w:tcPr>
          <w:p>
            <w:pPr>
              <w:spacing w:after="0"/>
              <w:rPr>
                <w:sz w:val="1"/>
                <w:szCs w:val="1"/>
                <w:color w:val="auto"/>
              </w:rPr>
            </w:pPr>
          </w:p>
        </w:tc>
      </w:tr>
      <w:tr>
        <w:trPr>
          <w:trHeight w:val="210"/>
        </w:trPr>
        <w:tc>
          <w:tcPr>
            <w:tcW w:w="2640" w:type="dxa"/>
            <w:vAlign w:val="bottom"/>
            <w:vMerge w:val="continue"/>
          </w:tcPr>
          <w:p>
            <w:pPr>
              <w:spacing w:after="0"/>
              <w:rPr>
                <w:sz w:val="18"/>
                <w:szCs w:val="18"/>
                <w:color w:val="auto"/>
              </w:rPr>
            </w:pPr>
          </w:p>
        </w:tc>
        <w:tc>
          <w:tcPr>
            <w:tcW w:w="64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w:t>
            </w:r>
          </w:p>
        </w:tc>
        <w:tc>
          <w:tcPr>
            <w:tcW w:w="2460" w:type="dxa"/>
            <w:vAlign w:val="bottom"/>
            <w:tcBorders>
              <w:top w:val="single" w:sz="8" w:color="0000EE"/>
              <w:bottom w:val="single" w:sz="8" w:color="0000EE"/>
            </w:tcBorders>
            <w:gridSpan w:val="23"/>
          </w:tcPr>
          <w:p>
            <w:pPr>
              <w:spacing w:after="0"/>
              <w:rPr>
                <w:rFonts w:ascii="Arial" w:cs="Arial" w:eastAsia="Arial" w:hAnsi="Arial"/>
                <w:sz w:val="18"/>
                <w:szCs w:val="18"/>
                <w:color w:val="0000EE"/>
                <w:w w:val="98"/>
              </w:rPr>
            </w:pPr>
            <w:hyperlink w:anchor="page48">
              <w:r>
                <w:rPr>
                  <w:rFonts w:ascii="Arial" w:cs="Arial" w:eastAsia="Arial" w:hAnsi="Arial"/>
                  <w:sz w:val="18"/>
                  <w:szCs w:val="18"/>
                  <w:color w:val="0000EE"/>
                  <w:w w:val="98"/>
                </w:rPr>
                <w:t>Summary Compensation Table</w:t>
              </w:r>
            </w:hyperlink>
          </w:p>
        </w:tc>
        <w:tc>
          <w:tcPr>
            <w:tcW w:w="980" w:type="dxa"/>
            <w:vAlign w:val="bottom"/>
            <w:tcBorders>
              <w:top w:val="single" w:sz="8" w:color="0000EE"/>
            </w:tcBorders>
            <w:gridSpan w:val="8"/>
          </w:tcPr>
          <w:p>
            <w:pPr>
              <w:spacing w:after="0"/>
              <w:rPr>
                <w:sz w:val="18"/>
                <w:szCs w:val="18"/>
                <w:color w:val="auto"/>
              </w:rPr>
            </w:pPr>
          </w:p>
        </w:tc>
        <w:tc>
          <w:tcPr>
            <w:tcW w:w="960" w:type="dxa"/>
            <w:vAlign w:val="bottom"/>
            <w:gridSpan w:val="2"/>
          </w:tcPr>
          <w:p>
            <w:pPr>
              <w:spacing w:after="0"/>
              <w:rPr>
                <w:sz w:val="18"/>
                <w:szCs w:val="18"/>
                <w:color w:val="auto"/>
              </w:rPr>
            </w:pPr>
          </w:p>
        </w:tc>
        <w:tc>
          <w:tcPr>
            <w:tcW w:w="0" w:type="dxa"/>
            <w:vAlign w:val="bottom"/>
          </w:tcPr>
          <w:p>
            <w:pPr>
              <w:spacing w:after="0"/>
              <w:rPr>
                <w:sz w:val="1"/>
                <w:szCs w:val="1"/>
                <w:color w:val="auto"/>
              </w:rPr>
            </w:pPr>
          </w:p>
        </w:tc>
      </w:tr>
      <w:tr>
        <w:trPr>
          <w:trHeight w:val="196"/>
        </w:trPr>
        <w:tc>
          <w:tcPr>
            <w:tcW w:w="2640" w:type="dxa"/>
            <w:vAlign w:val="bottom"/>
          </w:tcPr>
          <w:p>
            <w:pPr>
              <w:spacing w:after="0" w:line="196" w:lineRule="exact"/>
              <w:rPr>
                <w:sz w:val="20"/>
                <w:szCs w:val="20"/>
                <w:color w:val="auto"/>
              </w:rPr>
            </w:pPr>
            <w:r>
              <w:rPr>
                <w:rFonts w:ascii="Arial" w:cs="Arial" w:eastAsia="Arial" w:hAnsi="Arial"/>
                <w:sz w:val="18"/>
                <w:szCs w:val="18"/>
                <w:b w:val="1"/>
                <w:bCs w:val="1"/>
                <w:color w:val="auto"/>
              </w:rPr>
              <w:t>Tables and Narratives</w:t>
            </w:r>
          </w:p>
        </w:tc>
        <w:tc>
          <w:tcPr>
            <w:tcW w:w="640" w:type="dxa"/>
            <w:vAlign w:val="bottom"/>
          </w:tcPr>
          <w:p>
            <w:pPr>
              <w:ind w:left="240"/>
              <w:spacing w:after="0" w:line="196" w:lineRule="exact"/>
              <w:rPr>
                <w:sz w:val="20"/>
                <w:szCs w:val="20"/>
                <w:color w:val="auto"/>
              </w:rPr>
            </w:pPr>
            <w:r>
              <w:rPr>
                <w:rFonts w:ascii="Times New Roman" w:cs="Times New Roman" w:eastAsia="Times New Roman" w:hAnsi="Times New Roman"/>
                <w:sz w:val="18"/>
                <w:szCs w:val="18"/>
                <w:color w:val="auto"/>
              </w:rPr>
              <w:t>•</w:t>
            </w:r>
          </w:p>
        </w:tc>
        <w:tc>
          <w:tcPr>
            <w:tcW w:w="4400" w:type="dxa"/>
            <w:vAlign w:val="bottom"/>
            <w:gridSpan w:val="33"/>
          </w:tcPr>
          <w:p>
            <w:pPr>
              <w:spacing w:after="0" w:line="196" w:lineRule="exact"/>
              <w:rPr>
                <w:rFonts w:ascii="Arial" w:cs="Arial" w:eastAsia="Arial" w:hAnsi="Arial"/>
                <w:sz w:val="18"/>
                <w:szCs w:val="18"/>
                <w:color w:val="0000EE"/>
              </w:rPr>
            </w:pPr>
            <w:hyperlink w:anchor="page51">
              <w:r>
                <w:rPr>
                  <w:rFonts w:ascii="Arial" w:cs="Arial" w:eastAsia="Arial" w:hAnsi="Arial"/>
                  <w:sz w:val="18"/>
                  <w:szCs w:val="18"/>
                  <w:color w:val="0000EE"/>
                </w:rPr>
                <w:t>Grants of Plan-Based Awards</w:t>
              </w:r>
            </w:hyperlink>
          </w:p>
        </w:tc>
        <w:tc>
          <w:tcPr>
            <w:tcW w:w="0" w:type="dxa"/>
            <w:vAlign w:val="bottom"/>
          </w:tcPr>
          <w:p>
            <w:pPr>
              <w:spacing w:after="0"/>
              <w:rPr>
                <w:sz w:val="1"/>
                <w:szCs w:val="1"/>
                <w:color w:val="auto"/>
              </w:rPr>
            </w:pPr>
          </w:p>
        </w:tc>
      </w:tr>
      <w:tr>
        <w:trPr>
          <w:trHeight w:val="196"/>
        </w:trPr>
        <w:tc>
          <w:tcPr>
            <w:tcW w:w="2640" w:type="dxa"/>
            <w:vAlign w:val="bottom"/>
          </w:tcPr>
          <w:p>
            <w:pPr>
              <w:spacing w:after="0"/>
              <w:rPr>
                <w:sz w:val="17"/>
                <w:szCs w:val="17"/>
                <w:color w:val="auto"/>
              </w:rPr>
            </w:pPr>
          </w:p>
        </w:tc>
        <w:tc>
          <w:tcPr>
            <w:tcW w:w="640" w:type="dxa"/>
            <w:vAlign w:val="bottom"/>
          </w:tcPr>
          <w:p>
            <w:pPr>
              <w:ind w:left="240"/>
              <w:spacing w:after="0" w:line="196" w:lineRule="exact"/>
              <w:rPr>
                <w:sz w:val="20"/>
                <w:szCs w:val="20"/>
                <w:color w:val="auto"/>
              </w:rPr>
            </w:pPr>
            <w:r>
              <w:rPr>
                <w:rFonts w:ascii="Times New Roman" w:cs="Times New Roman" w:eastAsia="Times New Roman" w:hAnsi="Times New Roman"/>
                <w:sz w:val="18"/>
                <w:szCs w:val="18"/>
                <w:color w:val="auto"/>
              </w:rPr>
              <w:t>•</w:t>
            </w:r>
          </w:p>
        </w:tc>
        <w:tc>
          <w:tcPr>
            <w:tcW w:w="2360" w:type="dxa"/>
            <w:vAlign w:val="bottom"/>
            <w:tcBorders>
              <w:top w:val="single" w:sz="8" w:color="0000EE"/>
            </w:tcBorders>
            <w:gridSpan w:val="22"/>
          </w:tcPr>
          <w:p>
            <w:pPr>
              <w:spacing w:after="0" w:line="196" w:lineRule="exact"/>
              <w:rPr>
                <w:rFonts w:ascii="Arial" w:cs="Arial" w:eastAsia="Arial" w:hAnsi="Arial"/>
                <w:sz w:val="18"/>
                <w:szCs w:val="18"/>
                <w:color w:val="0000EE"/>
              </w:rPr>
            </w:pPr>
            <w:hyperlink w:anchor="page52">
              <w:r>
                <w:rPr>
                  <w:rFonts w:ascii="Arial" w:cs="Arial" w:eastAsia="Arial" w:hAnsi="Arial"/>
                  <w:sz w:val="18"/>
                  <w:szCs w:val="18"/>
                  <w:color w:val="0000EE"/>
                </w:rPr>
                <w:t>Outstanding Equity Awards</w:t>
              </w:r>
            </w:hyperlink>
          </w:p>
        </w:tc>
        <w:tc>
          <w:tcPr>
            <w:tcW w:w="2040" w:type="dxa"/>
            <w:vAlign w:val="bottom"/>
            <w:gridSpan w:val="11"/>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264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1340" w:type="dxa"/>
            <w:vAlign w:val="bottom"/>
            <w:gridSpan w:val="4"/>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300" w:type="dxa"/>
            <w:vAlign w:val="bottom"/>
            <w:gridSpan w:val="6"/>
            <w:shd w:val="clear" w:color="auto" w:fill="0000EE"/>
          </w:tcPr>
          <w:p>
            <w:pPr>
              <w:spacing w:after="0" w:line="20" w:lineRule="exact"/>
              <w:rPr>
                <w:sz w:val="1"/>
                <w:szCs w:val="1"/>
                <w:color w:val="auto"/>
              </w:rPr>
            </w:pPr>
          </w:p>
        </w:tc>
        <w:tc>
          <w:tcPr>
            <w:tcW w:w="500" w:type="dxa"/>
            <w:vAlign w:val="bottom"/>
            <w:gridSpan w:val="6"/>
            <w:shd w:val="clear" w:color="auto" w:fill="0000EE"/>
          </w:tcPr>
          <w:p>
            <w:pPr>
              <w:spacing w:after="0" w:line="20" w:lineRule="exact"/>
              <w:rPr>
                <w:sz w:val="1"/>
                <w:szCs w:val="1"/>
                <w:color w:val="auto"/>
              </w:rPr>
            </w:pPr>
          </w:p>
        </w:tc>
        <w:tc>
          <w:tcPr>
            <w:tcW w:w="360" w:type="dxa"/>
            <w:vAlign w:val="bottom"/>
            <w:gridSpan w:val="7"/>
          </w:tcPr>
          <w:p>
            <w:pPr>
              <w:spacing w:after="0" w:line="20" w:lineRule="exact"/>
              <w:rPr>
                <w:sz w:val="1"/>
                <w:szCs w:val="1"/>
                <w:color w:val="auto"/>
              </w:rPr>
            </w:pPr>
          </w:p>
        </w:tc>
        <w:tc>
          <w:tcPr>
            <w:tcW w:w="26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gridSpan w:val="2"/>
          </w:tcPr>
          <w:p>
            <w:pPr>
              <w:spacing w:after="0" w:line="20" w:lineRule="exact"/>
              <w:rPr>
                <w:sz w:val="1"/>
                <w:szCs w:val="1"/>
                <w:color w:val="auto"/>
              </w:rPr>
            </w:pPr>
          </w:p>
        </w:tc>
        <w:tc>
          <w:tcPr>
            <w:tcW w:w="142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2640" w:type="dxa"/>
            <w:vAlign w:val="bottom"/>
          </w:tcPr>
          <w:p>
            <w:pPr>
              <w:spacing w:after="0"/>
              <w:rPr>
                <w:sz w:val="17"/>
                <w:szCs w:val="17"/>
                <w:color w:val="auto"/>
              </w:rPr>
            </w:pPr>
          </w:p>
        </w:tc>
        <w:tc>
          <w:tcPr>
            <w:tcW w:w="640" w:type="dxa"/>
            <w:vAlign w:val="bottom"/>
          </w:tcPr>
          <w:p>
            <w:pPr>
              <w:ind w:left="240"/>
              <w:spacing w:after="0" w:line="196" w:lineRule="exact"/>
              <w:rPr>
                <w:sz w:val="20"/>
                <w:szCs w:val="20"/>
                <w:color w:val="auto"/>
              </w:rPr>
            </w:pPr>
            <w:r>
              <w:rPr>
                <w:rFonts w:ascii="Times New Roman" w:cs="Times New Roman" w:eastAsia="Times New Roman" w:hAnsi="Times New Roman"/>
                <w:sz w:val="18"/>
                <w:szCs w:val="18"/>
                <w:color w:val="auto"/>
              </w:rPr>
              <w:t>•</w:t>
            </w:r>
          </w:p>
        </w:tc>
        <w:tc>
          <w:tcPr>
            <w:tcW w:w="4400" w:type="dxa"/>
            <w:vAlign w:val="bottom"/>
            <w:gridSpan w:val="33"/>
          </w:tcPr>
          <w:p>
            <w:pPr>
              <w:spacing w:after="0" w:line="196" w:lineRule="exact"/>
              <w:rPr>
                <w:rFonts w:ascii="Arial" w:cs="Arial" w:eastAsia="Arial" w:hAnsi="Arial"/>
                <w:sz w:val="18"/>
                <w:szCs w:val="18"/>
                <w:color w:val="0000EE"/>
              </w:rPr>
            </w:pPr>
            <w:hyperlink w:anchor="page53">
              <w:r>
                <w:rPr>
                  <w:rFonts w:ascii="Arial" w:cs="Arial" w:eastAsia="Arial" w:hAnsi="Arial"/>
                  <w:sz w:val="18"/>
                  <w:szCs w:val="18"/>
                  <w:color w:val="0000EE"/>
                </w:rPr>
                <w:t>Option Exercises and Stock Vested</w:t>
              </w:r>
            </w:hyperlink>
          </w:p>
        </w:tc>
        <w:tc>
          <w:tcPr>
            <w:tcW w:w="0" w:type="dxa"/>
            <w:vAlign w:val="bottom"/>
          </w:tcPr>
          <w:p>
            <w:pPr>
              <w:spacing w:after="0"/>
              <w:rPr>
                <w:sz w:val="1"/>
                <w:szCs w:val="1"/>
                <w:color w:val="auto"/>
              </w:rPr>
            </w:pPr>
          </w:p>
        </w:tc>
      </w:tr>
      <w:tr>
        <w:trPr>
          <w:trHeight w:val="196"/>
        </w:trPr>
        <w:tc>
          <w:tcPr>
            <w:tcW w:w="2640" w:type="dxa"/>
            <w:vAlign w:val="bottom"/>
          </w:tcPr>
          <w:p>
            <w:pPr>
              <w:spacing w:after="0"/>
              <w:rPr>
                <w:sz w:val="17"/>
                <w:szCs w:val="17"/>
                <w:color w:val="auto"/>
              </w:rPr>
            </w:pPr>
          </w:p>
        </w:tc>
        <w:tc>
          <w:tcPr>
            <w:tcW w:w="640" w:type="dxa"/>
            <w:vAlign w:val="bottom"/>
          </w:tcPr>
          <w:p>
            <w:pPr>
              <w:ind w:left="240"/>
              <w:spacing w:after="0" w:line="196" w:lineRule="exact"/>
              <w:rPr>
                <w:sz w:val="20"/>
                <w:szCs w:val="20"/>
                <w:color w:val="auto"/>
              </w:rPr>
            </w:pPr>
            <w:r>
              <w:rPr>
                <w:rFonts w:ascii="Times New Roman" w:cs="Times New Roman" w:eastAsia="Times New Roman" w:hAnsi="Times New Roman"/>
                <w:sz w:val="18"/>
                <w:szCs w:val="18"/>
                <w:color w:val="auto"/>
              </w:rPr>
              <w:t>•</w:t>
            </w:r>
          </w:p>
        </w:tc>
        <w:tc>
          <w:tcPr>
            <w:tcW w:w="2800" w:type="dxa"/>
            <w:vAlign w:val="bottom"/>
            <w:tcBorders>
              <w:top w:val="single" w:sz="8" w:color="0000EE"/>
            </w:tcBorders>
            <w:gridSpan w:val="27"/>
          </w:tcPr>
          <w:p>
            <w:pPr>
              <w:spacing w:after="0" w:line="196" w:lineRule="exact"/>
              <w:rPr>
                <w:rFonts w:ascii="Arial" w:cs="Arial" w:eastAsia="Arial" w:hAnsi="Arial"/>
                <w:sz w:val="18"/>
                <w:szCs w:val="18"/>
                <w:color w:val="0000EE"/>
              </w:rPr>
            </w:pPr>
            <w:hyperlink w:anchor="page53">
              <w:r>
                <w:rPr>
                  <w:rFonts w:ascii="Arial" w:cs="Arial" w:eastAsia="Arial" w:hAnsi="Arial"/>
                  <w:sz w:val="18"/>
                  <w:szCs w:val="18"/>
                  <w:color w:val="0000EE"/>
                </w:rPr>
                <w:t>Pension Benefits</w:t>
              </w:r>
            </w:hyperlink>
          </w:p>
        </w:tc>
        <w:tc>
          <w:tcPr>
            <w:tcW w:w="1600" w:type="dxa"/>
            <w:vAlign w:val="bottom"/>
            <w:gridSpan w:val="6"/>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264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1340" w:type="dxa"/>
            <w:vAlign w:val="bottom"/>
            <w:gridSpan w:val="4"/>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00" w:type="dxa"/>
            <w:vAlign w:val="bottom"/>
            <w:gridSpan w:val="6"/>
          </w:tcPr>
          <w:p>
            <w:pPr>
              <w:spacing w:after="0" w:line="20" w:lineRule="exact"/>
              <w:rPr>
                <w:sz w:val="1"/>
                <w:szCs w:val="1"/>
                <w:color w:val="auto"/>
              </w:rPr>
            </w:pPr>
          </w:p>
        </w:tc>
        <w:tc>
          <w:tcPr>
            <w:tcW w:w="860" w:type="dxa"/>
            <w:vAlign w:val="bottom"/>
            <w:gridSpan w:val="13"/>
          </w:tcPr>
          <w:p>
            <w:pPr>
              <w:spacing w:after="0" w:line="20" w:lineRule="exact"/>
              <w:rPr>
                <w:sz w:val="1"/>
                <w:szCs w:val="1"/>
                <w:color w:val="auto"/>
              </w:rPr>
            </w:pPr>
          </w:p>
        </w:tc>
        <w:tc>
          <w:tcPr>
            <w:tcW w:w="260" w:type="dxa"/>
            <w:vAlign w:val="bottom"/>
            <w:gridSpan w:val="2"/>
          </w:tcPr>
          <w:p>
            <w:pPr>
              <w:spacing w:after="0" w:line="20" w:lineRule="exact"/>
              <w:rPr>
                <w:sz w:val="1"/>
                <w:szCs w:val="1"/>
                <w:color w:val="auto"/>
              </w:rPr>
            </w:pPr>
          </w:p>
        </w:tc>
        <w:tc>
          <w:tcPr>
            <w:tcW w:w="180" w:type="dxa"/>
            <w:vAlign w:val="bottom"/>
            <w:gridSpan w:val="3"/>
          </w:tcPr>
          <w:p>
            <w:pPr>
              <w:spacing w:after="0" w:line="20" w:lineRule="exact"/>
              <w:rPr>
                <w:sz w:val="1"/>
                <w:szCs w:val="1"/>
                <w:color w:val="auto"/>
              </w:rPr>
            </w:pPr>
          </w:p>
        </w:tc>
        <w:tc>
          <w:tcPr>
            <w:tcW w:w="142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2640" w:type="dxa"/>
            <w:vAlign w:val="bottom"/>
          </w:tcPr>
          <w:p>
            <w:pPr>
              <w:spacing w:after="0"/>
              <w:rPr>
                <w:sz w:val="17"/>
                <w:szCs w:val="17"/>
                <w:color w:val="auto"/>
              </w:rPr>
            </w:pPr>
          </w:p>
        </w:tc>
        <w:tc>
          <w:tcPr>
            <w:tcW w:w="640" w:type="dxa"/>
            <w:vAlign w:val="bottom"/>
          </w:tcPr>
          <w:p>
            <w:pPr>
              <w:ind w:left="240"/>
              <w:spacing w:after="0" w:line="196" w:lineRule="exact"/>
              <w:rPr>
                <w:sz w:val="20"/>
                <w:szCs w:val="20"/>
                <w:color w:val="auto"/>
              </w:rPr>
            </w:pPr>
            <w:r>
              <w:rPr>
                <w:rFonts w:ascii="Times New Roman" w:cs="Times New Roman" w:eastAsia="Times New Roman" w:hAnsi="Times New Roman"/>
                <w:sz w:val="18"/>
                <w:szCs w:val="18"/>
                <w:color w:val="auto"/>
              </w:rPr>
              <w:t>•</w:t>
            </w:r>
          </w:p>
        </w:tc>
        <w:tc>
          <w:tcPr>
            <w:tcW w:w="2960" w:type="dxa"/>
            <w:vAlign w:val="bottom"/>
            <w:tcBorders>
              <w:bottom w:val="single" w:sz="8" w:color="0000EE"/>
            </w:tcBorders>
            <w:gridSpan w:val="29"/>
          </w:tcPr>
          <w:p>
            <w:pPr>
              <w:spacing w:after="0" w:line="196" w:lineRule="exact"/>
              <w:rPr>
                <w:rFonts w:ascii="Arial" w:cs="Arial" w:eastAsia="Arial" w:hAnsi="Arial"/>
                <w:sz w:val="18"/>
                <w:szCs w:val="18"/>
                <w:color w:val="0000EE"/>
                <w:w w:val="99"/>
              </w:rPr>
            </w:pPr>
            <w:hyperlink w:anchor="page55">
              <w:r>
                <w:rPr>
                  <w:rFonts w:ascii="Arial" w:cs="Arial" w:eastAsia="Arial" w:hAnsi="Arial"/>
                  <w:sz w:val="18"/>
                  <w:szCs w:val="18"/>
                  <w:color w:val="0000EE"/>
                  <w:w w:val="99"/>
                </w:rPr>
                <w:t>Nonqualified Deferred Compensation</w:t>
              </w:r>
            </w:hyperlink>
          </w:p>
        </w:tc>
        <w:tc>
          <w:tcPr>
            <w:tcW w:w="1440" w:type="dxa"/>
            <w:vAlign w:val="bottom"/>
            <w:gridSpan w:val="4"/>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2640" w:type="dxa"/>
            <w:vAlign w:val="bottom"/>
          </w:tcPr>
          <w:p>
            <w:pPr>
              <w:spacing w:after="0"/>
              <w:rPr>
                <w:sz w:val="17"/>
                <w:szCs w:val="17"/>
                <w:color w:val="auto"/>
              </w:rPr>
            </w:pPr>
          </w:p>
        </w:tc>
        <w:tc>
          <w:tcPr>
            <w:tcW w:w="640" w:type="dxa"/>
            <w:vAlign w:val="bottom"/>
          </w:tcPr>
          <w:p>
            <w:pPr>
              <w:ind w:left="240"/>
              <w:spacing w:after="0" w:line="196" w:lineRule="exact"/>
              <w:rPr>
                <w:sz w:val="20"/>
                <w:szCs w:val="20"/>
                <w:color w:val="auto"/>
              </w:rPr>
            </w:pPr>
            <w:r>
              <w:rPr>
                <w:rFonts w:ascii="Times New Roman" w:cs="Times New Roman" w:eastAsia="Times New Roman" w:hAnsi="Times New Roman"/>
                <w:sz w:val="18"/>
                <w:szCs w:val="18"/>
                <w:color w:val="auto"/>
              </w:rPr>
              <w:t>•</w:t>
            </w:r>
          </w:p>
        </w:tc>
        <w:tc>
          <w:tcPr>
            <w:tcW w:w="4380" w:type="dxa"/>
            <w:vAlign w:val="bottom"/>
            <w:tcBorders>
              <w:bottom w:val="single" w:sz="8" w:color="0000EE"/>
            </w:tcBorders>
            <w:gridSpan w:val="32"/>
          </w:tcPr>
          <w:p>
            <w:pPr>
              <w:spacing w:after="0" w:line="196" w:lineRule="exact"/>
              <w:rPr>
                <w:rFonts w:ascii="Arial" w:cs="Arial" w:eastAsia="Arial" w:hAnsi="Arial"/>
                <w:sz w:val="18"/>
                <w:szCs w:val="18"/>
                <w:color w:val="0000EE"/>
                <w:w w:val="99"/>
              </w:rPr>
            </w:pPr>
            <w:hyperlink w:anchor="page55">
              <w:r>
                <w:rPr>
                  <w:rFonts w:ascii="Arial" w:cs="Arial" w:eastAsia="Arial" w:hAnsi="Arial"/>
                  <w:sz w:val="18"/>
                  <w:szCs w:val="18"/>
                  <w:color w:val="0000EE"/>
                  <w:w w:val="99"/>
                </w:rPr>
                <w:t>Administrative Services for Retired Employee Directors</w:t>
              </w:r>
            </w:hyperlink>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2640" w:type="dxa"/>
            <w:vAlign w:val="bottom"/>
          </w:tcPr>
          <w:p>
            <w:pPr>
              <w:spacing w:after="0"/>
              <w:rPr>
                <w:sz w:val="17"/>
                <w:szCs w:val="17"/>
                <w:color w:val="auto"/>
              </w:rPr>
            </w:pPr>
          </w:p>
        </w:tc>
        <w:tc>
          <w:tcPr>
            <w:tcW w:w="640" w:type="dxa"/>
            <w:vAlign w:val="bottom"/>
          </w:tcPr>
          <w:p>
            <w:pPr>
              <w:ind w:left="240"/>
              <w:spacing w:after="0" w:line="196" w:lineRule="exact"/>
              <w:rPr>
                <w:sz w:val="20"/>
                <w:szCs w:val="20"/>
                <w:color w:val="auto"/>
              </w:rPr>
            </w:pPr>
            <w:r>
              <w:rPr>
                <w:rFonts w:ascii="Times New Roman" w:cs="Times New Roman" w:eastAsia="Times New Roman" w:hAnsi="Times New Roman"/>
                <w:sz w:val="18"/>
                <w:szCs w:val="18"/>
                <w:color w:val="auto"/>
              </w:rPr>
              <w:t>•</w:t>
            </w:r>
          </w:p>
        </w:tc>
        <w:tc>
          <w:tcPr>
            <w:tcW w:w="1660" w:type="dxa"/>
            <w:vAlign w:val="bottom"/>
            <w:tcBorders>
              <w:bottom w:val="single" w:sz="8" w:color="0000EE"/>
            </w:tcBorders>
            <w:gridSpan w:val="11"/>
          </w:tcPr>
          <w:p>
            <w:pPr>
              <w:spacing w:after="0" w:line="196" w:lineRule="exact"/>
              <w:rPr>
                <w:rFonts w:ascii="Arial" w:cs="Arial" w:eastAsia="Arial" w:hAnsi="Arial"/>
                <w:sz w:val="18"/>
                <w:szCs w:val="18"/>
                <w:color w:val="0000EE"/>
                <w:w w:val="98"/>
              </w:rPr>
            </w:pPr>
            <w:hyperlink w:anchor="page56">
              <w:r>
                <w:rPr>
                  <w:rFonts w:ascii="Arial" w:cs="Arial" w:eastAsia="Arial" w:hAnsi="Arial"/>
                  <w:sz w:val="18"/>
                  <w:szCs w:val="18"/>
                  <w:color w:val="0000EE"/>
                  <w:w w:val="98"/>
                </w:rPr>
                <w:t>Health Care Benefits</w:t>
              </w:r>
            </w:hyperlink>
          </w:p>
        </w:tc>
        <w:tc>
          <w:tcPr>
            <w:tcW w:w="2740" w:type="dxa"/>
            <w:vAlign w:val="bottom"/>
            <w:gridSpan w:val="22"/>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2640" w:type="dxa"/>
            <w:vAlign w:val="bottom"/>
          </w:tcPr>
          <w:p>
            <w:pPr>
              <w:spacing w:after="0"/>
              <w:rPr>
                <w:sz w:val="17"/>
                <w:szCs w:val="17"/>
                <w:color w:val="auto"/>
              </w:rPr>
            </w:pPr>
          </w:p>
        </w:tc>
        <w:tc>
          <w:tcPr>
            <w:tcW w:w="640" w:type="dxa"/>
            <w:vAlign w:val="bottom"/>
          </w:tcPr>
          <w:p>
            <w:pPr>
              <w:ind w:left="240"/>
              <w:spacing w:after="0" w:line="196" w:lineRule="exact"/>
              <w:rPr>
                <w:sz w:val="20"/>
                <w:szCs w:val="20"/>
                <w:color w:val="auto"/>
              </w:rPr>
            </w:pPr>
            <w:r>
              <w:rPr>
                <w:rFonts w:ascii="Times New Roman" w:cs="Times New Roman" w:eastAsia="Times New Roman" w:hAnsi="Times New Roman"/>
                <w:sz w:val="18"/>
                <w:szCs w:val="18"/>
                <w:color w:val="auto"/>
              </w:rPr>
              <w:t>•</w:t>
            </w:r>
          </w:p>
        </w:tc>
        <w:tc>
          <w:tcPr>
            <w:tcW w:w="1360" w:type="dxa"/>
            <w:vAlign w:val="bottom"/>
            <w:tcBorders>
              <w:bottom w:val="single" w:sz="8" w:color="0000EE"/>
            </w:tcBorders>
            <w:gridSpan w:val="5"/>
          </w:tcPr>
          <w:p>
            <w:pPr>
              <w:spacing w:after="0" w:line="196" w:lineRule="exact"/>
              <w:rPr>
                <w:rFonts w:ascii="Arial" w:cs="Arial" w:eastAsia="Arial" w:hAnsi="Arial"/>
                <w:sz w:val="18"/>
                <w:szCs w:val="18"/>
                <w:color w:val="0000EE"/>
                <w:w w:val="97"/>
              </w:rPr>
            </w:pPr>
            <w:hyperlink w:anchor="page56">
              <w:r>
                <w:rPr>
                  <w:rFonts w:ascii="Arial" w:cs="Arial" w:eastAsia="Arial" w:hAnsi="Arial"/>
                  <w:sz w:val="18"/>
                  <w:szCs w:val="18"/>
                  <w:color w:val="0000EE"/>
                  <w:w w:val="97"/>
                </w:rPr>
                <w:t>Unused Vacation</w:t>
              </w:r>
            </w:hyperlink>
          </w:p>
        </w:tc>
        <w:tc>
          <w:tcPr>
            <w:tcW w:w="3040" w:type="dxa"/>
            <w:vAlign w:val="bottom"/>
            <w:gridSpan w:val="28"/>
          </w:tcPr>
          <w:p>
            <w:pPr>
              <w:spacing w:after="0"/>
              <w:rPr>
                <w:sz w:val="17"/>
                <w:szCs w:val="17"/>
                <w:color w:val="auto"/>
              </w:rPr>
            </w:pPr>
          </w:p>
        </w:tc>
        <w:tc>
          <w:tcPr>
            <w:tcW w:w="0" w:type="dxa"/>
            <w:vAlign w:val="bottom"/>
          </w:tcPr>
          <w:p>
            <w:pPr>
              <w:spacing w:after="0"/>
              <w:rPr>
                <w:sz w:val="1"/>
                <w:szCs w:val="1"/>
                <w:color w:val="auto"/>
              </w:rPr>
            </w:pPr>
          </w:p>
        </w:tc>
      </w:tr>
      <w:tr>
        <w:trPr>
          <w:trHeight w:val="210"/>
        </w:trPr>
        <w:tc>
          <w:tcPr>
            <w:tcW w:w="2640" w:type="dxa"/>
            <w:vAlign w:val="bottom"/>
          </w:tcPr>
          <w:p>
            <w:pPr>
              <w:spacing w:after="0"/>
              <w:rPr>
                <w:sz w:val="18"/>
                <w:szCs w:val="18"/>
                <w:color w:val="auto"/>
              </w:rPr>
            </w:pPr>
          </w:p>
        </w:tc>
        <w:tc>
          <w:tcPr>
            <w:tcW w:w="64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w:t>
            </w:r>
          </w:p>
        </w:tc>
        <w:tc>
          <w:tcPr>
            <w:tcW w:w="2780" w:type="dxa"/>
            <w:vAlign w:val="bottom"/>
            <w:tcBorders>
              <w:bottom w:val="single" w:sz="8" w:color="0000EE"/>
            </w:tcBorders>
            <w:gridSpan w:val="26"/>
          </w:tcPr>
          <w:p>
            <w:pPr>
              <w:spacing w:after="0"/>
              <w:rPr>
                <w:rFonts w:ascii="Arial" w:cs="Arial" w:eastAsia="Arial" w:hAnsi="Arial"/>
                <w:sz w:val="18"/>
                <w:szCs w:val="18"/>
                <w:color w:val="0000EE"/>
                <w:w w:val="98"/>
              </w:rPr>
            </w:pPr>
            <w:hyperlink w:anchor="page56">
              <w:r>
                <w:rPr>
                  <w:rFonts w:ascii="Arial" w:cs="Arial" w:eastAsia="Arial" w:hAnsi="Arial"/>
                  <w:sz w:val="18"/>
                  <w:szCs w:val="18"/>
                  <w:color w:val="0000EE"/>
                  <w:w w:val="98"/>
                </w:rPr>
                <w:t>Termination and Change in Control</w:t>
              </w:r>
            </w:hyperlink>
          </w:p>
        </w:tc>
        <w:tc>
          <w:tcPr>
            <w:tcW w:w="1620" w:type="dxa"/>
            <w:vAlign w:val="bottom"/>
            <w:gridSpan w:val="7"/>
          </w:tcPr>
          <w:p>
            <w:pPr>
              <w:spacing w:after="0"/>
              <w:rPr>
                <w:sz w:val="18"/>
                <w:szCs w:val="18"/>
                <w:color w:val="auto"/>
              </w:rPr>
            </w:pPr>
          </w:p>
        </w:tc>
        <w:tc>
          <w:tcPr>
            <w:tcW w:w="0" w:type="dxa"/>
            <w:vAlign w:val="bottom"/>
          </w:tcPr>
          <w:p>
            <w:pPr>
              <w:spacing w:after="0"/>
              <w:rPr>
                <w:sz w:val="1"/>
                <w:szCs w:val="1"/>
                <w:color w:val="auto"/>
              </w:rPr>
            </w:pPr>
          </w:p>
        </w:tc>
      </w:tr>
      <w:tr>
        <w:trPr>
          <w:trHeight w:val="196"/>
        </w:trPr>
        <w:tc>
          <w:tcPr>
            <w:tcW w:w="2640" w:type="dxa"/>
            <w:vAlign w:val="bottom"/>
          </w:tcPr>
          <w:p>
            <w:pPr>
              <w:spacing w:after="0"/>
              <w:rPr>
                <w:sz w:val="17"/>
                <w:szCs w:val="17"/>
                <w:color w:val="auto"/>
              </w:rPr>
            </w:pPr>
          </w:p>
        </w:tc>
        <w:tc>
          <w:tcPr>
            <w:tcW w:w="640" w:type="dxa"/>
            <w:vAlign w:val="bottom"/>
          </w:tcPr>
          <w:p>
            <w:pPr>
              <w:ind w:left="240"/>
              <w:spacing w:after="0" w:line="196" w:lineRule="exact"/>
              <w:rPr>
                <w:sz w:val="20"/>
                <w:szCs w:val="20"/>
                <w:color w:val="auto"/>
              </w:rPr>
            </w:pPr>
            <w:r>
              <w:rPr>
                <w:rFonts w:ascii="Times New Roman" w:cs="Times New Roman" w:eastAsia="Times New Roman" w:hAnsi="Times New Roman"/>
                <w:sz w:val="18"/>
                <w:szCs w:val="18"/>
                <w:color w:val="auto"/>
              </w:rPr>
              <w:t>•</w:t>
            </w:r>
          </w:p>
        </w:tc>
        <w:tc>
          <w:tcPr>
            <w:tcW w:w="4400" w:type="dxa"/>
            <w:vAlign w:val="bottom"/>
            <w:gridSpan w:val="33"/>
          </w:tcPr>
          <w:p>
            <w:pPr>
              <w:spacing w:after="0" w:line="196" w:lineRule="exact"/>
              <w:rPr>
                <w:rFonts w:ascii="Arial" w:cs="Arial" w:eastAsia="Arial" w:hAnsi="Arial"/>
                <w:sz w:val="18"/>
                <w:szCs w:val="18"/>
                <w:color w:val="0000EE"/>
              </w:rPr>
            </w:pPr>
            <w:hyperlink w:anchor="page56">
              <w:r>
                <w:rPr>
                  <w:rFonts w:ascii="Arial" w:cs="Arial" w:eastAsia="Arial" w:hAnsi="Arial"/>
                  <w:sz w:val="18"/>
                  <w:szCs w:val="18"/>
                  <w:color w:val="0000EE"/>
                </w:rPr>
                <w:t>Payments in the Event of Death</w:t>
              </w:r>
            </w:hyperlink>
          </w:p>
        </w:tc>
        <w:tc>
          <w:tcPr>
            <w:tcW w:w="0" w:type="dxa"/>
            <w:vAlign w:val="bottom"/>
          </w:tcPr>
          <w:p>
            <w:pPr>
              <w:spacing w:after="0"/>
              <w:rPr>
                <w:sz w:val="1"/>
                <w:szCs w:val="1"/>
                <w:color w:val="auto"/>
              </w:rPr>
            </w:pPr>
          </w:p>
        </w:tc>
      </w:tr>
      <w:tr>
        <w:trPr>
          <w:trHeight w:val="385"/>
        </w:trPr>
        <w:tc>
          <w:tcPr>
            <w:tcW w:w="264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500" w:type="dxa"/>
            <w:vAlign w:val="bottom"/>
            <w:tcBorders>
              <w:top w:val="single" w:sz="8" w:color="0000EE"/>
            </w:tcBorders>
          </w:tcPr>
          <w:p>
            <w:pPr>
              <w:spacing w:after="0"/>
              <w:rPr>
                <w:sz w:val="24"/>
                <w:szCs w:val="24"/>
                <w:color w:val="auto"/>
              </w:rPr>
            </w:pPr>
          </w:p>
        </w:tc>
        <w:tc>
          <w:tcPr>
            <w:tcW w:w="420" w:type="dxa"/>
            <w:vAlign w:val="bottom"/>
            <w:tcBorders>
              <w:top w:val="single" w:sz="8" w:color="0000EE"/>
            </w:tcBorders>
          </w:tcPr>
          <w:p>
            <w:pPr>
              <w:spacing w:after="0"/>
              <w:rPr>
                <w:sz w:val="24"/>
                <w:szCs w:val="24"/>
                <w:color w:val="auto"/>
              </w:rPr>
            </w:pPr>
          </w:p>
        </w:tc>
        <w:tc>
          <w:tcPr>
            <w:tcW w:w="320" w:type="dxa"/>
            <w:vAlign w:val="bottom"/>
            <w:tcBorders>
              <w:top w:val="single" w:sz="8" w:color="0000EE"/>
            </w:tcBorders>
          </w:tcPr>
          <w:p>
            <w:pPr>
              <w:spacing w:after="0"/>
              <w:rPr>
                <w:sz w:val="24"/>
                <w:szCs w:val="24"/>
                <w:color w:val="auto"/>
              </w:rPr>
            </w:pPr>
          </w:p>
        </w:tc>
        <w:tc>
          <w:tcPr>
            <w:tcW w:w="100" w:type="dxa"/>
            <w:vAlign w:val="bottom"/>
            <w:tcBorders>
              <w:top w:val="single" w:sz="8" w:color="0000EE"/>
            </w:tcBorders>
          </w:tcPr>
          <w:p>
            <w:pPr>
              <w:spacing w:after="0"/>
              <w:rPr>
                <w:sz w:val="24"/>
                <w:szCs w:val="24"/>
                <w:color w:val="auto"/>
              </w:rPr>
            </w:pPr>
          </w:p>
        </w:tc>
        <w:tc>
          <w:tcPr>
            <w:tcW w:w="20" w:type="dxa"/>
            <w:vAlign w:val="bottom"/>
            <w:tcBorders>
              <w:top w:val="single" w:sz="8" w:color="0000EE"/>
            </w:tcBorders>
          </w:tcPr>
          <w:p>
            <w:pPr>
              <w:spacing w:after="0"/>
              <w:rPr>
                <w:sz w:val="24"/>
                <w:szCs w:val="24"/>
                <w:color w:val="auto"/>
              </w:rPr>
            </w:pPr>
          </w:p>
        </w:tc>
        <w:tc>
          <w:tcPr>
            <w:tcW w:w="20" w:type="dxa"/>
            <w:vAlign w:val="bottom"/>
            <w:tcBorders>
              <w:top w:val="single" w:sz="8" w:color="0000EE"/>
            </w:tcBorders>
          </w:tcPr>
          <w:p>
            <w:pPr>
              <w:spacing w:after="0"/>
              <w:rPr>
                <w:sz w:val="24"/>
                <w:szCs w:val="24"/>
                <w:color w:val="auto"/>
              </w:rPr>
            </w:pPr>
          </w:p>
        </w:tc>
        <w:tc>
          <w:tcPr>
            <w:tcW w:w="20" w:type="dxa"/>
            <w:vAlign w:val="bottom"/>
            <w:tcBorders>
              <w:top w:val="single" w:sz="8" w:color="0000EE"/>
            </w:tcBorders>
          </w:tcPr>
          <w:p>
            <w:pPr>
              <w:spacing w:after="0"/>
              <w:rPr>
                <w:sz w:val="24"/>
                <w:szCs w:val="24"/>
                <w:color w:val="auto"/>
              </w:rPr>
            </w:pPr>
          </w:p>
        </w:tc>
        <w:tc>
          <w:tcPr>
            <w:tcW w:w="80" w:type="dxa"/>
            <w:vAlign w:val="bottom"/>
            <w:tcBorders>
              <w:top w:val="single" w:sz="8" w:color="0000EE"/>
            </w:tcBorders>
          </w:tcPr>
          <w:p>
            <w:pPr>
              <w:spacing w:after="0"/>
              <w:rPr>
                <w:sz w:val="24"/>
                <w:szCs w:val="24"/>
                <w:color w:val="auto"/>
              </w:rPr>
            </w:pPr>
          </w:p>
        </w:tc>
        <w:tc>
          <w:tcPr>
            <w:tcW w:w="120" w:type="dxa"/>
            <w:vAlign w:val="bottom"/>
            <w:tcBorders>
              <w:top w:val="single" w:sz="8" w:color="0000EE"/>
            </w:tcBorders>
          </w:tcPr>
          <w:p>
            <w:pPr>
              <w:spacing w:after="0"/>
              <w:rPr>
                <w:sz w:val="24"/>
                <w:szCs w:val="24"/>
                <w:color w:val="auto"/>
              </w:rPr>
            </w:pPr>
          </w:p>
        </w:tc>
        <w:tc>
          <w:tcPr>
            <w:tcW w:w="20" w:type="dxa"/>
            <w:vAlign w:val="bottom"/>
            <w:tcBorders>
              <w:top w:val="single" w:sz="8" w:color="0000EE"/>
            </w:tcBorders>
          </w:tcPr>
          <w:p>
            <w:pPr>
              <w:spacing w:after="0"/>
              <w:rPr>
                <w:sz w:val="24"/>
                <w:szCs w:val="24"/>
                <w:color w:val="auto"/>
              </w:rPr>
            </w:pPr>
          </w:p>
        </w:tc>
        <w:tc>
          <w:tcPr>
            <w:tcW w:w="40" w:type="dxa"/>
            <w:vAlign w:val="bottom"/>
            <w:tcBorders>
              <w:top w:val="single" w:sz="8" w:color="0000EE"/>
            </w:tcBorders>
          </w:tcPr>
          <w:p>
            <w:pPr>
              <w:spacing w:after="0"/>
              <w:rPr>
                <w:sz w:val="24"/>
                <w:szCs w:val="24"/>
                <w:color w:val="auto"/>
              </w:rPr>
            </w:pPr>
          </w:p>
        </w:tc>
        <w:tc>
          <w:tcPr>
            <w:tcW w:w="120" w:type="dxa"/>
            <w:vAlign w:val="bottom"/>
            <w:tcBorders>
              <w:top w:val="single" w:sz="8" w:color="0000EE"/>
            </w:tcBorders>
          </w:tcPr>
          <w:p>
            <w:pPr>
              <w:spacing w:after="0"/>
              <w:rPr>
                <w:sz w:val="24"/>
                <w:szCs w:val="24"/>
                <w:color w:val="auto"/>
              </w:rPr>
            </w:pPr>
          </w:p>
        </w:tc>
        <w:tc>
          <w:tcPr>
            <w:tcW w:w="60" w:type="dxa"/>
            <w:vAlign w:val="bottom"/>
            <w:tcBorders>
              <w:top w:val="single" w:sz="8" w:color="0000EE"/>
            </w:tcBorders>
          </w:tcPr>
          <w:p>
            <w:pPr>
              <w:spacing w:after="0"/>
              <w:rPr>
                <w:sz w:val="24"/>
                <w:szCs w:val="24"/>
                <w:color w:val="auto"/>
              </w:rPr>
            </w:pPr>
          </w:p>
        </w:tc>
        <w:tc>
          <w:tcPr>
            <w:tcW w:w="20" w:type="dxa"/>
            <w:vAlign w:val="bottom"/>
            <w:tcBorders>
              <w:top w:val="single" w:sz="8" w:color="0000EE"/>
            </w:tcBorders>
          </w:tcPr>
          <w:p>
            <w:pPr>
              <w:spacing w:after="0"/>
              <w:rPr>
                <w:sz w:val="24"/>
                <w:szCs w:val="24"/>
                <w:color w:val="auto"/>
              </w:rPr>
            </w:pPr>
          </w:p>
        </w:tc>
        <w:tc>
          <w:tcPr>
            <w:tcW w:w="120" w:type="dxa"/>
            <w:vAlign w:val="bottom"/>
            <w:tcBorders>
              <w:top w:val="single" w:sz="8" w:color="0000EE"/>
            </w:tcBorders>
          </w:tcPr>
          <w:p>
            <w:pPr>
              <w:spacing w:after="0"/>
              <w:rPr>
                <w:sz w:val="24"/>
                <w:szCs w:val="24"/>
                <w:color w:val="auto"/>
              </w:rPr>
            </w:pPr>
          </w:p>
        </w:tc>
        <w:tc>
          <w:tcPr>
            <w:tcW w:w="60" w:type="dxa"/>
            <w:vAlign w:val="bottom"/>
            <w:tcBorders>
              <w:top w:val="single" w:sz="8" w:color="0000EE"/>
            </w:tcBorders>
          </w:tcPr>
          <w:p>
            <w:pPr>
              <w:spacing w:after="0"/>
              <w:rPr>
                <w:sz w:val="24"/>
                <w:szCs w:val="24"/>
                <w:color w:val="auto"/>
              </w:rPr>
            </w:pPr>
          </w:p>
        </w:tc>
        <w:tc>
          <w:tcPr>
            <w:tcW w:w="120" w:type="dxa"/>
            <w:vAlign w:val="bottom"/>
            <w:tcBorders>
              <w:top w:val="single" w:sz="8" w:color="0000EE"/>
            </w:tcBorders>
          </w:tcPr>
          <w:p>
            <w:pPr>
              <w:spacing w:after="0"/>
              <w:rPr>
                <w:sz w:val="24"/>
                <w:szCs w:val="24"/>
                <w:color w:val="auto"/>
              </w:rPr>
            </w:pPr>
          </w:p>
        </w:tc>
        <w:tc>
          <w:tcPr>
            <w:tcW w:w="20" w:type="dxa"/>
            <w:vAlign w:val="bottom"/>
            <w:tcBorders>
              <w:top w:val="single" w:sz="8" w:color="0000EE"/>
            </w:tcBorders>
          </w:tcPr>
          <w:p>
            <w:pPr>
              <w:spacing w:after="0"/>
              <w:rPr>
                <w:sz w:val="24"/>
                <w:szCs w:val="24"/>
                <w:color w:val="auto"/>
              </w:rPr>
            </w:pPr>
          </w:p>
        </w:tc>
        <w:tc>
          <w:tcPr>
            <w:tcW w:w="80" w:type="dxa"/>
            <w:vAlign w:val="bottom"/>
            <w:tcBorders>
              <w:top w:val="single" w:sz="8" w:color="0000EE"/>
            </w:tcBorders>
          </w:tcPr>
          <w:p>
            <w:pPr>
              <w:spacing w:after="0"/>
              <w:rPr>
                <w:sz w:val="24"/>
                <w:szCs w:val="24"/>
                <w:color w:val="auto"/>
              </w:rPr>
            </w:pPr>
          </w:p>
        </w:tc>
        <w:tc>
          <w:tcPr>
            <w:tcW w:w="40" w:type="dxa"/>
            <w:vAlign w:val="bottom"/>
            <w:tcBorders>
              <w:top w:val="single" w:sz="8" w:color="0000EE"/>
            </w:tcBorders>
          </w:tcPr>
          <w:p>
            <w:pPr>
              <w:spacing w:after="0"/>
              <w:rPr>
                <w:sz w:val="24"/>
                <w:szCs w:val="24"/>
                <w:color w:val="auto"/>
              </w:rPr>
            </w:pPr>
          </w:p>
        </w:tc>
        <w:tc>
          <w:tcPr>
            <w:tcW w:w="40" w:type="dxa"/>
            <w:vAlign w:val="bottom"/>
            <w:tcBorders>
              <w:top w:val="single" w:sz="8" w:color="0000EE"/>
            </w:tcBorders>
          </w:tcPr>
          <w:p>
            <w:pPr>
              <w:spacing w:after="0"/>
              <w:rPr>
                <w:sz w:val="24"/>
                <w:szCs w:val="24"/>
                <w:color w:val="auto"/>
              </w:rPr>
            </w:pPr>
          </w:p>
        </w:tc>
        <w:tc>
          <w:tcPr>
            <w:tcW w:w="20" w:type="dxa"/>
            <w:vAlign w:val="bottom"/>
            <w:tcBorders>
              <w:top w:val="single" w:sz="8" w:color="0000EE"/>
            </w:tcBorders>
          </w:tcPr>
          <w:p>
            <w:pPr>
              <w:spacing w:after="0"/>
              <w:rPr>
                <w:sz w:val="24"/>
                <w:szCs w:val="24"/>
                <w:color w:val="auto"/>
              </w:rPr>
            </w:pPr>
          </w:p>
        </w:tc>
        <w:tc>
          <w:tcPr>
            <w:tcW w:w="100" w:type="dxa"/>
            <w:vAlign w:val="bottom"/>
            <w:tcBorders>
              <w:top w:val="single" w:sz="8" w:color="0000EE"/>
            </w:tcBorders>
          </w:tcPr>
          <w:p>
            <w:pPr>
              <w:spacing w:after="0"/>
              <w:rPr>
                <w:sz w:val="24"/>
                <w:szCs w:val="24"/>
                <w:color w:val="auto"/>
              </w:rPr>
            </w:pPr>
          </w:p>
        </w:tc>
        <w:tc>
          <w:tcPr>
            <w:tcW w:w="60" w:type="dxa"/>
            <w:vAlign w:val="bottom"/>
            <w:tcBorders>
              <w:top w:val="single" w:sz="8" w:color="0000EE"/>
            </w:tcBorders>
          </w:tcPr>
          <w:p>
            <w:pPr>
              <w:spacing w:after="0"/>
              <w:rPr>
                <w:sz w:val="24"/>
                <w:szCs w:val="24"/>
                <w:color w:val="auto"/>
              </w:rPr>
            </w:pPr>
          </w:p>
        </w:tc>
        <w:tc>
          <w:tcPr>
            <w:tcW w:w="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600" w:type="dxa"/>
            <w:vAlign w:val="bottom"/>
            <w:gridSpan w:val="6"/>
          </w:tcPr>
          <w:p>
            <w:pPr>
              <w:ind w:left="20"/>
              <w:spacing w:after="0"/>
              <w:rPr>
                <w:sz w:val="20"/>
                <w:szCs w:val="20"/>
                <w:color w:val="auto"/>
              </w:rPr>
            </w:pPr>
            <w:r>
              <w:rPr>
                <w:rFonts w:ascii="Times New Roman" w:cs="Times New Roman" w:eastAsia="Times New Roman" w:hAnsi="Times New Roman"/>
                <w:sz w:val="18"/>
                <w:szCs w:val="18"/>
                <w:i w:val="1"/>
                <w:iCs w:val="1"/>
                <w:color w:val="auto"/>
                <w:w w:val="98"/>
              </w:rPr>
              <w:t>2018 Proxy Statement</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545465</wp:posOffset>
            </wp:positionH>
            <wp:positionV relativeFrom="paragraph">
              <wp:posOffset>-239395</wp:posOffset>
            </wp:positionV>
            <wp:extent cx="6174740" cy="8890"/>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6174740" cy="8890"/>
                    </a:xfrm>
                    <a:prstGeom prst="rect">
                      <a:avLst/>
                    </a:prstGeom>
                    <a:noFill/>
                  </pic:spPr>
                </pic:pic>
              </a:graphicData>
            </a:graphic>
          </wp:anchor>
        </w:drawing>
        <w:drawing>
          <wp:anchor simplePos="0" relativeHeight="251657728" behindDoc="1" locked="0" layoutInCell="0" allowOverlap="1">
            <wp:simplePos x="0" y="0"/>
            <wp:positionH relativeFrom="column">
              <wp:posOffset>545465</wp:posOffset>
            </wp:positionH>
            <wp:positionV relativeFrom="paragraph">
              <wp:posOffset>-1757680</wp:posOffset>
            </wp:positionV>
            <wp:extent cx="6174740" cy="8890"/>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6174740" cy="8890"/>
                    </a:xfrm>
                    <a:prstGeom prst="rect">
                      <a:avLst/>
                    </a:prstGeom>
                    <a:noFill/>
                  </pic:spPr>
                </pic:pic>
              </a:graphicData>
            </a:graphic>
          </wp:anchor>
        </w:drawing>
        <w:drawing>
          <wp:anchor simplePos="0" relativeHeight="251657728" behindDoc="1" locked="0" layoutInCell="0" allowOverlap="1">
            <wp:simplePos x="0" y="0"/>
            <wp:positionH relativeFrom="column">
              <wp:posOffset>545465</wp:posOffset>
            </wp:positionH>
            <wp:positionV relativeFrom="paragraph">
              <wp:posOffset>-3138170</wp:posOffset>
            </wp:positionV>
            <wp:extent cx="6174740" cy="8890"/>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6174740" cy="8890"/>
                    </a:xfrm>
                    <a:prstGeom prst="rect">
                      <a:avLst/>
                    </a:prstGeom>
                    <a:noFill/>
                  </pic:spPr>
                </pic:pic>
              </a:graphicData>
            </a:graphic>
          </wp:anchor>
        </w:drawing>
        <w:drawing>
          <wp:anchor simplePos="0" relativeHeight="251657728" behindDoc="1" locked="0" layoutInCell="0" allowOverlap="1">
            <wp:simplePos x="0" y="0"/>
            <wp:positionH relativeFrom="column">
              <wp:posOffset>545465</wp:posOffset>
            </wp:positionH>
            <wp:positionV relativeFrom="paragraph">
              <wp:posOffset>-3695700</wp:posOffset>
            </wp:positionV>
            <wp:extent cx="6174740" cy="8890"/>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6174740" cy="8890"/>
                    </a:xfrm>
                    <a:prstGeom prst="rect">
                      <a:avLst/>
                    </a:prstGeom>
                    <a:noFill/>
                  </pic:spPr>
                </pic:pic>
              </a:graphicData>
            </a:graphic>
          </wp:anchor>
        </w:drawing>
        <w:drawing>
          <wp:anchor simplePos="0" relativeHeight="251657728" behindDoc="1" locked="0" layoutInCell="0" allowOverlap="1">
            <wp:simplePos x="0" y="0"/>
            <wp:positionH relativeFrom="column">
              <wp:posOffset>545465</wp:posOffset>
            </wp:positionH>
            <wp:positionV relativeFrom="paragraph">
              <wp:posOffset>-5076190</wp:posOffset>
            </wp:positionV>
            <wp:extent cx="6174740" cy="8890"/>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6174740" cy="8890"/>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2"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Page</w:t>
      </w:r>
    </w:p>
    <w:p>
      <w:pPr>
        <w:spacing w:after="0" w:line="57" w:lineRule="exact"/>
        <w:rPr>
          <w:sz w:val="20"/>
          <w:szCs w:val="20"/>
          <w:color w:val="auto"/>
        </w:rPr>
      </w:pPr>
    </w:p>
    <w:p>
      <w:pPr>
        <w:jc w:val="right"/>
        <w:spacing w:after="0"/>
        <w:rPr>
          <w:sz w:val="20"/>
          <w:szCs w:val="20"/>
          <w:color w:val="auto"/>
        </w:rPr>
      </w:pPr>
      <w:r>
        <w:rPr>
          <w:rFonts w:ascii="Arial" w:cs="Arial" w:eastAsia="Arial" w:hAnsi="Arial"/>
          <w:sz w:val="18"/>
          <w:szCs w:val="18"/>
          <w:color w:val="auto"/>
        </w:rPr>
        <w:t>28</w:t>
      </w:r>
    </w:p>
    <w:p>
      <w:pPr>
        <w:spacing w:after="0" w:line="10" w:lineRule="exact"/>
        <w:rPr>
          <w:sz w:val="20"/>
          <w:szCs w:val="20"/>
          <w:color w:val="auto"/>
        </w:rPr>
      </w:pPr>
    </w:p>
    <w:p>
      <w:pPr>
        <w:jc w:val="right"/>
        <w:spacing w:after="0"/>
        <w:rPr>
          <w:sz w:val="20"/>
          <w:szCs w:val="20"/>
          <w:color w:val="auto"/>
        </w:rPr>
      </w:pPr>
      <w:r>
        <w:rPr>
          <w:rFonts w:ascii="Arial" w:cs="Arial" w:eastAsia="Arial" w:hAnsi="Arial"/>
          <w:sz w:val="18"/>
          <w:szCs w:val="18"/>
          <w:color w:val="auto"/>
        </w:rPr>
        <w:t>28</w:t>
      </w:r>
    </w:p>
    <w:p>
      <w:pPr>
        <w:spacing w:after="0" w:line="9" w:lineRule="exact"/>
        <w:rPr>
          <w:sz w:val="20"/>
          <w:szCs w:val="20"/>
          <w:color w:val="auto"/>
        </w:rPr>
      </w:pPr>
    </w:p>
    <w:p>
      <w:pPr>
        <w:jc w:val="right"/>
        <w:spacing w:after="0"/>
        <w:rPr>
          <w:sz w:val="20"/>
          <w:szCs w:val="20"/>
          <w:color w:val="auto"/>
        </w:rPr>
      </w:pPr>
      <w:r>
        <w:rPr>
          <w:rFonts w:ascii="Arial" w:cs="Arial" w:eastAsia="Arial" w:hAnsi="Arial"/>
          <w:sz w:val="18"/>
          <w:szCs w:val="18"/>
          <w:color w:val="auto"/>
        </w:rPr>
        <w:t>28</w:t>
      </w:r>
    </w:p>
    <w:p>
      <w:pPr>
        <w:spacing w:after="0" w:line="9" w:lineRule="exact"/>
        <w:rPr>
          <w:sz w:val="20"/>
          <w:szCs w:val="20"/>
          <w:color w:val="auto"/>
        </w:rPr>
      </w:pPr>
    </w:p>
    <w:p>
      <w:pPr>
        <w:jc w:val="right"/>
        <w:spacing w:after="0"/>
        <w:rPr>
          <w:sz w:val="20"/>
          <w:szCs w:val="20"/>
          <w:color w:val="auto"/>
        </w:rPr>
      </w:pPr>
      <w:r>
        <w:rPr>
          <w:rFonts w:ascii="Arial" w:cs="Arial" w:eastAsia="Arial" w:hAnsi="Arial"/>
          <w:sz w:val="18"/>
          <w:szCs w:val="18"/>
          <w:color w:val="auto"/>
        </w:rPr>
        <w:t>29</w:t>
      </w:r>
    </w:p>
    <w:p>
      <w:pPr>
        <w:spacing w:after="0" w:line="9" w:lineRule="exact"/>
        <w:rPr>
          <w:sz w:val="20"/>
          <w:szCs w:val="20"/>
          <w:color w:val="auto"/>
        </w:rPr>
      </w:pPr>
    </w:p>
    <w:p>
      <w:pPr>
        <w:jc w:val="right"/>
        <w:spacing w:after="0"/>
        <w:rPr>
          <w:sz w:val="20"/>
          <w:szCs w:val="20"/>
          <w:color w:val="auto"/>
        </w:rPr>
      </w:pPr>
      <w:r>
        <w:rPr>
          <w:rFonts w:ascii="Arial" w:cs="Arial" w:eastAsia="Arial" w:hAnsi="Arial"/>
          <w:sz w:val="18"/>
          <w:szCs w:val="18"/>
          <w:color w:val="auto"/>
        </w:rPr>
        <w:t>30</w:t>
      </w:r>
    </w:p>
    <w:p>
      <w:pPr>
        <w:spacing w:after="0" w:line="9" w:lineRule="exact"/>
        <w:rPr>
          <w:sz w:val="20"/>
          <w:szCs w:val="20"/>
          <w:color w:val="auto"/>
        </w:rPr>
      </w:pPr>
    </w:p>
    <w:p>
      <w:pPr>
        <w:jc w:val="right"/>
        <w:spacing w:after="0"/>
        <w:rPr>
          <w:sz w:val="20"/>
          <w:szCs w:val="20"/>
          <w:color w:val="auto"/>
        </w:rPr>
      </w:pPr>
      <w:r>
        <w:rPr>
          <w:rFonts w:ascii="Arial" w:cs="Arial" w:eastAsia="Arial" w:hAnsi="Arial"/>
          <w:sz w:val="18"/>
          <w:szCs w:val="18"/>
          <w:color w:val="auto"/>
        </w:rPr>
        <w:t>32</w:t>
      </w:r>
    </w:p>
    <w:p>
      <w:pPr>
        <w:spacing w:after="0" w:line="9" w:lineRule="exact"/>
        <w:rPr>
          <w:sz w:val="20"/>
          <w:szCs w:val="20"/>
          <w:color w:val="auto"/>
        </w:rPr>
      </w:pPr>
    </w:p>
    <w:p>
      <w:pPr>
        <w:jc w:val="right"/>
        <w:spacing w:after="0"/>
        <w:rPr>
          <w:sz w:val="20"/>
          <w:szCs w:val="20"/>
          <w:color w:val="auto"/>
        </w:rPr>
      </w:pPr>
      <w:r>
        <w:rPr>
          <w:rFonts w:ascii="Arial" w:cs="Arial" w:eastAsia="Arial" w:hAnsi="Arial"/>
          <w:sz w:val="18"/>
          <w:szCs w:val="18"/>
          <w:color w:val="auto"/>
        </w:rPr>
        <w:t>32</w:t>
      </w:r>
    </w:p>
    <w:p>
      <w:pPr>
        <w:spacing w:after="0" w:line="9" w:lineRule="exact"/>
        <w:rPr>
          <w:sz w:val="20"/>
          <w:szCs w:val="20"/>
          <w:color w:val="auto"/>
        </w:rPr>
      </w:pPr>
    </w:p>
    <w:p>
      <w:pPr>
        <w:jc w:val="right"/>
        <w:spacing w:after="0"/>
        <w:rPr>
          <w:sz w:val="20"/>
          <w:szCs w:val="20"/>
          <w:color w:val="auto"/>
        </w:rPr>
      </w:pPr>
      <w:r>
        <w:rPr>
          <w:rFonts w:ascii="Arial" w:cs="Arial" w:eastAsia="Arial" w:hAnsi="Arial"/>
          <w:sz w:val="18"/>
          <w:szCs w:val="18"/>
          <w:color w:val="auto"/>
        </w:rPr>
        <w:t>33</w:t>
      </w:r>
    </w:p>
    <w:p>
      <w:pPr>
        <w:spacing w:after="0" w:line="9" w:lineRule="exact"/>
        <w:rPr>
          <w:sz w:val="20"/>
          <w:szCs w:val="20"/>
          <w:color w:val="auto"/>
        </w:rPr>
      </w:pPr>
    </w:p>
    <w:p>
      <w:pPr>
        <w:jc w:val="right"/>
        <w:spacing w:after="0"/>
        <w:rPr>
          <w:sz w:val="20"/>
          <w:szCs w:val="20"/>
          <w:color w:val="auto"/>
        </w:rPr>
      </w:pPr>
      <w:r>
        <w:rPr>
          <w:rFonts w:ascii="Arial" w:cs="Arial" w:eastAsia="Arial" w:hAnsi="Arial"/>
          <w:sz w:val="18"/>
          <w:szCs w:val="18"/>
          <w:color w:val="auto"/>
        </w:rPr>
        <w:t>34</w:t>
      </w:r>
    </w:p>
    <w:p>
      <w:pPr>
        <w:spacing w:after="0" w:line="9" w:lineRule="exact"/>
        <w:rPr>
          <w:sz w:val="20"/>
          <w:szCs w:val="20"/>
          <w:color w:val="auto"/>
        </w:rPr>
      </w:pPr>
    </w:p>
    <w:p>
      <w:pPr>
        <w:jc w:val="right"/>
        <w:spacing w:after="0"/>
        <w:rPr>
          <w:sz w:val="20"/>
          <w:szCs w:val="20"/>
          <w:color w:val="auto"/>
        </w:rPr>
      </w:pPr>
      <w:r>
        <w:rPr>
          <w:rFonts w:ascii="Arial" w:cs="Arial" w:eastAsia="Arial" w:hAnsi="Arial"/>
          <w:sz w:val="18"/>
          <w:szCs w:val="18"/>
          <w:color w:val="auto"/>
        </w:rPr>
        <w:t>36</w:t>
      </w:r>
    </w:p>
    <w:p>
      <w:pPr>
        <w:spacing w:after="0" w:line="14" w:lineRule="exact"/>
        <w:rPr>
          <w:sz w:val="20"/>
          <w:szCs w:val="20"/>
          <w:color w:val="auto"/>
        </w:rPr>
      </w:pPr>
    </w:p>
    <w:p>
      <w:pPr>
        <w:jc w:val="right"/>
        <w:spacing w:after="0"/>
        <w:rPr>
          <w:sz w:val="20"/>
          <w:szCs w:val="20"/>
          <w:color w:val="auto"/>
        </w:rPr>
      </w:pPr>
      <w:r>
        <w:rPr>
          <w:rFonts w:ascii="Arial" w:cs="Arial" w:eastAsia="Arial" w:hAnsi="Arial"/>
          <w:sz w:val="18"/>
          <w:szCs w:val="18"/>
          <w:color w:val="auto"/>
        </w:rPr>
        <w:t>38</w:t>
      </w:r>
    </w:p>
    <w:p>
      <w:pPr>
        <w:spacing w:after="0" w:line="18" w:lineRule="exact"/>
        <w:rPr>
          <w:sz w:val="20"/>
          <w:szCs w:val="20"/>
          <w:color w:val="auto"/>
        </w:rPr>
      </w:pPr>
    </w:p>
    <w:p>
      <w:pPr>
        <w:jc w:val="right"/>
        <w:spacing w:after="0"/>
        <w:rPr>
          <w:sz w:val="20"/>
          <w:szCs w:val="20"/>
          <w:color w:val="auto"/>
        </w:rPr>
      </w:pPr>
      <w:r>
        <w:rPr>
          <w:rFonts w:ascii="Arial" w:cs="Arial" w:eastAsia="Arial" w:hAnsi="Arial"/>
          <w:sz w:val="18"/>
          <w:szCs w:val="18"/>
          <w:color w:val="auto"/>
        </w:rPr>
        <w:t>38</w:t>
      </w:r>
    </w:p>
    <w:p>
      <w:pPr>
        <w:spacing w:after="0" w:line="9" w:lineRule="exact"/>
        <w:rPr>
          <w:sz w:val="20"/>
          <w:szCs w:val="20"/>
          <w:color w:val="auto"/>
        </w:rPr>
      </w:pPr>
    </w:p>
    <w:p>
      <w:pPr>
        <w:jc w:val="right"/>
        <w:spacing w:after="0"/>
        <w:rPr>
          <w:sz w:val="20"/>
          <w:szCs w:val="20"/>
          <w:color w:val="auto"/>
        </w:rPr>
      </w:pPr>
      <w:r>
        <w:rPr>
          <w:rFonts w:ascii="Arial" w:cs="Arial" w:eastAsia="Arial" w:hAnsi="Arial"/>
          <w:sz w:val="18"/>
          <w:szCs w:val="18"/>
          <w:color w:val="auto"/>
        </w:rPr>
        <w:t>39</w:t>
      </w:r>
    </w:p>
    <w:p>
      <w:pPr>
        <w:spacing w:after="0" w:line="9" w:lineRule="exact"/>
        <w:rPr>
          <w:sz w:val="20"/>
          <w:szCs w:val="20"/>
          <w:color w:val="auto"/>
        </w:rPr>
      </w:pPr>
    </w:p>
    <w:p>
      <w:pPr>
        <w:jc w:val="right"/>
        <w:spacing w:after="0"/>
        <w:rPr>
          <w:sz w:val="20"/>
          <w:szCs w:val="20"/>
          <w:color w:val="auto"/>
        </w:rPr>
      </w:pPr>
      <w:r>
        <w:rPr>
          <w:rFonts w:ascii="Arial" w:cs="Arial" w:eastAsia="Arial" w:hAnsi="Arial"/>
          <w:sz w:val="18"/>
          <w:szCs w:val="18"/>
          <w:color w:val="auto"/>
        </w:rPr>
        <w:t>39</w:t>
      </w:r>
    </w:p>
    <w:p>
      <w:pPr>
        <w:spacing w:after="0" w:line="14" w:lineRule="exact"/>
        <w:rPr>
          <w:sz w:val="20"/>
          <w:szCs w:val="20"/>
          <w:color w:val="auto"/>
        </w:rPr>
      </w:pPr>
    </w:p>
    <w:p>
      <w:pPr>
        <w:jc w:val="right"/>
        <w:spacing w:after="0"/>
        <w:rPr>
          <w:sz w:val="20"/>
          <w:szCs w:val="20"/>
          <w:color w:val="auto"/>
        </w:rPr>
      </w:pPr>
      <w:r>
        <w:rPr>
          <w:rFonts w:ascii="Arial" w:cs="Arial" w:eastAsia="Arial" w:hAnsi="Arial"/>
          <w:sz w:val="18"/>
          <w:szCs w:val="18"/>
          <w:color w:val="auto"/>
        </w:rPr>
        <w:t>40</w:t>
      </w:r>
    </w:p>
    <w:p>
      <w:pPr>
        <w:spacing w:after="0" w:line="18" w:lineRule="exact"/>
        <w:rPr>
          <w:sz w:val="20"/>
          <w:szCs w:val="20"/>
          <w:color w:val="auto"/>
        </w:rPr>
      </w:pPr>
    </w:p>
    <w:p>
      <w:pPr>
        <w:jc w:val="right"/>
        <w:spacing w:after="0"/>
        <w:rPr>
          <w:sz w:val="20"/>
          <w:szCs w:val="20"/>
          <w:color w:val="auto"/>
        </w:rPr>
      </w:pPr>
      <w:r>
        <w:rPr>
          <w:rFonts w:ascii="Arial" w:cs="Arial" w:eastAsia="Arial" w:hAnsi="Arial"/>
          <w:sz w:val="18"/>
          <w:szCs w:val="18"/>
          <w:color w:val="auto"/>
        </w:rPr>
        <w:t>41</w:t>
      </w:r>
    </w:p>
    <w:p>
      <w:pPr>
        <w:spacing w:after="0" w:line="9" w:lineRule="exact"/>
        <w:rPr>
          <w:sz w:val="20"/>
          <w:szCs w:val="20"/>
          <w:color w:val="auto"/>
        </w:rPr>
      </w:pPr>
    </w:p>
    <w:p>
      <w:pPr>
        <w:jc w:val="right"/>
        <w:spacing w:after="0"/>
        <w:rPr>
          <w:sz w:val="20"/>
          <w:szCs w:val="20"/>
          <w:color w:val="auto"/>
        </w:rPr>
      </w:pPr>
      <w:r>
        <w:rPr>
          <w:rFonts w:ascii="Arial" w:cs="Arial" w:eastAsia="Arial" w:hAnsi="Arial"/>
          <w:sz w:val="18"/>
          <w:szCs w:val="18"/>
          <w:color w:val="auto"/>
        </w:rPr>
        <w:t>42</w:t>
      </w:r>
    </w:p>
    <w:p>
      <w:pPr>
        <w:spacing w:after="0" w:line="9" w:lineRule="exact"/>
        <w:rPr>
          <w:sz w:val="20"/>
          <w:szCs w:val="20"/>
          <w:color w:val="auto"/>
        </w:rPr>
      </w:pPr>
    </w:p>
    <w:p>
      <w:pPr>
        <w:jc w:val="right"/>
        <w:spacing w:after="0"/>
        <w:rPr>
          <w:sz w:val="20"/>
          <w:szCs w:val="20"/>
          <w:color w:val="auto"/>
        </w:rPr>
      </w:pPr>
      <w:r>
        <w:rPr>
          <w:rFonts w:ascii="Arial" w:cs="Arial" w:eastAsia="Arial" w:hAnsi="Arial"/>
          <w:sz w:val="18"/>
          <w:szCs w:val="18"/>
          <w:color w:val="auto"/>
        </w:rPr>
        <w:t>42</w:t>
      </w:r>
    </w:p>
    <w:p>
      <w:pPr>
        <w:spacing w:after="0" w:line="9" w:lineRule="exact"/>
        <w:rPr>
          <w:sz w:val="20"/>
          <w:szCs w:val="20"/>
          <w:color w:val="auto"/>
        </w:rPr>
      </w:pPr>
    </w:p>
    <w:p>
      <w:pPr>
        <w:jc w:val="right"/>
        <w:spacing w:after="0"/>
        <w:rPr>
          <w:sz w:val="20"/>
          <w:szCs w:val="20"/>
          <w:color w:val="auto"/>
        </w:rPr>
      </w:pPr>
      <w:r>
        <w:rPr>
          <w:rFonts w:ascii="Arial" w:cs="Arial" w:eastAsia="Arial" w:hAnsi="Arial"/>
          <w:sz w:val="18"/>
          <w:szCs w:val="18"/>
          <w:color w:val="auto"/>
        </w:rPr>
        <w:t>42</w:t>
      </w:r>
    </w:p>
    <w:p>
      <w:pPr>
        <w:spacing w:after="0" w:line="9" w:lineRule="exact"/>
        <w:rPr>
          <w:sz w:val="20"/>
          <w:szCs w:val="20"/>
          <w:color w:val="auto"/>
        </w:rPr>
      </w:pPr>
    </w:p>
    <w:p>
      <w:pPr>
        <w:jc w:val="right"/>
        <w:spacing w:after="0"/>
        <w:rPr>
          <w:sz w:val="20"/>
          <w:szCs w:val="20"/>
          <w:color w:val="auto"/>
        </w:rPr>
      </w:pPr>
      <w:r>
        <w:rPr>
          <w:rFonts w:ascii="Arial" w:cs="Arial" w:eastAsia="Arial" w:hAnsi="Arial"/>
          <w:sz w:val="18"/>
          <w:szCs w:val="18"/>
          <w:color w:val="auto"/>
        </w:rPr>
        <w:t>43</w:t>
      </w:r>
    </w:p>
    <w:p>
      <w:pPr>
        <w:spacing w:after="0" w:line="9" w:lineRule="exact"/>
        <w:rPr>
          <w:sz w:val="20"/>
          <w:szCs w:val="20"/>
          <w:color w:val="auto"/>
        </w:rPr>
      </w:pPr>
    </w:p>
    <w:p>
      <w:pPr>
        <w:jc w:val="right"/>
        <w:spacing w:after="0"/>
        <w:rPr>
          <w:sz w:val="20"/>
          <w:szCs w:val="20"/>
          <w:color w:val="auto"/>
        </w:rPr>
      </w:pPr>
      <w:r>
        <w:rPr>
          <w:rFonts w:ascii="Arial" w:cs="Arial" w:eastAsia="Arial" w:hAnsi="Arial"/>
          <w:sz w:val="18"/>
          <w:szCs w:val="18"/>
          <w:color w:val="auto"/>
        </w:rPr>
        <w:t>43</w:t>
      </w:r>
    </w:p>
    <w:p>
      <w:pPr>
        <w:spacing w:after="0" w:line="9" w:lineRule="exact"/>
        <w:rPr>
          <w:sz w:val="20"/>
          <w:szCs w:val="20"/>
          <w:color w:val="auto"/>
        </w:rPr>
      </w:pPr>
    </w:p>
    <w:p>
      <w:pPr>
        <w:jc w:val="right"/>
        <w:spacing w:after="0"/>
        <w:rPr>
          <w:sz w:val="20"/>
          <w:szCs w:val="20"/>
          <w:color w:val="auto"/>
        </w:rPr>
      </w:pPr>
      <w:r>
        <w:rPr>
          <w:rFonts w:ascii="Arial" w:cs="Arial" w:eastAsia="Arial" w:hAnsi="Arial"/>
          <w:sz w:val="18"/>
          <w:szCs w:val="18"/>
          <w:color w:val="auto"/>
        </w:rPr>
        <w:t>43</w:t>
      </w:r>
    </w:p>
    <w:p>
      <w:pPr>
        <w:spacing w:after="0" w:line="9" w:lineRule="exact"/>
        <w:rPr>
          <w:sz w:val="20"/>
          <w:szCs w:val="20"/>
          <w:color w:val="auto"/>
        </w:rPr>
      </w:pPr>
    </w:p>
    <w:p>
      <w:pPr>
        <w:jc w:val="right"/>
        <w:spacing w:after="0"/>
        <w:rPr>
          <w:sz w:val="20"/>
          <w:szCs w:val="20"/>
          <w:color w:val="auto"/>
        </w:rPr>
      </w:pPr>
      <w:r>
        <w:rPr>
          <w:rFonts w:ascii="Arial" w:cs="Arial" w:eastAsia="Arial" w:hAnsi="Arial"/>
          <w:sz w:val="18"/>
          <w:szCs w:val="18"/>
          <w:color w:val="auto"/>
        </w:rPr>
        <w:t>43</w:t>
      </w:r>
    </w:p>
    <w:p>
      <w:pPr>
        <w:spacing w:after="0" w:line="9" w:lineRule="exact"/>
        <w:rPr>
          <w:sz w:val="20"/>
          <w:szCs w:val="20"/>
          <w:color w:val="auto"/>
        </w:rPr>
      </w:pPr>
    </w:p>
    <w:p>
      <w:pPr>
        <w:jc w:val="right"/>
        <w:spacing w:after="0"/>
        <w:rPr>
          <w:sz w:val="20"/>
          <w:szCs w:val="20"/>
          <w:color w:val="auto"/>
        </w:rPr>
      </w:pPr>
      <w:r>
        <w:rPr>
          <w:rFonts w:ascii="Arial" w:cs="Arial" w:eastAsia="Arial" w:hAnsi="Arial"/>
          <w:sz w:val="18"/>
          <w:szCs w:val="18"/>
          <w:color w:val="auto"/>
        </w:rPr>
        <w:t>44</w:t>
      </w:r>
    </w:p>
    <w:p>
      <w:pPr>
        <w:spacing w:after="0" w:line="14" w:lineRule="exact"/>
        <w:rPr>
          <w:sz w:val="20"/>
          <w:szCs w:val="20"/>
          <w:color w:val="auto"/>
        </w:rPr>
      </w:pPr>
    </w:p>
    <w:p>
      <w:pPr>
        <w:jc w:val="right"/>
        <w:spacing w:after="0"/>
        <w:rPr>
          <w:sz w:val="20"/>
          <w:szCs w:val="20"/>
          <w:color w:val="auto"/>
        </w:rPr>
      </w:pPr>
      <w:r>
        <w:rPr>
          <w:rFonts w:ascii="Arial" w:cs="Arial" w:eastAsia="Arial" w:hAnsi="Arial"/>
          <w:sz w:val="18"/>
          <w:szCs w:val="18"/>
          <w:color w:val="auto"/>
        </w:rPr>
        <w:t>45</w:t>
      </w:r>
    </w:p>
    <w:p>
      <w:pPr>
        <w:spacing w:after="0" w:line="18" w:lineRule="exact"/>
        <w:rPr>
          <w:sz w:val="20"/>
          <w:szCs w:val="20"/>
          <w:color w:val="auto"/>
        </w:rPr>
      </w:pPr>
    </w:p>
    <w:p>
      <w:pPr>
        <w:jc w:val="right"/>
        <w:spacing w:after="0"/>
        <w:rPr>
          <w:sz w:val="20"/>
          <w:szCs w:val="20"/>
          <w:color w:val="auto"/>
        </w:rPr>
      </w:pPr>
      <w:r>
        <w:rPr>
          <w:rFonts w:ascii="Arial" w:cs="Arial" w:eastAsia="Arial" w:hAnsi="Arial"/>
          <w:sz w:val="18"/>
          <w:szCs w:val="18"/>
          <w:color w:val="auto"/>
        </w:rPr>
        <w:t>48</w:t>
      </w:r>
    </w:p>
    <w:p>
      <w:pPr>
        <w:spacing w:after="0" w:line="9" w:lineRule="exact"/>
        <w:rPr>
          <w:sz w:val="20"/>
          <w:szCs w:val="20"/>
          <w:color w:val="auto"/>
        </w:rPr>
      </w:pPr>
    </w:p>
    <w:p>
      <w:pPr>
        <w:jc w:val="right"/>
        <w:spacing w:after="0"/>
        <w:rPr>
          <w:sz w:val="20"/>
          <w:szCs w:val="20"/>
          <w:color w:val="auto"/>
        </w:rPr>
      </w:pPr>
      <w:r>
        <w:rPr>
          <w:rFonts w:ascii="Arial" w:cs="Arial" w:eastAsia="Arial" w:hAnsi="Arial"/>
          <w:sz w:val="18"/>
          <w:szCs w:val="18"/>
          <w:color w:val="auto"/>
        </w:rPr>
        <w:t>49</w:t>
      </w:r>
    </w:p>
    <w:p>
      <w:pPr>
        <w:spacing w:after="0" w:line="9" w:lineRule="exact"/>
        <w:rPr>
          <w:sz w:val="20"/>
          <w:szCs w:val="20"/>
          <w:color w:val="auto"/>
        </w:rPr>
      </w:pPr>
    </w:p>
    <w:p>
      <w:pPr>
        <w:jc w:val="right"/>
        <w:spacing w:after="0"/>
        <w:rPr>
          <w:sz w:val="20"/>
          <w:szCs w:val="20"/>
          <w:color w:val="auto"/>
        </w:rPr>
      </w:pPr>
      <w:r>
        <w:rPr>
          <w:rFonts w:ascii="Arial" w:cs="Arial" w:eastAsia="Arial" w:hAnsi="Arial"/>
          <w:sz w:val="18"/>
          <w:szCs w:val="18"/>
          <w:color w:val="auto"/>
        </w:rPr>
        <w:t>50</w:t>
      </w:r>
    </w:p>
    <w:p>
      <w:pPr>
        <w:spacing w:after="0" w:line="9" w:lineRule="exact"/>
        <w:rPr>
          <w:sz w:val="20"/>
          <w:szCs w:val="20"/>
          <w:color w:val="auto"/>
        </w:rPr>
      </w:pPr>
    </w:p>
    <w:p>
      <w:pPr>
        <w:jc w:val="right"/>
        <w:spacing w:after="0"/>
        <w:rPr>
          <w:sz w:val="20"/>
          <w:szCs w:val="20"/>
          <w:color w:val="auto"/>
        </w:rPr>
      </w:pPr>
      <w:r>
        <w:rPr>
          <w:rFonts w:ascii="Arial" w:cs="Arial" w:eastAsia="Arial" w:hAnsi="Arial"/>
          <w:sz w:val="18"/>
          <w:szCs w:val="18"/>
          <w:color w:val="auto"/>
        </w:rPr>
        <w:t>50</w:t>
      </w:r>
    </w:p>
    <w:p>
      <w:pPr>
        <w:spacing w:after="0" w:line="9" w:lineRule="exact"/>
        <w:rPr>
          <w:sz w:val="20"/>
          <w:szCs w:val="20"/>
          <w:color w:val="auto"/>
        </w:rPr>
      </w:pPr>
    </w:p>
    <w:p>
      <w:pPr>
        <w:jc w:val="right"/>
        <w:spacing w:after="0"/>
        <w:rPr>
          <w:sz w:val="20"/>
          <w:szCs w:val="20"/>
          <w:color w:val="auto"/>
        </w:rPr>
      </w:pPr>
      <w:r>
        <w:rPr>
          <w:rFonts w:ascii="Arial" w:cs="Arial" w:eastAsia="Arial" w:hAnsi="Arial"/>
          <w:sz w:val="18"/>
          <w:szCs w:val="18"/>
          <w:color w:val="auto"/>
        </w:rPr>
        <w:t>52</w:t>
      </w:r>
    </w:p>
    <w:p>
      <w:pPr>
        <w:spacing w:after="0" w:line="9" w:lineRule="exact"/>
        <w:rPr>
          <w:sz w:val="20"/>
          <w:szCs w:val="20"/>
          <w:color w:val="auto"/>
        </w:rPr>
      </w:pPr>
    </w:p>
    <w:p>
      <w:pPr>
        <w:jc w:val="right"/>
        <w:spacing w:after="0"/>
        <w:rPr>
          <w:sz w:val="20"/>
          <w:szCs w:val="20"/>
          <w:color w:val="auto"/>
        </w:rPr>
      </w:pPr>
      <w:r>
        <w:rPr>
          <w:rFonts w:ascii="Arial" w:cs="Arial" w:eastAsia="Arial" w:hAnsi="Arial"/>
          <w:sz w:val="18"/>
          <w:szCs w:val="18"/>
          <w:color w:val="auto"/>
        </w:rPr>
        <w:t>52</w:t>
      </w:r>
    </w:p>
    <w:p>
      <w:pPr>
        <w:spacing w:after="0" w:line="9" w:lineRule="exact"/>
        <w:rPr>
          <w:sz w:val="20"/>
          <w:szCs w:val="20"/>
          <w:color w:val="auto"/>
        </w:rPr>
      </w:pPr>
    </w:p>
    <w:p>
      <w:pPr>
        <w:jc w:val="right"/>
        <w:spacing w:after="0"/>
        <w:rPr>
          <w:sz w:val="20"/>
          <w:szCs w:val="20"/>
          <w:color w:val="auto"/>
        </w:rPr>
      </w:pPr>
      <w:r>
        <w:rPr>
          <w:rFonts w:ascii="Arial" w:cs="Arial" w:eastAsia="Arial" w:hAnsi="Arial"/>
          <w:sz w:val="18"/>
          <w:szCs w:val="18"/>
          <w:color w:val="auto"/>
        </w:rPr>
        <w:t>53</w:t>
      </w:r>
    </w:p>
    <w:p>
      <w:pPr>
        <w:spacing w:after="0" w:line="9" w:lineRule="exact"/>
        <w:rPr>
          <w:sz w:val="20"/>
          <w:szCs w:val="20"/>
          <w:color w:val="auto"/>
        </w:rPr>
      </w:pPr>
    </w:p>
    <w:p>
      <w:pPr>
        <w:jc w:val="right"/>
        <w:spacing w:after="0"/>
        <w:rPr>
          <w:sz w:val="20"/>
          <w:szCs w:val="20"/>
          <w:color w:val="auto"/>
        </w:rPr>
      </w:pPr>
      <w:r>
        <w:rPr>
          <w:rFonts w:ascii="Arial" w:cs="Arial" w:eastAsia="Arial" w:hAnsi="Arial"/>
          <w:sz w:val="18"/>
          <w:szCs w:val="18"/>
          <w:color w:val="auto"/>
        </w:rPr>
        <w:t>53</w:t>
      </w:r>
    </w:p>
    <w:p>
      <w:pPr>
        <w:spacing w:after="0" w:line="9" w:lineRule="exact"/>
        <w:rPr>
          <w:sz w:val="20"/>
          <w:szCs w:val="20"/>
          <w:color w:val="auto"/>
        </w:rPr>
      </w:pPr>
    </w:p>
    <w:p>
      <w:pPr>
        <w:jc w:val="right"/>
        <w:spacing w:after="0"/>
        <w:rPr>
          <w:sz w:val="20"/>
          <w:szCs w:val="20"/>
          <w:color w:val="auto"/>
        </w:rPr>
      </w:pPr>
      <w:r>
        <w:rPr>
          <w:rFonts w:ascii="Arial" w:cs="Arial" w:eastAsia="Arial" w:hAnsi="Arial"/>
          <w:sz w:val="18"/>
          <w:szCs w:val="18"/>
          <w:color w:val="auto"/>
        </w:rPr>
        <w:t>53</w:t>
      </w:r>
    </w:p>
    <w:p>
      <w:pPr>
        <w:spacing w:after="0" w:line="9" w:lineRule="exact"/>
        <w:rPr>
          <w:sz w:val="20"/>
          <w:szCs w:val="20"/>
          <w:color w:val="auto"/>
        </w:rPr>
      </w:pPr>
    </w:p>
    <w:p>
      <w:pPr>
        <w:jc w:val="right"/>
        <w:spacing w:after="0"/>
        <w:rPr>
          <w:sz w:val="20"/>
          <w:szCs w:val="20"/>
          <w:color w:val="auto"/>
        </w:rPr>
      </w:pPr>
      <w:r>
        <w:rPr>
          <w:rFonts w:ascii="Arial" w:cs="Arial" w:eastAsia="Arial" w:hAnsi="Arial"/>
          <w:sz w:val="18"/>
          <w:szCs w:val="18"/>
          <w:color w:val="auto"/>
        </w:rPr>
        <w:t>53</w:t>
      </w:r>
    </w:p>
    <w:p>
      <w:pPr>
        <w:spacing w:after="0" w:line="136" w:lineRule="exact"/>
        <w:rPr>
          <w:sz w:val="20"/>
          <w:szCs w:val="20"/>
          <w:color w:val="auto"/>
        </w:rPr>
      </w:pPr>
    </w:p>
    <w:p>
      <w:pPr>
        <w:ind w:left="160"/>
        <w:spacing w:after="0"/>
        <w:rPr>
          <w:sz w:val="20"/>
          <w:szCs w:val="20"/>
          <w:color w:val="auto"/>
        </w:rPr>
      </w:pPr>
      <w:r>
        <w:rPr>
          <w:rFonts w:ascii="Arial" w:cs="Arial" w:eastAsia="Arial" w:hAnsi="Arial"/>
          <w:sz w:val="18"/>
          <w:szCs w:val="18"/>
          <w:color w:val="auto"/>
        </w:rPr>
        <w:t>27</w:t>
      </w:r>
    </w:p>
    <w:p>
      <w:pPr>
        <w:sectPr>
          <w:pgSz w:w="11900" w:h="16838" w:orient="portrait"/>
          <w:cols w:equalWidth="0" w:num="2">
            <w:col w:w="9380" w:space="720"/>
            <w:col w:w="420"/>
          </w:cols>
          <w:pgMar w:left="240" w:top="455" w:right="1139" w:bottom="1440" w:gutter="0" w:footer="0" w:header="0"/>
        </w:sectPr>
      </w:pPr>
    </w:p>
    <w:bookmarkStart w:id="30" w:name="page31"/>
    <w:bookmarkEnd w:id="30"/>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Times New Roman" w:cs="Times New Roman" w:eastAsia="Times New Roman" w:hAnsi="Times New Roman"/>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545465</wp:posOffset>
            </wp:positionH>
            <wp:positionV relativeFrom="paragraph">
              <wp:posOffset>337185</wp:posOffset>
            </wp:positionV>
            <wp:extent cx="6303010" cy="4227830"/>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6303010" cy="422783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8" w:lineRule="exact"/>
        <w:rPr>
          <w:sz w:val="20"/>
          <w:szCs w:val="20"/>
          <w:color w:val="auto"/>
        </w:rPr>
      </w:pPr>
    </w:p>
    <w:p>
      <w:pPr>
        <w:ind w:left="860"/>
        <w:spacing w:after="0"/>
        <w:rPr>
          <w:sz w:val="20"/>
          <w:szCs w:val="20"/>
          <w:color w:val="auto"/>
        </w:rPr>
      </w:pPr>
      <w:r>
        <w:rPr>
          <w:rFonts w:ascii="Arial" w:cs="Arial" w:eastAsia="Arial" w:hAnsi="Arial"/>
          <w:sz w:val="25"/>
          <w:szCs w:val="25"/>
          <w:color w:val="auto"/>
        </w:rPr>
        <w:t>Shareholder Engagement Highlights</w:t>
      </w:r>
    </w:p>
    <w:p>
      <w:pPr>
        <w:spacing w:after="0" w:line="200" w:lineRule="exact"/>
        <w:rPr>
          <w:sz w:val="20"/>
          <w:szCs w:val="20"/>
          <w:color w:val="auto"/>
        </w:rPr>
      </w:pPr>
    </w:p>
    <w:p>
      <w:pPr>
        <w:spacing w:after="0" w:line="200" w:lineRule="exact"/>
        <w:rPr>
          <w:sz w:val="20"/>
          <w:szCs w:val="20"/>
          <w:color w:val="auto"/>
        </w:rPr>
      </w:pPr>
    </w:p>
    <w:p>
      <w:pPr>
        <w:spacing w:after="0" w:line="252" w:lineRule="exact"/>
        <w:rPr>
          <w:sz w:val="20"/>
          <w:szCs w:val="20"/>
          <w:color w:val="auto"/>
        </w:rPr>
      </w:pPr>
    </w:p>
    <w:p>
      <w:pPr>
        <w:ind w:left="1140" w:right="420" w:hanging="288"/>
        <w:spacing w:after="0" w:line="275" w:lineRule="auto"/>
        <w:tabs>
          <w:tab w:leader="none" w:pos="1140" w:val="left"/>
        </w:tabs>
        <w:numPr>
          <w:ilvl w:val="0"/>
          <w:numId w:val="37"/>
        </w:numPr>
        <w:rPr>
          <w:rFonts w:ascii="Times New Roman" w:cs="Times New Roman" w:eastAsia="Times New Roman" w:hAnsi="Times New Roman"/>
          <w:sz w:val="18"/>
          <w:szCs w:val="18"/>
          <w:color w:val="auto"/>
        </w:rPr>
      </w:pPr>
      <w:r>
        <w:rPr>
          <w:rFonts w:ascii="Arial" w:cs="Arial" w:eastAsia="Arial" w:hAnsi="Arial"/>
          <w:sz w:val="18"/>
          <w:szCs w:val="18"/>
          <w:color w:val="auto"/>
        </w:rPr>
        <w:t>Held 28 meetings with our largest shareholders throughout the calendar year – before, during, and after the proxy season</w:t>
      </w:r>
    </w:p>
    <w:p>
      <w:pPr>
        <w:spacing w:after="0" w:line="24" w:lineRule="exact"/>
        <w:rPr>
          <w:rFonts w:ascii="Times New Roman" w:cs="Times New Roman" w:eastAsia="Times New Roman" w:hAnsi="Times New Roman"/>
          <w:sz w:val="18"/>
          <w:szCs w:val="18"/>
          <w:color w:val="auto"/>
        </w:rPr>
      </w:pPr>
    </w:p>
    <w:p>
      <w:pPr>
        <w:ind w:left="1140" w:hanging="288"/>
        <w:spacing w:after="0"/>
        <w:tabs>
          <w:tab w:leader="none" w:pos="1140" w:val="left"/>
        </w:tabs>
        <w:numPr>
          <w:ilvl w:val="0"/>
          <w:numId w:val="37"/>
        </w:numPr>
        <w:rPr>
          <w:rFonts w:ascii="Times New Roman" w:cs="Times New Roman" w:eastAsia="Times New Roman" w:hAnsi="Times New Roman"/>
          <w:sz w:val="18"/>
          <w:szCs w:val="18"/>
          <w:color w:val="auto"/>
        </w:rPr>
      </w:pPr>
      <w:r>
        <w:rPr>
          <w:rFonts w:ascii="Arial" w:cs="Arial" w:eastAsia="Arial" w:hAnsi="Arial"/>
          <w:sz w:val="18"/>
          <w:szCs w:val="18"/>
          <w:color w:val="auto"/>
        </w:rPr>
        <w:t>Conducted shareholder webinar on May 11, 2017; next webinar scheduled for May 10, 2018</w:t>
      </w:r>
    </w:p>
    <w:p>
      <w:pPr>
        <w:spacing w:after="0" w:line="102" w:lineRule="exact"/>
        <w:rPr>
          <w:rFonts w:ascii="Times New Roman" w:cs="Times New Roman" w:eastAsia="Times New Roman" w:hAnsi="Times New Roman"/>
          <w:sz w:val="18"/>
          <w:szCs w:val="18"/>
          <w:color w:val="auto"/>
        </w:rPr>
      </w:pPr>
    </w:p>
    <w:p>
      <w:pPr>
        <w:ind w:left="1140"/>
        <w:spacing w:after="0"/>
        <w:rPr>
          <w:rFonts w:ascii="Times New Roman" w:cs="Times New Roman" w:eastAsia="Times New Roman" w:hAnsi="Times New Roman"/>
          <w:sz w:val="18"/>
          <w:szCs w:val="18"/>
          <w:color w:val="auto"/>
        </w:rPr>
      </w:pPr>
      <w:r>
        <w:rPr>
          <w:rFonts w:ascii="Arial" w:cs="Arial" w:eastAsia="Arial" w:hAnsi="Arial"/>
          <w:sz w:val="18"/>
          <w:szCs w:val="18"/>
          <w:color w:val="auto"/>
        </w:rPr>
        <w:t>– Webinars allow the Company to gather input from all shareholders</w:t>
      </w:r>
    </w:p>
    <w:p>
      <w:pPr>
        <w:spacing w:after="0" w:line="90" w:lineRule="exact"/>
        <w:rPr>
          <w:rFonts w:ascii="Times New Roman" w:cs="Times New Roman" w:eastAsia="Times New Roman" w:hAnsi="Times New Roman"/>
          <w:sz w:val="18"/>
          <w:szCs w:val="18"/>
          <w:color w:val="auto"/>
        </w:rPr>
      </w:pPr>
    </w:p>
    <w:p>
      <w:pPr>
        <w:ind w:left="1140" w:hanging="288"/>
        <w:spacing w:after="0"/>
        <w:tabs>
          <w:tab w:leader="none" w:pos="1140" w:val="left"/>
        </w:tabs>
        <w:numPr>
          <w:ilvl w:val="0"/>
          <w:numId w:val="37"/>
        </w:numPr>
        <w:rPr>
          <w:rFonts w:ascii="Times New Roman" w:cs="Times New Roman" w:eastAsia="Times New Roman" w:hAnsi="Times New Roman"/>
          <w:sz w:val="18"/>
          <w:szCs w:val="18"/>
          <w:color w:val="auto"/>
        </w:rPr>
      </w:pPr>
      <w:r>
        <w:rPr>
          <w:rFonts w:ascii="Arial" w:cs="Arial" w:eastAsia="Arial" w:hAnsi="Arial"/>
          <w:sz w:val="18"/>
          <w:szCs w:val="18"/>
          <w:color w:val="auto"/>
        </w:rPr>
        <w:t>Shareholder feedback resulted in specific changes to the compensation program and improvements in the disclosure</w:t>
      </w:r>
    </w:p>
    <w:p>
      <w:pPr>
        <w:spacing w:after="0" w:line="392" w:lineRule="exact"/>
        <w:rPr>
          <w:sz w:val="20"/>
          <w:szCs w:val="20"/>
          <w:color w:val="auto"/>
        </w:rPr>
      </w:pPr>
    </w:p>
    <w:p>
      <w:pPr>
        <w:ind w:left="860"/>
        <w:spacing w:after="0"/>
        <w:rPr>
          <w:sz w:val="20"/>
          <w:szCs w:val="20"/>
          <w:color w:val="auto"/>
        </w:rPr>
      </w:pPr>
      <w:r>
        <w:rPr>
          <w:rFonts w:ascii="Arial" w:cs="Arial" w:eastAsia="Arial" w:hAnsi="Arial"/>
          <w:sz w:val="25"/>
          <w:szCs w:val="25"/>
          <w:color w:val="auto"/>
        </w:rPr>
        <w:t>Say-On-Pay Results (“FOR”)</w:t>
      </w:r>
    </w:p>
    <w:p>
      <w:pPr>
        <w:spacing w:after="0" w:line="279" w:lineRule="exact"/>
        <w:rPr>
          <w:sz w:val="20"/>
          <w:szCs w:val="20"/>
          <w:color w:val="auto"/>
        </w:rPr>
      </w:pPr>
    </w:p>
    <w:tbl>
      <w:tblPr>
        <w:tblLayout w:type="fixed"/>
        <w:tblInd w:w="860" w:type="dxa"/>
        <w:tblCellMar>
          <w:top w:w="0" w:type="dxa"/>
          <w:left w:w="0" w:type="dxa"/>
          <w:bottom w:w="0" w:type="dxa"/>
          <w:right w:w="0" w:type="dxa"/>
        </w:tblCellMar>
      </w:tblPr>
      <w:tr>
        <w:trPr>
          <w:trHeight w:val="207"/>
        </w:trPr>
        <w:tc>
          <w:tcPr>
            <w:tcW w:w="2020" w:type="dxa"/>
            <w:vAlign w:val="bottom"/>
            <w:shd w:val="clear" w:color="auto" w:fill="2B4C9B"/>
          </w:tcPr>
          <w:p>
            <w:pPr>
              <w:jc w:val="right"/>
              <w:ind w:right="730"/>
              <w:spacing w:after="0"/>
              <w:rPr>
                <w:sz w:val="20"/>
                <w:szCs w:val="20"/>
                <w:color w:val="auto"/>
              </w:rPr>
            </w:pPr>
            <w:r>
              <w:rPr>
                <w:rFonts w:ascii="Arial" w:cs="Arial" w:eastAsia="Arial" w:hAnsi="Arial"/>
                <w:sz w:val="18"/>
                <w:szCs w:val="18"/>
                <w:b w:val="1"/>
                <w:bCs w:val="1"/>
                <w:color w:val="FFFFFF"/>
              </w:rPr>
              <w:t>2013</w:t>
            </w:r>
          </w:p>
        </w:tc>
        <w:tc>
          <w:tcPr>
            <w:tcW w:w="2000" w:type="dxa"/>
            <w:vAlign w:val="bottom"/>
            <w:shd w:val="clear" w:color="auto" w:fill="2B4C9B"/>
          </w:tcPr>
          <w:p>
            <w:pPr>
              <w:jc w:val="right"/>
              <w:ind w:right="690"/>
              <w:spacing w:after="0"/>
              <w:rPr>
                <w:sz w:val="20"/>
                <w:szCs w:val="20"/>
                <w:color w:val="auto"/>
              </w:rPr>
            </w:pPr>
            <w:r>
              <w:rPr>
                <w:rFonts w:ascii="Arial" w:cs="Arial" w:eastAsia="Arial" w:hAnsi="Arial"/>
                <w:sz w:val="18"/>
                <w:szCs w:val="18"/>
                <w:b w:val="1"/>
                <w:bCs w:val="1"/>
                <w:color w:val="FFFFFF"/>
              </w:rPr>
              <w:t>2014</w:t>
            </w:r>
          </w:p>
        </w:tc>
        <w:tc>
          <w:tcPr>
            <w:tcW w:w="1940" w:type="dxa"/>
            <w:vAlign w:val="bottom"/>
            <w:shd w:val="clear" w:color="auto" w:fill="2B4C9B"/>
          </w:tcPr>
          <w:p>
            <w:pPr>
              <w:jc w:val="right"/>
              <w:ind w:right="670"/>
              <w:spacing w:after="0"/>
              <w:rPr>
                <w:sz w:val="20"/>
                <w:szCs w:val="20"/>
                <w:color w:val="auto"/>
              </w:rPr>
            </w:pPr>
            <w:r>
              <w:rPr>
                <w:rFonts w:ascii="Arial" w:cs="Arial" w:eastAsia="Arial" w:hAnsi="Arial"/>
                <w:sz w:val="18"/>
                <w:szCs w:val="18"/>
                <w:b w:val="1"/>
                <w:bCs w:val="1"/>
                <w:color w:val="FFFFFF"/>
              </w:rPr>
              <w:t>2015</w:t>
            </w:r>
          </w:p>
        </w:tc>
        <w:tc>
          <w:tcPr>
            <w:tcW w:w="1940" w:type="dxa"/>
            <w:vAlign w:val="bottom"/>
            <w:shd w:val="clear" w:color="auto" w:fill="2B4C9B"/>
          </w:tcPr>
          <w:p>
            <w:pPr>
              <w:jc w:val="right"/>
              <w:ind w:right="670"/>
              <w:spacing w:after="0"/>
              <w:rPr>
                <w:sz w:val="20"/>
                <w:szCs w:val="20"/>
                <w:color w:val="auto"/>
              </w:rPr>
            </w:pPr>
            <w:r>
              <w:rPr>
                <w:rFonts w:ascii="Arial" w:cs="Arial" w:eastAsia="Arial" w:hAnsi="Arial"/>
                <w:sz w:val="18"/>
                <w:szCs w:val="18"/>
                <w:b w:val="1"/>
                <w:bCs w:val="1"/>
                <w:color w:val="FFFFFF"/>
              </w:rPr>
              <w:t>2016</w:t>
            </w:r>
          </w:p>
        </w:tc>
        <w:tc>
          <w:tcPr>
            <w:tcW w:w="1820" w:type="dxa"/>
            <w:vAlign w:val="bottom"/>
            <w:shd w:val="clear" w:color="auto" w:fill="2B4C9B"/>
          </w:tcPr>
          <w:p>
            <w:pPr>
              <w:jc w:val="right"/>
              <w:ind w:right="570"/>
              <w:spacing w:after="0"/>
              <w:rPr>
                <w:sz w:val="20"/>
                <w:szCs w:val="20"/>
                <w:color w:val="auto"/>
              </w:rPr>
            </w:pPr>
            <w:r>
              <w:rPr>
                <w:rFonts w:ascii="Arial" w:cs="Arial" w:eastAsia="Arial" w:hAnsi="Arial"/>
                <w:sz w:val="18"/>
                <w:szCs w:val="18"/>
                <w:b w:val="1"/>
                <w:bCs w:val="1"/>
                <w:color w:val="FFFFFF"/>
              </w:rPr>
              <w:t>2017</w:t>
            </w:r>
          </w:p>
        </w:tc>
      </w:tr>
      <w:tr>
        <w:trPr>
          <w:trHeight w:val="216"/>
        </w:trPr>
        <w:tc>
          <w:tcPr>
            <w:tcW w:w="2020" w:type="dxa"/>
            <w:vAlign w:val="bottom"/>
            <w:shd w:val="clear" w:color="auto" w:fill="D8D8D8"/>
          </w:tcPr>
          <w:p>
            <w:pPr>
              <w:jc w:val="right"/>
              <w:ind w:right="750"/>
              <w:spacing w:after="0"/>
              <w:rPr>
                <w:sz w:val="20"/>
                <w:szCs w:val="20"/>
                <w:color w:val="auto"/>
              </w:rPr>
            </w:pPr>
            <w:r>
              <w:rPr>
                <w:rFonts w:ascii="Arial" w:cs="Arial" w:eastAsia="Arial" w:hAnsi="Arial"/>
                <w:sz w:val="18"/>
                <w:szCs w:val="18"/>
                <w:b w:val="1"/>
                <w:bCs w:val="1"/>
                <w:color w:val="auto"/>
              </w:rPr>
              <w:t>71%</w:t>
            </w:r>
          </w:p>
        </w:tc>
        <w:tc>
          <w:tcPr>
            <w:tcW w:w="2000" w:type="dxa"/>
            <w:vAlign w:val="bottom"/>
            <w:shd w:val="clear" w:color="auto" w:fill="D8D8D8"/>
          </w:tcPr>
          <w:p>
            <w:pPr>
              <w:jc w:val="right"/>
              <w:ind w:right="710"/>
              <w:spacing w:after="0"/>
              <w:rPr>
                <w:sz w:val="20"/>
                <w:szCs w:val="20"/>
                <w:color w:val="auto"/>
              </w:rPr>
            </w:pPr>
            <w:r>
              <w:rPr>
                <w:rFonts w:ascii="Arial" w:cs="Arial" w:eastAsia="Arial" w:hAnsi="Arial"/>
                <w:sz w:val="18"/>
                <w:szCs w:val="18"/>
                <w:b w:val="1"/>
                <w:bCs w:val="1"/>
                <w:color w:val="auto"/>
              </w:rPr>
              <w:t>90%</w:t>
            </w:r>
          </w:p>
        </w:tc>
        <w:tc>
          <w:tcPr>
            <w:tcW w:w="1940" w:type="dxa"/>
            <w:vAlign w:val="bottom"/>
            <w:shd w:val="clear" w:color="auto" w:fill="D8D8D8"/>
          </w:tcPr>
          <w:p>
            <w:pPr>
              <w:jc w:val="right"/>
              <w:ind w:right="690"/>
              <w:spacing w:after="0"/>
              <w:rPr>
                <w:sz w:val="20"/>
                <w:szCs w:val="20"/>
                <w:color w:val="auto"/>
              </w:rPr>
            </w:pPr>
            <w:r>
              <w:rPr>
                <w:rFonts w:ascii="Arial" w:cs="Arial" w:eastAsia="Arial" w:hAnsi="Arial"/>
                <w:sz w:val="18"/>
                <w:szCs w:val="18"/>
                <w:b w:val="1"/>
                <w:bCs w:val="1"/>
                <w:color w:val="auto"/>
              </w:rPr>
              <w:t>90%</w:t>
            </w:r>
          </w:p>
        </w:tc>
        <w:tc>
          <w:tcPr>
            <w:tcW w:w="1940" w:type="dxa"/>
            <w:vAlign w:val="bottom"/>
            <w:shd w:val="clear" w:color="auto" w:fill="D8D8D8"/>
          </w:tcPr>
          <w:p>
            <w:pPr>
              <w:jc w:val="right"/>
              <w:ind w:right="690"/>
              <w:spacing w:after="0"/>
              <w:rPr>
                <w:sz w:val="20"/>
                <w:szCs w:val="20"/>
                <w:color w:val="auto"/>
              </w:rPr>
            </w:pPr>
            <w:r>
              <w:rPr>
                <w:rFonts w:ascii="Arial" w:cs="Arial" w:eastAsia="Arial" w:hAnsi="Arial"/>
                <w:sz w:val="18"/>
                <w:szCs w:val="18"/>
                <w:b w:val="1"/>
                <w:bCs w:val="1"/>
                <w:color w:val="auto"/>
              </w:rPr>
              <w:t>89%</w:t>
            </w:r>
          </w:p>
        </w:tc>
        <w:tc>
          <w:tcPr>
            <w:tcW w:w="1820" w:type="dxa"/>
            <w:vAlign w:val="bottom"/>
            <w:shd w:val="clear" w:color="auto" w:fill="D8D8D8"/>
          </w:tcPr>
          <w:p>
            <w:pPr>
              <w:jc w:val="right"/>
              <w:ind w:right="590"/>
              <w:spacing w:after="0"/>
              <w:rPr>
                <w:sz w:val="20"/>
                <w:szCs w:val="20"/>
                <w:color w:val="auto"/>
              </w:rPr>
            </w:pPr>
            <w:r>
              <w:rPr>
                <w:rFonts w:ascii="Arial" w:cs="Arial" w:eastAsia="Arial" w:hAnsi="Arial"/>
                <w:sz w:val="18"/>
                <w:szCs w:val="18"/>
                <w:b w:val="1"/>
                <w:bCs w:val="1"/>
                <w:color w:val="auto"/>
              </w:rPr>
              <w:t>69%</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545465</wp:posOffset>
            </wp:positionH>
            <wp:positionV relativeFrom="paragraph">
              <wp:posOffset>-265430</wp:posOffset>
            </wp:positionV>
            <wp:extent cx="6174740" cy="266065"/>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6174740" cy="26606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2" w:lineRule="exact"/>
        <w:rPr>
          <w:sz w:val="20"/>
          <w:szCs w:val="20"/>
          <w:color w:val="auto"/>
        </w:rPr>
      </w:pPr>
    </w:p>
    <w:p>
      <w:pPr>
        <w:ind w:left="880"/>
        <w:spacing w:after="0"/>
        <w:tabs>
          <w:tab w:leader="none" w:pos="2700" w:val="left"/>
        </w:tabs>
        <w:rPr>
          <w:sz w:val="20"/>
          <w:szCs w:val="20"/>
          <w:color w:val="auto"/>
        </w:rPr>
      </w:pPr>
      <w:r>
        <w:rPr>
          <w:rFonts w:ascii="Arial" w:cs="Arial" w:eastAsia="Arial" w:hAnsi="Arial"/>
          <w:sz w:val="18"/>
          <w:szCs w:val="18"/>
          <w:color w:val="auto"/>
        </w:rPr>
        <w:t>28</w:t>
      </w:r>
      <w:r>
        <w:rPr>
          <w:sz w:val="20"/>
          <w:szCs w:val="20"/>
          <w:color w:val="auto"/>
        </w:rPr>
        <w:tab/>
      </w:r>
      <w:r>
        <w:rPr>
          <w:rFonts w:ascii="Times New Roman" w:cs="Times New Roman" w:eastAsia="Times New Roman" w:hAnsi="Times New Roman"/>
          <w:sz w:val="18"/>
          <w:szCs w:val="18"/>
          <w:i w:val="1"/>
          <w:iCs w:val="1"/>
          <w:color w:val="auto"/>
        </w:rPr>
        <w:t>2018 Proxy Statement</w:t>
      </w:r>
    </w:p>
    <w:p>
      <w:pPr>
        <w:sectPr>
          <w:pgSz w:w="11900" w:h="16838" w:orient="portrait"/>
          <w:cols w:equalWidth="0" w:num="1">
            <w:col w:w="10580"/>
          </w:cols>
          <w:pgMar w:left="240" w:top="455" w:right="1079" w:bottom="1440" w:gutter="0" w:footer="0" w:header="0"/>
        </w:sectPr>
      </w:pPr>
    </w:p>
    <w:bookmarkStart w:id="31" w:name="page32"/>
    <w:bookmarkEnd w:id="31"/>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Times New Roman" w:cs="Times New Roman" w:eastAsia="Times New Roman" w:hAnsi="Times New Roman"/>
            <w:sz w:val="18"/>
            <w:szCs w:val="18"/>
            <w:b w:val="1"/>
            <w:bCs w:val="1"/>
            <w:u w:val="single" w:color="auto"/>
            <w:color w:val="0000EE"/>
          </w:rPr>
          <w:t>Table of Contents</w:t>
        </w:r>
      </w:hyperlink>
    </w:p>
    <w:p>
      <w:pPr>
        <w:spacing w:after="0" w:line="297" w:lineRule="exact"/>
        <w:rPr>
          <w:sz w:val="20"/>
          <w:szCs w:val="20"/>
          <w:color w:val="auto"/>
        </w:rPr>
      </w:pPr>
    </w:p>
    <w:p>
      <w:pPr>
        <w:ind w:left="860"/>
        <w:spacing w:after="0"/>
        <w:rPr>
          <w:sz w:val="20"/>
          <w:szCs w:val="20"/>
          <w:color w:val="auto"/>
        </w:rPr>
      </w:pPr>
      <w:r>
        <w:rPr>
          <w:rFonts w:ascii="Arial" w:cs="Arial" w:eastAsia="Arial" w:hAnsi="Arial"/>
          <w:sz w:val="25"/>
          <w:szCs w:val="25"/>
          <w:color w:val="auto"/>
        </w:rPr>
        <w:t>Executive Summary</w:t>
      </w:r>
    </w:p>
    <w:p>
      <w:pPr>
        <w:spacing w:after="0" w:line="200" w:lineRule="exact"/>
        <w:rPr>
          <w:sz w:val="20"/>
          <w:szCs w:val="20"/>
          <w:color w:val="auto"/>
        </w:rPr>
      </w:pPr>
    </w:p>
    <w:p>
      <w:pPr>
        <w:spacing w:after="0" w:line="200" w:lineRule="exact"/>
        <w:rPr>
          <w:sz w:val="20"/>
          <w:szCs w:val="20"/>
          <w:color w:val="auto"/>
        </w:rPr>
      </w:pPr>
    </w:p>
    <w:p>
      <w:pPr>
        <w:spacing w:after="0" w:line="209" w:lineRule="exact"/>
        <w:rPr>
          <w:sz w:val="20"/>
          <w:szCs w:val="20"/>
          <w:color w:val="auto"/>
        </w:rPr>
      </w:pPr>
    </w:p>
    <w:p>
      <w:pPr>
        <w:ind w:left="860"/>
        <w:spacing w:after="0"/>
        <w:rPr>
          <w:sz w:val="20"/>
          <w:szCs w:val="20"/>
          <w:color w:val="auto"/>
        </w:rPr>
      </w:pPr>
      <w:r>
        <w:rPr>
          <w:rFonts w:ascii="Arial" w:cs="Arial" w:eastAsia="Arial" w:hAnsi="Arial"/>
          <w:sz w:val="23"/>
          <w:szCs w:val="23"/>
          <w:color w:val="2B4C9B"/>
        </w:rPr>
        <w:t>Key Messages – Why Vote “FOR” Say-On-Pay?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956945</wp:posOffset>
            </wp:positionH>
            <wp:positionV relativeFrom="paragraph">
              <wp:posOffset>182880</wp:posOffset>
            </wp:positionV>
            <wp:extent cx="5763260" cy="5385435"/>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5763260" cy="538543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0" w:lineRule="exact"/>
        <w:rPr>
          <w:sz w:val="20"/>
          <w:szCs w:val="20"/>
          <w:color w:val="auto"/>
        </w:rPr>
      </w:pPr>
    </w:p>
    <w:p>
      <w:pPr>
        <w:ind w:left="860"/>
        <w:spacing w:after="0"/>
        <w:rPr>
          <w:sz w:val="20"/>
          <w:szCs w:val="20"/>
          <w:color w:val="auto"/>
        </w:rPr>
      </w:pPr>
      <w:r>
        <w:rPr>
          <w:rFonts w:ascii="Arial" w:cs="Arial" w:eastAsia="Arial" w:hAnsi="Arial"/>
          <w:sz w:val="23"/>
          <w:szCs w:val="23"/>
          <w:color w:val="2B4C9B"/>
        </w:rPr>
        <w:t>Performance Share Program – Key Metrics and Results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545465</wp:posOffset>
            </wp:positionH>
            <wp:positionV relativeFrom="paragraph">
              <wp:posOffset>182880</wp:posOffset>
            </wp:positionV>
            <wp:extent cx="6174740" cy="848995"/>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6174740" cy="848995"/>
                    </a:xfrm>
                    <a:prstGeom prst="rect">
                      <a:avLst/>
                    </a:prstGeom>
                    <a:noFill/>
                  </pic:spPr>
                </pic:pic>
              </a:graphicData>
            </a:graphic>
          </wp:anchor>
        </w:drawing>
      </w:r>
    </w:p>
    <w:p>
      <w:pPr>
        <w:spacing w:after="0" w:line="268" w:lineRule="exact"/>
        <w:rPr>
          <w:sz w:val="20"/>
          <w:szCs w:val="20"/>
          <w:color w:val="auto"/>
        </w:rPr>
      </w:pPr>
    </w:p>
    <w:tbl>
      <w:tblPr>
        <w:tblLayout w:type="fixed"/>
        <w:tblInd w:w="860" w:type="dxa"/>
        <w:tblCellMar>
          <w:top w:w="0" w:type="dxa"/>
          <w:left w:w="0" w:type="dxa"/>
          <w:bottom w:w="0" w:type="dxa"/>
          <w:right w:w="0" w:type="dxa"/>
        </w:tblCellMar>
      </w:tblPr>
      <w:tr>
        <w:trPr>
          <w:trHeight w:val="187"/>
        </w:trPr>
        <w:tc>
          <w:tcPr>
            <w:tcW w:w="1640" w:type="dxa"/>
            <w:vAlign w:val="bottom"/>
            <w:vMerge w:val="restart"/>
            <w:shd w:val="clear" w:color="auto" w:fill="2B4C9B"/>
          </w:tcPr>
          <w:p>
            <w:pPr>
              <w:jc w:val="center"/>
              <w:spacing w:after="0"/>
              <w:rPr>
                <w:sz w:val="20"/>
                <w:szCs w:val="20"/>
                <w:color w:val="auto"/>
              </w:rPr>
            </w:pPr>
            <w:r>
              <w:rPr>
                <w:rFonts w:ascii="Arial" w:cs="Arial" w:eastAsia="Arial" w:hAnsi="Arial"/>
                <w:sz w:val="14"/>
                <w:szCs w:val="14"/>
                <w:b w:val="1"/>
                <w:bCs w:val="1"/>
                <w:color w:val="FFFFFF"/>
              </w:rPr>
              <w:t>Performance</w:t>
            </w:r>
          </w:p>
        </w:tc>
        <w:tc>
          <w:tcPr>
            <w:tcW w:w="1800" w:type="dxa"/>
            <w:vAlign w:val="bottom"/>
            <w:shd w:val="clear" w:color="auto" w:fill="2B4C9B"/>
          </w:tcPr>
          <w:p>
            <w:pPr>
              <w:jc w:val="center"/>
              <w:spacing w:after="0"/>
              <w:rPr>
                <w:sz w:val="20"/>
                <w:szCs w:val="20"/>
                <w:color w:val="auto"/>
              </w:rPr>
            </w:pPr>
            <w:r>
              <w:rPr>
                <w:rFonts w:ascii="Arial" w:cs="Arial" w:eastAsia="Arial" w:hAnsi="Arial"/>
                <w:sz w:val="14"/>
                <w:szCs w:val="14"/>
                <w:b w:val="1"/>
                <w:bCs w:val="1"/>
                <w:color w:val="FFFFFF"/>
                <w:w w:val="99"/>
              </w:rPr>
              <w:t>Safety &amp;</w:t>
            </w:r>
          </w:p>
        </w:tc>
        <w:tc>
          <w:tcPr>
            <w:tcW w:w="1620" w:type="dxa"/>
            <w:vAlign w:val="bottom"/>
            <w:shd w:val="clear" w:color="auto" w:fill="2B4C9B"/>
          </w:tcPr>
          <w:p>
            <w:pPr>
              <w:jc w:val="center"/>
              <w:spacing w:after="0"/>
              <w:rPr>
                <w:sz w:val="20"/>
                <w:szCs w:val="20"/>
                <w:color w:val="auto"/>
              </w:rPr>
            </w:pPr>
            <w:r>
              <w:rPr>
                <w:rFonts w:ascii="Arial" w:cs="Arial" w:eastAsia="Arial" w:hAnsi="Arial"/>
                <w:sz w:val="14"/>
                <w:szCs w:val="14"/>
                <w:b w:val="1"/>
                <w:bCs w:val="1"/>
                <w:color w:val="FFFFFF"/>
              </w:rPr>
              <w:t>Return on Average</w:t>
            </w:r>
          </w:p>
        </w:tc>
        <w:tc>
          <w:tcPr>
            <w:tcW w:w="1580" w:type="dxa"/>
            <w:vAlign w:val="bottom"/>
            <w:shd w:val="clear" w:color="auto" w:fill="2B4C9B"/>
          </w:tcPr>
          <w:p>
            <w:pPr>
              <w:jc w:val="center"/>
              <w:spacing w:after="0"/>
              <w:rPr>
                <w:sz w:val="20"/>
                <w:szCs w:val="20"/>
                <w:color w:val="auto"/>
              </w:rPr>
            </w:pPr>
            <w:r>
              <w:rPr>
                <w:rFonts w:ascii="Arial" w:cs="Arial" w:eastAsia="Arial" w:hAnsi="Arial"/>
                <w:sz w:val="14"/>
                <w:szCs w:val="14"/>
                <w:b w:val="1"/>
                <w:bCs w:val="1"/>
                <w:color w:val="FFFFFF"/>
              </w:rPr>
              <w:t>Cash Flow from</w:t>
            </w:r>
          </w:p>
        </w:tc>
        <w:tc>
          <w:tcPr>
            <w:tcW w:w="1520" w:type="dxa"/>
            <w:vAlign w:val="bottom"/>
            <w:vMerge w:val="restart"/>
            <w:shd w:val="clear" w:color="auto" w:fill="2B4C9B"/>
          </w:tcPr>
          <w:p>
            <w:pPr>
              <w:jc w:val="center"/>
              <w:spacing w:after="0"/>
              <w:rPr>
                <w:sz w:val="20"/>
                <w:szCs w:val="20"/>
                <w:color w:val="auto"/>
              </w:rPr>
            </w:pPr>
            <w:r>
              <w:rPr>
                <w:rFonts w:ascii="Arial" w:cs="Arial" w:eastAsia="Arial" w:hAnsi="Arial"/>
                <w:sz w:val="14"/>
                <w:szCs w:val="14"/>
                <w:b w:val="1"/>
                <w:bCs w:val="1"/>
                <w:color w:val="FFFFFF"/>
              </w:rPr>
              <w:t>Total Shareholder</w:t>
            </w:r>
          </w:p>
        </w:tc>
        <w:tc>
          <w:tcPr>
            <w:tcW w:w="1560" w:type="dxa"/>
            <w:vAlign w:val="bottom"/>
            <w:shd w:val="clear" w:color="auto" w:fill="2B4C9B"/>
          </w:tcPr>
          <w:p>
            <w:pPr>
              <w:jc w:val="center"/>
              <w:ind w:left="25"/>
              <w:spacing w:after="0"/>
              <w:rPr>
                <w:sz w:val="20"/>
                <w:szCs w:val="20"/>
                <w:color w:val="auto"/>
              </w:rPr>
            </w:pPr>
            <w:r>
              <w:rPr>
                <w:rFonts w:ascii="Arial" w:cs="Arial" w:eastAsia="Arial" w:hAnsi="Arial"/>
                <w:sz w:val="14"/>
                <w:szCs w:val="14"/>
                <w:b w:val="1"/>
                <w:bCs w:val="1"/>
                <w:color w:val="FFFFFF"/>
              </w:rPr>
              <w:t>Strategic Objectives,</w:t>
            </w:r>
          </w:p>
        </w:tc>
        <w:tc>
          <w:tcPr>
            <w:tcW w:w="0" w:type="dxa"/>
            <w:vAlign w:val="bottom"/>
          </w:tcPr>
          <w:p>
            <w:pPr>
              <w:spacing w:after="0"/>
              <w:rPr>
                <w:sz w:val="1"/>
                <w:szCs w:val="1"/>
                <w:color w:val="auto"/>
              </w:rPr>
            </w:pPr>
          </w:p>
        </w:tc>
      </w:tr>
      <w:tr>
        <w:trPr>
          <w:trHeight w:val="81"/>
        </w:trPr>
        <w:tc>
          <w:tcPr>
            <w:tcW w:w="1640" w:type="dxa"/>
            <w:vAlign w:val="bottom"/>
            <w:vMerge w:val="continue"/>
            <w:shd w:val="clear" w:color="auto" w:fill="2B4C9B"/>
          </w:tcPr>
          <w:p>
            <w:pPr>
              <w:spacing w:after="0"/>
              <w:rPr>
                <w:sz w:val="7"/>
                <w:szCs w:val="7"/>
                <w:color w:val="auto"/>
              </w:rPr>
            </w:pPr>
          </w:p>
        </w:tc>
        <w:tc>
          <w:tcPr>
            <w:tcW w:w="1800" w:type="dxa"/>
            <w:vAlign w:val="bottom"/>
            <w:vMerge w:val="restart"/>
            <w:shd w:val="clear" w:color="auto" w:fill="2B4C9B"/>
          </w:tcPr>
          <w:p>
            <w:pPr>
              <w:jc w:val="center"/>
              <w:spacing w:after="0"/>
              <w:rPr>
                <w:sz w:val="20"/>
                <w:szCs w:val="20"/>
                <w:color w:val="auto"/>
              </w:rPr>
            </w:pPr>
            <w:r>
              <w:rPr>
                <w:rFonts w:ascii="Arial" w:cs="Arial" w:eastAsia="Arial" w:hAnsi="Arial"/>
                <w:sz w:val="14"/>
                <w:szCs w:val="14"/>
                <w:b w:val="1"/>
                <w:bCs w:val="1"/>
                <w:color w:val="FFFFFF"/>
              </w:rPr>
              <w:t>Operations</w:t>
            </w:r>
          </w:p>
        </w:tc>
        <w:tc>
          <w:tcPr>
            <w:tcW w:w="1620" w:type="dxa"/>
            <w:vAlign w:val="bottom"/>
            <w:vMerge w:val="restart"/>
            <w:shd w:val="clear" w:color="auto" w:fill="2B4C9B"/>
          </w:tcPr>
          <w:p>
            <w:pPr>
              <w:jc w:val="center"/>
              <w:spacing w:after="0"/>
              <w:rPr>
                <w:sz w:val="20"/>
                <w:szCs w:val="20"/>
                <w:color w:val="auto"/>
              </w:rPr>
            </w:pPr>
            <w:r>
              <w:rPr>
                <w:rFonts w:ascii="Arial" w:cs="Arial" w:eastAsia="Arial" w:hAnsi="Arial"/>
                <w:sz w:val="14"/>
                <w:szCs w:val="14"/>
                <w:b w:val="1"/>
                <w:bCs w:val="1"/>
                <w:color w:val="FFFFFF"/>
              </w:rPr>
              <w:t>Capital Employed</w:t>
            </w:r>
          </w:p>
        </w:tc>
        <w:tc>
          <w:tcPr>
            <w:tcW w:w="1580" w:type="dxa"/>
            <w:vAlign w:val="bottom"/>
            <w:vMerge w:val="restart"/>
            <w:shd w:val="clear" w:color="auto" w:fill="2B4C9B"/>
          </w:tcPr>
          <w:p>
            <w:pPr>
              <w:jc w:val="center"/>
              <w:spacing w:after="0"/>
              <w:rPr>
                <w:sz w:val="20"/>
                <w:szCs w:val="20"/>
                <w:color w:val="auto"/>
              </w:rPr>
            </w:pPr>
            <w:r>
              <w:rPr>
                <w:rFonts w:ascii="Arial" w:cs="Arial" w:eastAsia="Arial" w:hAnsi="Arial"/>
                <w:sz w:val="14"/>
                <w:szCs w:val="14"/>
                <w:b w:val="1"/>
                <w:bCs w:val="1"/>
                <w:color w:val="FFFFFF"/>
              </w:rPr>
              <w:t>Operations and</w:t>
            </w:r>
          </w:p>
        </w:tc>
        <w:tc>
          <w:tcPr>
            <w:tcW w:w="1520" w:type="dxa"/>
            <w:vAlign w:val="bottom"/>
            <w:vMerge w:val="continue"/>
            <w:shd w:val="clear" w:color="auto" w:fill="2B4C9B"/>
          </w:tcPr>
          <w:p>
            <w:pPr>
              <w:spacing w:after="0"/>
              <w:rPr>
                <w:sz w:val="7"/>
                <w:szCs w:val="7"/>
                <w:color w:val="auto"/>
              </w:rPr>
            </w:pPr>
          </w:p>
        </w:tc>
        <w:tc>
          <w:tcPr>
            <w:tcW w:w="1560" w:type="dxa"/>
            <w:vAlign w:val="bottom"/>
            <w:vMerge w:val="restart"/>
            <w:shd w:val="clear" w:color="auto" w:fill="2B4C9B"/>
          </w:tcPr>
          <w:p>
            <w:pPr>
              <w:jc w:val="center"/>
              <w:ind w:left="25"/>
              <w:spacing w:after="0"/>
              <w:rPr>
                <w:sz w:val="20"/>
                <w:szCs w:val="20"/>
                <w:color w:val="auto"/>
              </w:rPr>
            </w:pPr>
            <w:r>
              <w:rPr>
                <w:rFonts w:ascii="Arial" w:cs="Arial" w:eastAsia="Arial" w:hAnsi="Arial"/>
                <w:sz w:val="14"/>
                <w:szCs w:val="14"/>
                <w:b w:val="1"/>
                <w:bCs w:val="1"/>
                <w:color w:val="FFFFFF"/>
              </w:rPr>
              <w:t>Business Results &amp;</w:t>
            </w:r>
          </w:p>
        </w:tc>
        <w:tc>
          <w:tcPr>
            <w:tcW w:w="0" w:type="dxa"/>
            <w:vAlign w:val="bottom"/>
          </w:tcPr>
          <w:p>
            <w:pPr>
              <w:spacing w:after="0"/>
              <w:rPr>
                <w:sz w:val="1"/>
                <w:szCs w:val="1"/>
                <w:color w:val="auto"/>
              </w:rPr>
            </w:pPr>
          </w:p>
        </w:tc>
      </w:tr>
      <w:tr>
        <w:trPr>
          <w:trHeight w:val="81"/>
        </w:trPr>
        <w:tc>
          <w:tcPr>
            <w:tcW w:w="1640" w:type="dxa"/>
            <w:vAlign w:val="bottom"/>
            <w:vMerge w:val="restart"/>
            <w:shd w:val="clear" w:color="auto" w:fill="2B4C9B"/>
          </w:tcPr>
          <w:p>
            <w:pPr>
              <w:jc w:val="center"/>
              <w:spacing w:after="0"/>
              <w:rPr>
                <w:sz w:val="20"/>
                <w:szCs w:val="20"/>
                <w:color w:val="auto"/>
              </w:rPr>
            </w:pPr>
            <w:r>
              <w:rPr>
                <w:rFonts w:ascii="Arial" w:cs="Arial" w:eastAsia="Arial" w:hAnsi="Arial"/>
                <w:sz w:val="14"/>
                <w:szCs w:val="14"/>
                <w:b w:val="1"/>
                <w:bCs w:val="1"/>
                <w:color w:val="FFFFFF"/>
              </w:rPr>
              <w:t>Metrics (10-year)</w:t>
            </w:r>
          </w:p>
        </w:tc>
        <w:tc>
          <w:tcPr>
            <w:tcW w:w="1800" w:type="dxa"/>
            <w:vAlign w:val="bottom"/>
            <w:vMerge w:val="continue"/>
            <w:shd w:val="clear" w:color="auto" w:fill="2B4C9B"/>
          </w:tcPr>
          <w:p>
            <w:pPr>
              <w:spacing w:after="0"/>
              <w:rPr>
                <w:sz w:val="7"/>
                <w:szCs w:val="7"/>
                <w:color w:val="auto"/>
              </w:rPr>
            </w:pPr>
          </w:p>
        </w:tc>
        <w:tc>
          <w:tcPr>
            <w:tcW w:w="1620" w:type="dxa"/>
            <w:vAlign w:val="bottom"/>
            <w:vMerge w:val="continue"/>
            <w:shd w:val="clear" w:color="auto" w:fill="2B4C9B"/>
          </w:tcPr>
          <w:p>
            <w:pPr>
              <w:spacing w:after="0"/>
              <w:rPr>
                <w:sz w:val="7"/>
                <w:szCs w:val="7"/>
                <w:color w:val="auto"/>
              </w:rPr>
            </w:pPr>
          </w:p>
        </w:tc>
        <w:tc>
          <w:tcPr>
            <w:tcW w:w="1580" w:type="dxa"/>
            <w:vAlign w:val="bottom"/>
            <w:vMerge w:val="continue"/>
            <w:shd w:val="clear" w:color="auto" w:fill="2B4C9B"/>
          </w:tcPr>
          <w:p>
            <w:pPr>
              <w:spacing w:after="0"/>
              <w:rPr>
                <w:sz w:val="7"/>
                <w:szCs w:val="7"/>
                <w:color w:val="auto"/>
              </w:rPr>
            </w:pPr>
          </w:p>
        </w:tc>
        <w:tc>
          <w:tcPr>
            <w:tcW w:w="1520" w:type="dxa"/>
            <w:vAlign w:val="bottom"/>
            <w:vMerge w:val="restart"/>
            <w:shd w:val="clear" w:color="auto" w:fill="2B4C9B"/>
          </w:tcPr>
          <w:p>
            <w:pPr>
              <w:jc w:val="center"/>
              <w:spacing w:after="0"/>
              <w:rPr>
                <w:sz w:val="20"/>
                <w:szCs w:val="20"/>
                <w:color w:val="auto"/>
              </w:rPr>
            </w:pPr>
            <w:r>
              <w:rPr>
                <w:rFonts w:ascii="Arial" w:cs="Arial" w:eastAsia="Arial" w:hAnsi="Arial"/>
                <w:sz w:val="14"/>
                <w:szCs w:val="14"/>
                <w:b w:val="1"/>
                <w:bCs w:val="1"/>
                <w:color w:val="FFFFFF"/>
              </w:rPr>
              <w:t>Return (TSR)</w:t>
            </w:r>
          </w:p>
        </w:tc>
        <w:tc>
          <w:tcPr>
            <w:tcW w:w="1560" w:type="dxa"/>
            <w:vAlign w:val="bottom"/>
            <w:vMerge w:val="continue"/>
            <w:shd w:val="clear" w:color="auto" w:fill="2B4C9B"/>
          </w:tcPr>
          <w:p>
            <w:pPr>
              <w:spacing w:after="0"/>
              <w:rPr>
                <w:sz w:val="7"/>
                <w:szCs w:val="7"/>
                <w:color w:val="auto"/>
              </w:rPr>
            </w:pPr>
          </w:p>
        </w:tc>
        <w:tc>
          <w:tcPr>
            <w:tcW w:w="0" w:type="dxa"/>
            <w:vAlign w:val="bottom"/>
          </w:tcPr>
          <w:p>
            <w:pPr>
              <w:spacing w:after="0"/>
              <w:rPr>
                <w:sz w:val="1"/>
                <w:szCs w:val="1"/>
                <w:color w:val="auto"/>
              </w:rPr>
            </w:pPr>
          </w:p>
        </w:tc>
      </w:tr>
      <w:tr>
        <w:trPr>
          <w:trHeight w:val="121"/>
        </w:trPr>
        <w:tc>
          <w:tcPr>
            <w:tcW w:w="1640" w:type="dxa"/>
            <w:vAlign w:val="bottom"/>
            <w:vMerge w:val="continue"/>
            <w:shd w:val="clear" w:color="auto" w:fill="2B4C9B"/>
          </w:tcPr>
          <w:p>
            <w:pPr>
              <w:spacing w:after="0"/>
              <w:rPr>
                <w:sz w:val="10"/>
                <w:szCs w:val="10"/>
                <w:color w:val="auto"/>
              </w:rPr>
            </w:pPr>
          </w:p>
        </w:tc>
        <w:tc>
          <w:tcPr>
            <w:tcW w:w="1800" w:type="dxa"/>
            <w:vAlign w:val="bottom"/>
            <w:vMerge w:val="restart"/>
            <w:shd w:val="clear" w:color="auto" w:fill="2B4C9B"/>
          </w:tcPr>
          <w:p>
            <w:pPr>
              <w:jc w:val="center"/>
              <w:spacing w:after="0"/>
              <w:rPr>
                <w:sz w:val="20"/>
                <w:szCs w:val="20"/>
                <w:color w:val="auto"/>
              </w:rPr>
            </w:pPr>
            <w:r>
              <w:rPr>
                <w:rFonts w:ascii="Arial" w:cs="Arial" w:eastAsia="Arial" w:hAnsi="Arial"/>
                <w:sz w:val="14"/>
                <w:szCs w:val="14"/>
                <w:b w:val="1"/>
                <w:bCs w:val="1"/>
                <w:color w:val="FFFFFF"/>
              </w:rPr>
              <w:t>Integrity*</w:t>
            </w:r>
          </w:p>
        </w:tc>
        <w:tc>
          <w:tcPr>
            <w:tcW w:w="1620" w:type="dxa"/>
            <w:vAlign w:val="bottom"/>
            <w:vMerge w:val="restart"/>
            <w:shd w:val="clear" w:color="auto" w:fill="2B4C9B"/>
          </w:tcPr>
          <w:p>
            <w:pPr>
              <w:jc w:val="center"/>
              <w:spacing w:after="0"/>
              <w:rPr>
                <w:sz w:val="20"/>
                <w:szCs w:val="20"/>
                <w:color w:val="auto"/>
              </w:rPr>
            </w:pPr>
            <w:r>
              <w:rPr>
                <w:rFonts w:ascii="Arial" w:cs="Arial" w:eastAsia="Arial" w:hAnsi="Arial"/>
                <w:sz w:val="14"/>
                <w:szCs w:val="14"/>
                <w:b w:val="1"/>
                <w:bCs w:val="1"/>
                <w:color w:val="FFFFFF"/>
              </w:rPr>
              <w:t>(ROCE)*</w:t>
            </w:r>
          </w:p>
        </w:tc>
        <w:tc>
          <w:tcPr>
            <w:tcW w:w="1580" w:type="dxa"/>
            <w:vAlign w:val="bottom"/>
            <w:vMerge w:val="restart"/>
            <w:shd w:val="clear" w:color="auto" w:fill="2B4C9B"/>
          </w:tcPr>
          <w:p>
            <w:pPr>
              <w:jc w:val="center"/>
              <w:spacing w:after="0"/>
              <w:rPr>
                <w:sz w:val="20"/>
                <w:szCs w:val="20"/>
                <w:color w:val="auto"/>
              </w:rPr>
            </w:pPr>
            <w:r>
              <w:rPr>
                <w:rFonts w:ascii="Arial" w:cs="Arial" w:eastAsia="Arial" w:hAnsi="Arial"/>
                <w:sz w:val="14"/>
                <w:szCs w:val="14"/>
                <w:b w:val="1"/>
                <w:bCs w:val="1"/>
                <w:color w:val="FFFFFF"/>
              </w:rPr>
              <w:t>Asset Sales</w:t>
            </w:r>
          </w:p>
        </w:tc>
        <w:tc>
          <w:tcPr>
            <w:tcW w:w="1520" w:type="dxa"/>
            <w:vAlign w:val="bottom"/>
            <w:vMerge w:val="continue"/>
            <w:shd w:val="clear" w:color="auto" w:fill="2B4C9B"/>
          </w:tcPr>
          <w:p>
            <w:pPr>
              <w:spacing w:after="0"/>
              <w:rPr>
                <w:sz w:val="10"/>
                <w:szCs w:val="10"/>
                <w:color w:val="auto"/>
              </w:rPr>
            </w:pPr>
          </w:p>
        </w:tc>
        <w:tc>
          <w:tcPr>
            <w:tcW w:w="1560" w:type="dxa"/>
            <w:vAlign w:val="bottom"/>
            <w:vMerge w:val="restart"/>
            <w:shd w:val="clear" w:color="auto" w:fill="2B4C9B"/>
          </w:tcPr>
          <w:p>
            <w:pPr>
              <w:jc w:val="center"/>
              <w:ind w:left="25"/>
              <w:spacing w:after="0"/>
              <w:rPr>
                <w:sz w:val="20"/>
                <w:szCs w:val="20"/>
                <w:color w:val="auto"/>
              </w:rPr>
            </w:pPr>
            <w:r>
              <w:rPr>
                <w:rFonts w:ascii="Arial" w:cs="Arial" w:eastAsia="Arial" w:hAnsi="Arial"/>
                <w:sz w:val="14"/>
                <w:szCs w:val="14"/>
                <w:b w:val="1"/>
                <w:bCs w:val="1"/>
                <w:color w:val="FFFFFF"/>
              </w:rPr>
              <w:t>Project Execution</w:t>
            </w:r>
          </w:p>
        </w:tc>
        <w:tc>
          <w:tcPr>
            <w:tcW w:w="0" w:type="dxa"/>
            <w:vAlign w:val="bottom"/>
          </w:tcPr>
          <w:p>
            <w:pPr>
              <w:spacing w:after="0"/>
              <w:rPr>
                <w:sz w:val="1"/>
                <w:szCs w:val="1"/>
                <w:color w:val="auto"/>
              </w:rPr>
            </w:pPr>
          </w:p>
        </w:tc>
      </w:tr>
      <w:tr>
        <w:trPr>
          <w:trHeight w:val="83"/>
        </w:trPr>
        <w:tc>
          <w:tcPr>
            <w:tcW w:w="1640" w:type="dxa"/>
            <w:vAlign w:val="bottom"/>
            <w:shd w:val="clear" w:color="auto" w:fill="2B4C9B"/>
          </w:tcPr>
          <w:p>
            <w:pPr>
              <w:spacing w:after="0"/>
              <w:rPr>
                <w:sz w:val="7"/>
                <w:szCs w:val="7"/>
                <w:color w:val="auto"/>
              </w:rPr>
            </w:pPr>
          </w:p>
        </w:tc>
        <w:tc>
          <w:tcPr>
            <w:tcW w:w="1800" w:type="dxa"/>
            <w:vAlign w:val="bottom"/>
            <w:vMerge w:val="continue"/>
            <w:shd w:val="clear" w:color="auto" w:fill="2B4C9B"/>
          </w:tcPr>
          <w:p>
            <w:pPr>
              <w:spacing w:after="0"/>
              <w:rPr>
                <w:sz w:val="7"/>
                <w:szCs w:val="7"/>
                <w:color w:val="auto"/>
              </w:rPr>
            </w:pPr>
          </w:p>
        </w:tc>
        <w:tc>
          <w:tcPr>
            <w:tcW w:w="1620" w:type="dxa"/>
            <w:vAlign w:val="bottom"/>
            <w:vMerge w:val="continue"/>
            <w:shd w:val="clear" w:color="auto" w:fill="2B4C9B"/>
          </w:tcPr>
          <w:p>
            <w:pPr>
              <w:spacing w:after="0"/>
              <w:rPr>
                <w:sz w:val="7"/>
                <w:szCs w:val="7"/>
                <w:color w:val="auto"/>
              </w:rPr>
            </w:pPr>
          </w:p>
        </w:tc>
        <w:tc>
          <w:tcPr>
            <w:tcW w:w="1580" w:type="dxa"/>
            <w:vAlign w:val="bottom"/>
            <w:vMerge w:val="continue"/>
            <w:shd w:val="clear" w:color="auto" w:fill="2B4C9B"/>
          </w:tcPr>
          <w:p>
            <w:pPr>
              <w:spacing w:after="0"/>
              <w:rPr>
                <w:sz w:val="7"/>
                <w:szCs w:val="7"/>
                <w:color w:val="auto"/>
              </w:rPr>
            </w:pPr>
          </w:p>
        </w:tc>
        <w:tc>
          <w:tcPr>
            <w:tcW w:w="1520" w:type="dxa"/>
            <w:vAlign w:val="bottom"/>
            <w:shd w:val="clear" w:color="auto" w:fill="2B4C9B"/>
          </w:tcPr>
          <w:p>
            <w:pPr>
              <w:spacing w:after="0"/>
              <w:rPr>
                <w:sz w:val="7"/>
                <w:szCs w:val="7"/>
                <w:color w:val="auto"/>
              </w:rPr>
            </w:pPr>
          </w:p>
        </w:tc>
        <w:tc>
          <w:tcPr>
            <w:tcW w:w="1560" w:type="dxa"/>
            <w:vAlign w:val="bottom"/>
            <w:vMerge w:val="continue"/>
            <w:shd w:val="clear" w:color="auto" w:fill="2B4C9B"/>
          </w:tcPr>
          <w:p>
            <w:pPr>
              <w:spacing w:after="0"/>
              <w:rPr>
                <w:sz w:val="7"/>
                <w:szCs w:val="7"/>
                <w:color w:val="auto"/>
              </w:rPr>
            </w:pPr>
          </w:p>
        </w:tc>
        <w:tc>
          <w:tcPr>
            <w:tcW w:w="0" w:type="dxa"/>
            <w:vAlign w:val="bottom"/>
          </w:tcPr>
          <w:p>
            <w:pPr>
              <w:spacing w:after="0"/>
              <w:rPr>
                <w:sz w:val="1"/>
                <w:szCs w:val="1"/>
                <w:color w:val="auto"/>
              </w:rPr>
            </w:pPr>
          </w:p>
        </w:tc>
      </w:tr>
      <w:tr>
        <w:trPr>
          <w:trHeight w:val="201"/>
        </w:trPr>
        <w:tc>
          <w:tcPr>
            <w:tcW w:w="1640" w:type="dxa"/>
            <w:vAlign w:val="bottom"/>
            <w:vMerge w:val="restart"/>
            <w:shd w:val="clear" w:color="auto" w:fill="2B4C9B"/>
          </w:tcPr>
          <w:p>
            <w:pPr>
              <w:jc w:val="center"/>
              <w:spacing w:after="0"/>
              <w:rPr>
                <w:sz w:val="20"/>
                <w:szCs w:val="20"/>
                <w:color w:val="auto"/>
              </w:rPr>
            </w:pPr>
            <w:r>
              <w:rPr>
                <w:rFonts w:ascii="Arial" w:cs="Arial" w:eastAsia="Arial" w:hAnsi="Arial"/>
                <w:sz w:val="14"/>
                <w:szCs w:val="14"/>
                <w:b w:val="1"/>
                <w:bCs w:val="1"/>
                <w:color w:val="FFFFFF"/>
              </w:rPr>
              <w:t>Assessment Criteria</w:t>
            </w:r>
          </w:p>
        </w:tc>
        <w:tc>
          <w:tcPr>
            <w:tcW w:w="1800" w:type="dxa"/>
            <w:vAlign w:val="bottom"/>
            <w:shd w:val="clear" w:color="auto" w:fill="CCCCCC"/>
          </w:tcPr>
          <w:p>
            <w:pPr>
              <w:jc w:val="center"/>
              <w:spacing w:after="0"/>
              <w:rPr>
                <w:sz w:val="20"/>
                <w:szCs w:val="20"/>
                <w:color w:val="auto"/>
              </w:rPr>
            </w:pPr>
            <w:r>
              <w:rPr>
                <w:rFonts w:ascii="Arial" w:cs="Arial" w:eastAsia="Arial" w:hAnsi="Arial"/>
                <w:sz w:val="14"/>
                <w:szCs w:val="14"/>
                <w:b w:val="1"/>
                <w:bCs w:val="1"/>
                <w:color w:val="auto"/>
              </w:rPr>
              <w:t>vs. U.S. Petroleum</w:t>
            </w:r>
          </w:p>
        </w:tc>
        <w:tc>
          <w:tcPr>
            <w:tcW w:w="1620" w:type="dxa"/>
            <w:vAlign w:val="bottom"/>
            <w:shd w:val="clear" w:color="auto" w:fill="CCCCCC"/>
          </w:tcPr>
          <w:p>
            <w:pPr>
              <w:jc w:val="center"/>
              <w:spacing w:after="0"/>
              <w:rPr>
                <w:sz w:val="20"/>
                <w:szCs w:val="20"/>
                <w:color w:val="auto"/>
              </w:rPr>
            </w:pPr>
            <w:r>
              <w:rPr>
                <w:rFonts w:ascii="Arial" w:cs="Arial" w:eastAsia="Arial" w:hAnsi="Arial"/>
                <w:sz w:val="14"/>
                <w:szCs w:val="14"/>
                <w:b w:val="1"/>
                <w:bCs w:val="1"/>
                <w:color w:val="auto"/>
              </w:rPr>
              <w:t>Rank Position</w:t>
            </w:r>
          </w:p>
        </w:tc>
        <w:tc>
          <w:tcPr>
            <w:tcW w:w="1580" w:type="dxa"/>
            <w:vAlign w:val="bottom"/>
            <w:shd w:val="clear" w:color="auto" w:fill="CCCCCC"/>
          </w:tcPr>
          <w:p>
            <w:pPr>
              <w:jc w:val="center"/>
              <w:spacing w:after="0"/>
              <w:rPr>
                <w:sz w:val="20"/>
                <w:szCs w:val="20"/>
                <w:color w:val="auto"/>
              </w:rPr>
            </w:pPr>
            <w:r>
              <w:rPr>
                <w:rFonts w:ascii="Arial" w:cs="Arial" w:eastAsia="Arial" w:hAnsi="Arial"/>
                <w:sz w:val="14"/>
                <w:szCs w:val="14"/>
                <w:b w:val="1"/>
                <w:bCs w:val="1"/>
                <w:color w:val="auto"/>
              </w:rPr>
              <w:t>Rank Position</w:t>
            </w:r>
          </w:p>
        </w:tc>
        <w:tc>
          <w:tcPr>
            <w:tcW w:w="1520" w:type="dxa"/>
            <w:vAlign w:val="bottom"/>
            <w:shd w:val="clear" w:color="auto" w:fill="CCCCCC"/>
          </w:tcPr>
          <w:p>
            <w:pPr>
              <w:jc w:val="center"/>
              <w:spacing w:after="0"/>
              <w:rPr>
                <w:sz w:val="20"/>
                <w:szCs w:val="20"/>
                <w:color w:val="auto"/>
              </w:rPr>
            </w:pPr>
            <w:r>
              <w:rPr>
                <w:rFonts w:ascii="Arial" w:cs="Arial" w:eastAsia="Arial" w:hAnsi="Arial"/>
                <w:sz w:val="14"/>
                <w:szCs w:val="14"/>
                <w:b w:val="1"/>
                <w:bCs w:val="1"/>
                <w:color w:val="auto"/>
              </w:rPr>
              <w:t>vs. Average of</w:t>
            </w:r>
          </w:p>
        </w:tc>
        <w:tc>
          <w:tcPr>
            <w:tcW w:w="1560" w:type="dxa"/>
            <w:vAlign w:val="bottom"/>
            <w:vMerge w:val="restart"/>
            <w:shd w:val="clear" w:color="auto" w:fill="CCCCCC"/>
          </w:tcPr>
          <w:p>
            <w:pPr>
              <w:jc w:val="center"/>
              <w:ind w:left="25"/>
              <w:spacing w:after="0"/>
              <w:rPr>
                <w:sz w:val="20"/>
                <w:szCs w:val="20"/>
                <w:color w:val="auto"/>
              </w:rPr>
            </w:pPr>
            <w:r>
              <w:rPr>
                <w:rFonts w:ascii="Arial" w:cs="Arial" w:eastAsia="Arial" w:hAnsi="Arial"/>
                <w:sz w:val="14"/>
                <w:szCs w:val="14"/>
                <w:b w:val="1"/>
                <w:bCs w:val="1"/>
                <w:color w:val="auto"/>
              </w:rPr>
              <w:t>CC Assessment</w:t>
            </w:r>
          </w:p>
        </w:tc>
        <w:tc>
          <w:tcPr>
            <w:tcW w:w="0" w:type="dxa"/>
            <w:vAlign w:val="bottom"/>
          </w:tcPr>
          <w:p>
            <w:pPr>
              <w:spacing w:after="0"/>
              <w:rPr>
                <w:sz w:val="1"/>
                <w:szCs w:val="1"/>
                <w:color w:val="auto"/>
              </w:rPr>
            </w:pPr>
          </w:p>
        </w:tc>
      </w:tr>
      <w:tr>
        <w:trPr>
          <w:trHeight w:val="121"/>
        </w:trPr>
        <w:tc>
          <w:tcPr>
            <w:tcW w:w="1640" w:type="dxa"/>
            <w:vAlign w:val="bottom"/>
            <w:vMerge w:val="continue"/>
            <w:shd w:val="clear" w:color="auto" w:fill="2B4C9B"/>
          </w:tcPr>
          <w:p>
            <w:pPr>
              <w:spacing w:after="0"/>
              <w:rPr>
                <w:sz w:val="10"/>
                <w:szCs w:val="10"/>
                <w:color w:val="auto"/>
              </w:rPr>
            </w:pPr>
          </w:p>
        </w:tc>
        <w:tc>
          <w:tcPr>
            <w:tcW w:w="1800" w:type="dxa"/>
            <w:vAlign w:val="bottom"/>
            <w:vMerge w:val="restart"/>
            <w:shd w:val="clear" w:color="auto" w:fill="CCCCCC"/>
          </w:tcPr>
          <w:p>
            <w:pPr>
              <w:jc w:val="center"/>
              <w:spacing w:after="0"/>
              <w:rPr>
                <w:sz w:val="20"/>
                <w:szCs w:val="20"/>
                <w:color w:val="auto"/>
              </w:rPr>
            </w:pPr>
            <w:r>
              <w:rPr>
                <w:rFonts w:ascii="Arial" w:cs="Arial" w:eastAsia="Arial" w:hAnsi="Arial"/>
                <w:sz w:val="14"/>
                <w:szCs w:val="14"/>
                <w:b w:val="1"/>
                <w:bCs w:val="1"/>
                <w:color w:val="auto"/>
              </w:rPr>
              <w:t>Industry Benchmark</w:t>
            </w:r>
          </w:p>
        </w:tc>
        <w:tc>
          <w:tcPr>
            <w:tcW w:w="1620" w:type="dxa"/>
            <w:vAlign w:val="bottom"/>
            <w:vMerge w:val="restart"/>
            <w:shd w:val="clear" w:color="auto" w:fill="CCCCCC"/>
          </w:tcPr>
          <w:p>
            <w:pPr>
              <w:jc w:val="center"/>
              <w:spacing w:after="0"/>
              <w:rPr>
                <w:sz w:val="20"/>
                <w:szCs w:val="20"/>
                <w:color w:val="auto"/>
              </w:rPr>
            </w:pPr>
            <w:r>
              <w:rPr>
                <w:rFonts w:ascii="Arial" w:cs="Arial" w:eastAsia="Arial" w:hAnsi="Arial"/>
                <w:sz w:val="14"/>
                <w:szCs w:val="14"/>
                <w:b w:val="1"/>
                <w:bCs w:val="1"/>
                <w:color w:val="auto"/>
              </w:rPr>
              <w:t>vs. Industry Peers</w:t>
            </w:r>
          </w:p>
        </w:tc>
        <w:tc>
          <w:tcPr>
            <w:tcW w:w="1580" w:type="dxa"/>
            <w:vAlign w:val="bottom"/>
            <w:vMerge w:val="restart"/>
            <w:shd w:val="clear" w:color="auto" w:fill="CCCCCC"/>
          </w:tcPr>
          <w:p>
            <w:pPr>
              <w:jc w:val="center"/>
              <w:spacing w:after="0"/>
              <w:rPr>
                <w:sz w:val="20"/>
                <w:szCs w:val="20"/>
                <w:color w:val="auto"/>
              </w:rPr>
            </w:pPr>
            <w:r>
              <w:rPr>
                <w:rFonts w:ascii="Arial" w:cs="Arial" w:eastAsia="Arial" w:hAnsi="Arial"/>
                <w:sz w:val="14"/>
                <w:szCs w:val="14"/>
                <w:b w:val="1"/>
                <w:bCs w:val="1"/>
                <w:color w:val="auto"/>
              </w:rPr>
              <w:t>vs. Industry Peers</w:t>
            </w:r>
          </w:p>
        </w:tc>
        <w:tc>
          <w:tcPr>
            <w:tcW w:w="1520" w:type="dxa"/>
            <w:vAlign w:val="bottom"/>
            <w:vMerge w:val="restart"/>
            <w:shd w:val="clear" w:color="auto" w:fill="CCCCCC"/>
          </w:tcPr>
          <w:p>
            <w:pPr>
              <w:jc w:val="center"/>
              <w:spacing w:after="0"/>
              <w:rPr>
                <w:sz w:val="20"/>
                <w:szCs w:val="20"/>
                <w:color w:val="auto"/>
              </w:rPr>
            </w:pPr>
            <w:r>
              <w:rPr>
                <w:rFonts w:ascii="Arial" w:cs="Arial" w:eastAsia="Arial" w:hAnsi="Arial"/>
                <w:sz w:val="14"/>
                <w:szCs w:val="14"/>
                <w:b w:val="1"/>
                <w:bCs w:val="1"/>
                <w:color w:val="auto"/>
              </w:rPr>
              <w:t>Industry Peers</w:t>
            </w:r>
          </w:p>
        </w:tc>
        <w:tc>
          <w:tcPr>
            <w:tcW w:w="1560" w:type="dxa"/>
            <w:vAlign w:val="bottom"/>
            <w:vMerge w:val="continue"/>
            <w:shd w:val="clear" w:color="auto" w:fill="CCCCCC"/>
          </w:tcPr>
          <w:p>
            <w:pPr>
              <w:spacing w:after="0"/>
              <w:rPr>
                <w:sz w:val="10"/>
                <w:szCs w:val="10"/>
                <w:color w:val="auto"/>
              </w:rPr>
            </w:pPr>
          </w:p>
        </w:tc>
        <w:tc>
          <w:tcPr>
            <w:tcW w:w="0" w:type="dxa"/>
            <w:vAlign w:val="bottom"/>
          </w:tcPr>
          <w:p>
            <w:pPr>
              <w:spacing w:after="0"/>
              <w:rPr>
                <w:sz w:val="1"/>
                <w:szCs w:val="1"/>
                <w:color w:val="auto"/>
              </w:rPr>
            </w:pPr>
          </w:p>
        </w:tc>
      </w:tr>
      <w:tr>
        <w:trPr>
          <w:trHeight w:val="90"/>
        </w:trPr>
        <w:tc>
          <w:tcPr>
            <w:tcW w:w="1640" w:type="dxa"/>
            <w:vAlign w:val="bottom"/>
            <w:tcBorders>
              <w:bottom w:val="single" w:sz="8" w:color="2B4C9B"/>
            </w:tcBorders>
            <w:shd w:val="clear" w:color="auto" w:fill="2B4C9B"/>
          </w:tcPr>
          <w:p>
            <w:pPr>
              <w:spacing w:after="0"/>
              <w:rPr>
                <w:sz w:val="7"/>
                <w:szCs w:val="7"/>
                <w:color w:val="auto"/>
              </w:rPr>
            </w:pPr>
          </w:p>
        </w:tc>
        <w:tc>
          <w:tcPr>
            <w:tcW w:w="1800" w:type="dxa"/>
            <w:vAlign w:val="bottom"/>
            <w:tcBorders>
              <w:bottom w:val="single" w:sz="8" w:color="CCCCCC"/>
            </w:tcBorders>
            <w:vMerge w:val="continue"/>
            <w:shd w:val="clear" w:color="auto" w:fill="CCCCCC"/>
          </w:tcPr>
          <w:p>
            <w:pPr>
              <w:spacing w:after="0"/>
              <w:rPr>
                <w:sz w:val="7"/>
                <w:szCs w:val="7"/>
                <w:color w:val="auto"/>
              </w:rPr>
            </w:pPr>
          </w:p>
        </w:tc>
        <w:tc>
          <w:tcPr>
            <w:tcW w:w="1620" w:type="dxa"/>
            <w:vAlign w:val="bottom"/>
            <w:tcBorders>
              <w:bottom w:val="single" w:sz="8" w:color="CCCCCC"/>
            </w:tcBorders>
            <w:vMerge w:val="continue"/>
            <w:shd w:val="clear" w:color="auto" w:fill="CCCCCC"/>
          </w:tcPr>
          <w:p>
            <w:pPr>
              <w:spacing w:after="0"/>
              <w:rPr>
                <w:sz w:val="7"/>
                <w:szCs w:val="7"/>
                <w:color w:val="auto"/>
              </w:rPr>
            </w:pPr>
          </w:p>
        </w:tc>
        <w:tc>
          <w:tcPr>
            <w:tcW w:w="1580" w:type="dxa"/>
            <w:vAlign w:val="bottom"/>
            <w:tcBorders>
              <w:bottom w:val="single" w:sz="8" w:color="CCCCCC"/>
            </w:tcBorders>
            <w:vMerge w:val="continue"/>
            <w:shd w:val="clear" w:color="auto" w:fill="CCCCCC"/>
          </w:tcPr>
          <w:p>
            <w:pPr>
              <w:spacing w:after="0"/>
              <w:rPr>
                <w:sz w:val="7"/>
                <w:szCs w:val="7"/>
                <w:color w:val="auto"/>
              </w:rPr>
            </w:pPr>
          </w:p>
        </w:tc>
        <w:tc>
          <w:tcPr>
            <w:tcW w:w="1520" w:type="dxa"/>
            <w:vAlign w:val="bottom"/>
            <w:tcBorders>
              <w:bottom w:val="single" w:sz="8" w:color="CCCCCC"/>
            </w:tcBorders>
            <w:vMerge w:val="continue"/>
            <w:shd w:val="clear" w:color="auto" w:fill="CCCCCC"/>
          </w:tcPr>
          <w:p>
            <w:pPr>
              <w:spacing w:after="0"/>
              <w:rPr>
                <w:sz w:val="7"/>
                <w:szCs w:val="7"/>
                <w:color w:val="auto"/>
              </w:rPr>
            </w:pPr>
          </w:p>
        </w:tc>
        <w:tc>
          <w:tcPr>
            <w:tcW w:w="1560" w:type="dxa"/>
            <w:vAlign w:val="bottom"/>
            <w:tcBorders>
              <w:bottom w:val="single" w:sz="8" w:color="CCCCCC"/>
            </w:tcBorders>
            <w:shd w:val="clear" w:color="auto" w:fill="CCCCCC"/>
          </w:tcPr>
          <w:p>
            <w:pPr>
              <w:spacing w:after="0"/>
              <w:rPr>
                <w:sz w:val="7"/>
                <w:szCs w:val="7"/>
                <w:color w:val="auto"/>
              </w:rPr>
            </w:pPr>
          </w:p>
        </w:tc>
        <w:tc>
          <w:tcPr>
            <w:tcW w:w="0" w:type="dxa"/>
            <w:vAlign w:val="bottom"/>
          </w:tcPr>
          <w:p>
            <w:pPr>
              <w:spacing w:after="0"/>
              <w:rPr>
                <w:sz w:val="1"/>
                <w:szCs w:val="1"/>
                <w:color w:val="auto"/>
              </w:rPr>
            </w:pPr>
          </w:p>
        </w:tc>
      </w:tr>
      <w:tr>
        <w:trPr>
          <w:trHeight w:val="160"/>
        </w:trPr>
        <w:tc>
          <w:tcPr>
            <w:tcW w:w="1640" w:type="dxa"/>
            <w:vAlign w:val="bottom"/>
            <w:vMerge w:val="restart"/>
            <w:shd w:val="clear" w:color="auto" w:fill="2B4C9B"/>
          </w:tcPr>
          <w:p>
            <w:pPr>
              <w:jc w:val="center"/>
              <w:spacing w:after="0"/>
              <w:rPr>
                <w:sz w:val="20"/>
                <w:szCs w:val="20"/>
                <w:color w:val="auto"/>
              </w:rPr>
            </w:pPr>
            <w:r>
              <w:rPr>
                <w:rFonts w:ascii="Arial" w:cs="Arial" w:eastAsia="Arial" w:hAnsi="Arial"/>
                <w:sz w:val="14"/>
                <w:szCs w:val="14"/>
                <w:b w:val="1"/>
                <w:bCs w:val="1"/>
                <w:color w:val="FFFFFF"/>
              </w:rPr>
              <w:t>Status</w:t>
            </w:r>
          </w:p>
        </w:tc>
        <w:tc>
          <w:tcPr>
            <w:tcW w:w="1800" w:type="dxa"/>
            <w:vAlign w:val="bottom"/>
            <w:vMerge w:val="restart"/>
            <w:shd w:val="clear" w:color="auto" w:fill="E5E5E5"/>
          </w:tcPr>
          <w:p>
            <w:pPr>
              <w:jc w:val="center"/>
              <w:spacing w:after="0"/>
              <w:rPr>
                <w:sz w:val="20"/>
                <w:szCs w:val="20"/>
                <w:color w:val="auto"/>
              </w:rPr>
            </w:pPr>
            <w:r>
              <w:rPr>
                <w:rFonts w:ascii="Arial" w:cs="Arial" w:eastAsia="Arial" w:hAnsi="Arial"/>
                <w:sz w:val="14"/>
                <w:szCs w:val="14"/>
                <w:b w:val="1"/>
                <w:bCs w:val="1"/>
                <w:color w:val="auto"/>
              </w:rPr>
              <w:t>Leading</w:t>
            </w:r>
          </w:p>
        </w:tc>
        <w:tc>
          <w:tcPr>
            <w:tcW w:w="1620" w:type="dxa"/>
            <w:vAlign w:val="bottom"/>
            <w:vMerge w:val="restart"/>
            <w:shd w:val="clear" w:color="auto" w:fill="E5E5E5"/>
          </w:tcPr>
          <w:p>
            <w:pPr>
              <w:jc w:val="center"/>
              <w:spacing w:after="0"/>
              <w:rPr>
                <w:sz w:val="20"/>
                <w:szCs w:val="20"/>
                <w:color w:val="auto"/>
              </w:rPr>
            </w:pPr>
            <w:r>
              <w:rPr>
                <w:rFonts w:ascii="Arial" w:cs="Arial" w:eastAsia="Arial" w:hAnsi="Arial"/>
                <w:sz w:val="14"/>
                <w:szCs w:val="14"/>
                <w:b w:val="1"/>
                <w:bCs w:val="1"/>
                <w:color w:val="auto"/>
              </w:rPr>
              <w:t>Leading</w:t>
            </w:r>
          </w:p>
        </w:tc>
        <w:tc>
          <w:tcPr>
            <w:tcW w:w="1580" w:type="dxa"/>
            <w:vAlign w:val="bottom"/>
            <w:vMerge w:val="restart"/>
            <w:shd w:val="clear" w:color="auto" w:fill="E5E5E5"/>
          </w:tcPr>
          <w:p>
            <w:pPr>
              <w:jc w:val="center"/>
              <w:spacing w:after="0"/>
              <w:rPr>
                <w:sz w:val="20"/>
                <w:szCs w:val="20"/>
                <w:color w:val="auto"/>
              </w:rPr>
            </w:pPr>
            <w:r>
              <w:rPr>
                <w:rFonts w:ascii="Arial" w:cs="Arial" w:eastAsia="Arial" w:hAnsi="Arial"/>
                <w:sz w:val="14"/>
                <w:szCs w:val="14"/>
                <w:b w:val="1"/>
                <w:bCs w:val="1"/>
                <w:color w:val="auto"/>
              </w:rPr>
              <w:t>Leading</w:t>
            </w:r>
          </w:p>
        </w:tc>
        <w:tc>
          <w:tcPr>
            <w:tcW w:w="1520" w:type="dxa"/>
            <w:vAlign w:val="bottom"/>
            <w:vMerge w:val="restart"/>
            <w:shd w:val="clear" w:color="auto" w:fill="E5E5E5"/>
          </w:tcPr>
          <w:p>
            <w:pPr>
              <w:jc w:val="center"/>
              <w:spacing w:after="0"/>
              <w:rPr>
                <w:sz w:val="20"/>
                <w:szCs w:val="20"/>
                <w:color w:val="auto"/>
              </w:rPr>
            </w:pPr>
            <w:r>
              <w:rPr>
                <w:rFonts w:ascii="Arial" w:cs="Arial" w:eastAsia="Arial" w:hAnsi="Arial"/>
                <w:sz w:val="14"/>
                <w:szCs w:val="14"/>
                <w:b w:val="1"/>
                <w:bCs w:val="1"/>
                <w:color w:val="auto"/>
              </w:rPr>
              <w:t>Not Leading</w:t>
            </w:r>
          </w:p>
        </w:tc>
        <w:tc>
          <w:tcPr>
            <w:tcW w:w="1560" w:type="dxa"/>
            <w:vAlign w:val="bottom"/>
            <w:shd w:val="clear" w:color="auto" w:fill="E5E5E5"/>
          </w:tcPr>
          <w:p>
            <w:pPr>
              <w:jc w:val="center"/>
              <w:ind w:left="25"/>
              <w:spacing w:after="0"/>
              <w:rPr>
                <w:sz w:val="20"/>
                <w:szCs w:val="20"/>
                <w:color w:val="auto"/>
              </w:rPr>
            </w:pPr>
            <w:r>
              <w:rPr>
                <w:rFonts w:ascii="Arial" w:cs="Arial" w:eastAsia="Arial" w:hAnsi="Arial"/>
                <w:sz w:val="14"/>
                <w:szCs w:val="14"/>
                <w:b w:val="1"/>
                <w:bCs w:val="1"/>
                <w:color w:val="auto"/>
              </w:rPr>
              <w:t>Strong Results</w:t>
            </w:r>
          </w:p>
        </w:tc>
        <w:tc>
          <w:tcPr>
            <w:tcW w:w="0" w:type="dxa"/>
            <w:vAlign w:val="bottom"/>
          </w:tcPr>
          <w:p>
            <w:pPr>
              <w:spacing w:after="0"/>
              <w:rPr>
                <w:sz w:val="1"/>
                <w:szCs w:val="1"/>
                <w:color w:val="auto"/>
              </w:rPr>
            </w:pPr>
          </w:p>
        </w:tc>
      </w:tr>
      <w:tr>
        <w:trPr>
          <w:trHeight w:val="121"/>
        </w:trPr>
        <w:tc>
          <w:tcPr>
            <w:tcW w:w="1640" w:type="dxa"/>
            <w:vAlign w:val="bottom"/>
            <w:vMerge w:val="continue"/>
            <w:shd w:val="clear" w:color="auto" w:fill="2B4C9B"/>
          </w:tcPr>
          <w:p>
            <w:pPr>
              <w:spacing w:after="0"/>
              <w:rPr>
                <w:sz w:val="10"/>
                <w:szCs w:val="10"/>
                <w:color w:val="auto"/>
              </w:rPr>
            </w:pPr>
          </w:p>
        </w:tc>
        <w:tc>
          <w:tcPr>
            <w:tcW w:w="1800" w:type="dxa"/>
            <w:vAlign w:val="bottom"/>
            <w:vMerge w:val="continue"/>
            <w:shd w:val="clear" w:color="auto" w:fill="E5E5E5"/>
          </w:tcPr>
          <w:p>
            <w:pPr>
              <w:spacing w:after="0"/>
              <w:rPr>
                <w:sz w:val="10"/>
                <w:szCs w:val="10"/>
                <w:color w:val="auto"/>
              </w:rPr>
            </w:pPr>
          </w:p>
        </w:tc>
        <w:tc>
          <w:tcPr>
            <w:tcW w:w="1620" w:type="dxa"/>
            <w:vAlign w:val="bottom"/>
            <w:vMerge w:val="continue"/>
            <w:shd w:val="clear" w:color="auto" w:fill="E5E5E5"/>
          </w:tcPr>
          <w:p>
            <w:pPr>
              <w:spacing w:after="0"/>
              <w:rPr>
                <w:sz w:val="10"/>
                <w:szCs w:val="10"/>
                <w:color w:val="auto"/>
              </w:rPr>
            </w:pPr>
          </w:p>
        </w:tc>
        <w:tc>
          <w:tcPr>
            <w:tcW w:w="1580" w:type="dxa"/>
            <w:vAlign w:val="bottom"/>
            <w:vMerge w:val="continue"/>
            <w:shd w:val="clear" w:color="auto" w:fill="E5E5E5"/>
          </w:tcPr>
          <w:p>
            <w:pPr>
              <w:spacing w:after="0"/>
              <w:rPr>
                <w:sz w:val="10"/>
                <w:szCs w:val="10"/>
                <w:color w:val="auto"/>
              </w:rPr>
            </w:pPr>
          </w:p>
        </w:tc>
        <w:tc>
          <w:tcPr>
            <w:tcW w:w="1520" w:type="dxa"/>
            <w:vAlign w:val="bottom"/>
            <w:vMerge w:val="continue"/>
            <w:shd w:val="clear" w:color="auto" w:fill="E5E5E5"/>
          </w:tcPr>
          <w:p>
            <w:pPr>
              <w:spacing w:after="0"/>
              <w:rPr>
                <w:sz w:val="10"/>
                <w:szCs w:val="10"/>
                <w:color w:val="auto"/>
              </w:rPr>
            </w:pPr>
          </w:p>
        </w:tc>
        <w:tc>
          <w:tcPr>
            <w:tcW w:w="1560" w:type="dxa"/>
            <w:vAlign w:val="bottom"/>
            <w:vMerge w:val="restart"/>
            <w:shd w:val="clear" w:color="auto" w:fill="E5E5E5"/>
          </w:tcPr>
          <w:p>
            <w:pPr>
              <w:jc w:val="center"/>
              <w:ind w:left="25"/>
              <w:spacing w:after="0"/>
              <w:rPr>
                <w:sz w:val="20"/>
                <w:szCs w:val="20"/>
                <w:color w:val="auto"/>
              </w:rPr>
            </w:pPr>
            <w:r>
              <w:rPr>
                <w:rFonts w:ascii="Arial" w:cs="Arial" w:eastAsia="Arial" w:hAnsi="Arial"/>
                <w:sz w:val="14"/>
                <w:szCs w:val="14"/>
                <w:b w:val="1"/>
                <w:bCs w:val="1"/>
                <w:color w:val="auto"/>
              </w:rPr>
              <w:t>(see page 35)</w:t>
            </w:r>
          </w:p>
        </w:tc>
        <w:tc>
          <w:tcPr>
            <w:tcW w:w="0" w:type="dxa"/>
            <w:vAlign w:val="bottom"/>
          </w:tcPr>
          <w:p>
            <w:pPr>
              <w:spacing w:after="0"/>
              <w:rPr>
                <w:sz w:val="1"/>
                <w:szCs w:val="1"/>
                <w:color w:val="auto"/>
              </w:rPr>
            </w:pPr>
          </w:p>
        </w:tc>
      </w:tr>
      <w:tr>
        <w:trPr>
          <w:trHeight w:val="70"/>
        </w:trPr>
        <w:tc>
          <w:tcPr>
            <w:tcW w:w="1640" w:type="dxa"/>
            <w:vAlign w:val="bottom"/>
            <w:shd w:val="clear" w:color="auto" w:fill="2B4C9B"/>
          </w:tcPr>
          <w:p>
            <w:pPr>
              <w:spacing w:after="0"/>
              <w:rPr>
                <w:sz w:val="6"/>
                <w:szCs w:val="6"/>
                <w:color w:val="auto"/>
              </w:rPr>
            </w:pPr>
          </w:p>
        </w:tc>
        <w:tc>
          <w:tcPr>
            <w:tcW w:w="1800" w:type="dxa"/>
            <w:vAlign w:val="bottom"/>
            <w:shd w:val="clear" w:color="auto" w:fill="E5E5E5"/>
          </w:tcPr>
          <w:p>
            <w:pPr>
              <w:spacing w:after="0"/>
              <w:rPr>
                <w:sz w:val="6"/>
                <w:szCs w:val="6"/>
                <w:color w:val="auto"/>
              </w:rPr>
            </w:pPr>
          </w:p>
        </w:tc>
        <w:tc>
          <w:tcPr>
            <w:tcW w:w="1620" w:type="dxa"/>
            <w:vAlign w:val="bottom"/>
            <w:shd w:val="clear" w:color="auto" w:fill="E5E5E5"/>
          </w:tcPr>
          <w:p>
            <w:pPr>
              <w:spacing w:after="0"/>
              <w:rPr>
                <w:sz w:val="6"/>
                <w:szCs w:val="6"/>
                <w:color w:val="auto"/>
              </w:rPr>
            </w:pPr>
          </w:p>
        </w:tc>
        <w:tc>
          <w:tcPr>
            <w:tcW w:w="1580" w:type="dxa"/>
            <w:vAlign w:val="bottom"/>
            <w:shd w:val="clear" w:color="auto" w:fill="E5E5E5"/>
          </w:tcPr>
          <w:p>
            <w:pPr>
              <w:spacing w:after="0"/>
              <w:rPr>
                <w:sz w:val="6"/>
                <w:szCs w:val="6"/>
                <w:color w:val="auto"/>
              </w:rPr>
            </w:pPr>
          </w:p>
        </w:tc>
        <w:tc>
          <w:tcPr>
            <w:tcW w:w="1520" w:type="dxa"/>
            <w:vAlign w:val="bottom"/>
            <w:shd w:val="clear" w:color="auto" w:fill="E5E5E5"/>
          </w:tcPr>
          <w:p>
            <w:pPr>
              <w:spacing w:after="0"/>
              <w:rPr>
                <w:sz w:val="6"/>
                <w:szCs w:val="6"/>
                <w:color w:val="auto"/>
              </w:rPr>
            </w:pPr>
          </w:p>
        </w:tc>
        <w:tc>
          <w:tcPr>
            <w:tcW w:w="1560" w:type="dxa"/>
            <w:vAlign w:val="bottom"/>
            <w:vMerge w:val="continue"/>
            <w:shd w:val="clear" w:color="auto" w:fill="E5E5E5"/>
          </w:tcPr>
          <w:p>
            <w:pPr>
              <w:spacing w:after="0"/>
              <w:rPr>
                <w:sz w:val="6"/>
                <w:szCs w:val="6"/>
                <w:color w:val="auto"/>
              </w:rPr>
            </w:pPr>
          </w:p>
        </w:tc>
        <w:tc>
          <w:tcPr>
            <w:tcW w:w="0" w:type="dxa"/>
            <w:vAlign w:val="bottom"/>
          </w:tcPr>
          <w:p>
            <w:pPr>
              <w:spacing w:after="0"/>
              <w:rPr>
                <w:sz w:val="1"/>
                <w:szCs w:val="1"/>
                <w:color w:val="auto"/>
              </w:rPr>
            </w:pPr>
          </w:p>
        </w:tc>
      </w:tr>
      <w:tr>
        <w:trPr>
          <w:trHeight w:val="289"/>
        </w:trPr>
        <w:tc>
          <w:tcPr>
            <w:tcW w:w="3440" w:type="dxa"/>
            <w:vAlign w:val="bottom"/>
            <w:gridSpan w:val="2"/>
          </w:tcPr>
          <w:p>
            <w:pPr>
              <w:spacing w:after="0"/>
              <w:rPr>
                <w:sz w:val="20"/>
                <w:szCs w:val="20"/>
                <w:color w:val="auto"/>
              </w:rPr>
            </w:pPr>
            <w:r>
              <w:rPr>
                <w:rFonts w:ascii="Arial" w:cs="Arial" w:eastAsia="Arial" w:hAnsi="Arial"/>
                <w:sz w:val="14"/>
                <w:szCs w:val="14"/>
                <w:color w:val="auto"/>
              </w:rPr>
              <w:t>* Highest priority metrics considered by CC</w:t>
            </w:r>
          </w:p>
        </w:tc>
        <w:tc>
          <w:tcPr>
            <w:tcW w:w="162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1520" w:type="dxa"/>
            <w:vAlign w:val="bottom"/>
          </w:tcPr>
          <w:p>
            <w:pPr>
              <w:spacing w:after="0"/>
              <w:rPr>
                <w:sz w:val="24"/>
                <w:szCs w:val="24"/>
                <w:color w:val="auto"/>
              </w:rPr>
            </w:pPr>
          </w:p>
        </w:tc>
        <w:tc>
          <w:tcPr>
            <w:tcW w:w="15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525"/>
        </w:trPr>
        <w:tc>
          <w:tcPr>
            <w:tcW w:w="1640" w:type="dxa"/>
            <w:vAlign w:val="bottom"/>
          </w:tcPr>
          <w:p>
            <w:pPr>
              <w:spacing w:after="0"/>
              <w:rPr>
                <w:sz w:val="24"/>
                <w:szCs w:val="24"/>
                <w:color w:val="auto"/>
              </w:rPr>
            </w:pPr>
          </w:p>
        </w:tc>
        <w:tc>
          <w:tcPr>
            <w:tcW w:w="1800" w:type="dxa"/>
            <w:vAlign w:val="bottom"/>
          </w:tcPr>
          <w:p>
            <w:pPr>
              <w:spacing w:after="0"/>
              <w:rPr>
                <w:sz w:val="24"/>
                <w:szCs w:val="24"/>
                <w:color w:val="auto"/>
              </w:rPr>
            </w:pPr>
          </w:p>
        </w:tc>
        <w:tc>
          <w:tcPr>
            <w:tcW w:w="1620" w:type="dxa"/>
            <w:vAlign w:val="bottom"/>
          </w:tcPr>
          <w:p>
            <w:pPr>
              <w:spacing w:after="0"/>
              <w:rPr>
                <w:sz w:val="24"/>
                <w:szCs w:val="24"/>
                <w:color w:val="auto"/>
              </w:rPr>
            </w:pPr>
          </w:p>
        </w:tc>
        <w:tc>
          <w:tcPr>
            <w:tcW w:w="3100" w:type="dxa"/>
            <w:vAlign w:val="bottom"/>
            <w:gridSpan w:val="2"/>
          </w:tcPr>
          <w:p>
            <w:pPr>
              <w:ind w:left="1040"/>
              <w:spacing w:after="0"/>
              <w:rPr>
                <w:sz w:val="20"/>
                <w:szCs w:val="20"/>
                <w:color w:val="auto"/>
              </w:rPr>
            </w:pPr>
            <w:r>
              <w:rPr>
                <w:rFonts w:ascii="Times New Roman" w:cs="Times New Roman" w:eastAsia="Times New Roman" w:hAnsi="Times New Roman"/>
                <w:sz w:val="18"/>
                <w:szCs w:val="18"/>
                <w:i w:val="1"/>
                <w:iCs w:val="1"/>
                <w:color w:val="auto"/>
              </w:rPr>
              <w:t>2018 Proxy Statement</w:t>
            </w:r>
          </w:p>
        </w:tc>
        <w:tc>
          <w:tcPr>
            <w:tcW w:w="1560" w:type="dxa"/>
            <w:vAlign w:val="bottom"/>
          </w:tcPr>
          <w:p>
            <w:pPr>
              <w:jc w:val="right"/>
              <w:ind w:right="45"/>
              <w:spacing w:after="0"/>
              <w:rPr>
                <w:sz w:val="20"/>
                <w:szCs w:val="20"/>
                <w:color w:val="auto"/>
              </w:rPr>
            </w:pPr>
            <w:r>
              <w:rPr>
                <w:rFonts w:ascii="Arial" w:cs="Arial" w:eastAsia="Arial" w:hAnsi="Arial"/>
                <w:sz w:val="18"/>
                <w:szCs w:val="18"/>
                <w:color w:val="auto"/>
              </w:rPr>
              <w:t>29</w:t>
            </w:r>
          </w:p>
        </w:tc>
        <w:tc>
          <w:tcPr>
            <w:tcW w:w="0" w:type="dxa"/>
            <w:vAlign w:val="bottom"/>
          </w:tcPr>
          <w:p>
            <w:pPr>
              <w:spacing w:after="0"/>
              <w:rPr>
                <w:sz w:val="1"/>
                <w:szCs w:val="1"/>
                <w:color w:val="auto"/>
              </w:rPr>
            </w:pPr>
          </w:p>
        </w:tc>
      </w:tr>
    </w:tbl>
    <w:p>
      <w:pPr>
        <w:sectPr>
          <w:pgSz w:w="11900" w:h="16838" w:orient="portrait"/>
          <w:cols w:equalWidth="0" w:num="1">
            <w:col w:w="10580"/>
          </w:cols>
          <w:pgMar w:left="240" w:top="455" w:right="1079" w:bottom="1440" w:gutter="0" w:footer="0" w:header="0"/>
        </w:sectPr>
      </w:pPr>
    </w:p>
    <w:bookmarkStart w:id="32" w:name="page33"/>
    <w:bookmarkEnd w:id="32"/>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Times New Roman" w:cs="Times New Roman" w:eastAsia="Times New Roman" w:hAnsi="Times New Roman"/>
            <w:sz w:val="18"/>
            <w:szCs w:val="18"/>
            <w:b w:val="1"/>
            <w:bCs w:val="1"/>
            <w:u w:val="single" w:color="auto"/>
            <w:color w:val="0000EE"/>
          </w:rPr>
          <w:t>Table of Contents</w:t>
        </w:r>
      </w:hyperlink>
    </w:p>
    <w:p>
      <w:pPr>
        <w:spacing w:after="0" w:line="297" w:lineRule="exact"/>
        <w:rPr>
          <w:sz w:val="20"/>
          <w:szCs w:val="20"/>
          <w:color w:val="auto"/>
        </w:rPr>
      </w:pPr>
    </w:p>
    <w:p>
      <w:pPr>
        <w:ind w:left="860"/>
        <w:spacing w:after="0"/>
        <w:rPr>
          <w:sz w:val="20"/>
          <w:szCs w:val="20"/>
          <w:color w:val="auto"/>
        </w:rPr>
      </w:pPr>
      <w:r>
        <w:rPr>
          <w:rFonts w:ascii="Arial" w:cs="Arial" w:eastAsia="Arial" w:hAnsi="Arial"/>
          <w:sz w:val="25"/>
          <w:szCs w:val="25"/>
          <w:color w:val="auto"/>
        </w:rPr>
        <w:t>Performance Share Program</w:t>
      </w:r>
    </w:p>
    <w:p>
      <w:pPr>
        <w:spacing w:after="0" w:line="366" w:lineRule="exact"/>
        <w:rPr>
          <w:sz w:val="20"/>
          <w:szCs w:val="20"/>
          <w:color w:val="auto"/>
        </w:rPr>
      </w:pPr>
    </w:p>
    <w:p>
      <w:pPr>
        <w:ind w:left="860"/>
        <w:spacing w:after="0"/>
        <w:rPr>
          <w:sz w:val="20"/>
          <w:szCs w:val="20"/>
          <w:color w:val="auto"/>
        </w:rPr>
      </w:pPr>
      <w:r>
        <w:rPr>
          <w:rFonts w:ascii="Arial" w:cs="Arial" w:eastAsia="Arial" w:hAnsi="Arial"/>
          <w:sz w:val="23"/>
          <w:szCs w:val="23"/>
          <w:color w:val="2B4C9B"/>
        </w:rPr>
        <w:t>Design Principles</w:t>
      </w:r>
    </w:p>
    <w:p>
      <w:pPr>
        <w:spacing w:after="0" w:line="106" w:lineRule="exact"/>
        <w:rPr>
          <w:sz w:val="20"/>
          <w:szCs w:val="20"/>
          <w:color w:val="auto"/>
        </w:rPr>
      </w:pPr>
    </w:p>
    <w:p>
      <w:pPr>
        <w:ind w:left="860"/>
        <w:spacing w:after="0" w:line="294" w:lineRule="auto"/>
        <w:rPr>
          <w:sz w:val="20"/>
          <w:szCs w:val="20"/>
          <w:color w:val="auto"/>
        </w:rPr>
      </w:pPr>
      <w:r>
        <w:rPr>
          <w:rFonts w:ascii="Arial" w:cs="Arial" w:eastAsia="Arial" w:hAnsi="Arial"/>
          <w:sz w:val="18"/>
          <w:szCs w:val="18"/>
          <w:b w:val="1"/>
          <w:bCs w:val="1"/>
          <w:color w:val="auto"/>
        </w:rPr>
        <w:t xml:space="preserve">Shareholder alignment </w:t>
      </w:r>
      <w:r>
        <w:rPr>
          <w:rFonts w:ascii="Arial" w:cs="Arial" w:eastAsia="Arial" w:hAnsi="Arial"/>
          <w:sz w:val="18"/>
          <w:szCs w:val="18"/>
          <w:color w:val="auto"/>
        </w:rPr>
        <w:t>By design, the majority of executive compensation is delivered in performance shares, aligning</w:t>
      </w:r>
      <w:r>
        <w:rPr>
          <w:rFonts w:ascii="Arial" w:cs="Arial" w:eastAsia="Arial" w:hAnsi="Arial"/>
          <w:sz w:val="18"/>
          <w:szCs w:val="18"/>
          <w:b w:val="1"/>
          <w:bCs w:val="1"/>
          <w:color w:val="auto"/>
        </w:rPr>
        <w:t xml:space="preserve"> </w:t>
      </w:r>
      <w:r>
        <w:rPr>
          <w:rFonts w:ascii="Arial" w:cs="Arial" w:eastAsia="Arial" w:hAnsi="Arial"/>
          <w:sz w:val="18"/>
          <w:szCs w:val="18"/>
          <w:color w:val="auto"/>
        </w:rPr>
        <w:t>executive pay with the experience of long-term shareholders</w:t>
      </w:r>
    </w:p>
    <w:p>
      <w:pPr>
        <w:spacing w:after="0" w:line="128" w:lineRule="exact"/>
        <w:rPr>
          <w:sz w:val="20"/>
          <w:szCs w:val="20"/>
          <w:color w:val="auto"/>
        </w:rPr>
      </w:pPr>
    </w:p>
    <w:p>
      <w:pPr>
        <w:ind w:left="860" w:right="220"/>
        <w:spacing w:after="0" w:line="294" w:lineRule="auto"/>
        <w:rPr>
          <w:sz w:val="20"/>
          <w:szCs w:val="20"/>
          <w:color w:val="auto"/>
        </w:rPr>
      </w:pPr>
      <w:r>
        <w:rPr>
          <w:rFonts w:ascii="Arial" w:cs="Arial" w:eastAsia="Arial" w:hAnsi="Arial"/>
          <w:sz w:val="18"/>
          <w:szCs w:val="18"/>
          <w:b w:val="1"/>
          <w:bCs w:val="1"/>
          <w:color w:val="auto"/>
        </w:rPr>
        <w:t xml:space="preserve">Performance-based program using highest standards </w:t>
      </w:r>
      <w:r>
        <w:rPr>
          <w:rFonts w:ascii="Arial" w:cs="Arial" w:eastAsia="Arial" w:hAnsi="Arial"/>
          <w:sz w:val="18"/>
          <w:szCs w:val="18"/>
          <w:color w:val="auto"/>
        </w:rPr>
        <w:t>Level of performance share grant is determined by relative</w:t>
      </w:r>
      <w:r>
        <w:rPr>
          <w:rFonts w:ascii="Arial" w:cs="Arial" w:eastAsia="Arial" w:hAnsi="Arial"/>
          <w:sz w:val="18"/>
          <w:szCs w:val="18"/>
          <w:b w:val="1"/>
          <w:bCs w:val="1"/>
          <w:color w:val="auto"/>
        </w:rPr>
        <w:t xml:space="preserve"> </w:t>
      </w:r>
      <w:r>
        <w:rPr>
          <w:rFonts w:ascii="Arial" w:cs="Arial" w:eastAsia="Arial" w:hAnsi="Arial"/>
          <w:sz w:val="18"/>
          <w:szCs w:val="18"/>
          <w:color w:val="auto"/>
        </w:rPr>
        <w:t>Company performance versus industry peers in five pre-established performance metrics</w:t>
      </w:r>
    </w:p>
    <w:p>
      <w:pPr>
        <w:spacing w:after="0" w:line="128" w:lineRule="exact"/>
        <w:rPr>
          <w:sz w:val="20"/>
          <w:szCs w:val="20"/>
          <w:color w:val="auto"/>
        </w:rPr>
      </w:pPr>
    </w:p>
    <w:p>
      <w:pPr>
        <w:ind w:left="860" w:right="60"/>
        <w:spacing w:after="0" w:line="254" w:lineRule="auto"/>
        <w:rPr>
          <w:sz w:val="20"/>
          <w:szCs w:val="20"/>
          <w:color w:val="auto"/>
        </w:rPr>
      </w:pPr>
      <w:r>
        <w:rPr>
          <w:rFonts w:ascii="Arial" w:cs="Arial" w:eastAsia="Arial" w:hAnsi="Arial"/>
          <w:sz w:val="18"/>
          <w:szCs w:val="18"/>
          <w:b w:val="1"/>
          <w:bCs w:val="1"/>
          <w:color w:val="auto"/>
        </w:rPr>
        <w:t xml:space="preserve">Performance metrics applied at grant </w:t>
      </w:r>
      <w:r>
        <w:rPr>
          <w:rFonts w:ascii="Arial" w:cs="Arial" w:eastAsia="Arial" w:hAnsi="Arial"/>
          <w:sz w:val="18"/>
          <w:szCs w:val="18"/>
          <w:color w:val="auto"/>
        </w:rPr>
        <w:t>Enables performance and restriction periods of 5 years, 10 years, and longer.</w:t>
      </w:r>
      <w:r>
        <w:rPr>
          <w:rFonts w:ascii="Arial" w:cs="Arial" w:eastAsia="Arial" w:hAnsi="Arial"/>
          <w:sz w:val="18"/>
          <w:szCs w:val="18"/>
          <w:b w:val="1"/>
          <w:bCs w:val="1"/>
          <w:color w:val="auto"/>
        </w:rPr>
        <w:t xml:space="preserve"> </w:t>
      </w:r>
      <w:r>
        <w:rPr>
          <w:rFonts w:ascii="Arial" w:cs="Arial" w:eastAsia="Arial" w:hAnsi="Arial"/>
          <w:sz w:val="18"/>
          <w:szCs w:val="18"/>
          <w:color w:val="auto"/>
        </w:rPr>
        <w:t>This is important because the alternative of applying performance metrics at vest would require line of sight to credibly and practically set targets, thus requiring shorter performance and restriction periods. Shorter performance and restriction periods would be misaligned with our business model and the experience of long-term shareholders</w:t>
      </w:r>
    </w:p>
    <w:p>
      <w:pPr>
        <w:spacing w:after="0" w:line="164" w:lineRule="exact"/>
        <w:rPr>
          <w:sz w:val="20"/>
          <w:szCs w:val="20"/>
          <w:color w:val="auto"/>
        </w:rPr>
      </w:pPr>
    </w:p>
    <w:p>
      <w:pPr>
        <w:jc w:val="both"/>
        <w:ind w:left="860" w:right="40"/>
        <w:spacing w:after="0" w:line="264" w:lineRule="auto"/>
        <w:rPr>
          <w:sz w:val="20"/>
          <w:szCs w:val="20"/>
          <w:color w:val="auto"/>
        </w:rPr>
      </w:pPr>
      <w:r>
        <w:rPr>
          <w:rFonts w:ascii="Arial" w:cs="Arial" w:eastAsia="Arial" w:hAnsi="Arial"/>
          <w:sz w:val="18"/>
          <w:szCs w:val="18"/>
          <w:b w:val="1"/>
          <w:bCs w:val="1"/>
          <w:color w:val="auto"/>
        </w:rPr>
        <w:t xml:space="preserve">Promotes retention and long-term view </w:t>
      </w:r>
      <w:r>
        <w:rPr>
          <w:rFonts w:ascii="Arial" w:cs="Arial" w:eastAsia="Arial" w:hAnsi="Arial"/>
          <w:sz w:val="18"/>
          <w:szCs w:val="18"/>
          <w:color w:val="auto"/>
        </w:rPr>
        <w:t>Majority of compensation delayed due to restriction periods up to three times</w:t>
      </w:r>
      <w:r>
        <w:rPr>
          <w:rFonts w:ascii="Arial" w:cs="Arial" w:eastAsia="Arial" w:hAnsi="Arial"/>
          <w:sz w:val="18"/>
          <w:szCs w:val="18"/>
          <w:b w:val="1"/>
          <w:bCs w:val="1"/>
          <w:color w:val="auto"/>
        </w:rPr>
        <w:t xml:space="preserve"> </w:t>
      </w:r>
      <w:r>
        <w:rPr>
          <w:rFonts w:ascii="Arial" w:cs="Arial" w:eastAsia="Arial" w:hAnsi="Arial"/>
          <w:sz w:val="18"/>
          <w:szCs w:val="18"/>
          <w:color w:val="auto"/>
        </w:rPr>
        <w:t>longer than industry peers, with a significant portion restricted beyond retirement and at risk of forfeiture. This convention strengthens retention and achieves alignment with the experience of long-term shareholders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545465</wp:posOffset>
            </wp:positionH>
            <wp:positionV relativeFrom="paragraph">
              <wp:posOffset>144780</wp:posOffset>
            </wp:positionV>
            <wp:extent cx="5771515" cy="2178050"/>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5771515" cy="217805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9" w:lineRule="exact"/>
        <w:rPr>
          <w:sz w:val="20"/>
          <w:szCs w:val="20"/>
          <w:color w:val="auto"/>
        </w:rPr>
      </w:pPr>
    </w:p>
    <w:p>
      <w:pPr>
        <w:ind w:left="860"/>
        <w:spacing w:after="0"/>
        <w:rPr>
          <w:sz w:val="20"/>
          <w:szCs w:val="20"/>
          <w:color w:val="auto"/>
        </w:rPr>
      </w:pPr>
      <w:r>
        <w:rPr>
          <w:rFonts w:ascii="Arial" w:cs="Arial" w:eastAsia="Arial" w:hAnsi="Arial"/>
          <w:sz w:val="23"/>
          <w:szCs w:val="23"/>
          <w:color w:val="2B4C9B"/>
        </w:rPr>
        <w:t>Long Restriction Periods</w:t>
      </w:r>
    </w:p>
    <w:p>
      <w:pPr>
        <w:spacing w:after="0" w:line="106" w:lineRule="exact"/>
        <w:rPr>
          <w:sz w:val="20"/>
          <w:szCs w:val="20"/>
          <w:color w:val="auto"/>
        </w:rPr>
      </w:pPr>
    </w:p>
    <w:p>
      <w:pPr>
        <w:ind w:left="860" w:right="100"/>
        <w:spacing w:after="0" w:line="294" w:lineRule="auto"/>
        <w:rPr>
          <w:sz w:val="20"/>
          <w:szCs w:val="20"/>
          <w:color w:val="auto"/>
        </w:rPr>
      </w:pPr>
      <w:r>
        <w:rPr>
          <w:rFonts w:ascii="Arial" w:cs="Arial" w:eastAsia="Arial" w:hAnsi="Arial"/>
          <w:sz w:val="18"/>
          <w:szCs w:val="18"/>
          <w:b w:val="1"/>
          <w:bCs w:val="1"/>
          <w:color w:val="auto"/>
        </w:rPr>
        <w:t xml:space="preserve">Longest restrictions in industry </w:t>
      </w:r>
      <w:r>
        <w:rPr>
          <w:rFonts w:ascii="Arial" w:cs="Arial" w:eastAsia="Arial" w:hAnsi="Arial"/>
          <w:sz w:val="18"/>
          <w:szCs w:val="18"/>
          <w:color w:val="auto"/>
        </w:rPr>
        <w:t>Restriction periods for senior executives far exceed typical three-year vesting that is</w:t>
      </w:r>
      <w:r>
        <w:rPr>
          <w:rFonts w:ascii="Arial" w:cs="Arial" w:eastAsia="Arial" w:hAnsi="Arial"/>
          <w:sz w:val="18"/>
          <w:szCs w:val="18"/>
          <w:b w:val="1"/>
          <w:bCs w:val="1"/>
          <w:color w:val="auto"/>
        </w:rPr>
        <w:t xml:space="preserve"> </w:t>
      </w:r>
      <w:r>
        <w:rPr>
          <w:rFonts w:ascii="Arial" w:cs="Arial" w:eastAsia="Arial" w:hAnsi="Arial"/>
          <w:sz w:val="18"/>
          <w:szCs w:val="18"/>
          <w:color w:val="auto"/>
        </w:rPr>
        <w:t>common across most industries</w:t>
      </w:r>
    </w:p>
    <w:p>
      <w:pPr>
        <w:spacing w:after="0" w:line="128" w:lineRule="exact"/>
        <w:rPr>
          <w:sz w:val="20"/>
          <w:szCs w:val="20"/>
          <w:color w:val="auto"/>
        </w:rPr>
      </w:pPr>
    </w:p>
    <w:p>
      <w:pPr>
        <w:ind w:left="860" w:right="220"/>
        <w:spacing w:after="0" w:line="294" w:lineRule="auto"/>
        <w:rPr>
          <w:sz w:val="20"/>
          <w:szCs w:val="20"/>
          <w:color w:val="auto"/>
        </w:rPr>
      </w:pPr>
      <w:r>
        <w:rPr>
          <w:rFonts w:ascii="Arial" w:cs="Arial" w:eastAsia="Arial" w:hAnsi="Arial"/>
          <w:sz w:val="18"/>
          <w:szCs w:val="18"/>
          <w:b w:val="1"/>
          <w:bCs w:val="1"/>
          <w:color w:val="auto"/>
        </w:rPr>
        <w:t xml:space="preserve">Restrictions aligned with investment lead times of business </w:t>
      </w:r>
      <w:r>
        <w:rPr>
          <w:rFonts w:ascii="Arial" w:cs="Arial" w:eastAsia="Arial" w:hAnsi="Arial"/>
          <w:sz w:val="18"/>
          <w:szCs w:val="18"/>
          <w:color w:val="auto"/>
        </w:rPr>
        <w:t>Performance shares vest 50 percent in 5 years from</w:t>
      </w:r>
      <w:r>
        <w:rPr>
          <w:rFonts w:ascii="Arial" w:cs="Arial" w:eastAsia="Arial" w:hAnsi="Arial"/>
          <w:sz w:val="18"/>
          <w:szCs w:val="18"/>
          <w:b w:val="1"/>
          <w:bCs w:val="1"/>
          <w:color w:val="auto"/>
        </w:rPr>
        <w:t xml:space="preserve"> </w:t>
      </w:r>
      <w:r>
        <w:rPr>
          <w:rFonts w:ascii="Arial" w:cs="Arial" w:eastAsia="Arial" w:hAnsi="Arial"/>
          <w:sz w:val="18"/>
          <w:szCs w:val="18"/>
          <w:color w:val="auto"/>
        </w:rPr>
        <w:t>grant date and 50 percent in 10 years or retirement, whichever is later; vesting is not accelerated upon retirement</w:t>
      </w:r>
    </w:p>
    <w:p>
      <w:pPr>
        <w:spacing w:after="0" w:line="150" w:lineRule="exact"/>
        <w:rPr>
          <w:sz w:val="20"/>
          <w:szCs w:val="20"/>
          <w:color w:val="auto"/>
        </w:rPr>
      </w:pPr>
    </w:p>
    <w:p>
      <w:pPr>
        <w:ind w:left="860"/>
        <w:spacing w:after="0"/>
        <w:rPr>
          <w:sz w:val="20"/>
          <w:szCs w:val="20"/>
          <w:color w:val="auto"/>
        </w:rPr>
      </w:pPr>
      <w:r>
        <w:rPr>
          <w:rFonts w:ascii="Arial" w:cs="Arial" w:eastAsia="Arial" w:hAnsi="Arial"/>
          <w:sz w:val="18"/>
          <w:szCs w:val="18"/>
          <w:b w:val="1"/>
          <w:bCs w:val="1"/>
          <w:color w:val="auto"/>
        </w:rPr>
        <w:t>Illustration of long-term orientation of performance share program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751205</wp:posOffset>
            </wp:positionH>
            <wp:positionV relativeFrom="paragraph">
              <wp:posOffset>167640</wp:posOffset>
            </wp:positionV>
            <wp:extent cx="5763260" cy="480060"/>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5763260" cy="48006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1" w:lineRule="exact"/>
        <w:rPr>
          <w:sz w:val="20"/>
          <w:szCs w:val="20"/>
          <w:color w:val="auto"/>
        </w:rPr>
      </w:pPr>
    </w:p>
    <w:p>
      <w:pPr>
        <w:ind w:left="860"/>
        <w:spacing w:after="0"/>
        <w:rPr>
          <w:sz w:val="20"/>
          <w:szCs w:val="20"/>
          <w:color w:val="auto"/>
        </w:rPr>
      </w:pPr>
      <w:r>
        <w:rPr>
          <w:rFonts w:ascii="Arial" w:cs="Arial" w:eastAsia="Arial" w:hAnsi="Arial"/>
          <w:sz w:val="14"/>
          <w:szCs w:val="14"/>
          <w:i w:val="1"/>
          <w:iCs w:val="1"/>
          <w:color w:val="auto"/>
        </w:rPr>
        <w:t>Illustration shows retirement at year-end 2029; last grant vests in 2039</w:t>
      </w:r>
    </w:p>
    <w:p>
      <w:pPr>
        <w:spacing w:after="0" w:line="306" w:lineRule="exact"/>
        <w:rPr>
          <w:sz w:val="20"/>
          <w:szCs w:val="20"/>
          <w:color w:val="auto"/>
        </w:rPr>
      </w:pPr>
    </w:p>
    <w:p>
      <w:pPr>
        <w:ind w:left="880"/>
        <w:spacing w:after="0"/>
        <w:tabs>
          <w:tab w:leader="none" w:pos="2780" w:val="left"/>
        </w:tabs>
        <w:rPr>
          <w:sz w:val="20"/>
          <w:szCs w:val="20"/>
          <w:color w:val="auto"/>
        </w:rPr>
      </w:pPr>
      <w:r>
        <w:rPr>
          <w:rFonts w:ascii="Arial" w:cs="Arial" w:eastAsia="Arial" w:hAnsi="Arial"/>
          <w:sz w:val="18"/>
          <w:szCs w:val="18"/>
          <w:color w:val="auto"/>
        </w:rPr>
        <w:t>30</w:t>
      </w:r>
      <w:r>
        <w:rPr>
          <w:sz w:val="20"/>
          <w:szCs w:val="20"/>
          <w:color w:val="auto"/>
        </w:rPr>
        <w:tab/>
      </w:r>
      <w:r>
        <w:rPr>
          <w:rFonts w:ascii="Times New Roman" w:cs="Times New Roman" w:eastAsia="Times New Roman" w:hAnsi="Times New Roman"/>
          <w:sz w:val="18"/>
          <w:szCs w:val="18"/>
          <w:i w:val="1"/>
          <w:iCs w:val="1"/>
          <w:color w:val="auto"/>
        </w:rPr>
        <w:t>2018 Proxy Statement</w:t>
      </w:r>
    </w:p>
    <w:p>
      <w:pPr>
        <w:sectPr>
          <w:pgSz w:w="11900" w:h="16838" w:orient="portrait"/>
          <w:cols w:equalWidth="0" w:num="1">
            <w:col w:w="10560"/>
          </w:cols>
          <w:pgMar w:left="240" w:top="455" w:right="1099" w:bottom="1440" w:gutter="0" w:footer="0" w:header="0"/>
        </w:sectPr>
      </w:pPr>
    </w:p>
    <w:bookmarkStart w:id="33" w:name="page34"/>
    <w:bookmarkEnd w:id="33"/>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Times New Roman" w:cs="Times New Roman" w:eastAsia="Times New Roman" w:hAnsi="Times New Roman"/>
            <w:sz w:val="18"/>
            <w:szCs w:val="18"/>
            <w:b w:val="1"/>
            <w:bCs w:val="1"/>
            <w:u w:val="single" w:color="auto"/>
            <w:color w:val="0000EE"/>
          </w:rPr>
          <w:t>Table of Contents</w:t>
        </w:r>
      </w:hyperlink>
    </w:p>
    <w:p>
      <w:pPr>
        <w:spacing w:after="0" w:line="200" w:lineRule="exact"/>
        <w:rPr>
          <w:sz w:val="20"/>
          <w:szCs w:val="20"/>
          <w:color w:val="auto"/>
        </w:rPr>
      </w:pPr>
    </w:p>
    <w:p>
      <w:pPr>
        <w:spacing w:after="0" w:line="399" w:lineRule="exact"/>
        <w:rPr>
          <w:sz w:val="20"/>
          <w:szCs w:val="20"/>
          <w:color w:val="auto"/>
        </w:rPr>
      </w:pPr>
    </w:p>
    <w:p>
      <w:pPr>
        <w:ind w:left="860"/>
        <w:spacing w:after="0"/>
        <w:rPr>
          <w:sz w:val="20"/>
          <w:szCs w:val="20"/>
          <w:color w:val="auto"/>
        </w:rPr>
      </w:pPr>
      <w:r>
        <w:rPr>
          <w:rFonts w:ascii="Arial" w:cs="Arial" w:eastAsia="Arial" w:hAnsi="Arial"/>
          <w:sz w:val="23"/>
          <w:szCs w:val="23"/>
          <w:color w:val="2B4C9B"/>
        </w:rPr>
        <w:t>Examples of Why Long Restriction Periods Align with ExxonMobil’s Business Model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742315</wp:posOffset>
            </wp:positionH>
            <wp:positionV relativeFrom="paragraph">
              <wp:posOffset>182880</wp:posOffset>
            </wp:positionV>
            <wp:extent cx="5771515" cy="6689090"/>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5771515" cy="66890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3" w:lineRule="exact"/>
        <w:rPr>
          <w:sz w:val="20"/>
          <w:szCs w:val="20"/>
          <w:color w:val="auto"/>
        </w:rPr>
      </w:pPr>
    </w:p>
    <w:tbl>
      <w:tblPr>
        <w:tblLayout w:type="fixed"/>
        <w:tblInd w:w="6960" w:type="dxa"/>
        <w:tblCellMar>
          <w:top w:w="0" w:type="dxa"/>
          <w:left w:w="0" w:type="dxa"/>
          <w:bottom w:w="0" w:type="dxa"/>
          <w:right w:w="0" w:type="dxa"/>
        </w:tblCellMar>
      </w:tblPr>
      <w:tr>
        <w:trPr>
          <w:trHeight w:val="243"/>
        </w:trPr>
        <w:tc>
          <w:tcPr>
            <w:tcW w:w="2440" w:type="dxa"/>
            <w:vAlign w:val="bottom"/>
          </w:tcPr>
          <w:p>
            <w:pPr>
              <w:spacing w:after="0"/>
              <w:rPr>
                <w:sz w:val="20"/>
                <w:szCs w:val="20"/>
                <w:color w:val="auto"/>
              </w:rPr>
            </w:pPr>
            <w:r>
              <w:rPr>
                <w:rFonts w:ascii="Times New Roman" w:cs="Times New Roman" w:eastAsia="Times New Roman" w:hAnsi="Times New Roman"/>
                <w:sz w:val="18"/>
                <w:szCs w:val="18"/>
                <w:i w:val="1"/>
                <w:iCs w:val="1"/>
                <w:color w:val="auto"/>
              </w:rPr>
              <w:t>2018 Proxy Statement</w:t>
            </w:r>
          </w:p>
        </w:tc>
        <w:tc>
          <w:tcPr>
            <w:tcW w:w="1060" w:type="dxa"/>
            <w:vAlign w:val="bottom"/>
          </w:tcPr>
          <w:p>
            <w:pPr>
              <w:jc w:val="right"/>
              <w:spacing w:after="0"/>
              <w:rPr>
                <w:sz w:val="20"/>
                <w:szCs w:val="20"/>
                <w:color w:val="auto"/>
              </w:rPr>
            </w:pPr>
            <w:r>
              <w:rPr>
                <w:rFonts w:ascii="Arial" w:cs="Arial" w:eastAsia="Arial" w:hAnsi="Arial"/>
                <w:sz w:val="18"/>
                <w:szCs w:val="18"/>
                <w:color w:val="auto"/>
              </w:rPr>
              <w:t>31</w:t>
            </w:r>
          </w:p>
        </w:tc>
      </w:tr>
    </w:tbl>
    <w:p>
      <w:pPr>
        <w:sectPr>
          <w:pgSz w:w="11900" w:h="16838" w:orient="portrait"/>
          <w:cols w:equalWidth="0" w:num="1">
            <w:col w:w="10460"/>
          </w:cols>
          <w:pgMar w:left="240" w:top="455" w:right="1199" w:bottom="1440" w:gutter="0" w:footer="0" w:header="0"/>
        </w:sectPr>
      </w:pPr>
    </w:p>
    <w:bookmarkStart w:id="34" w:name="page35"/>
    <w:bookmarkEnd w:id="34"/>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Times New Roman" w:cs="Times New Roman" w:eastAsia="Times New Roman" w:hAnsi="Times New Roman"/>
            <w:sz w:val="18"/>
            <w:szCs w:val="18"/>
            <w:b w:val="1"/>
            <w:bCs w:val="1"/>
            <w:u w:val="single" w:color="auto"/>
            <w:color w:val="0000EE"/>
          </w:rPr>
          <w:t>Table of Contents</w:t>
        </w:r>
      </w:hyperlink>
    </w:p>
    <w:p>
      <w:pPr>
        <w:spacing w:after="0" w:line="297" w:lineRule="exact"/>
        <w:rPr>
          <w:sz w:val="20"/>
          <w:szCs w:val="20"/>
          <w:color w:val="auto"/>
        </w:rPr>
      </w:pPr>
    </w:p>
    <w:p>
      <w:pPr>
        <w:ind w:left="860"/>
        <w:spacing w:after="0"/>
        <w:rPr>
          <w:sz w:val="20"/>
          <w:szCs w:val="20"/>
          <w:color w:val="auto"/>
        </w:rPr>
      </w:pPr>
      <w:r>
        <w:rPr>
          <w:rFonts w:ascii="Arial" w:cs="Arial" w:eastAsia="Arial" w:hAnsi="Arial"/>
          <w:sz w:val="25"/>
          <w:szCs w:val="25"/>
          <w:color w:val="auto"/>
        </w:rPr>
        <w:t>Bonus Program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545465</wp:posOffset>
            </wp:positionH>
            <wp:positionV relativeFrom="paragraph">
              <wp:posOffset>351155</wp:posOffset>
            </wp:positionV>
            <wp:extent cx="6080125" cy="2598420"/>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6080125" cy="259842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2" w:lineRule="exact"/>
        <w:rPr>
          <w:sz w:val="20"/>
          <w:szCs w:val="20"/>
          <w:color w:val="auto"/>
        </w:rPr>
      </w:pPr>
    </w:p>
    <w:p>
      <w:pPr>
        <w:ind w:left="860" w:right="5340"/>
        <w:spacing w:after="0" w:line="254" w:lineRule="auto"/>
        <w:rPr>
          <w:sz w:val="20"/>
          <w:szCs w:val="20"/>
          <w:color w:val="auto"/>
        </w:rPr>
      </w:pPr>
      <w:r>
        <w:rPr>
          <w:rFonts w:ascii="Arial" w:cs="Arial" w:eastAsia="Arial" w:hAnsi="Arial"/>
          <w:sz w:val="15"/>
          <w:szCs w:val="15"/>
          <w:b w:val="1"/>
          <w:bCs w:val="1"/>
          <w:color w:val="2B4C9B"/>
        </w:rPr>
        <w:t>The bonus program formula has been consistently applied in each of the last 16 years, including years in which earnings declined</w:t>
      </w:r>
    </w:p>
    <w:p>
      <w:pPr>
        <w:spacing w:after="0" w:line="209" w:lineRule="exact"/>
        <w:rPr>
          <w:sz w:val="20"/>
          <w:szCs w:val="20"/>
          <w:color w:val="auto"/>
        </w:rPr>
      </w:pPr>
    </w:p>
    <w:p>
      <w:pPr>
        <w:ind w:left="860"/>
        <w:spacing w:after="0" w:line="254" w:lineRule="auto"/>
        <w:rPr>
          <w:sz w:val="20"/>
          <w:szCs w:val="20"/>
          <w:color w:val="auto"/>
        </w:rPr>
      </w:pPr>
      <w:r>
        <w:rPr>
          <w:rFonts w:ascii="Arial" w:cs="Arial" w:eastAsia="Arial" w:hAnsi="Arial"/>
          <w:sz w:val="15"/>
          <w:szCs w:val="15"/>
          <w:b w:val="1"/>
          <w:bCs w:val="1"/>
          <w:color w:val="2B4C9B"/>
        </w:rPr>
        <w:t>In 2017, the overall bonus program was increased by 40 percent versus 2016 due to stronger Company earnings performance, but is 42-percent lower than the 2008 program and 49-percent lower than the 2012 program. Mr. Woods’ bonus increased more than the overall 2017 program to recognize his appointment as CEO (higher pay grade), and represented 11 percent of his 2017 reported pay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545465</wp:posOffset>
            </wp:positionH>
            <wp:positionV relativeFrom="paragraph">
              <wp:posOffset>387350</wp:posOffset>
            </wp:positionV>
            <wp:extent cx="6174740" cy="8890"/>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6174740" cy="8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3" w:lineRule="exact"/>
        <w:rPr>
          <w:sz w:val="20"/>
          <w:szCs w:val="20"/>
          <w:color w:val="auto"/>
        </w:rPr>
      </w:pPr>
    </w:p>
    <w:p>
      <w:pPr>
        <w:ind w:left="860"/>
        <w:spacing w:after="0"/>
        <w:rPr>
          <w:sz w:val="20"/>
          <w:szCs w:val="20"/>
          <w:color w:val="auto"/>
        </w:rPr>
      </w:pPr>
      <w:r>
        <w:rPr>
          <w:rFonts w:ascii="Arial" w:cs="Arial" w:eastAsia="Arial" w:hAnsi="Arial"/>
          <w:sz w:val="25"/>
          <w:szCs w:val="25"/>
          <w:color w:val="auto"/>
        </w:rPr>
        <w:t>Benchmarking and Scale/Complexity</w:t>
      </w:r>
    </w:p>
    <w:p>
      <w:pPr>
        <w:spacing w:after="0" w:line="200" w:lineRule="exact"/>
        <w:rPr>
          <w:sz w:val="20"/>
          <w:szCs w:val="20"/>
          <w:color w:val="auto"/>
        </w:rPr>
      </w:pPr>
    </w:p>
    <w:p>
      <w:pPr>
        <w:spacing w:after="0" w:line="200" w:lineRule="exact"/>
        <w:rPr>
          <w:sz w:val="20"/>
          <w:szCs w:val="20"/>
          <w:color w:val="auto"/>
        </w:rPr>
      </w:pPr>
    </w:p>
    <w:p>
      <w:pPr>
        <w:spacing w:after="0" w:line="252" w:lineRule="exact"/>
        <w:rPr>
          <w:sz w:val="20"/>
          <w:szCs w:val="20"/>
          <w:color w:val="auto"/>
        </w:rPr>
      </w:pPr>
    </w:p>
    <w:p>
      <w:pPr>
        <w:ind w:left="1120" w:right="4660" w:hanging="268"/>
        <w:spacing w:after="0" w:line="263" w:lineRule="auto"/>
        <w:tabs>
          <w:tab w:leader="none" w:pos="1119" w:val="left"/>
        </w:tabs>
        <w:numPr>
          <w:ilvl w:val="0"/>
          <w:numId w:val="38"/>
        </w:numPr>
        <w:rPr>
          <w:rFonts w:ascii="Times New Roman" w:cs="Times New Roman" w:eastAsia="Times New Roman" w:hAnsi="Times New Roman"/>
          <w:sz w:val="18"/>
          <w:szCs w:val="18"/>
          <w:color w:val="auto"/>
        </w:rPr>
      </w:pPr>
      <w:r>
        <w:rPr>
          <w:rFonts w:ascii="Arial" w:cs="Arial" w:eastAsia="Arial" w:hAnsi="Arial"/>
          <w:sz w:val="18"/>
          <w:szCs w:val="18"/>
          <w:color w:val="auto"/>
        </w:rPr>
        <w:t>Annual benchmarking conducted to assess market orientation of executive compensation and program design features</w:t>
      </w:r>
    </w:p>
    <w:p>
      <w:pPr>
        <w:spacing w:after="0" w:line="61" w:lineRule="exact"/>
        <w:rPr>
          <w:rFonts w:ascii="Times New Roman" w:cs="Times New Roman" w:eastAsia="Times New Roman" w:hAnsi="Times New Roman"/>
          <w:sz w:val="18"/>
          <w:szCs w:val="18"/>
          <w:color w:val="auto"/>
        </w:rPr>
      </w:pPr>
    </w:p>
    <w:p>
      <w:pPr>
        <w:ind w:left="1120" w:right="5040" w:hanging="268"/>
        <w:spacing w:after="0" w:line="263" w:lineRule="auto"/>
        <w:tabs>
          <w:tab w:leader="none" w:pos="1119" w:val="left"/>
        </w:tabs>
        <w:numPr>
          <w:ilvl w:val="0"/>
          <w:numId w:val="38"/>
        </w:numPr>
        <w:rPr>
          <w:rFonts w:ascii="Times New Roman" w:cs="Times New Roman" w:eastAsia="Times New Roman" w:hAnsi="Times New Roman"/>
          <w:sz w:val="18"/>
          <w:szCs w:val="18"/>
          <w:color w:val="auto"/>
        </w:rPr>
      </w:pPr>
      <w:r>
        <w:rPr>
          <w:rFonts w:ascii="Arial" w:cs="Arial" w:eastAsia="Arial" w:hAnsi="Arial"/>
          <w:sz w:val="18"/>
          <w:szCs w:val="18"/>
          <w:color w:val="auto"/>
        </w:rPr>
        <w:t>All three of ExxonMobil’s major business segments, on a stand-alone basis, would rank among other large companies based on revenue</w:t>
      </w:r>
    </w:p>
    <w:p>
      <w:pPr>
        <w:spacing w:after="0" w:line="61" w:lineRule="exact"/>
        <w:rPr>
          <w:rFonts w:ascii="Times New Roman" w:cs="Times New Roman" w:eastAsia="Times New Roman" w:hAnsi="Times New Roman"/>
          <w:sz w:val="18"/>
          <w:szCs w:val="18"/>
          <w:color w:val="auto"/>
        </w:rPr>
      </w:pPr>
    </w:p>
    <w:p>
      <w:pPr>
        <w:ind w:left="1120" w:right="5260" w:hanging="268"/>
        <w:spacing w:after="0" w:line="263" w:lineRule="auto"/>
        <w:tabs>
          <w:tab w:leader="none" w:pos="1126" w:val="left"/>
        </w:tabs>
        <w:numPr>
          <w:ilvl w:val="0"/>
          <w:numId w:val="38"/>
        </w:numPr>
        <w:rPr>
          <w:rFonts w:ascii="Times New Roman" w:cs="Times New Roman" w:eastAsia="Times New Roman" w:hAnsi="Times New Roman"/>
          <w:sz w:val="18"/>
          <w:szCs w:val="18"/>
          <w:color w:val="auto"/>
        </w:rPr>
      </w:pPr>
      <w:r>
        <w:rPr>
          <w:rFonts w:ascii="Arial" w:cs="Arial" w:eastAsia="Arial" w:hAnsi="Arial"/>
          <w:sz w:val="18"/>
          <w:szCs w:val="18"/>
          <w:color w:val="auto"/>
        </w:rPr>
        <w:t>The Compensation Committee considers scale and complexity as relevant factors in assessing the appropriateness of pay levels</w:t>
      </w:r>
    </w:p>
    <w:p>
      <w:pPr>
        <w:spacing w:after="0" w:line="61" w:lineRule="exact"/>
        <w:rPr>
          <w:rFonts w:ascii="Times New Roman" w:cs="Times New Roman" w:eastAsia="Times New Roman" w:hAnsi="Times New Roman"/>
          <w:sz w:val="18"/>
          <w:szCs w:val="18"/>
          <w:color w:val="auto"/>
        </w:rPr>
      </w:pPr>
    </w:p>
    <w:p>
      <w:pPr>
        <w:ind w:left="1120" w:right="4940" w:hanging="268"/>
        <w:spacing w:after="0" w:line="265" w:lineRule="auto"/>
        <w:tabs>
          <w:tab w:leader="none" w:pos="1119" w:val="left"/>
        </w:tabs>
        <w:numPr>
          <w:ilvl w:val="0"/>
          <w:numId w:val="38"/>
        </w:numPr>
        <w:rPr>
          <w:rFonts w:ascii="Times New Roman" w:cs="Times New Roman" w:eastAsia="Times New Roman" w:hAnsi="Times New Roman"/>
          <w:sz w:val="18"/>
          <w:szCs w:val="18"/>
          <w:color w:val="auto"/>
        </w:rPr>
      </w:pPr>
      <w:r>
        <w:rPr>
          <w:rFonts w:ascii="Arial" w:cs="Arial" w:eastAsia="Arial" w:hAnsi="Arial"/>
          <w:sz w:val="18"/>
          <w:szCs w:val="18"/>
          <w:color w:val="auto"/>
        </w:rPr>
        <w:t xml:space="preserve">Assessment of relative Company performance requires comparison against companies of similar scale and complexity </w:t>
      </w:r>
      <w:r>
        <w:rPr>
          <w:rFonts w:ascii="Arial" w:cs="Arial" w:eastAsia="Arial" w:hAnsi="Arial"/>
          <w:sz w:val="18"/>
          <w:szCs w:val="18"/>
          <w:b w:val="1"/>
          <w:bCs w:val="1"/>
          <w:color w:val="auto"/>
        </w:rPr>
        <w:t>in the same industry</w:t>
      </w:r>
      <w:r>
        <w:rPr>
          <w:rFonts w:ascii="Arial" w:cs="Arial" w:eastAsia="Arial" w:hAnsi="Arial"/>
          <w:sz w:val="18"/>
          <w:szCs w:val="18"/>
          <w:color w:val="auto"/>
        </w:rPr>
        <w:t xml:space="preserve"> (pages 34 and 35)</w:t>
      </w:r>
    </w:p>
    <w:p>
      <w:pPr>
        <w:spacing w:after="0" w:line="2" w:lineRule="exact"/>
        <w:rPr>
          <w:rFonts w:ascii="Times New Roman" w:cs="Times New Roman" w:eastAsia="Times New Roman" w:hAnsi="Times New Roman"/>
          <w:sz w:val="18"/>
          <w:szCs w:val="18"/>
          <w:color w:val="auto"/>
        </w:rPr>
      </w:pPr>
    </w:p>
    <w:p>
      <w:pPr>
        <w:ind w:left="1120"/>
        <w:spacing w:after="0"/>
        <w:rPr>
          <w:rFonts w:ascii="Times New Roman" w:cs="Times New Roman" w:eastAsia="Times New Roman" w:hAnsi="Times New Roman"/>
          <w:sz w:val="18"/>
          <w:szCs w:val="18"/>
          <w:color w:val="auto"/>
        </w:rPr>
      </w:pPr>
      <w:r>
        <w:rPr>
          <w:rFonts w:ascii="Arial" w:cs="Arial" w:eastAsia="Arial" w:hAnsi="Arial"/>
          <w:sz w:val="18"/>
          <w:szCs w:val="18"/>
          <w:color w:val="auto"/>
        </w:rPr>
        <w:t>– Industry peers: Chevron, Royal Dutch Shell, Total, and</w:t>
      </w:r>
    </w:p>
    <w:p>
      <w:pPr>
        <w:spacing w:after="0" w:line="17" w:lineRule="exact"/>
        <w:rPr>
          <w:rFonts w:ascii="Times New Roman" w:cs="Times New Roman" w:eastAsia="Times New Roman" w:hAnsi="Times New Roman"/>
          <w:sz w:val="18"/>
          <w:szCs w:val="18"/>
          <w:color w:val="auto"/>
        </w:rPr>
      </w:pPr>
    </w:p>
    <w:p>
      <w:pPr>
        <w:ind w:left="1300"/>
        <w:spacing w:after="0"/>
        <w:rPr>
          <w:rFonts w:ascii="Times New Roman" w:cs="Times New Roman" w:eastAsia="Times New Roman" w:hAnsi="Times New Roman"/>
          <w:sz w:val="18"/>
          <w:szCs w:val="18"/>
          <w:color w:val="auto"/>
        </w:rPr>
      </w:pPr>
      <w:r>
        <w:rPr>
          <w:rFonts w:ascii="Arial" w:cs="Arial" w:eastAsia="Arial" w:hAnsi="Arial"/>
          <w:sz w:val="18"/>
          <w:szCs w:val="18"/>
          <w:color w:val="auto"/>
        </w:rPr>
        <w:t>BP</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3872865</wp:posOffset>
            </wp:positionH>
            <wp:positionV relativeFrom="paragraph">
              <wp:posOffset>-2033905</wp:posOffset>
            </wp:positionV>
            <wp:extent cx="2787015" cy="2529840"/>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2787015" cy="252984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8" w:lineRule="exact"/>
        <w:rPr>
          <w:sz w:val="20"/>
          <w:szCs w:val="20"/>
          <w:color w:val="auto"/>
        </w:rPr>
      </w:pPr>
    </w:p>
    <w:p>
      <w:pPr>
        <w:ind w:left="880"/>
        <w:spacing w:after="0"/>
        <w:tabs>
          <w:tab w:leader="none" w:pos="2780" w:val="left"/>
        </w:tabs>
        <w:rPr>
          <w:sz w:val="20"/>
          <w:szCs w:val="20"/>
          <w:color w:val="auto"/>
        </w:rPr>
      </w:pPr>
      <w:r>
        <w:rPr>
          <w:rFonts w:ascii="Arial" w:cs="Arial" w:eastAsia="Arial" w:hAnsi="Arial"/>
          <w:sz w:val="18"/>
          <w:szCs w:val="18"/>
          <w:color w:val="auto"/>
        </w:rPr>
        <w:t>32</w:t>
      </w:r>
      <w:r>
        <w:rPr>
          <w:sz w:val="20"/>
          <w:szCs w:val="20"/>
          <w:color w:val="auto"/>
        </w:rPr>
        <w:tab/>
      </w:r>
      <w:r>
        <w:rPr>
          <w:rFonts w:ascii="Times New Roman" w:cs="Times New Roman" w:eastAsia="Times New Roman" w:hAnsi="Times New Roman"/>
          <w:sz w:val="18"/>
          <w:szCs w:val="18"/>
          <w:i w:val="1"/>
          <w:iCs w:val="1"/>
          <w:color w:val="auto"/>
        </w:rPr>
        <w:t>2018 Proxy Statement</w:t>
      </w:r>
    </w:p>
    <w:p>
      <w:pPr>
        <w:sectPr>
          <w:pgSz w:w="11900" w:h="16838" w:orient="portrait"/>
          <w:cols w:equalWidth="0" w:num="1">
            <w:col w:w="10460"/>
          </w:cols>
          <w:pgMar w:left="240" w:top="455" w:right="1199" w:bottom="1440" w:gutter="0" w:footer="0" w:header="0"/>
        </w:sectPr>
      </w:pPr>
    </w:p>
    <w:bookmarkStart w:id="35" w:name="page36"/>
    <w:bookmarkEnd w:id="35"/>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Times New Roman" w:cs="Times New Roman" w:eastAsia="Times New Roman" w:hAnsi="Times New Roman"/>
            <w:sz w:val="18"/>
            <w:szCs w:val="18"/>
            <w:b w:val="1"/>
            <w:bCs w:val="1"/>
            <w:u w:val="single" w:color="auto"/>
            <w:color w:val="0000EE"/>
          </w:rPr>
          <w:t>Table of Contents</w:t>
        </w:r>
      </w:hyperlink>
    </w:p>
    <w:p>
      <w:pPr>
        <w:spacing w:after="0" w:line="297" w:lineRule="exact"/>
        <w:rPr>
          <w:sz w:val="20"/>
          <w:szCs w:val="20"/>
          <w:color w:val="auto"/>
        </w:rPr>
      </w:pPr>
    </w:p>
    <w:p>
      <w:pPr>
        <w:ind w:left="860"/>
        <w:spacing w:after="0"/>
        <w:rPr>
          <w:sz w:val="20"/>
          <w:szCs w:val="20"/>
          <w:color w:val="auto"/>
        </w:rPr>
      </w:pPr>
      <w:r>
        <w:rPr>
          <w:rFonts w:ascii="Arial" w:cs="Arial" w:eastAsia="Arial" w:hAnsi="Arial"/>
          <w:sz w:val="25"/>
          <w:szCs w:val="25"/>
          <w:color w:val="auto"/>
        </w:rPr>
        <w:t>Compensation for CEO Position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545465</wp:posOffset>
            </wp:positionH>
            <wp:positionV relativeFrom="paragraph">
              <wp:posOffset>351155</wp:posOffset>
            </wp:positionV>
            <wp:extent cx="5763260" cy="6929120"/>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5763260" cy="692912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0" w:lineRule="exact"/>
        <w:rPr>
          <w:sz w:val="20"/>
          <w:szCs w:val="20"/>
          <w:color w:val="auto"/>
        </w:rPr>
      </w:pPr>
    </w:p>
    <w:tbl>
      <w:tblPr>
        <w:tblLayout w:type="fixed"/>
        <w:tblInd w:w="6960" w:type="dxa"/>
        <w:tblCellMar>
          <w:top w:w="0" w:type="dxa"/>
          <w:left w:w="0" w:type="dxa"/>
          <w:bottom w:w="0" w:type="dxa"/>
          <w:right w:w="0" w:type="dxa"/>
        </w:tblCellMar>
      </w:tblPr>
      <w:tr>
        <w:trPr>
          <w:trHeight w:val="243"/>
        </w:trPr>
        <w:tc>
          <w:tcPr>
            <w:tcW w:w="2440" w:type="dxa"/>
            <w:vAlign w:val="bottom"/>
          </w:tcPr>
          <w:p>
            <w:pPr>
              <w:spacing w:after="0"/>
              <w:rPr>
                <w:sz w:val="20"/>
                <w:szCs w:val="20"/>
                <w:color w:val="auto"/>
              </w:rPr>
            </w:pPr>
            <w:r>
              <w:rPr>
                <w:rFonts w:ascii="Times New Roman" w:cs="Times New Roman" w:eastAsia="Times New Roman" w:hAnsi="Times New Roman"/>
                <w:sz w:val="18"/>
                <w:szCs w:val="18"/>
                <w:i w:val="1"/>
                <w:iCs w:val="1"/>
                <w:color w:val="auto"/>
              </w:rPr>
              <w:t>2018 Proxy Statement</w:t>
            </w:r>
          </w:p>
        </w:tc>
        <w:tc>
          <w:tcPr>
            <w:tcW w:w="1060" w:type="dxa"/>
            <w:vAlign w:val="bottom"/>
          </w:tcPr>
          <w:p>
            <w:pPr>
              <w:jc w:val="right"/>
              <w:spacing w:after="0"/>
              <w:rPr>
                <w:sz w:val="20"/>
                <w:szCs w:val="20"/>
                <w:color w:val="auto"/>
              </w:rPr>
            </w:pPr>
            <w:r>
              <w:rPr>
                <w:rFonts w:ascii="Arial" w:cs="Arial" w:eastAsia="Arial" w:hAnsi="Arial"/>
                <w:sz w:val="18"/>
                <w:szCs w:val="18"/>
                <w:color w:val="auto"/>
              </w:rPr>
              <w:t>33</w:t>
            </w:r>
          </w:p>
        </w:tc>
      </w:tr>
    </w:tbl>
    <w:p>
      <w:pPr>
        <w:sectPr>
          <w:pgSz w:w="11900" w:h="16838" w:orient="portrait"/>
          <w:cols w:equalWidth="0" w:num="1">
            <w:col w:w="10460"/>
          </w:cols>
          <w:pgMar w:left="240" w:top="455" w:right="1199" w:bottom="1440" w:gutter="0" w:footer="0" w:header="0"/>
        </w:sectPr>
      </w:pPr>
    </w:p>
    <w:bookmarkStart w:id="36" w:name="page37"/>
    <w:bookmarkEnd w:id="36"/>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Times New Roman" w:cs="Times New Roman" w:eastAsia="Times New Roman" w:hAnsi="Times New Roman"/>
            <w:sz w:val="18"/>
            <w:szCs w:val="18"/>
            <w:b w:val="1"/>
            <w:bCs w:val="1"/>
            <w:u w:val="single" w:color="auto"/>
            <w:color w:val="0000EE"/>
          </w:rPr>
          <w:t>Table of Contents</w:t>
        </w:r>
      </w:hyperlink>
    </w:p>
    <w:p>
      <w:pPr>
        <w:spacing w:after="0" w:line="297" w:lineRule="exact"/>
        <w:rPr>
          <w:sz w:val="20"/>
          <w:szCs w:val="20"/>
          <w:color w:val="auto"/>
        </w:rPr>
      </w:pPr>
    </w:p>
    <w:p>
      <w:pPr>
        <w:ind w:left="860"/>
        <w:spacing w:after="0"/>
        <w:rPr>
          <w:sz w:val="20"/>
          <w:szCs w:val="20"/>
          <w:color w:val="auto"/>
        </w:rPr>
      </w:pPr>
      <w:r>
        <w:rPr>
          <w:rFonts w:ascii="Arial" w:cs="Arial" w:eastAsia="Arial" w:hAnsi="Arial"/>
          <w:sz w:val="25"/>
          <w:szCs w:val="25"/>
          <w:color w:val="auto"/>
        </w:rPr>
        <w:t>Company Performance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545465</wp:posOffset>
            </wp:positionH>
            <wp:positionV relativeFrom="paragraph">
              <wp:posOffset>308610</wp:posOffset>
            </wp:positionV>
            <wp:extent cx="5763260" cy="6920865"/>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5763260" cy="692086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9" w:lineRule="exact"/>
        <w:rPr>
          <w:sz w:val="20"/>
          <w:szCs w:val="20"/>
          <w:color w:val="auto"/>
        </w:rPr>
      </w:pPr>
    </w:p>
    <w:p>
      <w:pPr>
        <w:jc w:val="both"/>
        <w:ind w:left="880"/>
        <w:spacing w:after="0"/>
        <w:tabs>
          <w:tab w:leader="none" w:pos="2780" w:val="left"/>
        </w:tabs>
        <w:rPr>
          <w:sz w:val="20"/>
          <w:szCs w:val="20"/>
          <w:color w:val="auto"/>
        </w:rPr>
      </w:pPr>
      <w:r>
        <w:rPr>
          <w:rFonts w:ascii="Arial" w:cs="Arial" w:eastAsia="Arial" w:hAnsi="Arial"/>
          <w:sz w:val="18"/>
          <w:szCs w:val="18"/>
          <w:color w:val="auto"/>
        </w:rPr>
        <w:t>34</w:t>
      </w:r>
      <w:r>
        <w:rPr>
          <w:sz w:val="20"/>
          <w:szCs w:val="20"/>
          <w:color w:val="auto"/>
        </w:rPr>
        <w:tab/>
      </w:r>
      <w:r>
        <w:rPr>
          <w:rFonts w:ascii="Times New Roman" w:cs="Times New Roman" w:eastAsia="Times New Roman" w:hAnsi="Times New Roman"/>
          <w:sz w:val="18"/>
          <w:szCs w:val="18"/>
          <w:i w:val="1"/>
          <w:iCs w:val="1"/>
          <w:color w:val="auto"/>
        </w:rPr>
        <w:t>2018 Proxy Statement</w:t>
      </w:r>
    </w:p>
    <w:p>
      <w:pPr>
        <w:sectPr>
          <w:pgSz w:w="11900" w:h="16838" w:orient="portrait"/>
          <w:cols w:equalWidth="0" w:num="1">
            <w:col w:w="10219"/>
          </w:cols>
          <w:pgMar w:left="240" w:top="455" w:right="1440" w:bottom="1440" w:gutter="0" w:footer="0" w:header="0"/>
        </w:sectPr>
      </w:pPr>
    </w:p>
    <w:bookmarkStart w:id="37" w:name="page38"/>
    <w:bookmarkEnd w:id="37"/>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Times New Roman" w:cs="Times New Roman" w:eastAsia="Times New Roman" w:hAnsi="Times New Roman"/>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545465</wp:posOffset>
            </wp:positionH>
            <wp:positionV relativeFrom="paragraph">
              <wp:posOffset>680085</wp:posOffset>
            </wp:positionV>
            <wp:extent cx="5763260" cy="7023735"/>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5763260" cy="702373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6" w:lineRule="exact"/>
        <w:rPr>
          <w:sz w:val="20"/>
          <w:szCs w:val="20"/>
          <w:color w:val="auto"/>
        </w:rPr>
      </w:pPr>
    </w:p>
    <w:tbl>
      <w:tblPr>
        <w:tblLayout w:type="fixed"/>
        <w:tblInd w:w="6960" w:type="dxa"/>
        <w:tblCellMar>
          <w:top w:w="0" w:type="dxa"/>
          <w:left w:w="0" w:type="dxa"/>
          <w:bottom w:w="0" w:type="dxa"/>
          <w:right w:w="0" w:type="dxa"/>
        </w:tblCellMar>
      </w:tblPr>
      <w:tr>
        <w:trPr>
          <w:trHeight w:val="243"/>
        </w:trPr>
        <w:tc>
          <w:tcPr>
            <w:tcW w:w="2440" w:type="dxa"/>
            <w:vAlign w:val="bottom"/>
          </w:tcPr>
          <w:p>
            <w:pPr>
              <w:spacing w:after="0"/>
              <w:rPr>
                <w:sz w:val="20"/>
                <w:szCs w:val="20"/>
                <w:color w:val="auto"/>
              </w:rPr>
            </w:pPr>
            <w:r>
              <w:rPr>
                <w:rFonts w:ascii="Times New Roman" w:cs="Times New Roman" w:eastAsia="Times New Roman" w:hAnsi="Times New Roman"/>
                <w:sz w:val="18"/>
                <w:szCs w:val="18"/>
                <w:i w:val="1"/>
                <w:iCs w:val="1"/>
                <w:color w:val="auto"/>
              </w:rPr>
              <w:t>2018 Proxy Statement</w:t>
            </w:r>
          </w:p>
        </w:tc>
        <w:tc>
          <w:tcPr>
            <w:tcW w:w="1060" w:type="dxa"/>
            <w:vAlign w:val="bottom"/>
          </w:tcPr>
          <w:p>
            <w:pPr>
              <w:jc w:val="right"/>
              <w:spacing w:after="0"/>
              <w:rPr>
                <w:sz w:val="20"/>
                <w:szCs w:val="20"/>
                <w:color w:val="auto"/>
              </w:rPr>
            </w:pPr>
            <w:r>
              <w:rPr>
                <w:rFonts w:ascii="Arial" w:cs="Arial" w:eastAsia="Arial" w:hAnsi="Arial"/>
                <w:sz w:val="18"/>
                <w:szCs w:val="18"/>
                <w:color w:val="auto"/>
              </w:rPr>
              <w:t>35</w:t>
            </w:r>
          </w:p>
        </w:tc>
      </w:tr>
    </w:tbl>
    <w:p>
      <w:pPr>
        <w:sectPr>
          <w:pgSz w:w="11900" w:h="16838" w:orient="portrait"/>
          <w:cols w:equalWidth="0" w:num="1">
            <w:col w:w="10460"/>
          </w:cols>
          <w:pgMar w:left="240" w:top="455" w:right="1199" w:bottom="1440" w:gutter="0" w:footer="0" w:header="0"/>
        </w:sectPr>
      </w:pPr>
    </w:p>
    <w:bookmarkStart w:id="38" w:name="page39"/>
    <w:bookmarkEnd w:id="38"/>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Times New Roman" w:cs="Times New Roman" w:eastAsia="Times New Roman" w:hAnsi="Times New Roman"/>
            <w:sz w:val="18"/>
            <w:szCs w:val="18"/>
            <w:b w:val="1"/>
            <w:bCs w:val="1"/>
            <w:u w:val="single" w:color="auto"/>
            <w:color w:val="0000EE"/>
          </w:rPr>
          <w:t>Table of Contents</w:t>
        </w:r>
      </w:hyperlink>
    </w:p>
    <w:p>
      <w:pPr>
        <w:spacing w:after="0" w:line="297" w:lineRule="exact"/>
        <w:rPr>
          <w:sz w:val="20"/>
          <w:szCs w:val="20"/>
          <w:color w:val="auto"/>
        </w:rPr>
      </w:pPr>
    </w:p>
    <w:p>
      <w:pPr>
        <w:ind w:left="860"/>
        <w:spacing w:after="0"/>
        <w:rPr>
          <w:sz w:val="20"/>
          <w:szCs w:val="20"/>
          <w:color w:val="auto"/>
        </w:rPr>
      </w:pPr>
      <w:r>
        <w:rPr>
          <w:rFonts w:ascii="Arial" w:cs="Arial" w:eastAsia="Arial" w:hAnsi="Arial"/>
          <w:sz w:val="25"/>
          <w:szCs w:val="25"/>
          <w:color w:val="auto"/>
        </w:rPr>
        <w:t>Sound Governance Practices</w:t>
      </w:r>
    </w:p>
    <w:p>
      <w:pPr>
        <w:spacing w:after="0" w:line="200" w:lineRule="exact"/>
        <w:rPr>
          <w:sz w:val="20"/>
          <w:szCs w:val="20"/>
          <w:color w:val="auto"/>
        </w:rPr>
      </w:pPr>
    </w:p>
    <w:p>
      <w:pPr>
        <w:spacing w:after="0" w:line="200" w:lineRule="exact"/>
        <w:rPr>
          <w:sz w:val="20"/>
          <w:szCs w:val="20"/>
          <w:color w:val="auto"/>
        </w:rPr>
      </w:pPr>
    </w:p>
    <w:p>
      <w:pPr>
        <w:spacing w:after="0" w:line="320" w:lineRule="exact"/>
        <w:rPr>
          <w:sz w:val="20"/>
          <w:szCs w:val="20"/>
          <w:color w:val="auto"/>
        </w:rPr>
      </w:pPr>
    </w:p>
    <w:p>
      <w:pPr>
        <w:jc w:val="both"/>
        <w:ind w:left="1120" w:right="3060" w:hanging="268"/>
        <w:spacing w:after="0" w:line="263" w:lineRule="auto"/>
        <w:tabs>
          <w:tab w:leader="none" w:pos="1129" w:val="left"/>
        </w:tabs>
        <w:numPr>
          <w:ilvl w:val="0"/>
          <w:numId w:val="39"/>
        </w:numPr>
        <w:rPr>
          <w:rFonts w:ascii="Times New Roman" w:cs="Times New Roman" w:eastAsia="Times New Roman" w:hAnsi="Times New Roman"/>
          <w:sz w:val="18"/>
          <w:szCs w:val="18"/>
          <w:color w:val="auto"/>
        </w:rPr>
      </w:pPr>
      <w:r>
        <w:rPr>
          <w:rFonts w:ascii="Arial" w:cs="Arial" w:eastAsia="Arial" w:hAnsi="Arial"/>
          <w:sz w:val="18"/>
          <w:szCs w:val="18"/>
          <w:color w:val="auto"/>
        </w:rPr>
        <w:t>Long restriction periods on performance shares result in required ownership that far exceeds typical stock ownership guidelines among compensation benchmark companies</w:t>
      </w:r>
    </w:p>
    <w:p>
      <w:pPr>
        <w:spacing w:after="0" w:line="7" w:lineRule="exact"/>
        <w:rPr>
          <w:rFonts w:ascii="Times New Roman" w:cs="Times New Roman" w:eastAsia="Times New Roman" w:hAnsi="Times New Roman"/>
          <w:sz w:val="18"/>
          <w:szCs w:val="18"/>
          <w:color w:val="auto"/>
        </w:rPr>
      </w:pPr>
    </w:p>
    <w:p>
      <w:pPr>
        <w:ind w:left="1300" w:right="3300" w:hanging="180"/>
        <w:spacing w:after="0" w:line="274" w:lineRule="auto"/>
        <w:rPr>
          <w:rFonts w:ascii="Times New Roman" w:cs="Times New Roman" w:eastAsia="Times New Roman" w:hAnsi="Times New Roman"/>
          <w:sz w:val="18"/>
          <w:szCs w:val="18"/>
          <w:color w:val="auto"/>
        </w:rPr>
      </w:pPr>
      <w:r>
        <w:rPr>
          <w:rFonts w:ascii="Arial" w:cs="Arial" w:eastAsia="Arial" w:hAnsi="Arial"/>
          <w:sz w:val="18"/>
          <w:szCs w:val="18"/>
          <w:color w:val="auto"/>
        </w:rPr>
        <w:t>– Executives see a one-for-one change in compensation through share price, aligned with the experience of long-term shareholders</w:t>
      </w:r>
    </w:p>
    <w:p>
      <w:pPr>
        <w:ind w:left="1300" w:right="3360" w:hanging="180"/>
        <w:spacing w:after="0" w:line="274" w:lineRule="auto"/>
        <w:rPr>
          <w:rFonts w:ascii="Times New Roman" w:cs="Times New Roman" w:eastAsia="Times New Roman" w:hAnsi="Times New Roman"/>
          <w:sz w:val="18"/>
          <w:szCs w:val="18"/>
          <w:color w:val="auto"/>
        </w:rPr>
      </w:pPr>
      <w:r>
        <w:rPr>
          <w:rFonts w:ascii="Arial" w:cs="Arial" w:eastAsia="Arial" w:hAnsi="Arial"/>
          <w:sz w:val="18"/>
          <w:szCs w:val="18"/>
          <w:color w:val="auto"/>
        </w:rPr>
        <w:t>– At retirement, ExxonMobil senior executives continue to have performance shares unvested and at risk of forfeiture for 10 years</w:t>
      </w:r>
    </w:p>
    <w:p>
      <w:pPr>
        <w:ind w:left="1300" w:right="3300" w:hanging="180"/>
        <w:spacing w:after="0" w:line="255" w:lineRule="auto"/>
        <w:rPr>
          <w:rFonts w:ascii="Times New Roman" w:cs="Times New Roman" w:eastAsia="Times New Roman" w:hAnsi="Times New Roman"/>
          <w:sz w:val="18"/>
          <w:szCs w:val="18"/>
          <w:color w:val="auto"/>
        </w:rPr>
      </w:pPr>
      <w:r>
        <w:rPr>
          <w:rFonts w:ascii="Arial" w:cs="Arial" w:eastAsia="Arial" w:hAnsi="Arial"/>
          <w:sz w:val="18"/>
          <w:szCs w:val="18"/>
          <w:color w:val="auto"/>
        </w:rPr>
        <w:t>– Unvested performance shares and the delayed payout of half of the annual bonus are subject to forfeiture for resignation or detrimental activity, with no accelerated payout at retirement</w:t>
      </w:r>
    </w:p>
    <w:p>
      <w:pPr>
        <w:spacing w:after="0" w:line="69" w:lineRule="exact"/>
        <w:rPr>
          <w:rFonts w:ascii="Times New Roman" w:cs="Times New Roman" w:eastAsia="Times New Roman" w:hAnsi="Times New Roman"/>
          <w:sz w:val="18"/>
          <w:szCs w:val="18"/>
          <w:color w:val="auto"/>
        </w:rPr>
      </w:pPr>
    </w:p>
    <w:p>
      <w:pPr>
        <w:ind w:left="1140" w:hanging="288"/>
        <w:spacing w:after="0"/>
        <w:tabs>
          <w:tab w:leader="none" w:pos="1140" w:val="left"/>
        </w:tabs>
        <w:numPr>
          <w:ilvl w:val="0"/>
          <w:numId w:val="39"/>
        </w:numPr>
        <w:rPr>
          <w:rFonts w:ascii="Times New Roman" w:cs="Times New Roman" w:eastAsia="Times New Roman" w:hAnsi="Times New Roman"/>
          <w:sz w:val="18"/>
          <w:szCs w:val="18"/>
          <w:color w:val="auto"/>
        </w:rPr>
      </w:pPr>
      <w:r>
        <w:rPr>
          <w:rFonts w:ascii="Arial" w:cs="Arial" w:eastAsia="Arial" w:hAnsi="Arial"/>
          <w:sz w:val="18"/>
          <w:szCs w:val="18"/>
          <w:color w:val="auto"/>
        </w:rPr>
        <w:t>Bonus clawback policy</w:t>
      </w:r>
    </w:p>
    <w:p>
      <w:pPr>
        <w:spacing w:after="0" w:line="129" w:lineRule="exact"/>
        <w:rPr>
          <w:rFonts w:ascii="Times New Roman" w:cs="Times New Roman" w:eastAsia="Times New Roman" w:hAnsi="Times New Roman"/>
          <w:sz w:val="18"/>
          <w:szCs w:val="18"/>
          <w:color w:val="auto"/>
        </w:rPr>
      </w:pPr>
    </w:p>
    <w:p>
      <w:pPr>
        <w:ind w:left="1120" w:right="3780" w:hanging="268"/>
        <w:spacing w:after="0" w:line="291" w:lineRule="auto"/>
        <w:tabs>
          <w:tab w:leader="none" w:pos="1129" w:val="left"/>
        </w:tabs>
        <w:numPr>
          <w:ilvl w:val="0"/>
          <w:numId w:val="39"/>
        </w:numPr>
        <w:rPr>
          <w:rFonts w:ascii="Times New Roman" w:cs="Times New Roman" w:eastAsia="Times New Roman" w:hAnsi="Times New Roman"/>
          <w:sz w:val="18"/>
          <w:szCs w:val="18"/>
          <w:color w:val="auto"/>
        </w:rPr>
      </w:pPr>
      <w:r>
        <w:rPr>
          <w:rFonts w:ascii="Arial" w:cs="Arial" w:eastAsia="Arial" w:hAnsi="Arial"/>
          <w:sz w:val="18"/>
          <w:szCs w:val="18"/>
          <w:color w:val="auto"/>
        </w:rPr>
        <w:t>No employment contracts, severance agreements, or change-in-control arrangements for the CEO and other Named Executive Officers</w:t>
      </w:r>
    </w:p>
    <w:p>
      <w:pPr>
        <w:spacing w:after="0" w:line="37" w:lineRule="exact"/>
        <w:rPr>
          <w:rFonts w:ascii="Times New Roman" w:cs="Times New Roman" w:eastAsia="Times New Roman" w:hAnsi="Times New Roman"/>
          <w:sz w:val="18"/>
          <w:szCs w:val="18"/>
          <w:color w:val="auto"/>
        </w:rPr>
      </w:pPr>
    </w:p>
    <w:p>
      <w:pPr>
        <w:ind w:left="1120" w:right="3060" w:hanging="268"/>
        <w:spacing w:after="0" w:line="291" w:lineRule="auto"/>
        <w:tabs>
          <w:tab w:leader="none" w:pos="1129" w:val="left"/>
        </w:tabs>
        <w:numPr>
          <w:ilvl w:val="0"/>
          <w:numId w:val="39"/>
        </w:numPr>
        <w:rPr>
          <w:rFonts w:ascii="Times New Roman" w:cs="Times New Roman" w:eastAsia="Times New Roman" w:hAnsi="Times New Roman"/>
          <w:sz w:val="18"/>
          <w:szCs w:val="18"/>
          <w:color w:val="auto"/>
        </w:rPr>
      </w:pPr>
      <w:r>
        <w:rPr>
          <w:rFonts w:ascii="Arial" w:cs="Arial" w:eastAsia="Arial" w:hAnsi="Arial"/>
          <w:sz w:val="18"/>
          <w:szCs w:val="18"/>
          <w:color w:val="auto"/>
        </w:rPr>
        <w:t>No guaranteed bonuses or additional grants to balance changes in value of prior grants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545465</wp:posOffset>
            </wp:positionH>
            <wp:positionV relativeFrom="paragraph">
              <wp:posOffset>-2362200</wp:posOffset>
            </wp:positionV>
            <wp:extent cx="6174740" cy="2649855"/>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6174740" cy="26498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17" w:lineRule="exact"/>
        <w:rPr>
          <w:sz w:val="20"/>
          <w:szCs w:val="20"/>
          <w:color w:val="auto"/>
        </w:rPr>
      </w:pPr>
    </w:p>
    <w:p>
      <w:pPr>
        <w:ind w:left="860"/>
        <w:spacing w:after="0"/>
        <w:rPr>
          <w:sz w:val="20"/>
          <w:szCs w:val="20"/>
          <w:color w:val="auto"/>
        </w:rPr>
      </w:pPr>
      <w:r>
        <w:rPr>
          <w:rFonts w:ascii="Arial" w:cs="Arial" w:eastAsia="Arial" w:hAnsi="Arial"/>
          <w:sz w:val="25"/>
          <w:szCs w:val="25"/>
          <w:color w:val="auto"/>
        </w:rPr>
        <w:t>Footnotes</w:t>
      </w:r>
    </w:p>
    <w:p>
      <w:pPr>
        <w:spacing w:after="0" w:line="135" w:lineRule="exact"/>
        <w:rPr>
          <w:sz w:val="20"/>
          <w:szCs w:val="20"/>
          <w:color w:val="auto"/>
        </w:rPr>
      </w:pPr>
    </w:p>
    <w:p>
      <w:pPr>
        <w:ind w:left="860" w:right="500" w:hanging="8"/>
        <w:spacing w:after="0" w:line="291" w:lineRule="auto"/>
        <w:tabs>
          <w:tab w:leader="none" w:pos="1076" w:val="left"/>
        </w:tabs>
        <w:numPr>
          <w:ilvl w:val="0"/>
          <w:numId w:val="40"/>
        </w:numPr>
        <w:rPr>
          <w:rFonts w:ascii="Arial" w:cs="Arial" w:eastAsia="Arial" w:hAnsi="Arial"/>
          <w:sz w:val="14"/>
          <w:szCs w:val="14"/>
          <w:color w:val="auto"/>
        </w:rPr>
      </w:pPr>
      <w:r>
        <w:rPr>
          <w:rFonts w:ascii="Arial" w:cs="Arial" w:eastAsia="Arial" w:hAnsi="Arial"/>
          <w:sz w:val="14"/>
          <w:szCs w:val="14"/>
          <w:color w:val="auto"/>
        </w:rPr>
        <w:t>Pay means the sum of Realized Pay and Unrealized Pay as described in more detail on page 33 and in the related Frequently Used Terms on page 37.</w:t>
      </w:r>
    </w:p>
    <w:p>
      <w:pPr>
        <w:spacing w:after="0" w:line="41" w:lineRule="exact"/>
        <w:rPr>
          <w:rFonts w:ascii="Arial" w:cs="Arial" w:eastAsia="Arial" w:hAnsi="Arial"/>
          <w:sz w:val="14"/>
          <w:szCs w:val="14"/>
          <w:color w:val="auto"/>
        </w:rPr>
      </w:pPr>
    </w:p>
    <w:p>
      <w:pPr>
        <w:ind w:left="860" w:right="20" w:hanging="8"/>
        <w:spacing w:after="0" w:line="252" w:lineRule="auto"/>
        <w:tabs>
          <w:tab w:leader="none" w:pos="1076" w:val="left"/>
        </w:tabs>
        <w:numPr>
          <w:ilvl w:val="0"/>
          <w:numId w:val="40"/>
        </w:numPr>
        <w:rPr>
          <w:rFonts w:ascii="Arial" w:cs="Arial" w:eastAsia="Arial" w:hAnsi="Arial"/>
          <w:sz w:val="14"/>
          <w:szCs w:val="14"/>
          <w:color w:val="auto"/>
        </w:rPr>
      </w:pPr>
      <w:r>
        <w:rPr>
          <w:rFonts w:ascii="Arial" w:cs="Arial" w:eastAsia="Arial" w:hAnsi="Arial"/>
          <w:sz w:val="14"/>
          <w:szCs w:val="14"/>
          <w:color w:val="auto"/>
        </w:rPr>
        <w:t>In Example 2, for both the ExxonMobil and Alternate programs, 100 shares are granted each year from 2008 to 2017. For ExxonMobil performance share program, 50 percent of an annual grant of performance shares vests in 5 years and the other 50 percent vests in 10 years or retirement, whichever is later. For the hypothetical alternate formula-based program, shares would vest after 3 years based on TSR performance. Values shown represent percent of target shares that would pay out based on ExxonMobil’s actual relative three-year TSR rank versus our industry peers (see footnote 12). Payout schedule as follows: 200% of target if ranked 1; 150% of target if ranked 2; 100% of target if ranked 3; 50% of target if ranked 4; and, 0% of target if ranked 5.</w:t>
      </w:r>
    </w:p>
    <w:p>
      <w:pPr>
        <w:spacing w:after="0" w:line="235" w:lineRule="exact"/>
        <w:rPr>
          <w:rFonts w:ascii="Arial" w:cs="Arial" w:eastAsia="Arial" w:hAnsi="Arial"/>
          <w:sz w:val="14"/>
          <w:szCs w:val="14"/>
          <w:color w:val="auto"/>
        </w:rPr>
      </w:pPr>
    </w:p>
    <w:p>
      <w:pPr>
        <w:ind w:left="860" w:right="80" w:hanging="8"/>
        <w:spacing w:after="0" w:line="291" w:lineRule="auto"/>
        <w:tabs>
          <w:tab w:leader="none" w:pos="1076" w:val="left"/>
        </w:tabs>
        <w:numPr>
          <w:ilvl w:val="0"/>
          <w:numId w:val="40"/>
        </w:numPr>
        <w:rPr>
          <w:rFonts w:ascii="Arial" w:cs="Arial" w:eastAsia="Arial" w:hAnsi="Arial"/>
          <w:sz w:val="14"/>
          <w:szCs w:val="14"/>
          <w:color w:val="auto"/>
        </w:rPr>
      </w:pPr>
      <w:r>
        <w:rPr>
          <w:rFonts w:ascii="Arial" w:cs="Arial" w:eastAsia="Arial" w:hAnsi="Arial"/>
          <w:sz w:val="14"/>
          <w:szCs w:val="14"/>
          <w:color w:val="auto"/>
        </w:rPr>
        <w:t>Bonus program is based on estimates of year-end earnings made in November of each year, such that payment can occur in that calendar year. The purpose of the two-thirds adjustment in the formula is to mitigate the impact of commodity price swings on short-term earnings performance.</w:t>
      </w:r>
    </w:p>
    <w:p>
      <w:pPr>
        <w:spacing w:after="0" w:line="41" w:lineRule="exact"/>
        <w:rPr>
          <w:rFonts w:ascii="Arial" w:cs="Arial" w:eastAsia="Arial" w:hAnsi="Arial"/>
          <w:sz w:val="14"/>
          <w:szCs w:val="14"/>
          <w:color w:val="auto"/>
        </w:rPr>
      </w:pPr>
    </w:p>
    <w:p>
      <w:pPr>
        <w:ind w:left="860" w:right="20" w:hanging="8"/>
        <w:spacing w:after="0" w:line="291" w:lineRule="auto"/>
        <w:tabs>
          <w:tab w:leader="none" w:pos="1076" w:val="left"/>
        </w:tabs>
        <w:numPr>
          <w:ilvl w:val="0"/>
          <w:numId w:val="40"/>
        </w:numPr>
        <w:rPr>
          <w:rFonts w:ascii="Arial" w:cs="Arial" w:eastAsia="Arial" w:hAnsi="Arial"/>
          <w:sz w:val="14"/>
          <w:szCs w:val="14"/>
          <w:color w:val="auto"/>
        </w:rPr>
      </w:pPr>
      <w:r>
        <w:rPr>
          <w:rFonts w:ascii="Arial" w:cs="Arial" w:eastAsia="Arial" w:hAnsi="Arial"/>
          <w:sz w:val="14"/>
          <w:szCs w:val="14"/>
          <w:color w:val="auto"/>
        </w:rPr>
        <w:t>Benchmark companies are the same companies noted in the 2017 Proxy Statement, except that General Motors replaced Caterpillar. See Frequently Used Terms on page 37 for a full list of benchmark companies.</w:t>
      </w:r>
    </w:p>
    <w:p>
      <w:pPr>
        <w:spacing w:after="0" w:line="41" w:lineRule="exact"/>
        <w:rPr>
          <w:rFonts w:ascii="Arial" w:cs="Arial" w:eastAsia="Arial" w:hAnsi="Arial"/>
          <w:sz w:val="14"/>
          <w:szCs w:val="14"/>
          <w:color w:val="auto"/>
        </w:rPr>
      </w:pPr>
    </w:p>
    <w:p>
      <w:pPr>
        <w:ind w:left="860" w:hanging="8"/>
        <w:spacing w:after="0" w:line="291" w:lineRule="auto"/>
        <w:tabs>
          <w:tab w:leader="none" w:pos="1076" w:val="left"/>
        </w:tabs>
        <w:numPr>
          <w:ilvl w:val="0"/>
          <w:numId w:val="40"/>
        </w:numPr>
        <w:rPr>
          <w:rFonts w:ascii="Arial" w:cs="Arial" w:eastAsia="Arial" w:hAnsi="Arial"/>
          <w:sz w:val="14"/>
          <w:szCs w:val="14"/>
          <w:color w:val="auto"/>
        </w:rPr>
      </w:pPr>
      <w:r>
        <w:rPr>
          <w:rFonts w:ascii="Arial" w:cs="Arial" w:eastAsia="Arial" w:hAnsi="Arial"/>
          <w:sz w:val="14"/>
          <w:szCs w:val="14"/>
          <w:color w:val="auto"/>
        </w:rPr>
        <w:t>Benchmark company data based on public information. Data represents the fiscal year ending in 2017. Excludes sales-based taxes and intersegment revenues.</w:t>
      </w:r>
    </w:p>
    <w:p>
      <w:pPr>
        <w:spacing w:after="0" w:line="41" w:lineRule="exact"/>
        <w:rPr>
          <w:rFonts w:ascii="Arial" w:cs="Arial" w:eastAsia="Arial" w:hAnsi="Arial"/>
          <w:sz w:val="14"/>
          <w:szCs w:val="14"/>
          <w:color w:val="auto"/>
        </w:rPr>
      </w:pPr>
    </w:p>
    <w:p>
      <w:pPr>
        <w:ind w:left="1060" w:hanging="208"/>
        <w:spacing w:after="0"/>
        <w:tabs>
          <w:tab w:leader="none" w:pos="1060" w:val="left"/>
        </w:tabs>
        <w:numPr>
          <w:ilvl w:val="0"/>
          <w:numId w:val="40"/>
        </w:numPr>
        <w:rPr>
          <w:rFonts w:ascii="Arial" w:cs="Arial" w:eastAsia="Arial" w:hAnsi="Arial"/>
          <w:sz w:val="14"/>
          <w:szCs w:val="14"/>
          <w:color w:val="auto"/>
        </w:rPr>
      </w:pPr>
      <w:r>
        <w:rPr>
          <w:rFonts w:ascii="Arial" w:cs="Arial" w:eastAsia="Arial" w:hAnsi="Arial"/>
          <w:sz w:val="14"/>
          <w:szCs w:val="14"/>
          <w:color w:val="auto"/>
        </w:rPr>
        <w:t>Exercised last stock options granted in 2001 that would have expired in 2011. No stock options granted since 2001.</w:t>
      </w:r>
    </w:p>
    <w:p>
      <w:pPr>
        <w:spacing w:after="0" w:line="109" w:lineRule="exact"/>
        <w:rPr>
          <w:rFonts w:ascii="Arial" w:cs="Arial" w:eastAsia="Arial" w:hAnsi="Arial"/>
          <w:sz w:val="14"/>
          <w:szCs w:val="14"/>
          <w:color w:val="auto"/>
        </w:rPr>
      </w:pPr>
    </w:p>
    <w:p>
      <w:pPr>
        <w:ind w:left="1060" w:hanging="208"/>
        <w:spacing w:after="0"/>
        <w:tabs>
          <w:tab w:leader="none" w:pos="1060" w:val="left"/>
        </w:tabs>
        <w:numPr>
          <w:ilvl w:val="0"/>
          <w:numId w:val="40"/>
        </w:numPr>
        <w:rPr>
          <w:rFonts w:ascii="Arial" w:cs="Arial" w:eastAsia="Arial" w:hAnsi="Arial"/>
          <w:sz w:val="14"/>
          <w:szCs w:val="14"/>
          <w:color w:val="auto"/>
        </w:rPr>
      </w:pPr>
      <w:r>
        <w:rPr>
          <w:rFonts w:ascii="Arial" w:cs="Arial" w:eastAsia="Arial" w:hAnsi="Arial"/>
          <w:sz w:val="14"/>
          <w:szCs w:val="14"/>
          <w:color w:val="auto"/>
        </w:rPr>
        <w:t>2017 benchmark company data not available at time of publication.</w:t>
      </w:r>
    </w:p>
    <w:p>
      <w:pPr>
        <w:spacing w:after="0" w:line="109" w:lineRule="exact"/>
        <w:rPr>
          <w:rFonts w:ascii="Arial" w:cs="Arial" w:eastAsia="Arial" w:hAnsi="Arial"/>
          <w:sz w:val="14"/>
          <w:szCs w:val="14"/>
          <w:color w:val="auto"/>
        </w:rPr>
      </w:pPr>
    </w:p>
    <w:p>
      <w:pPr>
        <w:ind w:left="860" w:right="20" w:hanging="8"/>
        <w:spacing w:after="0" w:line="258" w:lineRule="auto"/>
        <w:tabs>
          <w:tab w:leader="none" w:pos="1076" w:val="left"/>
        </w:tabs>
        <w:numPr>
          <w:ilvl w:val="0"/>
          <w:numId w:val="40"/>
        </w:numPr>
        <w:rPr>
          <w:rFonts w:ascii="Arial" w:cs="Arial" w:eastAsia="Arial" w:hAnsi="Arial"/>
          <w:sz w:val="14"/>
          <w:szCs w:val="14"/>
          <w:color w:val="auto"/>
        </w:rPr>
      </w:pPr>
      <w:r>
        <w:rPr>
          <w:rFonts w:ascii="Arial" w:cs="Arial" w:eastAsia="Arial" w:hAnsi="Arial"/>
          <w:sz w:val="14"/>
          <w:szCs w:val="14"/>
          <w:color w:val="auto"/>
        </w:rPr>
        <w:t>Replaced Free Cash Flow (FCF) with Cash Flow from Operations and Asset Sales (CFOAS). CFOAS is more likely to drive desired behavior, as it focuses on cash generation and is neutral to uses of cash; FCF maximization could discourage investment. Removed Shareholder Distributions, as the Total Shareholder Return (TSR) metric reflects the value of dividend growth and share buybacks over time; distribution yield could inappropriately benefit from stock price decreases and vice versa.</w:t>
      </w:r>
    </w:p>
    <w:p>
      <w:pPr>
        <w:spacing w:after="0" w:line="64" w:lineRule="exact"/>
        <w:rPr>
          <w:rFonts w:ascii="Arial" w:cs="Arial" w:eastAsia="Arial" w:hAnsi="Arial"/>
          <w:sz w:val="14"/>
          <w:szCs w:val="14"/>
          <w:color w:val="auto"/>
        </w:rPr>
      </w:pPr>
    </w:p>
    <w:p>
      <w:pPr>
        <w:ind w:left="1060" w:hanging="208"/>
        <w:spacing w:after="0"/>
        <w:tabs>
          <w:tab w:leader="none" w:pos="1060" w:val="left"/>
        </w:tabs>
        <w:numPr>
          <w:ilvl w:val="0"/>
          <w:numId w:val="40"/>
        </w:numPr>
        <w:rPr>
          <w:rFonts w:ascii="Arial" w:cs="Arial" w:eastAsia="Arial" w:hAnsi="Arial"/>
          <w:sz w:val="14"/>
          <w:szCs w:val="14"/>
          <w:color w:val="auto"/>
        </w:rPr>
      </w:pPr>
      <w:r>
        <w:rPr>
          <w:rFonts w:ascii="Arial" w:cs="Arial" w:eastAsia="Arial" w:hAnsi="Arial"/>
          <w:sz w:val="14"/>
          <w:szCs w:val="14"/>
          <w:color w:val="auto"/>
        </w:rPr>
        <w:t>Employees and contractors, includes XTO Energy Inc. data beginning in 2011.</w:t>
      </w:r>
    </w:p>
    <w:p>
      <w:pPr>
        <w:spacing w:after="0" w:line="109" w:lineRule="exact"/>
        <w:rPr>
          <w:rFonts w:ascii="Arial" w:cs="Arial" w:eastAsia="Arial" w:hAnsi="Arial"/>
          <w:sz w:val="14"/>
          <w:szCs w:val="14"/>
          <w:color w:val="auto"/>
        </w:rPr>
      </w:pPr>
    </w:p>
    <w:p>
      <w:pPr>
        <w:ind w:left="1140" w:hanging="288"/>
        <w:spacing w:after="0"/>
        <w:tabs>
          <w:tab w:leader="none" w:pos="1140" w:val="left"/>
        </w:tabs>
        <w:numPr>
          <w:ilvl w:val="0"/>
          <w:numId w:val="40"/>
        </w:numPr>
        <w:rPr>
          <w:rFonts w:ascii="Arial" w:cs="Arial" w:eastAsia="Arial" w:hAnsi="Arial"/>
          <w:sz w:val="14"/>
          <w:szCs w:val="14"/>
          <w:color w:val="auto"/>
        </w:rPr>
      </w:pPr>
      <w:r>
        <w:rPr>
          <w:rFonts w:ascii="Arial" w:cs="Arial" w:eastAsia="Arial" w:hAnsi="Arial"/>
          <w:sz w:val="14"/>
          <w:szCs w:val="14"/>
          <w:color w:val="auto"/>
        </w:rPr>
        <w:t>Workforce safety data from participating American Petroleum Institute (API) companies; 2017 industry data not available at time of publication.</w:t>
      </w:r>
    </w:p>
    <w:p>
      <w:pPr>
        <w:spacing w:after="0" w:line="109" w:lineRule="exact"/>
        <w:rPr>
          <w:rFonts w:ascii="Arial" w:cs="Arial" w:eastAsia="Arial" w:hAnsi="Arial"/>
          <w:sz w:val="14"/>
          <w:szCs w:val="14"/>
          <w:color w:val="auto"/>
        </w:rPr>
      </w:pPr>
    </w:p>
    <w:p>
      <w:pPr>
        <w:ind w:left="860" w:right="260" w:hanging="8"/>
        <w:spacing w:after="0" w:line="291" w:lineRule="auto"/>
        <w:tabs>
          <w:tab w:leader="none" w:pos="1145" w:val="left"/>
        </w:tabs>
        <w:numPr>
          <w:ilvl w:val="0"/>
          <w:numId w:val="40"/>
        </w:numPr>
        <w:rPr>
          <w:rFonts w:ascii="Arial" w:cs="Arial" w:eastAsia="Arial" w:hAnsi="Arial"/>
          <w:sz w:val="14"/>
          <w:szCs w:val="14"/>
          <w:color w:val="auto"/>
        </w:rPr>
      </w:pPr>
      <w:r>
        <w:rPr>
          <w:rFonts w:ascii="Arial" w:cs="Arial" w:eastAsia="Arial" w:hAnsi="Arial"/>
          <w:sz w:val="14"/>
          <w:szCs w:val="14"/>
          <w:color w:val="auto"/>
        </w:rPr>
        <w:t>Competitor data estimated on a consistent basis with ExxonMobil and based on public information. ROCE data for Total available from 1999. For definitions and more information, see Frequently Used Terms on page 37.</w:t>
      </w:r>
    </w:p>
    <w:p>
      <w:pPr>
        <w:spacing w:after="0" w:line="41" w:lineRule="exact"/>
        <w:rPr>
          <w:rFonts w:ascii="Arial" w:cs="Arial" w:eastAsia="Arial" w:hAnsi="Arial"/>
          <w:sz w:val="14"/>
          <w:szCs w:val="14"/>
          <w:color w:val="auto"/>
        </w:rPr>
      </w:pPr>
    </w:p>
    <w:p>
      <w:pPr>
        <w:ind w:left="1140" w:hanging="288"/>
        <w:spacing w:after="0"/>
        <w:tabs>
          <w:tab w:leader="none" w:pos="1140" w:val="left"/>
        </w:tabs>
        <w:numPr>
          <w:ilvl w:val="0"/>
          <w:numId w:val="40"/>
        </w:numPr>
        <w:rPr>
          <w:rFonts w:ascii="Arial" w:cs="Arial" w:eastAsia="Arial" w:hAnsi="Arial"/>
          <w:sz w:val="14"/>
          <w:szCs w:val="14"/>
          <w:color w:val="auto"/>
        </w:rPr>
      </w:pPr>
      <w:r>
        <w:rPr>
          <w:rFonts w:ascii="Arial" w:cs="Arial" w:eastAsia="Arial" w:hAnsi="Arial"/>
          <w:sz w:val="14"/>
          <w:szCs w:val="14"/>
          <w:color w:val="auto"/>
        </w:rPr>
        <w:t>Industry peers include Chevron, Royal Dutch Shell, Total, and BP.</w:t>
      </w:r>
    </w:p>
    <w:p>
      <w:pPr>
        <w:spacing w:after="0" w:line="109" w:lineRule="exact"/>
        <w:rPr>
          <w:rFonts w:ascii="Arial" w:cs="Arial" w:eastAsia="Arial" w:hAnsi="Arial"/>
          <w:sz w:val="14"/>
          <w:szCs w:val="14"/>
          <w:color w:val="auto"/>
        </w:rPr>
      </w:pPr>
    </w:p>
    <w:p>
      <w:pPr>
        <w:ind w:left="1140" w:hanging="288"/>
        <w:spacing w:after="0"/>
        <w:tabs>
          <w:tab w:leader="none" w:pos="1140" w:val="left"/>
        </w:tabs>
        <w:numPr>
          <w:ilvl w:val="0"/>
          <w:numId w:val="40"/>
        </w:numPr>
        <w:rPr>
          <w:rFonts w:ascii="Arial" w:cs="Arial" w:eastAsia="Arial" w:hAnsi="Arial"/>
          <w:sz w:val="14"/>
          <w:szCs w:val="14"/>
          <w:color w:val="auto"/>
        </w:rPr>
      </w:pPr>
      <w:r>
        <w:rPr>
          <w:rFonts w:ascii="Arial" w:cs="Arial" w:eastAsia="Arial" w:hAnsi="Arial"/>
          <w:sz w:val="14"/>
          <w:szCs w:val="14"/>
          <w:color w:val="auto"/>
        </w:rPr>
        <w:t>Growth rate of an investor’s holdings with reinvestment of dividends. Chevron, Royal Dutch Shell, Total, and BP weighted by market capitalization.</w:t>
      </w:r>
    </w:p>
    <w:p>
      <w:pPr>
        <w:spacing w:after="0" w:line="109" w:lineRule="exact"/>
        <w:rPr>
          <w:rFonts w:ascii="Arial" w:cs="Arial" w:eastAsia="Arial" w:hAnsi="Arial"/>
          <w:sz w:val="14"/>
          <w:szCs w:val="14"/>
          <w:color w:val="auto"/>
        </w:rPr>
      </w:pPr>
    </w:p>
    <w:p>
      <w:pPr>
        <w:ind w:left="1140" w:hanging="288"/>
        <w:spacing w:after="0"/>
        <w:tabs>
          <w:tab w:leader="none" w:pos="1140" w:val="left"/>
        </w:tabs>
        <w:numPr>
          <w:ilvl w:val="0"/>
          <w:numId w:val="40"/>
        </w:numPr>
        <w:rPr>
          <w:rFonts w:ascii="Arial" w:cs="Arial" w:eastAsia="Arial" w:hAnsi="Arial"/>
          <w:sz w:val="14"/>
          <w:szCs w:val="14"/>
          <w:color w:val="auto"/>
        </w:rPr>
      </w:pPr>
      <w:r>
        <w:rPr>
          <w:rFonts w:ascii="Arial" w:cs="Arial" w:eastAsia="Arial" w:hAnsi="Arial"/>
          <w:sz w:val="14"/>
          <w:szCs w:val="14"/>
          <w:color w:val="auto"/>
        </w:rPr>
        <w:t>Annual data calculated as average of daily prices from Platts.</w:t>
      </w:r>
    </w:p>
    <w:p>
      <w:pPr>
        <w:spacing w:after="0" w:line="109" w:lineRule="exact"/>
        <w:rPr>
          <w:rFonts w:ascii="Arial" w:cs="Arial" w:eastAsia="Arial" w:hAnsi="Arial"/>
          <w:sz w:val="14"/>
          <w:szCs w:val="14"/>
          <w:color w:val="auto"/>
        </w:rPr>
      </w:pPr>
    </w:p>
    <w:p>
      <w:pPr>
        <w:ind w:left="860" w:right="440" w:hanging="8"/>
        <w:spacing w:after="0" w:line="291" w:lineRule="auto"/>
        <w:tabs>
          <w:tab w:leader="none" w:pos="1156" w:val="left"/>
        </w:tabs>
        <w:numPr>
          <w:ilvl w:val="0"/>
          <w:numId w:val="40"/>
        </w:numPr>
        <w:rPr>
          <w:rFonts w:ascii="Arial" w:cs="Arial" w:eastAsia="Arial" w:hAnsi="Arial"/>
          <w:sz w:val="14"/>
          <w:szCs w:val="14"/>
          <w:color w:val="auto"/>
        </w:rPr>
      </w:pPr>
      <w:r>
        <w:rPr>
          <w:rFonts w:ascii="Arial" w:cs="Arial" w:eastAsia="Arial" w:hAnsi="Arial"/>
          <w:sz w:val="14"/>
          <w:szCs w:val="14"/>
          <w:color w:val="auto"/>
        </w:rPr>
        <w:t xml:space="preserve">For more information, see the </w:t>
      </w:r>
      <w:r>
        <w:rPr>
          <w:rFonts w:ascii="Arial" w:cs="Arial" w:eastAsia="Arial" w:hAnsi="Arial"/>
          <w:sz w:val="14"/>
          <w:szCs w:val="14"/>
          <w:i w:val="1"/>
          <w:iCs w:val="1"/>
          <w:color w:val="auto"/>
        </w:rPr>
        <w:t>Summary Annual Report</w:t>
      </w:r>
      <w:r>
        <w:rPr>
          <w:rFonts w:ascii="Arial" w:cs="Arial" w:eastAsia="Arial" w:hAnsi="Arial"/>
          <w:sz w:val="14"/>
          <w:szCs w:val="14"/>
          <w:color w:val="auto"/>
        </w:rPr>
        <w:t xml:space="preserve"> included with the Corporation’s 2018 Proxy Statement and available on our website at </w:t>
      </w:r>
      <w:r>
        <w:rPr>
          <w:rFonts w:ascii="Arial" w:cs="Arial" w:eastAsia="Arial" w:hAnsi="Arial"/>
          <w:sz w:val="14"/>
          <w:szCs w:val="14"/>
          <w:i w:val="1"/>
          <w:iCs w:val="1"/>
          <w:color w:val="auto"/>
        </w:rPr>
        <w:t>exxonmobil.com/annualreport.</w:t>
      </w:r>
    </w:p>
    <w:p>
      <w:pPr>
        <w:spacing w:after="0" w:line="41" w:lineRule="exact"/>
        <w:rPr>
          <w:rFonts w:ascii="Arial" w:cs="Arial" w:eastAsia="Arial" w:hAnsi="Arial"/>
          <w:sz w:val="14"/>
          <w:szCs w:val="14"/>
          <w:color w:val="auto"/>
        </w:rPr>
      </w:pPr>
    </w:p>
    <w:p>
      <w:pPr>
        <w:ind w:left="1140" w:hanging="288"/>
        <w:spacing w:after="0"/>
        <w:tabs>
          <w:tab w:leader="none" w:pos="1140" w:val="left"/>
        </w:tabs>
        <w:numPr>
          <w:ilvl w:val="0"/>
          <w:numId w:val="40"/>
        </w:numPr>
        <w:rPr>
          <w:rFonts w:ascii="Arial" w:cs="Arial" w:eastAsia="Arial" w:hAnsi="Arial"/>
          <w:sz w:val="14"/>
          <w:szCs w:val="14"/>
          <w:color w:val="auto"/>
        </w:rPr>
      </w:pPr>
      <w:r>
        <w:rPr>
          <w:rFonts w:ascii="Arial" w:cs="Arial" w:eastAsia="Arial" w:hAnsi="Arial"/>
          <w:sz w:val="14"/>
          <w:szCs w:val="14"/>
          <w:color w:val="auto"/>
        </w:rPr>
        <w:t>Proved reserves exclude asset sales.</w:t>
      </w:r>
    </w:p>
    <w:p>
      <w:pPr>
        <w:spacing w:after="0" w:line="109" w:lineRule="exact"/>
        <w:rPr>
          <w:rFonts w:ascii="Arial" w:cs="Arial" w:eastAsia="Arial" w:hAnsi="Arial"/>
          <w:sz w:val="14"/>
          <w:szCs w:val="14"/>
          <w:color w:val="auto"/>
        </w:rPr>
      </w:pPr>
    </w:p>
    <w:p>
      <w:pPr>
        <w:ind w:left="1140" w:hanging="288"/>
        <w:spacing w:after="0"/>
        <w:tabs>
          <w:tab w:leader="none" w:pos="1140" w:val="left"/>
        </w:tabs>
        <w:numPr>
          <w:ilvl w:val="0"/>
          <w:numId w:val="40"/>
        </w:numPr>
        <w:rPr>
          <w:rFonts w:ascii="Arial" w:cs="Arial" w:eastAsia="Arial" w:hAnsi="Arial"/>
          <w:sz w:val="14"/>
          <w:szCs w:val="14"/>
          <w:color w:val="auto"/>
        </w:rPr>
      </w:pPr>
      <w:r>
        <w:rPr>
          <w:rFonts w:ascii="Arial" w:cs="Arial" w:eastAsia="Arial" w:hAnsi="Arial"/>
          <w:sz w:val="14"/>
          <w:szCs w:val="14"/>
          <w:color w:val="auto"/>
        </w:rPr>
        <w:t>Total Capitalization defined as “Net Debt + Market Capitalization”; Leverage defined as “Net Debt / Total Capitalization.”</w:t>
      </w:r>
    </w:p>
    <w:p>
      <w:pPr>
        <w:spacing w:after="0" w:line="140" w:lineRule="exact"/>
        <w:rPr>
          <w:sz w:val="20"/>
          <w:szCs w:val="20"/>
          <w:color w:val="auto"/>
        </w:rPr>
      </w:pPr>
    </w:p>
    <w:p>
      <w:pPr>
        <w:ind w:left="880"/>
        <w:spacing w:after="0"/>
        <w:tabs>
          <w:tab w:leader="none" w:pos="2780" w:val="left"/>
        </w:tabs>
        <w:rPr>
          <w:sz w:val="20"/>
          <w:szCs w:val="20"/>
          <w:color w:val="auto"/>
        </w:rPr>
      </w:pPr>
      <w:r>
        <w:rPr>
          <w:rFonts w:ascii="Arial" w:cs="Arial" w:eastAsia="Arial" w:hAnsi="Arial"/>
          <w:sz w:val="18"/>
          <w:szCs w:val="18"/>
          <w:color w:val="auto"/>
        </w:rPr>
        <w:t>36</w:t>
      </w:r>
      <w:r>
        <w:rPr>
          <w:sz w:val="20"/>
          <w:szCs w:val="20"/>
          <w:color w:val="auto"/>
        </w:rPr>
        <w:tab/>
      </w:r>
      <w:r>
        <w:rPr>
          <w:rFonts w:ascii="Times New Roman" w:cs="Times New Roman" w:eastAsia="Times New Roman" w:hAnsi="Times New Roman"/>
          <w:sz w:val="18"/>
          <w:szCs w:val="18"/>
          <w:i w:val="1"/>
          <w:iCs w:val="1"/>
          <w:color w:val="auto"/>
        </w:rPr>
        <w:t>2018 Proxy Statement</w:t>
      </w:r>
    </w:p>
    <w:p>
      <w:pPr>
        <w:sectPr>
          <w:pgSz w:w="11900" w:h="16838" w:orient="portrait"/>
          <w:cols w:equalWidth="0" w:num="1">
            <w:col w:w="10580"/>
          </w:cols>
          <w:pgMar w:left="240" w:top="455" w:right="1079" w:bottom="1440" w:gutter="0" w:footer="0" w:header="0"/>
        </w:sectPr>
      </w:pPr>
    </w:p>
    <w:bookmarkStart w:id="39" w:name="page40"/>
    <w:bookmarkEnd w:id="39"/>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2">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Times New Roman" w:cs="Times New Roman" w:eastAsia="Times New Roman" w:hAnsi="Times New Roman"/>
            <w:sz w:val="18"/>
            <w:szCs w:val="18"/>
            <w:b w:val="1"/>
            <w:bCs w:val="1"/>
            <w:u w:val="single" w:color="auto"/>
            <w:color w:val="0000EE"/>
          </w:rPr>
          <w:t>Table of Contents</w:t>
        </w:r>
      </w:hyperlink>
    </w:p>
    <w:p>
      <w:pPr>
        <w:spacing w:after="0" w:line="297" w:lineRule="exact"/>
        <w:rPr>
          <w:sz w:val="20"/>
          <w:szCs w:val="20"/>
          <w:color w:val="auto"/>
        </w:rPr>
      </w:pPr>
    </w:p>
    <w:p>
      <w:pPr>
        <w:ind w:left="860"/>
        <w:spacing w:after="0"/>
        <w:rPr>
          <w:sz w:val="20"/>
          <w:szCs w:val="20"/>
          <w:color w:val="auto"/>
        </w:rPr>
      </w:pPr>
      <w:r>
        <w:rPr>
          <w:rFonts w:ascii="Arial" w:cs="Arial" w:eastAsia="Arial" w:hAnsi="Arial"/>
          <w:sz w:val="25"/>
          <w:szCs w:val="25"/>
          <w:color w:val="auto"/>
        </w:rPr>
        <w:t>Frequently Used Terms</w:t>
      </w:r>
    </w:p>
    <w:p>
      <w:pPr>
        <w:spacing w:after="0" w:line="135" w:lineRule="exact"/>
        <w:rPr>
          <w:sz w:val="20"/>
          <w:szCs w:val="20"/>
          <w:color w:val="auto"/>
        </w:rPr>
      </w:pPr>
    </w:p>
    <w:p>
      <w:pPr>
        <w:ind w:left="860"/>
        <w:spacing w:after="0"/>
        <w:rPr>
          <w:sz w:val="20"/>
          <w:szCs w:val="20"/>
          <w:color w:val="auto"/>
        </w:rPr>
      </w:pPr>
      <w:r>
        <w:rPr>
          <w:rFonts w:ascii="Arial" w:cs="Arial" w:eastAsia="Arial" w:hAnsi="Arial"/>
          <w:sz w:val="14"/>
          <w:szCs w:val="14"/>
          <w:color w:val="auto"/>
        </w:rPr>
        <w:t>Please also read the footnotes on page 36 for additional definitions of terms we use and other important information.</w:t>
      </w:r>
    </w:p>
    <w:p>
      <w:pPr>
        <w:spacing w:after="0" w:line="107" w:lineRule="exact"/>
        <w:rPr>
          <w:sz w:val="20"/>
          <w:szCs w:val="20"/>
          <w:color w:val="auto"/>
        </w:rPr>
      </w:pPr>
    </w:p>
    <w:p>
      <w:pPr>
        <w:ind w:left="860" w:right="140"/>
        <w:spacing w:after="0" w:line="294" w:lineRule="auto"/>
        <w:rPr>
          <w:sz w:val="20"/>
          <w:szCs w:val="20"/>
          <w:color w:val="auto"/>
        </w:rPr>
      </w:pPr>
      <w:r>
        <w:rPr>
          <w:rFonts w:ascii="Arial" w:cs="Arial" w:eastAsia="Arial" w:hAnsi="Arial"/>
          <w:sz w:val="14"/>
          <w:szCs w:val="14"/>
          <w:b w:val="1"/>
          <w:bCs w:val="1"/>
          <w:color w:val="auto"/>
        </w:rPr>
        <w:t xml:space="preserve">Performance Share Program </w:t>
      </w:r>
      <w:r>
        <w:rPr>
          <w:rFonts w:ascii="Arial" w:cs="Arial" w:eastAsia="Arial" w:hAnsi="Arial"/>
          <w:sz w:val="14"/>
          <w:szCs w:val="14"/>
          <w:color w:val="auto"/>
        </w:rPr>
        <w:t>is the terminology used to describe our equity program to better reflect the strong connection between performance and</w:t>
      </w:r>
      <w:r>
        <w:rPr>
          <w:rFonts w:ascii="Arial" w:cs="Arial" w:eastAsia="Arial" w:hAnsi="Arial"/>
          <w:sz w:val="14"/>
          <w:szCs w:val="14"/>
          <w:b w:val="1"/>
          <w:bCs w:val="1"/>
          <w:color w:val="auto"/>
        </w:rPr>
        <w:t xml:space="preserve"> </w:t>
      </w:r>
      <w:r>
        <w:rPr>
          <w:rFonts w:ascii="Arial" w:cs="Arial" w:eastAsia="Arial" w:hAnsi="Arial"/>
          <w:sz w:val="14"/>
          <w:szCs w:val="14"/>
          <w:color w:val="auto"/>
        </w:rPr>
        <w:t>pay.</w:t>
      </w:r>
    </w:p>
    <w:p>
      <w:pPr>
        <w:spacing w:after="0" w:line="38" w:lineRule="exact"/>
        <w:rPr>
          <w:sz w:val="20"/>
          <w:szCs w:val="20"/>
          <w:color w:val="auto"/>
        </w:rPr>
      </w:pPr>
    </w:p>
    <w:p>
      <w:pPr>
        <w:ind w:left="860" w:right="120"/>
        <w:spacing w:after="0" w:line="267" w:lineRule="auto"/>
        <w:rPr>
          <w:sz w:val="20"/>
          <w:szCs w:val="20"/>
          <w:color w:val="auto"/>
        </w:rPr>
      </w:pPr>
      <w:r>
        <w:rPr>
          <w:rFonts w:ascii="Arial" w:cs="Arial" w:eastAsia="Arial" w:hAnsi="Arial"/>
          <w:sz w:val="14"/>
          <w:szCs w:val="14"/>
          <w:b w:val="1"/>
          <w:bCs w:val="1"/>
          <w:color w:val="auto"/>
        </w:rPr>
        <w:t xml:space="preserve">Compensation Benchmark Companies </w:t>
      </w:r>
      <w:r>
        <w:rPr>
          <w:rFonts w:ascii="Arial" w:cs="Arial" w:eastAsia="Arial" w:hAnsi="Arial"/>
          <w:sz w:val="14"/>
          <w:szCs w:val="14"/>
          <w:color w:val="auto"/>
        </w:rPr>
        <w:t>consist of AT&amp;T, Boeing, Chevron, Ford, General Electric, General Motors, IBM, Johnson &amp; Johnson, Pfizer,</w:t>
      </w:r>
      <w:r>
        <w:rPr>
          <w:rFonts w:ascii="Arial" w:cs="Arial" w:eastAsia="Arial" w:hAnsi="Arial"/>
          <w:sz w:val="14"/>
          <w:szCs w:val="14"/>
          <w:b w:val="1"/>
          <w:bCs w:val="1"/>
          <w:color w:val="auto"/>
        </w:rPr>
        <w:t xml:space="preserve"> </w:t>
      </w:r>
      <w:r>
        <w:rPr>
          <w:rFonts w:ascii="Arial" w:cs="Arial" w:eastAsia="Arial" w:hAnsi="Arial"/>
          <w:sz w:val="14"/>
          <w:szCs w:val="14"/>
          <w:color w:val="auto"/>
        </w:rPr>
        <w:t>Procter &amp; Gamble, United Technologies, and Verizon. For consistency, CEO compensation on page 33, in charts 3 and 4, is based on compensation as disclosed in the Summary Compensation Table of the proxy statements as of July 31, 2017.</w:t>
      </w:r>
    </w:p>
    <w:p>
      <w:pPr>
        <w:spacing w:after="0" w:line="57" w:lineRule="exact"/>
        <w:rPr>
          <w:sz w:val="20"/>
          <w:szCs w:val="20"/>
          <w:color w:val="auto"/>
        </w:rPr>
      </w:pPr>
    </w:p>
    <w:p>
      <w:pPr>
        <w:ind w:left="860" w:right="160"/>
        <w:spacing w:after="0" w:line="294" w:lineRule="auto"/>
        <w:rPr>
          <w:sz w:val="20"/>
          <w:szCs w:val="20"/>
          <w:color w:val="auto"/>
        </w:rPr>
      </w:pPr>
      <w:r>
        <w:rPr>
          <w:rFonts w:ascii="Arial" w:cs="Arial" w:eastAsia="Arial" w:hAnsi="Arial"/>
          <w:sz w:val="14"/>
          <w:szCs w:val="14"/>
          <w:b w:val="1"/>
          <w:bCs w:val="1"/>
          <w:color w:val="auto"/>
        </w:rPr>
        <w:t xml:space="preserve">Reported Pay </w:t>
      </w:r>
      <w:r>
        <w:rPr>
          <w:rFonts w:ascii="Arial" w:cs="Arial" w:eastAsia="Arial" w:hAnsi="Arial"/>
          <w:sz w:val="14"/>
          <w:szCs w:val="14"/>
          <w:color w:val="auto"/>
        </w:rPr>
        <w:t>is Total Compensation reported in the Summary Compensation Table, except for 2008, where the grant date value of restricted stock as</w:t>
      </w:r>
      <w:r>
        <w:rPr>
          <w:rFonts w:ascii="Arial" w:cs="Arial" w:eastAsia="Arial" w:hAnsi="Arial"/>
          <w:sz w:val="14"/>
          <w:szCs w:val="14"/>
          <w:b w:val="1"/>
          <w:bCs w:val="1"/>
          <w:color w:val="auto"/>
        </w:rPr>
        <w:t xml:space="preserve"> </w:t>
      </w:r>
      <w:r>
        <w:rPr>
          <w:rFonts w:ascii="Arial" w:cs="Arial" w:eastAsia="Arial" w:hAnsi="Arial"/>
          <w:sz w:val="14"/>
          <w:szCs w:val="14"/>
          <w:color w:val="auto"/>
        </w:rPr>
        <w:t>provided under current SEC rules is used to put all years of compensation on the same basis.</w:t>
      </w:r>
    </w:p>
    <w:p>
      <w:pPr>
        <w:spacing w:after="0" w:line="38" w:lineRule="exact"/>
        <w:rPr>
          <w:sz w:val="20"/>
          <w:szCs w:val="20"/>
          <w:color w:val="auto"/>
        </w:rPr>
      </w:pPr>
    </w:p>
    <w:p>
      <w:pPr>
        <w:ind w:left="860"/>
        <w:spacing w:after="0" w:line="250" w:lineRule="auto"/>
        <w:rPr>
          <w:sz w:val="20"/>
          <w:szCs w:val="20"/>
          <w:color w:val="auto"/>
        </w:rPr>
      </w:pPr>
      <w:r>
        <w:rPr>
          <w:rFonts w:ascii="Arial" w:cs="Arial" w:eastAsia="Arial" w:hAnsi="Arial"/>
          <w:sz w:val="14"/>
          <w:szCs w:val="14"/>
          <w:b w:val="1"/>
          <w:bCs w:val="1"/>
          <w:color w:val="auto"/>
        </w:rPr>
        <w:t xml:space="preserve">Realized Pay </w:t>
      </w:r>
      <w:r>
        <w:rPr>
          <w:rFonts w:ascii="Arial" w:cs="Arial" w:eastAsia="Arial" w:hAnsi="Arial"/>
          <w:sz w:val="14"/>
          <w:szCs w:val="14"/>
          <w:color w:val="auto"/>
        </w:rPr>
        <w:t>is compensation actually received by the CEO during the year, including salary, current bonus, payouts of previously granted earnings</w:t>
      </w:r>
      <w:r>
        <w:rPr>
          <w:rFonts w:ascii="Arial" w:cs="Arial" w:eastAsia="Arial" w:hAnsi="Arial"/>
          <w:sz w:val="14"/>
          <w:szCs w:val="14"/>
          <w:b w:val="1"/>
          <w:bCs w:val="1"/>
          <w:color w:val="auto"/>
        </w:rPr>
        <w:t xml:space="preserve"> </w:t>
      </w:r>
      <w:r>
        <w:rPr>
          <w:rFonts w:ascii="Arial" w:cs="Arial" w:eastAsia="Arial" w:hAnsi="Arial"/>
          <w:sz w:val="14"/>
          <w:szCs w:val="14"/>
          <w:color w:val="auto"/>
        </w:rPr>
        <w:t>bonus units (EBUs), net spread on stock option exercises, market value at vesting of previously granted stock-based awards, and All Other Compensation amounts realized during the year. It excludes unvested grants, change in pension value, and other amounts that will not actually be received until a future date. Amounts for compensation benchmark companies include salary, bonus, payouts of non-equity incentive plan compensation, and All Other Compensation as reported in the Summary Compensation Table, plus value realized on option exercise or stock vesting as reported in the Option Exercises and Stock Vested table. It excludes unvested grants, change in pension value, and other amounts that will not actually be received until a future date, as well as any retirement-related payouts from pension or nonqualified compensation plans.</w:t>
      </w:r>
    </w:p>
    <w:p>
      <w:pPr>
        <w:spacing w:after="0" w:line="69" w:lineRule="exact"/>
        <w:rPr>
          <w:sz w:val="20"/>
          <w:szCs w:val="20"/>
          <w:color w:val="auto"/>
        </w:rPr>
      </w:pPr>
    </w:p>
    <w:p>
      <w:pPr>
        <w:ind w:left="860" w:right="140"/>
        <w:spacing w:after="0" w:line="254" w:lineRule="auto"/>
        <w:rPr>
          <w:sz w:val="20"/>
          <w:szCs w:val="20"/>
          <w:color w:val="auto"/>
        </w:rPr>
      </w:pPr>
      <w:r>
        <w:rPr>
          <w:rFonts w:ascii="Arial" w:cs="Arial" w:eastAsia="Arial" w:hAnsi="Arial"/>
          <w:sz w:val="14"/>
          <w:szCs w:val="14"/>
          <w:b w:val="1"/>
          <w:bCs w:val="1"/>
          <w:color w:val="auto"/>
        </w:rPr>
        <w:t xml:space="preserve">Unrealized Pay </w:t>
      </w:r>
      <w:r>
        <w:rPr>
          <w:rFonts w:ascii="Arial" w:cs="Arial" w:eastAsia="Arial" w:hAnsi="Arial"/>
          <w:sz w:val="14"/>
          <w:szCs w:val="14"/>
          <w:color w:val="auto"/>
        </w:rPr>
        <w:t>is calculated on a different basis than the grant date fair value of awards used in the Summary Compensation Table. Unrealized Pay</w:t>
      </w:r>
      <w:r>
        <w:rPr>
          <w:rFonts w:ascii="Arial" w:cs="Arial" w:eastAsia="Arial" w:hAnsi="Arial"/>
          <w:sz w:val="14"/>
          <w:szCs w:val="14"/>
          <w:b w:val="1"/>
          <w:bCs w:val="1"/>
          <w:color w:val="auto"/>
        </w:rPr>
        <w:t xml:space="preserve"> </w:t>
      </w:r>
      <w:r>
        <w:rPr>
          <w:rFonts w:ascii="Arial" w:cs="Arial" w:eastAsia="Arial" w:hAnsi="Arial"/>
          <w:sz w:val="14"/>
          <w:szCs w:val="14"/>
          <w:color w:val="auto"/>
        </w:rPr>
        <w:t>includes the value based on each compensation benchmark company’s closing stock price at fiscal year-end 2016 of unvested restricted stock awards; unvested long-term share- and cash performance awards, valued at target levels; and the “in the money” value of unexercised stock options (both vested and unvested). If a CEO retired during the period, outstanding equity is included assuming that unvested awards, as of the retirement date, continued to vest pursuant to the original terms of the award.</w:t>
      </w:r>
    </w:p>
    <w:p>
      <w:pPr>
        <w:spacing w:after="0" w:line="66" w:lineRule="exact"/>
        <w:rPr>
          <w:sz w:val="20"/>
          <w:szCs w:val="20"/>
          <w:color w:val="auto"/>
        </w:rPr>
      </w:pPr>
    </w:p>
    <w:p>
      <w:pPr>
        <w:ind w:left="860" w:right="540"/>
        <w:spacing w:after="0" w:line="267" w:lineRule="auto"/>
        <w:rPr>
          <w:sz w:val="20"/>
          <w:szCs w:val="20"/>
          <w:color w:val="auto"/>
        </w:rPr>
      </w:pPr>
      <w:r>
        <w:rPr>
          <w:rFonts w:ascii="Arial" w:cs="Arial" w:eastAsia="Arial" w:hAnsi="Arial"/>
          <w:sz w:val="14"/>
          <w:szCs w:val="14"/>
          <w:b w:val="1"/>
          <w:bCs w:val="1"/>
          <w:color w:val="auto"/>
        </w:rPr>
        <w:t xml:space="preserve">Cash Flow from Operations and Asset Sales </w:t>
      </w:r>
      <w:r>
        <w:rPr>
          <w:rFonts w:ascii="Arial" w:cs="Arial" w:eastAsia="Arial" w:hAnsi="Arial"/>
          <w:sz w:val="14"/>
          <w:szCs w:val="14"/>
          <w:color w:val="auto"/>
        </w:rPr>
        <w:t>is the sum of the net cash provided by operating activities and proceeds associated with sales of</w:t>
      </w:r>
      <w:r>
        <w:rPr>
          <w:rFonts w:ascii="Arial" w:cs="Arial" w:eastAsia="Arial" w:hAnsi="Arial"/>
          <w:sz w:val="14"/>
          <w:szCs w:val="14"/>
          <w:b w:val="1"/>
          <w:bCs w:val="1"/>
          <w:color w:val="auto"/>
        </w:rPr>
        <w:t xml:space="preserve"> </w:t>
      </w:r>
      <w:r>
        <w:rPr>
          <w:rFonts w:ascii="Arial" w:cs="Arial" w:eastAsia="Arial" w:hAnsi="Arial"/>
          <w:sz w:val="14"/>
          <w:szCs w:val="14"/>
          <w:color w:val="auto"/>
        </w:rPr>
        <w:t xml:space="preserve">subsidiaries, property, plant and equipment, and sales and returns of investments from the Summary Statement of Cash Flows. For additional information, see page 37 of the </w:t>
      </w:r>
      <w:r>
        <w:rPr>
          <w:rFonts w:ascii="Arial" w:cs="Arial" w:eastAsia="Arial" w:hAnsi="Arial"/>
          <w:sz w:val="14"/>
          <w:szCs w:val="14"/>
          <w:i w:val="1"/>
          <w:iCs w:val="1"/>
          <w:color w:val="auto"/>
        </w:rPr>
        <w:t>Summary Annual Report</w:t>
      </w:r>
      <w:r>
        <w:rPr>
          <w:rFonts w:ascii="Arial" w:cs="Arial" w:eastAsia="Arial" w:hAnsi="Arial"/>
          <w:sz w:val="14"/>
          <w:szCs w:val="14"/>
          <w:color w:val="auto"/>
        </w:rPr>
        <w:t xml:space="preserve"> included with the Corporation’s 2018 Proxy Statement.</w:t>
      </w:r>
    </w:p>
    <w:p>
      <w:pPr>
        <w:spacing w:after="0" w:line="57" w:lineRule="exact"/>
        <w:rPr>
          <w:sz w:val="20"/>
          <w:szCs w:val="20"/>
          <w:color w:val="auto"/>
        </w:rPr>
      </w:pPr>
    </w:p>
    <w:p>
      <w:pPr>
        <w:ind w:left="860" w:right="240"/>
        <w:spacing w:after="0" w:line="259" w:lineRule="auto"/>
        <w:rPr>
          <w:sz w:val="20"/>
          <w:szCs w:val="20"/>
          <w:color w:val="auto"/>
        </w:rPr>
      </w:pPr>
      <w:r>
        <w:rPr>
          <w:rFonts w:ascii="Arial" w:cs="Arial" w:eastAsia="Arial" w:hAnsi="Arial"/>
          <w:sz w:val="14"/>
          <w:szCs w:val="14"/>
          <w:b w:val="1"/>
          <w:bCs w:val="1"/>
          <w:color w:val="auto"/>
        </w:rPr>
        <w:t xml:space="preserve">Return on Average Capital Employed </w:t>
      </w:r>
      <w:r>
        <w:rPr>
          <w:rFonts w:ascii="Arial" w:cs="Arial" w:eastAsia="Arial" w:hAnsi="Arial"/>
          <w:sz w:val="14"/>
          <w:szCs w:val="14"/>
          <w:color w:val="auto"/>
        </w:rPr>
        <w:t>(ROCE) for the Corporation is net income attributable to ExxonMobil excluding the after-tax cost of financing,</w:t>
      </w:r>
      <w:r>
        <w:rPr>
          <w:rFonts w:ascii="Arial" w:cs="Arial" w:eastAsia="Arial" w:hAnsi="Arial"/>
          <w:sz w:val="14"/>
          <w:szCs w:val="14"/>
          <w:b w:val="1"/>
          <w:bCs w:val="1"/>
          <w:color w:val="auto"/>
        </w:rPr>
        <w:t xml:space="preserve"> </w:t>
      </w:r>
      <w:r>
        <w:rPr>
          <w:rFonts w:ascii="Arial" w:cs="Arial" w:eastAsia="Arial" w:hAnsi="Arial"/>
          <w:sz w:val="14"/>
          <w:szCs w:val="14"/>
          <w:color w:val="auto"/>
        </w:rPr>
        <w:t xml:space="preserve">divided by total corporate average capital employed. For this purpose, capital employed means the Corporation’s net share of property, plant and equipment, and other assets less liabilities, excluding both short-term and long-term debt. For additional information, see pages 36 and 37 of the </w:t>
      </w:r>
      <w:r>
        <w:rPr>
          <w:rFonts w:ascii="Arial" w:cs="Arial" w:eastAsia="Arial" w:hAnsi="Arial"/>
          <w:sz w:val="14"/>
          <w:szCs w:val="14"/>
          <w:i w:val="1"/>
          <w:iCs w:val="1"/>
          <w:color w:val="auto"/>
        </w:rPr>
        <w:t xml:space="preserve">Summary Annual Report </w:t>
      </w:r>
      <w:r>
        <w:rPr>
          <w:rFonts w:ascii="Arial" w:cs="Arial" w:eastAsia="Arial" w:hAnsi="Arial"/>
          <w:sz w:val="14"/>
          <w:szCs w:val="14"/>
          <w:color w:val="auto"/>
        </w:rPr>
        <w:t>included with the Corporation’s 2018 Proxy Statement.</w:t>
      </w:r>
    </w:p>
    <w:p>
      <w:pPr>
        <w:spacing w:after="0" w:line="61" w:lineRule="exact"/>
        <w:rPr>
          <w:sz w:val="20"/>
          <w:szCs w:val="20"/>
          <w:color w:val="auto"/>
        </w:rPr>
      </w:pPr>
    </w:p>
    <w:p>
      <w:pPr>
        <w:ind w:left="860" w:right="60"/>
        <w:spacing w:after="0" w:line="267" w:lineRule="auto"/>
        <w:rPr>
          <w:sz w:val="20"/>
          <w:szCs w:val="20"/>
          <w:color w:val="auto"/>
        </w:rPr>
      </w:pPr>
      <w:r>
        <w:rPr>
          <w:rFonts w:ascii="Arial" w:cs="Arial" w:eastAsia="Arial" w:hAnsi="Arial"/>
          <w:sz w:val="14"/>
          <w:szCs w:val="14"/>
          <w:b w:val="1"/>
          <w:bCs w:val="1"/>
          <w:color w:val="auto"/>
        </w:rPr>
        <w:t xml:space="preserve">Total Shareholder Return </w:t>
      </w:r>
      <w:r>
        <w:rPr>
          <w:rFonts w:ascii="Arial" w:cs="Arial" w:eastAsia="Arial" w:hAnsi="Arial"/>
          <w:sz w:val="14"/>
          <w:szCs w:val="14"/>
          <w:color w:val="auto"/>
        </w:rPr>
        <w:t>(TSR) measures the change in value of an investment in stock over a specified period of time, assuming dividend</w:t>
      </w:r>
      <w:r>
        <w:rPr>
          <w:rFonts w:ascii="Arial" w:cs="Arial" w:eastAsia="Arial" w:hAnsi="Arial"/>
          <w:sz w:val="14"/>
          <w:szCs w:val="14"/>
          <w:b w:val="1"/>
          <w:bCs w:val="1"/>
          <w:color w:val="auto"/>
        </w:rPr>
        <w:t xml:space="preserve"> </w:t>
      </w:r>
      <w:r>
        <w:rPr>
          <w:rFonts w:ascii="Arial" w:cs="Arial" w:eastAsia="Arial" w:hAnsi="Arial"/>
          <w:sz w:val="14"/>
          <w:szCs w:val="14"/>
          <w:color w:val="auto"/>
        </w:rPr>
        <w:t xml:space="preserve">reinvestment. TSR is subject to many different variables, including factors beyond the control of management. For additional information, see page 36 of the </w:t>
      </w:r>
      <w:r>
        <w:rPr>
          <w:rFonts w:ascii="Arial" w:cs="Arial" w:eastAsia="Arial" w:hAnsi="Arial"/>
          <w:sz w:val="14"/>
          <w:szCs w:val="14"/>
          <w:i w:val="1"/>
          <w:iCs w:val="1"/>
          <w:color w:val="auto"/>
        </w:rPr>
        <w:t>Summary Annual Report</w:t>
      </w:r>
      <w:r>
        <w:rPr>
          <w:rFonts w:ascii="Arial" w:cs="Arial" w:eastAsia="Arial" w:hAnsi="Arial"/>
          <w:sz w:val="14"/>
          <w:szCs w:val="14"/>
          <w:color w:val="auto"/>
        </w:rPr>
        <w:t xml:space="preserve"> included with the Corporation’s 2018 Proxy Statement.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545465</wp:posOffset>
            </wp:positionH>
            <wp:positionV relativeFrom="paragraph">
              <wp:posOffset>217170</wp:posOffset>
            </wp:positionV>
            <wp:extent cx="6174740" cy="8890"/>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3">
                      <a:extLst>
                        <a:ext uri="{28A0092B-C50C-407E-A947-70E740481C1C}"/>
                      </a:extLst>
                    </a:blip>
                    <a:srcRect/>
                    <a:stretch>
                      <a:fillRect/>
                    </a:stretch>
                  </pic:blipFill>
                  <pic:spPr bwMode="auto">
                    <a:xfrm>
                      <a:off x="0" y="0"/>
                      <a:ext cx="6174740" cy="8890"/>
                    </a:xfrm>
                    <a:prstGeom prst="rect">
                      <a:avLst/>
                    </a:prstGeom>
                    <a:noFill/>
                  </pic:spPr>
                </pic:pic>
              </a:graphicData>
            </a:graphic>
          </wp:anchor>
        </w:drawing>
      </w:r>
    </w:p>
    <w:p>
      <w:pPr>
        <w:spacing w:after="0" w:line="200" w:lineRule="exact"/>
        <w:rPr>
          <w:sz w:val="20"/>
          <w:szCs w:val="20"/>
          <w:color w:val="auto"/>
        </w:rPr>
      </w:pPr>
    </w:p>
    <w:p>
      <w:pPr>
        <w:spacing w:after="0" w:line="339" w:lineRule="exact"/>
        <w:rPr>
          <w:sz w:val="20"/>
          <w:szCs w:val="20"/>
          <w:color w:val="auto"/>
        </w:rPr>
      </w:pPr>
    </w:p>
    <w:p>
      <w:pPr>
        <w:ind w:left="860" w:right="260"/>
        <w:spacing w:after="0" w:line="254" w:lineRule="auto"/>
        <w:rPr>
          <w:sz w:val="20"/>
          <w:szCs w:val="20"/>
          <w:color w:val="auto"/>
        </w:rPr>
      </w:pPr>
      <w:r>
        <w:rPr>
          <w:rFonts w:ascii="Arial" w:cs="Arial" w:eastAsia="Arial" w:hAnsi="Arial"/>
          <w:sz w:val="14"/>
          <w:szCs w:val="14"/>
          <w:b w:val="1"/>
          <w:bCs w:val="1"/>
          <w:i w:val="1"/>
          <w:iCs w:val="1"/>
          <w:color w:val="auto"/>
        </w:rPr>
        <w:t>Statements regarding future events or conditions are forward-looking statements</w:t>
      </w:r>
      <w:r>
        <w:rPr>
          <w:rFonts w:ascii="Arial" w:cs="Arial" w:eastAsia="Arial" w:hAnsi="Arial"/>
          <w:sz w:val="14"/>
          <w:szCs w:val="14"/>
          <w:color w:val="auto"/>
        </w:rPr>
        <w:t>.</w:t>
      </w:r>
      <w:r>
        <w:rPr>
          <w:rFonts w:ascii="Arial" w:cs="Arial" w:eastAsia="Arial" w:hAnsi="Arial"/>
          <w:sz w:val="14"/>
          <w:szCs w:val="14"/>
          <w:b w:val="1"/>
          <w:bCs w:val="1"/>
          <w:i w:val="1"/>
          <w:iCs w:val="1"/>
          <w:color w:val="auto"/>
        </w:rPr>
        <w:t xml:space="preserve"> </w:t>
      </w:r>
      <w:r>
        <w:rPr>
          <w:rFonts w:ascii="Arial" w:cs="Arial" w:eastAsia="Arial" w:hAnsi="Arial"/>
          <w:sz w:val="14"/>
          <w:szCs w:val="14"/>
          <w:i w:val="1"/>
          <w:iCs w:val="1"/>
          <w:color w:val="auto"/>
        </w:rPr>
        <w:t>Actual future results, including project plans, schedules, and</w:t>
      </w:r>
      <w:r>
        <w:rPr>
          <w:rFonts w:ascii="Arial" w:cs="Arial" w:eastAsia="Arial" w:hAnsi="Arial"/>
          <w:sz w:val="14"/>
          <w:szCs w:val="14"/>
          <w:b w:val="1"/>
          <w:bCs w:val="1"/>
          <w:i w:val="1"/>
          <w:iCs w:val="1"/>
          <w:color w:val="auto"/>
        </w:rPr>
        <w:t xml:space="preserve"> </w:t>
      </w:r>
      <w:r>
        <w:rPr>
          <w:rFonts w:ascii="Arial" w:cs="Arial" w:eastAsia="Arial" w:hAnsi="Arial"/>
          <w:sz w:val="14"/>
          <w:szCs w:val="14"/>
          <w:i w:val="1"/>
          <w:iCs w:val="1"/>
          <w:color w:val="auto"/>
        </w:rPr>
        <w:t>results, as well as the impact of compensation incentives, could differ materially due to changes in oil and gas prices and other factors affecting our industry, technical or operating conditions, and other factors described in Item 1A Risk Factors in our most recent Form 10-K. References to oil-equivalent barrels and other quantities of oil and gas herein include amounts not yet classified as proved reserves under SEC rules, but which are expected to be ultimately moved into the proved category and produced in the future.</w:t>
      </w:r>
    </w:p>
    <w:p>
      <w:pPr>
        <w:spacing w:after="0" w:line="68" w:lineRule="exact"/>
        <w:rPr>
          <w:sz w:val="20"/>
          <w:szCs w:val="20"/>
          <w:color w:val="auto"/>
        </w:rPr>
      </w:pPr>
    </w:p>
    <w:p>
      <w:pPr>
        <w:ind w:left="860" w:right="700"/>
        <w:spacing w:after="0" w:line="288" w:lineRule="auto"/>
        <w:rPr>
          <w:sz w:val="20"/>
          <w:szCs w:val="20"/>
          <w:color w:val="auto"/>
        </w:rPr>
      </w:pPr>
      <w:r>
        <w:rPr>
          <w:rFonts w:ascii="Arial" w:cs="Arial" w:eastAsia="Arial" w:hAnsi="Arial"/>
          <w:sz w:val="14"/>
          <w:szCs w:val="14"/>
          <w:i w:val="1"/>
          <w:iCs w:val="1"/>
          <w:color w:val="auto"/>
        </w:rPr>
        <w:t>The term “project” can refer to a variety of different activities and does not necessarily have the same meaning as in any government payment transparency reports.</w:t>
      </w:r>
    </w:p>
    <w:p>
      <w:pPr>
        <w:spacing w:after="0" w:line="318" w:lineRule="exact"/>
        <w:rPr>
          <w:sz w:val="20"/>
          <w:szCs w:val="20"/>
          <w:color w:val="auto"/>
        </w:rPr>
      </w:pPr>
    </w:p>
    <w:tbl>
      <w:tblPr>
        <w:tblLayout w:type="fixed"/>
        <w:tblInd w:w="6960" w:type="dxa"/>
        <w:tblCellMar>
          <w:top w:w="0" w:type="dxa"/>
          <w:left w:w="0" w:type="dxa"/>
          <w:bottom w:w="0" w:type="dxa"/>
          <w:right w:w="0" w:type="dxa"/>
        </w:tblCellMar>
      </w:tblPr>
      <w:tr>
        <w:trPr>
          <w:trHeight w:val="243"/>
        </w:trPr>
        <w:tc>
          <w:tcPr>
            <w:tcW w:w="2440" w:type="dxa"/>
            <w:vAlign w:val="bottom"/>
          </w:tcPr>
          <w:p>
            <w:pPr>
              <w:spacing w:after="0"/>
              <w:rPr>
                <w:sz w:val="20"/>
                <w:szCs w:val="20"/>
                <w:color w:val="auto"/>
              </w:rPr>
            </w:pPr>
            <w:r>
              <w:rPr>
                <w:rFonts w:ascii="Times New Roman" w:cs="Times New Roman" w:eastAsia="Times New Roman" w:hAnsi="Times New Roman"/>
                <w:sz w:val="18"/>
                <w:szCs w:val="18"/>
                <w:i w:val="1"/>
                <w:iCs w:val="1"/>
                <w:color w:val="auto"/>
              </w:rPr>
              <w:t>2018 Proxy Statement</w:t>
            </w:r>
          </w:p>
        </w:tc>
        <w:tc>
          <w:tcPr>
            <w:tcW w:w="1060" w:type="dxa"/>
            <w:vAlign w:val="bottom"/>
          </w:tcPr>
          <w:p>
            <w:pPr>
              <w:jc w:val="right"/>
              <w:spacing w:after="0"/>
              <w:rPr>
                <w:sz w:val="20"/>
                <w:szCs w:val="20"/>
                <w:color w:val="auto"/>
              </w:rPr>
            </w:pPr>
            <w:r>
              <w:rPr>
                <w:rFonts w:ascii="Arial" w:cs="Arial" w:eastAsia="Arial" w:hAnsi="Arial"/>
                <w:sz w:val="18"/>
                <w:szCs w:val="18"/>
                <w:color w:val="auto"/>
              </w:rPr>
              <w:t>37</w:t>
            </w:r>
          </w:p>
        </w:tc>
      </w:tr>
    </w:tbl>
    <w:p>
      <w:pPr>
        <w:sectPr>
          <w:pgSz w:w="11900" w:h="16838" w:orient="portrait"/>
          <w:cols w:equalWidth="0" w:num="1">
            <w:col w:w="10580"/>
          </w:cols>
          <w:pgMar w:left="240" w:top="455" w:right="1079" w:bottom="1440" w:gutter="0" w:footer="0" w:header="0"/>
        </w:sectPr>
      </w:pPr>
    </w:p>
    <w:bookmarkStart w:id="40" w:name="page41"/>
    <w:bookmarkEnd w:id="40"/>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4">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Times New Roman" w:cs="Times New Roman" w:eastAsia="Times New Roman" w:hAnsi="Times New Roman"/>
            <w:sz w:val="18"/>
            <w:szCs w:val="18"/>
            <w:b w:val="1"/>
            <w:bCs w:val="1"/>
            <w:u w:val="single" w:color="auto"/>
            <w:color w:val="0000EE"/>
          </w:rPr>
          <w:t>Table of Contents</w:t>
        </w:r>
      </w:hyperlink>
    </w:p>
    <w:p>
      <w:pPr>
        <w:spacing w:after="0" w:line="296" w:lineRule="exact"/>
        <w:rPr>
          <w:sz w:val="20"/>
          <w:szCs w:val="20"/>
          <w:color w:val="auto"/>
        </w:rPr>
      </w:pPr>
    </w:p>
    <w:p>
      <w:pPr>
        <w:ind w:left="860"/>
        <w:spacing w:after="0"/>
        <w:rPr>
          <w:sz w:val="20"/>
          <w:szCs w:val="20"/>
          <w:color w:val="auto"/>
        </w:rPr>
      </w:pPr>
      <w:r>
        <w:rPr>
          <w:rFonts w:ascii="Arial" w:cs="Arial" w:eastAsia="Arial" w:hAnsi="Arial"/>
          <w:sz w:val="20"/>
          <w:szCs w:val="20"/>
          <w:b w:val="1"/>
          <w:bCs w:val="1"/>
          <w:color w:val="2B4C9B"/>
        </w:rPr>
        <w:t>Key Elements of the Compensation Program and Compensation Committee 2017 Decisions</w:t>
      </w:r>
    </w:p>
    <w:p>
      <w:pPr>
        <w:spacing w:after="0" w:line="116" w:lineRule="exact"/>
        <w:rPr>
          <w:sz w:val="20"/>
          <w:szCs w:val="20"/>
          <w:color w:val="auto"/>
        </w:rPr>
      </w:pPr>
    </w:p>
    <w:p>
      <w:pPr>
        <w:jc w:val="both"/>
        <w:ind w:left="1240" w:right="100" w:hanging="388"/>
        <w:spacing w:after="0" w:line="306" w:lineRule="auto"/>
        <w:tabs>
          <w:tab w:leader="none" w:pos="1240" w:val="left"/>
        </w:tabs>
        <w:numPr>
          <w:ilvl w:val="0"/>
          <w:numId w:val="41"/>
        </w:numPr>
        <w:rPr>
          <w:rFonts w:ascii="Times New Roman" w:cs="Times New Roman" w:eastAsia="Times New Roman" w:hAnsi="Times New Roman"/>
          <w:sz w:val="17"/>
          <w:szCs w:val="17"/>
          <w:color w:val="auto"/>
        </w:rPr>
      </w:pPr>
      <w:r>
        <w:rPr>
          <w:rFonts w:ascii="Arial" w:cs="Arial" w:eastAsia="Arial" w:hAnsi="Arial"/>
          <w:sz w:val="17"/>
          <w:szCs w:val="17"/>
          <w:color w:val="auto"/>
        </w:rPr>
        <w:t>The Company’s executive compensation program consists of base salary, annual bonus, and long-term equity in the form of performance shares. The Company also provides retirement plans in the form of pension and savings plans.</w:t>
      </w:r>
    </w:p>
    <w:p>
      <w:pPr>
        <w:spacing w:after="0" w:line="27" w:lineRule="exact"/>
        <w:rPr>
          <w:rFonts w:ascii="Times New Roman" w:cs="Times New Roman" w:eastAsia="Times New Roman" w:hAnsi="Times New Roman"/>
          <w:sz w:val="17"/>
          <w:szCs w:val="17"/>
          <w:color w:val="auto"/>
        </w:rPr>
      </w:pPr>
    </w:p>
    <w:p>
      <w:pPr>
        <w:ind w:left="1240" w:right="200" w:hanging="388"/>
        <w:spacing w:after="0" w:line="248" w:lineRule="auto"/>
        <w:tabs>
          <w:tab w:leader="none" w:pos="1240" w:val="left"/>
        </w:tabs>
        <w:numPr>
          <w:ilvl w:val="0"/>
          <w:numId w:val="41"/>
        </w:numPr>
        <w:rPr>
          <w:rFonts w:ascii="Times New Roman" w:cs="Times New Roman" w:eastAsia="Times New Roman" w:hAnsi="Times New Roman"/>
          <w:sz w:val="18"/>
          <w:szCs w:val="18"/>
          <w:color w:val="auto"/>
        </w:rPr>
      </w:pPr>
      <w:r>
        <w:rPr>
          <w:rFonts w:ascii="Arial" w:cs="Arial" w:eastAsia="Arial" w:hAnsi="Arial"/>
          <w:sz w:val="18"/>
          <w:szCs w:val="18"/>
          <w:color w:val="auto"/>
        </w:rPr>
        <w:t>The Compensation Committee determined that the following allocation of annual pay granted best supports the business model and the interests of long-term shareholders, by rewarding performance, promoting retention, and encouraging a long-term view in making business decisions. The actual allocation of these compensation elements can vary year-to-year based on the performance of the business.</w:t>
      </w:r>
    </w:p>
    <w:p>
      <w:pPr>
        <w:spacing w:after="0" w:line="200" w:lineRule="exact"/>
        <w:rPr>
          <w:sz w:val="20"/>
          <w:szCs w:val="20"/>
          <w:color w:val="auto"/>
        </w:rPr>
      </w:pPr>
    </w:p>
    <w:tbl>
      <w:tblPr>
        <w:tblLayout w:type="fixed"/>
        <w:tblInd w:w="1270" w:type="dxa"/>
        <w:tblCellMar>
          <w:top w:w="0" w:type="dxa"/>
          <w:left w:w="0" w:type="dxa"/>
          <w:bottom w:w="0" w:type="dxa"/>
          <w:right w:w="0" w:type="dxa"/>
        </w:tblCellMar>
      </w:tblPr>
      <w:tr>
        <w:trPr>
          <w:trHeight w:val="216"/>
        </w:trPr>
        <w:tc>
          <w:tcPr>
            <w:tcW w:w="1800" w:type="dxa"/>
            <w:vAlign w:val="bottom"/>
            <w:tcBorders>
              <w:bottom w:val="single" w:sz="8" w:color="auto"/>
              <w:right w:val="single" w:sz="8" w:color="auto"/>
            </w:tcBorders>
          </w:tcPr>
          <w:p>
            <w:pPr>
              <w:spacing w:after="0"/>
              <w:rPr>
                <w:sz w:val="18"/>
                <w:szCs w:val="18"/>
                <w:color w:val="auto"/>
              </w:rPr>
            </w:pPr>
          </w:p>
        </w:tc>
        <w:tc>
          <w:tcPr>
            <w:tcW w:w="3020" w:type="dxa"/>
            <w:vAlign w:val="bottom"/>
            <w:tcBorders>
              <w:top w:val="single" w:sz="8" w:color="auto"/>
              <w:bottom w:val="single" w:sz="8" w:color="auto"/>
              <w:right w:val="single" w:sz="8" w:color="auto"/>
            </w:tcBorders>
          </w:tcPr>
          <w:p>
            <w:pPr>
              <w:ind w:left="60"/>
              <w:spacing w:after="0"/>
              <w:rPr>
                <w:sz w:val="20"/>
                <w:szCs w:val="20"/>
                <w:color w:val="auto"/>
              </w:rPr>
            </w:pPr>
            <w:r>
              <w:rPr>
                <w:rFonts w:ascii="Arial" w:cs="Arial" w:eastAsia="Arial" w:hAnsi="Arial"/>
                <w:sz w:val="14"/>
                <w:szCs w:val="14"/>
                <w:b w:val="1"/>
                <w:bCs w:val="1"/>
                <w:color w:val="auto"/>
              </w:rPr>
              <w:t>Target Percent of Annual Pay Granted*</w:t>
            </w:r>
          </w:p>
        </w:tc>
        <w:tc>
          <w:tcPr>
            <w:tcW w:w="4140" w:type="dxa"/>
            <w:vAlign w:val="bottom"/>
            <w:tcBorders>
              <w:top w:val="single" w:sz="8" w:color="auto"/>
              <w:bottom w:val="single" w:sz="8" w:color="auto"/>
              <w:right w:val="single" w:sz="8" w:color="auto"/>
            </w:tcBorders>
          </w:tcPr>
          <w:p>
            <w:pPr>
              <w:ind w:left="80"/>
              <w:spacing w:after="0"/>
              <w:rPr>
                <w:sz w:val="20"/>
                <w:szCs w:val="20"/>
                <w:color w:val="auto"/>
              </w:rPr>
            </w:pPr>
            <w:r>
              <w:rPr>
                <w:rFonts w:ascii="Arial" w:cs="Arial" w:eastAsia="Arial" w:hAnsi="Arial"/>
                <w:sz w:val="14"/>
                <w:szCs w:val="14"/>
                <w:b w:val="1"/>
                <w:bCs w:val="1"/>
                <w:color w:val="auto"/>
              </w:rPr>
              <w:t>Objective</w:t>
            </w:r>
          </w:p>
        </w:tc>
      </w:tr>
      <w:tr>
        <w:trPr>
          <w:trHeight w:val="223"/>
        </w:trPr>
        <w:tc>
          <w:tcPr>
            <w:tcW w:w="1800" w:type="dxa"/>
            <w:vAlign w:val="bottom"/>
            <w:tcBorders>
              <w:left w:val="single" w:sz="8" w:color="auto"/>
              <w:right w:val="single" w:sz="8" w:color="auto"/>
            </w:tcBorders>
            <w:shd w:val="clear" w:color="auto" w:fill="D4DBEB"/>
          </w:tcPr>
          <w:p>
            <w:pPr>
              <w:ind w:left="160"/>
              <w:spacing w:after="0"/>
              <w:rPr>
                <w:sz w:val="20"/>
                <w:szCs w:val="20"/>
                <w:color w:val="auto"/>
              </w:rPr>
            </w:pPr>
            <w:r>
              <w:rPr>
                <w:rFonts w:ascii="Arial" w:cs="Arial" w:eastAsia="Arial" w:hAnsi="Arial"/>
                <w:sz w:val="14"/>
                <w:szCs w:val="14"/>
                <w:b w:val="1"/>
                <w:bCs w:val="1"/>
                <w:color w:val="auto"/>
              </w:rPr>
              <w:t>Salary</w:t>
            </w:r>
          </w:p>
        </w:tc>
        <w:tc>
          <w:tcPr>
            <w:tcW w:w="3020" w:type="dxa"/>
            <w:vAlign w:val="bottom"/>
            <w:tcBorders>
              <w:right w:val="single" w:sz="8" w:color="auto"/>
            </w:tcBorders>
            <w:shd w:val="clear" w:color="auto" w:fill="D4DBEB"/>
          </w:tcPr>
          <w:p>
            <w:pPr>
              <w:ind w:left="60"/>
              <w:spacing w:after="0"/>
              <w:rPr>
                <w:sz w:val="20"/>
                <w:szCs w:val="20"/>
                <w:color w:val="auto"/>
              </w:rPr>
            </w:pPr>
            <w:r>
              <w:rPr>
                <w:rFonts w:ascii="Arial" w:cs="Arial" w:eastAsia="Arial" w:hAnsi="Arial"/>
                <w:sz w:val="14"/>
                <w:szCs w:val="14"/>
                <w:color w:val="auto"/>
              </w:rPr>
              <w:t>10 percent or less</w:t>
            </w:r>
          </w:p>
        </w:tc>
        <w:tc>
          <w:tcPr>
            <w:tcW w:w="4140" w:type="dxa"/>
            <w:vAlign w:val="bottom"/>
            <w:tcBorders>
              <w:right w:val="single" w:sz="8" w:color="auto"/>
            </w:tcBorders>
            <w:shd w:val="clear" w:color="auto" w:fill="D4DBEB"/>
          </w:tcPr>
          <w:p>
            <w:pPr>
              <w:ind w:left="80"/>
              <w:spacing w:after="0"/>
              <w:rPr>
                <w:sz w:val="20"/>
                <w:szCs w:val="20"/>
                <w:color w:val="auto"/>
              </w:rPr>
            </w:pPr>
            <w:r>
              <w:rPr>
                <w:rFonts w:ascii="Arial" w:cs="Arial" w:eastAsia="Arial" w:hAnsi="Arial"/>
                <w:sz w:val="14"/>
                <w:szCs w:val="14"/>
                <w:color w:val="auto"/>
              </w:rPr>
              <w:t>Provide a base level of income</w:t>
            </w:r>
          </w:p>
        </w:tc>
      </w:tr>
      <w:tr>
        <w:trPr>
          <w:trHeight w:val="229"/>
        </w:trPr>
        <w:tc>
          <w:tcPr>
            <w:tcW w:w="1800" w:type="dxa"/>
            <w:vAlign w:val="bottom"/>
            <w:tcBorders>
              <w:left w:val="single" w:sz="8" w:color="auto"/>
              <w:right w:val="single" w:sz="8" w:color="auto"/>
            </w:tcBorders>
          </w:tcPr>
          <w:p>
            <w:pPr>
              <w:ind w:left="160"/>
              <w:spacing w:after="0"/>
              <w:rPr>
                <w:sz w:val="20"/>
                <w:szCs w:val="20"/>
                <w:color w:val="auto"/>
              </w:rPr>
            </w:pPr>
            <w:r>
              <w:rPr>
                <w:rFonts w:ascii="Arial" w:cs="Arial" w:eastAsia="Arial" w:hAnsi="Arial"/>
                <w:sz w:val="14"/>
                <w:szCs w:val="14"/>
                <w:b w:val="1"/>
                <w:bCs w:val="1"/>
                <w:color w:val="auto"/>
              </w:rPr>
              <w:t>Annual Bonus</w:t>
            </w:r>
          </w:p>
        </w:tc>
        <w:tc>
          <w:tcPr>
            <w:tcW w:w="3020" w:type="dxa"/>
            <w:vAlign w:val="bottom"/>
            <w:tcBorders>
              <w:right w:val="single" w:sz="8" w:color="auto"/>
            </w:tcBorders>
          </w:tcPr>
          <w:p>
            <w:pPr>
              <w:ind w:left="60"/>
              <w:spacing w:after="0"/>
              <w:rPr>
                <w:sz w:val="20"/>
                <w:szCs w:val="20"/>
                <w:color w:val="auto"/>
              </w:rPr>
            </w:pPr>
            <w:r>
              <w:rPr>
                <w:rFonts w:ascii="Arial" w:cs="Arial" w:eastAsia="Arial" w:hAnsi="Arial"/>
                <w:sz w:val="14"/>
                <w:szCs w:val="14"/>
                <w:color w:val="auto"/>
              </w:rPr>
              <w:t>10 to 20 percent</w:t>
            </w:r>
          </w:p>
        </w:tc>
        <w:tc>
          <w:tcPr>
            <w:tcW w:w="4140" w:type="dxa"/>
            <w:vAlign w:val="bottom"/>
            <w:tcBorders>
              <w:right w:val="single" w:sz="8" w:color="auto"/>
            </w:tcBorders>
          </w:tcPr>
          <w:p>
            <w:pPr>
              <w:ind w:left="80"/>
              <w:spacing w:after="0"/>
              <w:rPr>
                <w:sz w:val="20"/>
                <w:szCs w:val="20"/>
                <w:color w:val="auto"/>
              </w:rPr>
            </w:pPr>
            <w:r>
              <w:rPr>
                <w:rFonts w:ascii="Arial" w:cs="Arial" w:eastAsia="Arial" w:hAnsi="Arial"/>
                <w:sz w:val="14"/>
                <w:szCs w:val="14"/>
                <w:color w:val="auto"/>
              </w:rPr>
              <w:t>Tie compensation to annual business performance</w:t>
            </w:r>
          </w:p>
        </w:tc>
      </w:tr>
      <w:tr>
        <w:trPr>
          <w:trHeight w:val="230"/>
        </w:trPr>
        <w:tc>
          <w:tcPr>
            <w:tcW w:w="1800" w:type="dxa"/>
            <w:vAlign w:val="bottom"/>
            <w:tcBorders>
              <w:left w:val="single" w:sz="8" w:color="auto"/>
              <w:bottom w:val="single" w:sz="8" w:color="auto"/>
              <w:right w:val="single" w:sz="8" w:color="auto"/>
            </w:tcBorders>
            <w:shd w:val="clear" w:color="auto" w:fill="D4DBEB"/>
          </w:tcPr>
          <w:p>
            <w:pPr>
              <w:ind w:left="160"/>
              <w:spacing w:after="0"/>
              <w:rPr>
                <w:sz w:val="20"/>
                <w:szCs w:val="20"/>
                <w:color w:val="auto"/>
              </w:rPr>
            </w:pPr>
            <w:r>
              <w:rPr>
                <w:rFonts w:ascii="Arial" w:cs="Arial" w:eastAsia="Arial" w:hAnsi="Arial"/>
                <w:sz w:val="14"/>
                <w:szCs w:val="14"/>
                <w:b w:val="1"/>
                <w:bCs w:val="1"/>
                <w:color w:val="auto"/>
              </w:rPr>
              <w:t>Performance Shares</w:t>
            </w:r>
          </w:p>
        </w:tc>
        <w:tc>
          <w:tcPr>
            <w:tcW w:w="3020" w:type="dxa"/>
            <w:vAlign w:val="bottom"/>
            <w:tcBorders>
              <w:bottom w:val="single" w:sz="8" w:color="auto"/>
              <w:right w:val="single" w:sz="8" w:color="auto"/>
            </w:tcBorders>
            <w:shd w:val="clear" w:color="auto" w:fill="D4DBEB"/>
          </w:tcPr>
          <w:p>
            <w:pPr>
              <w:ind w:left="60"/>
              <w:spacing w:after="0"/>
              <w:rPr>
                <w:sz w:val="20"/>
                <w:szCs w:val="20"/>
                <w:color w:val="auto"/>
              </w:rPr>
            </w:pPr>
            <w:r>
              <w:rPr>
                <w:rFonts w:ascii="Arial" w:cs="Arial" w:eastAsia="Arial" w:hAnsi="Arial"/>
                <w:sz w:val="14"/>
                <w:szCs w:val="14"/>
                <w:color w:val="auto"/>
              </w:rPr>
              <w:t>Over 50 percent</w:t>
            </w:r>
          </w:p>
        </w:tc>
        <w:tc>
          <w:tcPr>
            <w:tcW w:w="4140" w:type="dxa"/>
            <w:vAlign w:val="bottom"/>
            <w:tcBorders>
              <w:bottom w:val="single" w:sz="8" w:color="auto"/>
              <w:right w:val="single" w:sz="8" w:color="auto"/>
            </w:tcBorders>
            <w:shd w:val="clear" w:color="auto" w:fill="D4DBEB"/>
          </w:tcPr>
          <w:p>
            <w:pPr>
              <w:ind w:left="80"/>
              <w:spacing w:after="0"/>
              <w:rPr>
                <w:sz w:val="20"/>
                <w:szCs w:val="20"/>
                <w:color w:val="auto"/>
              </w:rPr>
            </w:pPr>
            <w:r>
              <w:rPr>
                <w:rFonts w:ascii="Arial" w:cs="Arial" w:eastAsia="Arial" w:hAnsi="Arial"/>
                <w:sz w:val="14"/>
                <w:szCs w:val="14"/>
                <w:color w:val="auto"/>
              </w:rPr>
              <w:t>Achieve alignment with the interests of long-term shareholders</w:t>
            </w:r>
          </w:p>
        </w:tc>
      </w:tr>
    </w:tbl>
    <w:p>
      <w:pPr>
        <w:spacing w:after="0" w:line="108" w:lineRule="exact"/>
        <w:rPr>
          <w:sz w:val="20"/>
          <w:szCs w:val="20"/>
          <w:color w:val="auto"/>
        </w:rPr>
      </w:pPr>
    </w:p>
    <w:p>
      <w:pPr>
        <w:ind w:left="1420" w:right="120" w:hanging="190"/>
        <w:spacing w:after="0" w:line="291" w:lineRule="auto"/>
        <w:tabs>
          <w:tab w:leader="none" w:pos="1420" w:val="left"/>
        </w:tabs>
        <w:numPr>
          <w:ilvl w:val="1"/>
          <w:numId w:val="42"/>
        </w:numPr>
        <w:rPr>
          <w:rFonts w:ascii="Arial" w:cs="Arial" w:eastAsia="Arial" w:hAnsi="Arial"/>
          <w:sz w:val="14"/>
          <w:szCs w:val="14"/>
          <w:color w:val="auto"/>
        </w:rPr>
      </w:pPr>
      <w:r>
        <w:rPr>
          <w:rFonts w:ascii="Arial" w:cs="Arial" w:eastAsia="Arial" w:hAnsi="Arial"/>
          <w:sz w:val="14"/>
          <w:szCs w:val="14"/>
          <w:color w:val="auto"/>
        </w:rPr>
        <w:t>Annual Pay Granted for this purpose means total compensation shown in the Summary Compensation Table, minus Change in Pension Value and Nonqualified Deferred Compensation Earnings and All Other Compensation.</w:t>
      </w:r>
    </w:p>
    <w:p>
      <w:pPr>
        <w:spacing w:after="0" w:line="45" w:lineRule="exact"/>
        <w:rPr>
          <w:rFonts w:ascii="Arial" w:cs="Arial" w:eastAsia="Arial" w:hAnsi="Arial"/>
          <w:sz w:val="14"/>
          <w:szCs w:val="14"/>
          <w:color w:val="auto"/>
        </w:rPr>
      </w:pPr>
    </w:p>
    <w:p>
      <w:pPr>
        <w:ind w:left="1240" w:hanging="388"/>
        <w:spacing w:after="0" w:line="245" w:lineRule="auto"/>
        <w:tabs>
          <w:tab w:leader="none" w:pos="1240" w:val="left"/>
        </w:tabs>
        <w:numPr>
          <w:ilvl w:val="0"/>
          <w:numId w:val="42"/>
        </w:numPr>
        <w:rPr>
          <w:rFonts w:ascii="Times New Roman" w:cs="Times New Roman" w:eastAsia="Times New Roman" w:hAnsi="Times New Roman"/>
          <w:sz w:val="18"/>
          <w:szCs w:val="18"/>
          <w:color w:val="auto"/>
        </w:rPr>
      </w:pPr>
      <w:r>
        <w:rPr>
          <w:rFonts w:ascii="Arial" w:cs="Arial" w:eastAsia="Arial" w:hAnsi="Arial"/>
          <w:sz w:val="18"/>
          <w:szCs w:val="18"/>
          <w:color w:val="auto"/>
        </w:rPr>
        <w:t>In 2017, the Compensation Committee determined and approved the individual elements of compensation, as well as total compensation for each Named Executive Officer. Within the context of the compensation program structure and performance assessment process (see “Performance Measurements” on page 41), the Committee aligned the value of 2017 compensation for the Named Executive Officers with the performance of the Company, individual performance, and compensation of benchmark companies, as described in the Executive Compensation Overview.</w:t>
      </w:r>
    </w:p>
    <w:p>
      <w:pPr>
        <w:spacing w:after="0" w:line="170" w:lineRule="exact"/>
        <w:rPr>
          <w:sz w:val="20"/>
          <w:szCs w:val="20"/>
          <w:color w:val="auto"/>
        </w:rPr>
      </w:pPr>
    </w:p>
    <w:p>
      <w:pPr>
        <w:ind w:left="860"/>
        <w:spacing w:after="0"/>
        <w:rPr>
          <w:sz w:val="20"/>
          <w:szCs w:val="20"/>
          <w:color w:val="auto"/>
        </w:rPr>
      </w:pPr>
      <w:r>
        <w:rPr>
          <w:rFonts w:ascii="Arial" w:cs="Arial" w:eastAsia="Arial" w:hAnsi="Arial"/>
          <w:sz w:val="18"/>
          <w:szCs w:val="18"/>
          <w:b w:val="1"/>
          <w:bCs w:val="1"/>
          <w:color w:val="auto"/>
        </w:rPr>
        <w:t>Salary</w:t>
      </w:r>
    </w:p>
    <w:p>
      <w:pPr>
        <w:spacing w:after="0" w:line="119" w:lineRule="exact"/>
        <w:rPr>
          <w:sz w:val="20"/>
          <w:szCs w:val="20"/>
          <w:color w:val="auto"/>
        </w:rPr>
      </w:pPr>
    </w:p>
    <w:p>
      <w:pPr>
        <w:ind w:left="1240" w:hanging="388"/>
        <w:spacing w:after="0"/>
        <w:tabs>
          <w:tab w:leader="none" w:pos="1240" w:val="left"/>
        </w:tabs>
        <w:numPr>
          <w:ilvl w:val="0"/>
          <w:numId w:val="43"/>
        </w:numPr>
        <w:rPr>
          <w:rFonts w:ascii="Times New Roman" w:cs="Times New Roman" w:eastAsia="Times New Roman" w:hAnsi="Times New Roman"/>
          <w:sz w:val="18"/>
          <w:szCs w:val="18"/>
          <w:color w:val="auto"/>
        </w:rPr>
      </w:pPr>
      <w:r>
        <w:rPr>
          <w:rFonts w:ascii="Arial" w:cs="Arial" w:eastAsia="Arial" w:hAnsi="Arial"/>
          <w:sz w:val="18"/>
          <w:szCs w:val="18"/>
          <w:color w:val="auto"/>
        </w:rPr>
        <w:t>Annual benchmarking determines the overall size of the salary program.</w:t>
      </w:r>
    </w:p>
    <w:p>
      <w:pPr>
        <w:spacing w:after="0" w:line="129" w:lineRule="exact"/>
        <w:rPr>
          <w:rFonts w:ascii="Times New Roman" w:cs="Times New Roman" w:eastAsia="Times New Roman" w:hAnsi="Times New Roman"/>
          <w:sz w:val="18"/>
          <w:szCs w:val="18"/>
          <w:color w:val="auto"/>
        </w:rPr>
      </w:pPr>
    </w:p>
    <w:p>
      <w:pPr>
        <w:ind w:left="1240" w:hanging="388"/>
        <w:spacing w:after="0"/>
        <w:tabs>
          <w:tab w:leader="none" w:pos="1240" w:val="left"/>
        </w:tabs>
        <w:numPr>
          <w:ilvl w:val="0"/>
          <w:numId w:val="43"/>
        </w:numPr>
        <w:rPr>
          <w:rFonts w:ascii="Times New Roman" w:cs="Times New Roman" w:eastAsia="Times New Roman" w:hAnsi="Times New Roman"/>
          <w:sz w:val="18"/>
          <w:szCs w:val="18"/>
          <w:color w:val="auto"/>
        </w:rPr>
      </w:pPr>
      <w:r>
        <w:rPr>
          <w:rFonts w:ascii="Arial" w:cs="Arial" w:eastAsia="Arial" w:hAnsi="Arial"/>
          <w:sz w:val="18"/>
          <w:szCs w:val="18"/>
          <w:color w:val="auto"/>
        </w:rPr>
        <w:t>The level of annual salary for an individual is based on their performance, experience, and pay grade.</w:t>
      </w:r>
    </w:p>
    <w:p>
      <w:pPr>
        <w:spacing w:after="0" w:line="129" w:lineRule="exact"/>
        <w:rPr>
          <w:rFonts w:ascii="Times New Roman" w:cs="Times New Roman" w:eastAsia="Times New Roman" w:hAnsi="Times New Roman"/>
          <w:sz w:val="18"/>
          <w:szCs w:val="18"/>
          <w:color w:val="auto"/>
        </w:rPr>
      </w:pPr>
    </w:p>
    <w:p>
      <w:pPr>
        <w:ind w:left="1240" w:hanging="388"/>
        <w:spacing w:after="0"/>
        <w:tabs>
          <w:tab w:leader="none" w:pos="1240" w:val="left"/>
        </w:tabs>
        <w:numPr>
          <w:ilvl w:val="0"/>
          <w:numId w:val="43"/>
        </w:numPr>
        <w:rPr>
          <w:rFonts w:ascii="Times New Roman" w:cs="Times New Roman" w:eastAsia="Times New Roman" w:hAnsi="Times New Roman"/>
          <w:sz w:val="18"/>
          <w:szCs w:val="18"/>
          <w:color w:val="auto"/>
        </w:rPr>
      </w:pPr>
      <w:r>
        <w:rPr>
          <w:rFonts w:ascii="Arial" w:cs="Arial" w:eastAsia="Arial" w:hAnsi="Arial"/>
          <w:sz w:val="18"/>
          <w:szCs w:val="18"/>
          <w:color w:val="auto"/>
        </w:rPr>
        <w:t>Salary decisions directly affect the level of retirement benefits since salary is included in retirement benefit formulas.</w:t>
      </w:r>
    </w:p>
    <w:p>
      <w:pPr>
        <w:spacing w:after="0" w:line="129" w:lineRule="exact"/>
        <w:rPr>
          <w:rFonts w:ascii="Times New Roman" w:cs="Times New Roman" w:eastAsia="Times New Roman" w:hAnsi="Times New Roman"/>
          <w:sz w:val="18"/>
          <w:szCs w:val="18"/>
          <w:color w:val="auto"/>
        </w:rPr>
      </w:pPr>
    </w:p>
    <w:p>
      <w:pPr>
        <w:ind w:left="1240" w:right="180" w:hanging="388"/>
        <w:spacing w:after="0" w:line="255" w:lineRule="auto"/>
        <w:tabs>
          <w:tab w:leader="none" w:pos="1240" w:val="left"/>
        </w:tabs>
        <w:numPr>
          <w:ilvl w:val="0"/>
          <w:numId w:val="43"/>
        </w:numPr>
        <w:rPr>
          <w:rFonts w:ascii="Times New Roman" w:cs="Times New Roman" w:eastAsia="Times New Roman" w:hAnsi="Times New Roman"/>
          <w:sz w:val="18"/>
          <w:szCs w:val="18"/>
          <w:color w:val="auto"/>
        </w:rPr>
      </w:pPr>
      <w:r>
        <w:rPr>
          <w:rFonts w:ascii="Arial" w:cs="Arial" w:eastAsia="Arial" w:hAnsi="Arial"/>
          <w:sz w:val="18"/>
          <w:szCs w:val="18"/>
          <w:color w:val="auto"/>
        </w:rPr>
        <w:t>Changes in salary for the Named Executive Officers are consistent with the base salary program for all U.S. executives, taking into account desired market orientation, individual performance, increased individual experience, and level of responsibility.</w:t>
      </w:r>
    </w:p>
    <w:p>
      <w:pPr>
        <w:spacing w:after="0" w:line="161" w:lineRule="exact"/>
        <w:rPr>
          <w:sz w:val="20"/>
          <w:szCs w:val="20"/>
          <w:color w:val="auto"/>
        </w:rPr>
      </w:pPr>
    </w:p>
    <w:p>
      <w:pPr>
        <w:ind w:left="860"/>
        <w:spacing w:after="0"/>
        <w:rPr>
          <w:sz w:val="20"/>
          <w:szCs w:val="20"/>
          <w:color w:val="auto"/>
        </w:rPr>
      </w:pPr>
      <w:r>
        <w:rPr>
          <w:rFonts w:ascii="Arial" w:cs="Arial" w:eastAsia="Arial" w:hAnsi="Arial"/>
          <w:sz w:val="18"/>
          <w:szCs w:val="18"/>
          <w:b w:val="1"/>
          <w:bCs w:val="1"/>
          <w:color w:val="auto"/>
        </w:rPr>
        <w:t>Annual Bonus Program</w:t>
      </w:r>
    </w:p>
    <w:p>
      <w:pPr>
        <w:spacing w:after="0" w:line="119" w:lineRule="exact"/>
        <w:rPr>
          <w:sz w:val="20"/>
          <w:szCs w:val="20"/>
          <w:color w:val="auto"/>
        </w:rPr>
      </w:pPr>
    </w:p>
    <w:p>
      <w:pPr>
        <w:ind w:left="1240" w:right="180" w:hanging="388"/>
        <w:spacing w:after="0" w:line="255" w:lineRule="auto"/>
        <w:tabs>
          <w:tab w:leader="none" w:pos="1240" w:val="left"/>
        </w:tabs>
        <w:numPr>
          <w:ilvl w:val="0"/>
          <w:numId w:val="44"/>
        </w:numPr>
        <w:rPr>
          <w:rFonts w:ascii="Times New Roman" w:cs="Times New Roman" w:eastAsia="Times New Roman" w:hAnsi="Times New Roman"/>
          <w:sz w:val="18"/>
          <w:szCs w:val="18"/>
          <w:color w:val="auto"/>
        </w:rPr>
      </w:pPr>
      <w:r>
        <w:rPr>
          <w:rFonts w:ascii="Arial" w:cs="Arial" w:eastAsia="Arial" w:hAnsi="Arial"/>
          <w:sz w:val="18"/>
          <w:szCs w:val="18"/>
          <w:color w:val="auto"/>
        </w:rPr>
        <w:t>The Compensation Committee establishes the overall size of the annual bonus pool (“ceiling”) based on the annual percent change in projected Corporate earnings, using the bonus program formula described on page 32. The program has been applied consistently for the last 16 years, including years in which earnings declined.</w:t>
      </w:r>
    </w:p>
    <w:p>
      <w:pPr>
        <w:spacing w:after="0" w:line="68" w:lineRule="exact"/>
        <w:rPr>
          <w:rFonts w:ascii="Times New Roman" w:cs="Times New Roman" w:eastAsia="Times New Roman" w:hAnsi="Times New Roman"/>
          <w:sz w:val="18"/>
          <w:szCs w:val="18"/>
          <w:color w:val="auto"/>
        </w:rPr>
      </w:pPr>
    </w:p>
    <w:p>
      <w:pPr>
        <w:ind w:left="1240" w:right="1160" w:hanging="388"/>
        <w:spacing w:after="0" w:line="275" w:lineRule="auto"/>
        <w:tabs>
          <w:tab w:leader="none" w:pos="1240" w:val="left"/>
        </w:tabs>
        <w:numPr>
          <w:ilvl w:val="0"/>
          <w:numId w:val="44"/>
        </w:numPr>
        <w:rPr>
          <w:rFonts w:ascii="Times New Roman" w:cs="Times New Roman" w:eastAsia="Times New Roman" w:hAnsi="Times New Roman"/>
          <w:sz w:val="18"/>
          <w:szCs w:val="18"/>
          <w:color w:val="auto"/>
        </w:rPr>
      </w:pPr>
      <w:r>
        <w:rPr>
          <w:rFonts w:ascii="Arial" w:cs="Arial" w:eastAsia="Arial" w:hAnsi="Arial"/>
          <w:sz w:val="18"/>
          <w:szCs w:val="18"/>
          <w:color w:val="auto"/>
        </w:rPr>
        <w:t>Individual bonus awards are determined by the bonus program formula and changes in pay grade. The Compensation Committee can apply negative discretion for individual performance.</w:t>
      </w:r>
    </w:p>
    <w:p>
      <w:pPr>
        <w:spacing w:after="0" w:line="51" w:lineRule="exact"/>
        <w:rPr>
          <w:rFonts w:ascii="Times New Roman" w:cs="Times New Roman" w:eastAsia="Times New Roman" w:hAnsi="Times New Roman"/>
          <w:sz w:val="18"/>
          <w:szCs w:val="18"/>
          <w:color w:val="auto"/>
        </w:rPr>
      </w:pPr>
    </w:p>
    <w:p>
      <w:pPr>
        <w:ind w:left="1240" w:hanging="388"/>
        <w:spacing w:after="0"/>
        <w:tabs>
          <w:tab w:leader="none" w:pos="1240" w:val="left"/>
        </w:tabs>
        <w:numPr>
          <w:ilvl w:val="0"/>
          <w:numId w:val="44"/>
        </w:numPr>
        <w:rPr>
          <w:rFonts w:ascii="Times New Roman" w:cs="Times New Roman" w:eastAsia="Times New Roman" w:hAnsi="Times New Roman"/>
          <w:sz w:val="18"/>
          <w:szCs w:val="18"/>
          <w:color w:val="auto"/>
        </w:rPr>
      </w:pPr>
      <w:r>
        <w:rPr>
          <w:rFonts w:ascii="Arial" w:cs="Arial" w:eastAsia="Arial" w:hAnsi="Arial"/>
          <w:sz w:val="18"/>
          <w:szCs w:val="18"/>
          <w:color w:val="auto"/>
        </w:rPr>
        <w:t>The annual bonus is generally delivered as shown below.</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1085850</wp:posOffset>
            </wp:positionH>
            <wp:positionV relativeFrom="paragraph">
              <wp:posOffset>97155</wp:posOffset>
            </wp:positionV>
            <wp:extent cx="5085715" cy="506095"/>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5">
                      <a:extLst>
                        <a:ext uri="{28A0092B-C50C-407E-A947-70E740481C1C}"/>
                      </a:extLst>
                    </a:blip>
                    <a:srcRect/>
                    <a:stretch>
                      <a:fillRect/>
                    </a:stretch>
                  </pic:blipFill>
                  <pic:spPr bwMode="auto">
                    <a:xfrm>
                      <a:off x="0" y="0"/>
                      <a:ext cx="5085715" cy="50609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8" w:lineRule="exact"/>
        <w:rPr>
          <w:sz w:val="20"/>
          <w:szCs w:val="20"/>
          <w:color w:val="auto"/>
        </w:rPr>
      </w:pPr>
    </w:p>
    <w:p>
      <w:pPr>
        <w:ind w:left="1600" w:right="100" w:hanging="378"/>
        <w:spacing w:after="0" w:line="276" w:lineRule="auto"/>
        <w:rPr>
          <w:sz w:val="20"/>
          <w:szCs w:val="20"/>
          <w:color w:val="auto"/>
        </w:rPr>
      </w:pPr>
      <w:r>
        <w:rPr>
          <w:rFonts w:ascii="Arial" w:cs="Arial" w:eastAsia="Arial" w:hAnsi="Arial"/>
          <w:sz w:val="18"/>
          <w:szCs w:val="18"/>
          <w:color w:val="auto"/>
        </w:rPr>
        <w:t>– Half of the annual bonus is delayed and paid out when a specified level of cumulative earnings per share (EPS) is achieved or in three years at a reduced level.</w:t>
      </w:r>
    </w:p>
    <w:p>
      <w:pPr>
        <w:spacing w:after="0" w:line="267" w:lineRule="exact"/>
        <w:rPr>
          <w:sz w:val="20"/>
          <w:szCs w:val="20"/>
          <w:color w:val="auto"/>
        </w:rPr>
      </w:pPr>
    </w:p>
    <w:p>
      <w:pPr>
        <w:ind w:left="880"/>
        <w:spacing w:after="0"/>
        <w:tabs>
          <w:tab w:leader="none" w:pos="2780" w:val="left"/>
        </w:tabs>
        <w:rPr>
          <w:sz w:val="20"/>
          <w:szCs w:val="20"/>
          <w:color w:val="auto"/>
        </w:rPr>
      </w:pPr>
      <w:r>
        <w:rPr>
          <w:rFonts w:ascii="Arial" w:cs="Arial" w:eastAsia="Arial" w:hAnsi="Arial"/>
          <w:sz w:val="18"/>
          <w:szCs w:val="18"/>
          <w:color w:val="auto"/>
        </w:rPr>
        <w:t>38</w:t>
      </w:r>
      <w:r>
        <w:rPr>
          <w:sz w:val="20"/>
          <w:szCs w:val="20"/>
          <w:color w:val="auto"/>
        </w:rPr>
        <w:tab/>
      </w:r>
      <w:r>
        <w:rPr>
          <w:rFonts w:ascii="Times New Roman" w:cs="Times New Roman" w:eastAsia="Times New Roman" w:hAnsi="Times New Roman"/>
          <w:sz w:val="18"/>
          <w:szCs w:val="18"/>
          <w:i w:val="1"/>
          <w:iCs w:val="1"/>
          <w:color w:val="auto"/>
        </w:rPr>
        <w:t>2018 Proxy Statement</w:t>
      </w:r>
    </w:p>
    <w:p>
      <w:pPr>
        <w:sectPr>
          <w:pgSz w:w="11900" w:h="16838" w:orient="portrait"/>
          <w:cols w:equalWidth="0" w:num="1">
            <w:col w:w="10560"/>
          </w:cols>
          <w:pgMar w:left="240" w:top="455" w:right="1099" w:bottom="1440" w:gutter="0" w:footer="0" w:header="0"/>
        </w:sectPr>
      </w:pPr>
    </w:p>
    <w:bookmarkStart w:id="41" w:name="page42"/>
    <w:bookmarkEnd w:id="41"/>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6">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Times New Roman" w:cs="Times New Roman" w:eastAsia="Times New Roman" w:hAnsi="Times New Roman"/>
            <w:sz w:val="18"/>
            <w:szCs w:val="18"/>
            <w:b w:val="1"/>
            <w:bCs w:val="1"/>
            <w:u w:val="single" w:color="auto"/>
            <w:color w:val="0000EE"/>
          </w:rPr>
          <w:t>Table of Contents</w:t>
        </w:r>
      </w:hyperlink>
    </w:p>
    <w:p>
      <w:pPr>
        <w:spacing w:after="0" w:line="305" w:lineRule="exact"/>
        <w:rPr>
          <w:sz w:val="20"/>
          <w:szCs w:val="20"/>
          <w:color w:val="auto"/>
        </w:rPr>
      </w:pPr>
    </w:p>
    <w:p>
      <w:pPr>
        <w:ind w:left="1600" w:right="20" w:hanging="378"/>
        <w:spacing w:after="0" w:line="245" w:lineRule="auto"/>
        <w:rPr>
          <w:sz w:val="20"/>
          <w:szCs w:val="20"/>
          <w:color w:val="auto"/>
        </w:rPr>
      </w:pPr>
      <w:r>
        <w:rPr>
          <w:rFonts w:ascii="Arial" w:cs="Arial" w:eastAsia="Arial" w:hAnsi="Arial"/>
          <w:sz w:val="18"/>
          <w:szCs w:val="18"/>
          <w:color w:val="auto"/>
        </w:rPr>
        <w:t>– If the cumulative EPS threshold required for payout is not reached within three years, the EBU is reduced to an amount equal to the number of units times the actual cumulative EPS over the three-year period. This threshold ties the timing of the bonus payment to the rate of the Corporation’s future earnings and is therefore intentionally set at a level that is expected to be achieved within the three-year period. The threshold is reviewed each year and may be adjusted up or down to achieve payout within three years.</w:t>
      </w:r>
    </w:p>
    <w:p>
      <w:pPr>
        <w:spacing w:after="0" w:line="77" w:lineRule="exact"/>
        <w:rPr>
          <w:sz w:val="20"/>
          <w:szCs w:val="20"/>
          <w:color w:val="auto"/>
        </w:rPr>
      </w:pPr>
    </w:p>
    <w:p>
      <w:pPr>
        <w:ind w:left="1240"/>
        <w:spacing w:after="0"/>
        <w:rPr>
          <w:sz w:val="20"/>
          <w:szCs w:val="20"/>
          <w:color w:val="auto"/>
        </w:rPr>
      </w:pPr>
      <w:r>
        <w:rPr>
          <w:rFonts w:ascii="Arial" w:cs="Arial" w:eastAsia="Arial" w:hAnsi="Arial"/>
          <w:sz w:val="18"/>
          <w:szCs w:val="18"/>
          <w:color w:val="auto"/>
        </w:rPr>
        <w:t>–   The delayed portion of the bonus is at risk of forfeiture, see page 43.</w:t>
      </w:r>
    </w:p>
    <w:p>
      <w:pPr>
        <w:spacing w:after="0" w:line="117" w:lineRule="exact"/>
        <w:rPr>
          <w:sz w:val="20"/>
          <w:szCs w:val="20"/>
          <w:color w:val="auto"/>
        </w:rPr>
      </w:pPr>
    </w:p>
    <w:p>
      <w:pPr>
        <w:ind w:left="1240"/>
        <w:spacing w:after="0"/>
        <w:rPr>
          <w:sz w:val="20"/>
          <w:szCs w:val="20"/>
          <w:color w:val="auto"/>
        </w:rPr>
      </w:pPr>
      <w:r>
        <w:rPr>
          <w:rFonts w:ascii="Arial" w:cs="Arial" w:eastAsia="Arial" w:hAnsi="Arial"/>
          <w:sz w:val="18"/>
          <w:szCs w:val="18"/>
          <w:color w:val="auto"/>
        </w:rPr>
        <w:t>–   The bonus award in its entirety is also subject to clawback, see page 43.</w:t>
      </w:r>
    </w:p>
    <w:p>
      <w:pPr>
        <w:spacing w:after="0" w:line="117" w:lineRule="exact"/>
        <w:rPr>
          <w:sz w:val="20"/>
          <w:szCs w:val="20"/>
          <w:color w:val="auto"/>
        </w:rPr>
      </w:pPr>
    </w:p>
    <w:p>
      <w:pPr>
        <w:ind w:left="1240" w:right="160" w:hanging="388"/>
        <w:spacing w:after="0" w:line="248" w:lineRule="auto"/>
        <w:tabs>
          <w:tab w:leader="none" w:pos="1240" w:val="left"/>
        </w:tabs>
        <w:numPr>
          <w:ilvl w:val="0"/>
          <w:numId w:val="46"/>
        </w:numPr>
        <w:rPr>
          <w:rFonts w:ascii="Times New Roman" w:cs="Times New Roman" w:eastAsia="Times New Roman" w:hAnsi="Times New Roman"/>
          <w:sz w:val="18"/>
          <w:szCs w:val="18"/>
          <w:color w:val="auto"/>
        </w:rPr>
      </w:pPr>
      <w:r>
        <w:rPr>
          <w:rFonts w:ascii="Arial" w:cs="Arial" w:eastAsia="Arial" w:hAnsi="Arial"/>
          <w:sz w:val="18"/>
          <w:szCs w:val="18"/>
          <w:color w:val="auto"/>
        </w:rPr>
        <w:t>In 2017, the overall bonus program increased by 40 percent. Mr. Woods’ bonus increased by more than the overall bonus program to recognize his appointment as CEO (higher pay grade). Messrs. Swiger and Albers’ awards increased by more than the overall program to reflect their transition to higher pay grades. Bonus awards increased by 40 percent for Messrs. Dolan and Duffin.</w:t>
      </w:r>
    </w:p>
    <w:p>
      <w:pPr>
        <w:spacing w:after="0" w:line="168" w:lineRule="exact"/>
        <w:rPr>
          <w:sz w:val="20"/>
          <w:szCs w:val="20"/>
          <w:color w:val="auto"/>
        </w:rPr>
      </w:pPr>
    </w:p>
    <w:p>
      <w:pPr>
        <w:ind w:left="860"/>
        <w:spacing w:after="0"/>
        <w:rPr>
          <w:sz w:val="20"/>
          <w:szCs w:val="20"/>
          <w:color w:val="auto"/>
        </w:rPr>
      </w:pPr>
      <w:r>
        <w:rPr>
          <w:rFonts w:ascii="Arial" w:cs="Arial" w:eastAsia="Arial" w:hAnsi="Arial"/>
          <w:sz w:val="18"/>
          <w:szCs w:val="18"/>
          <w:b w:val="1"/>
          <w:bCs w:val="1"/>
          <w:color w:val="auto"/>
        </w:rPr>
        <w:t>Performance Share Program</w:t>
      </w:r>
    </w:p>
    <w:p>
      <w:pPr>
        <w:spacing w:after="0" w:line="119" w:lineRule="exact"/>
        <w:rPr>
          <w:sz w:val="20"/>
          <w:szCs w:val="20"/>
          <w:color w:val="auto"/>
        </w:rPr>
      </w:pPr>
    </w:p>
    <w:p>
      <w:pPr>
        <w:jc w:val="both"/>
        <w:ind w:left="1240" w:right="40" w:hanging="388"/>
        <w:spacing w:after="0" w:line="255" w:lineRule="auto"/>
        <w:tabs>
          <w:tab w:leader="none" w:pos="1240" w:val="left"/>
        </w:tabs>
        <w:numPr>
          <w:ilvl w:val="0"/>
          <w:numId w:val="47"/>
        </w:numPr>
        <w:rPr>
          <w:rFonts w:ascii="Times New Roman" w:cs="Times New Roman" w:eastAsia="Times New Roman" w:hAnsi="Times New Roman"/>
          <w:sz w:val="18"/>
          <w:szCs w:val="18"/>
          <w:color w:val="auto"/>
        </w:rPr>
      </w:pPr>
      <w:r>
        <w:rPr>
          <w:rFonts w:ascii="Arial" w:cs="Arial" w:eastAsia="Arial" w:hAnsi="Arial"/>
          <w:sz w:val="18"/>
          <w:szCs w:val="18"/>
          <w:color w:val="auto"/>
        </w:rPr>
        <w:t>This program accounts for the majority of annual pay granted, and is intended to align the personal financial interests of executives with the interests of long-term shareholders and to encourage a long-term view through the commodity price cycle.</w:t>
      </w:r>
    </w:p>
    <w:p>
      <w:pPr>
        <w:spacing w:after="0" w:line="68" w:lineRule="exact"/>
        <w:rPr>
          <w:rFonts w:ascii="Times New Roman" w:cs="Times New Roman" w:eastAsia="Times New Roman" w:hAnsi="Times New Roman"/>
          <w:sz w:val="18"/>
          <w:szCs w:val="18"/>
          <w:color w:val="auto"/>
        </w:rPr>
      </w:pPr>
    </w:p>
    <w:p>
      <w:pPr>
        <w:ind w:left="1240" w:right="140" w:hanging="388"/>
        <w:spacing w:after="0" w:line="248" w:lineRule="auto"/>
        <w:tabs>
          <w:tab w:leader="none" w:pos="1240" w:val="left"/>
        </w:tabs>
        <w:numPr>
          <w:ilvl w:val="0"/>
          <w:numId w:val="47"/>
        </w:numPr>
        <w:rPr>
          <w:rFonts w:ascii="Times New Roman" w:cs="Times New Roman" w:eastAsia="Times New Roman" w:hAnsi="Times New Roman"/>
          <w:sz w:val="18"/>
          <w:szCs w:val="18"/>
          <w:color w:val="auto"/>
        </w:rPr>
      </w:pPr>
      <w:r>
        <w:rPr>
          <w:rFonts w:ascii="Arial" w:cs="Arial" w:eastAsia="Arial" w:hAnsi="Arial"/>
          <w:sz w:val="18"/>
          <w:szCs w:val="18"/>
          <w:color w:val="auto"/>
        </w:rPr>
        <w:t>The Compensation Committee sets the size of the performance share program. The Committee does not support a practice of offsetting the loss or gain of prior performance share grants by the value of current year grants, which would minimize the risk/reward profile of stock-based awards and undermine the long-term view that executives are expected to adopt.</w:t>
      </w:r>
    </w:p>
    <w:p>
      <w:pPr>
        <w:spacing w:after="0" w:line="75" w:lineRule="exact"/>
        <w:rPr>
          <w:rFonts w:ascii="Times New Roman" w:cs="Times New Roman" w:eastAsia="Times New Roman" w:hAnsi="Times New Roman"/>
          <w:sz w:val="18"/>
          <w:szCs w:val="18"/>
          <w:color w:val="auto"/>
        </w:rPr>
      </w:pPr>
    </w:p>
    <w:p>
      <w:pPr>
        <w:ind w:left="1240" w:right="100" w:hanging="388"/>
        <w:spacing w:after="0" w:line="255" w:lineRule="auto"/>
        <w:tabs>
          <w:tab w:leader="none" w:pos="1240" w:val="left"/>
        </w:tabs>
        <w:numPr>
          <w:ilvl w:val="0"/>
          <w:numId w:val="47"/>
        </w:numPr>
        <w:rPr>
          <w:rFonts w:ascii="Times New Roman" w:cs="Times New Roman" w:eastAsia="Times New Roman" w:hAnsi="Times New Roman"/>
          <w:sz w:val="18"/>
          <w:szCs w:val="18"/>
          <w:color w:val="auto"/>
        </w:rPr>
      </w:pPr>
      <w:r>
        <w:rPr>
          <w:rFonts w:ascii="Arial" w:cs="Arial" w:eastAsia="Arial" w:hAnsi="Arial"/>
          <w:sz w:val="18"/>
          <w:szCs w:val="18"/>
          <w:color w:val="auto"/>
        </w:rPr>
        <w:t>The annual process to set performance share grants is based on external benchmarking, relative Company performance, and strategic positioning against other integrated oil and gas companies over investment lead times of the business (10 years), see page 30.</w:t>
      </w:r>
    </w:p>
    <w:p>
      <w:pPr>
        <w:spacing w:after="0" w:line="68" w:lineRule="exact"/>
        <w:rPr>
          <w:rFonts w:ascii="Times New Roman" w:cs="Times New Roman" w:eastAsia="Times New Roman" w:hAnsi="Times New Roman"/>
          <w:sz w:val="18"/>
          <w:szCs w:val="18"/>
          <w:color w:val="auto"/>
        </w:rPr>
      </w:pPr>
    </w:p>
    <w:p>
      <w:pPr>
        <w:ind w:left="1600" w:right="160" w:hanging="378"/>
        <w:spacing w:after="0" w:line="276" w:lineRule="auto"/>
        <w:rPr>
          <w:rFonts w:ascii="Times New Roman" w:cs="Times New Roman" w:eastAsia="Times New Roman" w:hAnsi="Times New Roman"/>
          <w:sz w:val="18"/>
          <w:szCs w:val="18"/>
          <w:color w:val="auto"/>
        </w:rPr>
      </w:pPr>
      <w:r>
        <w:rPr>
          <w:rFonts w:ascii="Arial" w:cs="Arial" w:eastAsia="Arial" w:hAnsi="Arial"/>
          <w:sz w:val="18"/>
          <w:szCs w:val="18"/>
          <w:color w:val="auto"/>
        </w:rPr>
        <w:t>– In 2017, the number of performance shares granted to all Named Executive Officers was reduced to reflect the Company’s relative TSR performance against industry peers.</w:t>
      </w:r>
    </w:p>
    <w:p>
      <w:pPr>
        <w:spacing w:after="0" w:line="50" w:lineRule="exact"/>
        <w:rPr>
          <w:rFonts w:ascii="Times New Roman" w:cs="Times New Roman" w:eastAsia="Times New Roman" w:hAnsi="Times New Roman"/>
          <w:sz w:val="18"/>
          <w:szCs w:val="18"/>
          <w:color w:val="auto"/>
        </w:rPr>
      </w:pPr>
    </w:p>
    <w:p>
      <w:pPr>
        <w:ind w:left="1240" w:hanging="388"/>
        <w:spacing w:after="0"/>
        <w:tabs>
          <w:tab w:leader="none" w:pos="1240" w:val="left"/>
        </w:tabs>
        <w:numPr>
          <w:ilvl w:val="0"/>
          <w:numId w:val="47"/>
        </w:numPr>
        <w:rPr>
          <w:rFonts w:ascii="Times New Roman" w:cs="Times New Roman" w:eastAsia="Times New Roman" w:hAnsi="Times New Roman"/>
          <w:sz w:val="18"/>
          <w:szCs w:val="18"/>
          <w:color w:val="auto"/>
        </w:rPr>
      </w:pPr>
      <w:r>
        <w:rPr>
          <w:rFonts w:ascii="Arial" w:cs="Arial" w:eastAsia="Arial" w:hAnsi="Arial"/>
          <w:sz w:val="18"/>
          <w:szCs w:val="18"/>
          <w:color w:val="auto"/>
        </w:rPr>
        <w:t>Performance shares granted under this program are currently in the form of stock units.</w:t>
      </w:r>
    </w:p>
    <w:p>
      <w:pPr>
        <w:spacing w:after="0" w:line="129" w:lineRule="exact"/>
        <w:rPr>
          <w:rFonts w:ascii="Times New Roman" w:cs="Times New Roman" w:eastAsia="Times New Roman" w:hAnsi="Times New Roman"/>
          <w:sz w:val="18"/>
          <w:szCs w:val="18"/>
          <w:color w:val="auto"/>
        </w:rPr>
      </w:pPr>
    </w:p>
    <w:p>
      <w:pPr>
        <w:ind w:left="1240" w:hanging="388"/>
        <w:spacing w:after="0"/>
        <w:tabs>
          <w:tab w:leader="none" w:pos="1240" w:val="left"/>
        </w:tabs>
        <w:numPr>
          <w:ilvl w:val="0"/>
          <w:numId w:val="47"/>
        </w:numPr>
        <w:rPr>
          <w:rFonts w:ascii="Times New Roman" w:cs="Times New Roman" w:eastAsia="Times New Roman" w:hAnsi="Times New Roman"/>
          <w:sz w:val="18"/>
          <w:szCs w:val="18"/>
          <w:color w:val="auto"/>
        </w:rPr>
      </w:pPr>
      <w:r>
        <w:rPr>
          <w:rFonts w:ascii="Arial" w:cs="Arial" w:eastAsia="Arial" w:hAnsi="Arial"/>
          <w:sz w:val="18"/>
          <w:szCs w:val="18"/>
          <w:color w:val="auto"/>
        </w:rPr>
        <w:t>Stock options have not been granted since 2001 and there are no plans to make such grants in the future.</w:t>
      </w:r>
    </w:p>
    <w:p>
      <w:pPr>
        <w:spacing w:after="0" w:line="224" w:lineRule="exact"/>
        <w:rPr>
          <w:sz w:val="20"/>
          <w:szCs w:val="20"/>
          <w:color w:val="auto"/>
        </w:rPr>
      </w:pPr>
    </w:p>
    <w:p>
      <w:pPr>
        <w:ind w:left="860"/>
        <w:spacing w:after="0"/>
        <w:rPr>
          <w:sz w:val="20"/>
          <w:szCs w:val="20"/>
          <w:color w:val="auto"/>
        </w:rPr>
      </w:pPr>
      <w:r>
        <w:rPr>
          <w:rFonts w:ascii="Arial" w:cs="Arial" w:eastAsia="Arial" w:hAnsi="Arial"/>
          <w:sz w:val="18"/>
          <w:szCs w:val="18"/>
          <w:u w:val="single" w:color="auto"/>
          <w:color w:val="auto"/>
        </w:rPr>
        <w:t>Vesting and Restriction Periods</w:t>
      </w:r>
    </w:p>
    <w:p>
      <w:pPr>
        <w:spacing w:after="0" w:line="117" w:lineRule="exact"/>
        <w:rPr>
          <w:sz w:val="20"/>
          <w:szCs w:val="20"/>
          <w:color w:val="auto"/>
        </w:rPr>
      </w:pPr>
    </w:p>
    <w:p>
      <w:pPr>
        <w:ind w:left="1240" w:right="480" w:hanging="388"/>
        <w:spacing w:after="0" w:line="275" w:lineRule="auto"/>
        <w:tabs>
          <w:tab w:leader="none" w:pos="1240" w:val="left"/>
        </w:tabs>
        <w:numPr>
          <w:ilvl w:val="0"/>
          <w:numId w:val="48"/>
        </w:numPr>
        <w:rPr>
          <w:rFonts w:ascii="Times New Roman" w:cs="Times New Roman" w:eastAsia="Times New Roman" w:hAnsi="Times New Roman"/>
          <w:sz w:val="18"/>
          <w:szCs w:val="18"/>
          <w:color w:val="auto"/>
        </w:rPr>
      </w:pPr>
      <w:r>
        <w:rPr>
          <w:rFonts w:ascii="Arial" w:cs="Arial" w:eastAsia="Arial" w:hAnsi="Arial"/>
          <w:sz w:val="18"/>
          <w:szCs w:val="18"/>
          <w:color w:val="auto"/>
        </w:rPr>
        <w:t>Performance share awards vest 50 percent in 5 years from grant date and 50 percent in 10 years or retirement, whichever is later.</w:t>
      </w:r>
    </w:p>
    <w:p>
      <w:pPr>
        <w:spacing w:after="0" w:line="51" w:lineRule="exact"/>
        <w:rPr>
          <w:rFonts w:ascii="Times New Roman" w:cs="Times New Roman" w:eastAsia="Times New Roman" w:hAnsi="Times New Roman"/>
          <w:sz w:val="18"/>
          <w:szCs w:val="18"/>
          <w:color w:val="auto"/>
        </w:rPr>
      </w:pPr>
    </w:p>
    <w:p>
      <w:pPr>
        <w:ind w:left="1240" w:hanging="388"/>
        <w:spacing w:after="0"/>
        <w:tabs>
          <w:tab w:leader="none" w:pos="1240" w:val="left"/>
        </w:tabs>
        <w:numPr>
          <w:ilvl w:val="0"/>
          <w:numId w:val="48"/>
        </w:numPr>
        <w:rPr>
          <w:rFonts w:ascii="Times New Roman" w:cs="Times New Roman" w:eastAsia="Times New Roman" w:hAnsi="Times New Roman"/>
          <w:sz w:val="18"/>
          <w:szCs w:val="18"/>
          <w:color w:val="auto"/>
        </w:rPr>
      </w:pPr>
      <w:r>
        <w:rPr>
          <w:rFonts w:ascii="Arial" w:cs="Arial" w:eastAsia="Arial" w:hAnsi="Arial"/>
          <w:sz w:val="18"/>
          <w:szCs w:val="18"/>
          <w:color w:val="auto"/>
        </w:rPr>
        <w:t>Performance share awards are not subject to acceleration, even at retirement, except in the case of death.</w:t>
      </w:r>
    </w:p>
    <w:p>
      <w:pPr>
        <w:spacing w:after="0" w:line="129" w:lineRule="exact"/>
        <w:rPr>
          <w:rFonts w:ascii="Times New Roman" w:cs="Times New Roman" w:eastAsia="Times New Roman" w:hAnsi="Times New Roman"/>
          <w:sz w:val="18"/>
          <w:szCs w:val="18"/>
          <w:color w:val="auto"/>
        </w:rPr>
      </w:pPr>
    </w:p>
    <w:p>
      <w:pPr>
        <w:jc w:val="both"/>
        <w:ind w:left="1240" w:right="140" w:hanging="388"/>
        <w:spacing w:after="0" w:line="255" w:lineRule="auto"/>
        <w:tabs>
          <w:tab w:leader="none" w:pos="1240" w:val="left"/>
        </w:tabs>
        <w:numPr>
          <w:ilvl w:val="0"/>
          <w:numId w:val="48"/>
        </w:numPr>
        <w:rPr>
          <w:rFonts w:ascii="Times New Roman" w:cs="Times New Roman" w:eastAsia="Times New Roman" w:hAnsi="Times New Roman"/>
          <w:sz w:val="18"/>
          <w:szCs w:val="18"/>
          <w:color w:val="auto"/>
        </w:rPr>
      </w:pPr>
      <w:r>
        <w:rPr>
          <w:rFonts w:ascii="Arial" w:cs="Arial" w:eastAsia="Arial" w:hAnsi="Arial"/>
          <w:sz w:val="18"/>
          <w:szCs w:val="18"/>
          <w:color w:val="auto"/>
        </w:rPr>
        <w:t>These restriction periods far exceed those applied by most companies across all industries and better align with the long investment lead times of our business and the decisions that affect long-term shareholder value in our industry. For additional information on the benefits of long-term restriction periods, see pages 30 and 31.</w:t>
      </w:r>
    </w:p>
    <w:p>
      <w:pPr>
        <w:spacing w:after="0" w:line="68" w:lineRule="exact"/>
        <w:rPr>
          <w:rFonts w:ascii="Times New Roman" w:cs="Times New Roman" w:eastAsia="Times New Roman" w:hAnsi="Times New Roman"/>
          <w:sz w:val="18"/>
          <w:szCs w:val="18"/>
          <w:color w:val="auto"/>
        </w:rPr>
      </w:pPr>
    </w:p>
    <w:p>
      <w:pPr>
        <w:ind w:left="1240" w:right="60" w:hanging="388"/>
        <w:spacing w:after="0" w:line="275" w:lineRule="auto"/>
        <w:tabs>
          <w:tab w:leader="none" w:pos="1240" w:val="left"/>
        </w:tabs>
        <w:numPr>
          <w:ilvl w:val="0"/>
          <w:numId w:val="48"/>
        </w:numPr>
        <w:rPr>
          <w:rFonts w:ascii="Times New Roman" w:cs="Times New Roman" w:eastAsia="Times New Roman" w:hAnsi="Times New Roman"/>
          <w:sz w:val="18"/>
          <w:szCs w:val="18"/>
          <w:color w:val="auto"/>
        </w:rPr>
      </w:pPr>
      <w:r>
        <w:rPr>
          <w:rFonts w:ascii="Arial" w:cs="Arial" w:eastAsia="Arial" w:hAnsi="Arial"/>
          <w:sz w:val="18"/>
          <w:szCs w:val="18"/>
          <w:color w:val="auto"/>
        </w:rPr>
        <w:t>Unvested performance share awards cannot be used as collateral for any purpose and are subject to forfeiture, even beyond retirement, see page 43.</w:t>
      </w:r>
    </w:p>
    <w:p>
      <w:pPr>
        <w:spacing w:after="0" w:line="144" w:lineRule="exact"/>
        <w:rPr>
          <w:sz w:val="20"/>
          <w:szCs w:val="20"/>
          <w:color w:val="auto"/>
        </w:rPr>
      </w:pPr>
    </w:p>
    <w:p>
      <w:pPr>
        <w:ind w:left="860"/>
        <w:spacing w:after="0"/>
        <w:rPr>
          <w:sz w:val="20"/>
          <w:szCs w:val="20"/>
          <w:color w:val="auto"/>
        </w:rPr>
      </w:pPr>
      <w:r>
        <w:rPr>
          <w:rFonts w:ascii="Arial" w:cs="Arial" w:eastAsia="Arial" w:hAnsi="Arial"/>
          <w:sz w:val="18"/>
          <w:szCs w:val="18"/>
          <w:b w:val="1"/>
          <w:bCs w:val="1"/>
          <w:color w:val="auto"/>
        </w:rPr>
        <w:t>Retirement Plans</w:t>
      </w:r>
    </w:p>
    <w:p>
      <w:pPr>
        <w:spacing w:after="0" w:line="106" w:lineRule="exact"/>
        <w:rPr>
          <w:sz w:val="20"/>
          <w:szCs w:val="20"/>
          <w:color w:val="auto"/>
        </w:rPr>
      </w:pPr>
    </w:p>
    <w:p>
      <w:pPr>
        <w:ind w:left="860"/>
        <w:spacing w:after="0" w:line="248" w:lineRule="auto"/>
        <w:rPr>
          <w:sz w:val="20"/>
          <w:szCs w:val="20"/>
          <w:color w:val="auto"/>
        </w:rPr>
      </w:pPr>
      <w:r>
        <w:rPr>
          <w:rFonts w:ascii="Arial" w:cs="Arial" w:eastAsia="Arial" w:hAnsi="Arial"/>
          <w:sz w:val="18"/>
          <w:szCs w:val="18"/>
          <w:color w:val="auto"/>
        </w:rPr>
        <w:t>Retirement plans include defined contribution plans, such as the Company’s savings plans, that are attractive to new hires who can begin building an account balance immediately, and defined benefit plans, such as the Company’s pension plans (qualified and nonqualified), that help retain mid- and late-career employees until retirement age. This objective of promoting a long-term career is consistent with the long-term nature of the Company’s business.</w:t>
      </w:r>
    </w:p>
    <w:p>
      <w:pPr>
        <w:spacing w:after="0" w:line="63" w:lineRule="exact"/>
        <w:rPr>
          <w:sz w:val="20"/>
          <w:szCs w:val="20"/>
          <w:color w:val="auto"/>
        </w:rPr>
      </w:pPr>
    </w:p>
    <w:p>
      <w:pPr>
        <w:ind w:left="860"/>
        <w:spacing w:after="0"/>
        <w:rPr>
          <w:sz w:val="20"/>
          <w:szCs w:val="20"/>
          <w:color w:val="auto"/>
        </w:rPr>
      </w:pPr>
      <w:r>
        <w:rPr>
          <w:rFonts w:ascii="Arial" w:cs="Arial" w:eastAsia="Arial" w:hAnsi="Arial"/>
          <w:sz w:val="18"/>
          <w:szCs w:val="18"/>
          <w:color w:val="auto"/>
        </w:rPr>
        <w:t>The Named Executive Officers participate in the same savings and pension plans as other U.S. executives.</w:t>
      </w:r>
    </w:p>
    <w:p>
      <w:pPr>
        <w:spacing w:after="0" w:line="104" w:lineRule="exact"/>
        <w:rPr>
          <w:sz w:val="20"/>
          <w:szCs w:val="20"/>
          <w:color w:val="auto"/>
        </w:rPr>
      </w:pPr>
    </w:p>
    <w:p>
      <w:pPr>
        <w:ind w:left="860"/>
        <w:spacing w:after="0"/>
        <w:rPr>
          <w:sz w:val="20"/>
          <w:szCs w:val="20"/>
          <w:color w:val="auto"/>
        </w:rPr>
      </w:pPr>
      <w:r>
        <w:rPr>
          <w:rFonts w:ascii="Arial" w:cs="Arial" w:eastAsia="Arial" w:hAnsi="Arial"/>
          <w:sz w:val="18"/>
          <w:szCs w:val="18"/>
          <w:color w:val="auto"/>
        </w:rPr>
        <w:t>Change in control is not a triggering event under any ExxonMobil benefit plan.</w:t>
      </w:r>
    </w:p>
    <w:p>
      <w:pPr>
        <w:spacing w:after="0" w:line="144" w:lineRule="exact"/>
        <w:rPr>
          <w:sz w:val="20"/>
          <w:szCs w:val="20"/>
          <w:color w:val="auto"/>
        </w:rPr>
      </w:pPr>
    </w:p>
    <w:tbl>
      <w:tblPr>
        <w:tblLayout w:type="fixed"/>
        <w:tblInd w:w="6960" w:type="dxa"/>
        <w:tblCellMar>
          <w:top w:w="0" w:type="dxa"/>
          <w:left w:w="0" w:type="dxa"/>
          <w:bottom w:w="0" w:type="dxa"/>
          <w:right w:w="0" w:type="dxa"/>
        </w:tblCellMar>
      </w:tblPr>
      <w:tr>
        <w:trPr>
          <w:trHeight w:val="243"/>
        </w:trPr>
        <w:tc>
          <w:tcPr>
            <w:tcW w:w="2440" w:type="dxa"/>
            <w:vAlign w:val="bottom"/>
          </w:tcPr>
          <w:p>
            <w:pPr>
              <w:spacing w:after="0"/>
              <w:rPr>
                <w:sz w:val="20"/>
                <w:szCs w:val="20"/>
                <w:color w:val="auto"/>
              </w:rPr>
            </w:pPr>
            <w:r>
              <w:rPr>
                <w:rFonts w:ascii="Times New Roman" w:cs="Times New Roman" w:eastAsia="Times New Roman" w:hAnsi="Times New Roman"/>
                <w:sz w:val="18"/>
                <w:szCs w:val="18"/>
                <w:i w:val="1"/>
                <w:iCs w:val="1"/>
                <w:color w:val="auto"/>
              </w:rPr>
              <w:t>2018 Proxy Statement</w:t>
            </w:r>
          </w:p>
        </w:tc>
        <w:tc>
          <w:tcPr>
            <w:tcW w:w="1060" w:type="dxa"/>
            <w:vAlign w:val="bottom"/>
          </w:tcPr>
          <w:p>
            <w:pPr>
              <w:jc w:val="right"/>
              <w:spacing w:after="0"/>
              <w:rPr>
                <w:sz w:val="20"/>
                <w:szCs w:val="20"/>
                <w:color w:val="auto"/>
              </w:rPr>
            </w:pPr>
            <w:r>
              <w:rPr>
                <w:rFonts w:ascii="Arial" w:cs="Arial" w:eastAsia="Arial" w:hAnsi="Arial"/>
                <w:sz w:val="18"/>
                <w:szCs w:val="18"/>
                <w:color w:val="auto"/>
              </w:rPr>
              <w:t>39</w:t>
            </w:r>
          </w:p>
        </w:tc>
      </w:tr>
    </w:tbl>
    <w:p>
      <w:pPr>
        <w:sectPr>
          <w:pgSz w:w="11900" w:h="16838" w:orient="portrait"/>
          <w:cols w:equalWidth="0" w:num="1">
            <w:col w:w="10560"/>
          </w:cols>
          <w:pgMar w:left="240" w:top="455" w:right="1099" w:bottom="1440" w:gutter="0" w:footer="0" w:header="0"/>
        </w:sectPr>
      </w:pPr>
    </w:p>
    <w:bookmarkStart w:id="42" w:name="page43"/>
    <w:bookmarkEnd w:id="42"/>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97">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Times New Roman" w:cs="Times New Roman" w:eastAsia="Times New Roman" w:hAnsi="Times New Roman"/>
            <w:sz w:val="18"/>
            <w:szCs w:val="18"/>
            <w:b w:val="1"/>
            <w:bCs w:val="1"/>
            <w:u w:val="single" w:color="auto"/>
            <w:color w:val="0000EE"/>
          </w:rPr>
          <w:t>Table of Contents</w:t>
        </w:r>
      </w:hyperlink>
    </w:p>
    <w:p>
      <w:pPr>
        <w:spacing w:after="0" w:line="305" w:lineRule="exact"/>
        <w:rPr>
          <w:sz w:val="20"/>
          <w:szCs w:val="20"/>
          <w:color w:val="auto"/>
        </w:rPr>
      </w:pPr>
    </w:p>
    <w:p>
      <w:pPr>
        <w:ind w:left="860"/>
        <w:spacing w:after="0"/>
        <w:rPr>
          <w:sz w:val="20"/>
          <w:szCs w:val="20"/>
          <w:color w:val="auto"/>
        </w:rPr>
      </w:pPr>
      <w:r>
        <w:rPr>
          <w:rFonts w:ascii="Arial" w:cs="Arial" w:eastAsia="Arial" w:hAnsi="Arial"/>
          <w:sz w:val="18"/>
          <w:szCs w:val="18"/>
          <w:u w:val="single" w:color="auto"/>
          <w:color w:val="auto"/>
        </w:rPr>
        <w:t>Savings Plans</w:t>
      </w:r>
    </w:p>
    <w:p>
      <w:pPr>
        <w:spacing w:after="0" w:line="117" w:lineRule="exact"/>
        <w:rPr>
          <w:sz w:val="20"/>
          <w:szCs w:val="20"/>
          <w:color w:val="auto"/>
        </w:rPr>
      </w:pPr>
    </w:p>
    <w:p>
      <w:pPr>
        <w:ind w:left="1240" w:right="280" w:hanging="388"/>
        <w:spacing w:after="0" w:line="248" w:lineRule="auto"/>
        <w:tabs>
          <w:tab w:leader="none" w:pos="1240" w:val="left"/>
        </w:tabs>
        <w:numPr>
          <w:ilvl w:val="0"/>
          <w:numId w:val="49"/>
        </w:numPr>
        <w:rPr>
          <w:rFonts w:ascii="Times New Roman" w:cs="Times New Roman" w:eastAsia="Times New Roman" w:hAnsi="Times New Roman"/>
          <w:sz w:val="18"/>
          <w:szCs w:val="18"/>
          <w:color w:val="auto"/>
        </w:rPr>
      </w:pPr>
      <w:r>
        <w:rPr>
          <w:rFonts w:ascii="Arial" w:cs="Arial" w:eastAsia="Arial" w:hAnsi="Arial"/>
          <w:sz w:val="18"/>
          <w:szCs w:val="18"/>
          <w:color w:val="auto"/>
        </w:rPr>
        <w:t>The qualified Savings Plan permits employees to make pre- or post-tax contributions and receive a Company-matching contribution of 7 percent of eligible salary, when they contribute a minimum of 6 percent of salary. These contributions are subject to Internal Revenue Code limits on the amount of pay taken into account and the total amount of contributions.</w:t>
      </w:r>
    </w:p>
    <w:p>
      <w:pPr>
        <w:spacing w:after="0" w:line="75" w:lineRule="exact"/>
        <w:rPr>
          <w:rFonts w:ascii="Times New Roman" w:cs="Times New Roman" w:eastAsia="Times New Roman" w:hAnsi="Times New Roman"/>
          <w:sz w:val="18"/>
          <w:szCs w:val="18"/>
          <w:color w:val="auto"/>
        </w:rPr>
      </w:pPr>
    </w:p>
    <w:p>
      <w:pPr>
        <w:ind w:left="1240" w:right="520" w:hanging="388"/>
        <w:spacing w:after="0" w:line="255" w:lineRule="auto"/>
        <w:tabs>
          <w:tab w:leader="none" w:pos="1240" w:val="left"/>
        </w:tabs>
        <w:numPr>
          <w:ilvl w:val="0"/>
          <w:numId w:val="49"/>
        </w:numPr>
        <w:rPr>
          <w:rFonts w:ascii="Times New Roman" w:cs="Times New Roman" w:eastAsia="Times New Roman" w:hAnsi="Times New Roman"/>
          <w:sz w:val="18"/>
          <w:szCs w:val="18"/>
          <w:color w:val="auto"/>
        </w:rPr>
      </w:pPr>
      <w:r>
        <w:rPr>
          <w:rFonts w:ascii="Arial" w:cs="Arial" w:eastAsia="Arial" w:hAnsi="Arial"/>
          <w:sz w:val="18"/>
          <w:szCs w:val="18"/>
          <w:color w:val="auto"/>
        </w:rPr>
        <w:t>The nonqualified Supplemental Savings Plan does not permit employee contributions but provides 7 percent of eligible pay to continue the Company contributions that could not be made to the qualified plan due to Internal Revenue Code limits.</w:t>
      </w:r>
    </w:p>
    <w:p>
      <w:pPr>
        <w:spacing w:after="0" w:line="163" w:lineRule="exact"/>
        <w:rPr>
          <w:sz w:val="20"/>
          <w:szCs w:val="20"/>
          <w:color w:val="auto"/>
        </w:rPr>
      </w:pPr>
    </w:p>
    <w:p>
      <w:pPr>
        <w:ind w:left="860"/>
        <w:spacing w:after="0"/>
        <w:rPr>
          <w:sz w:val="20"/>
          <w:szCs w:val="20"/>
          <w:color w:val="auto"/>
        </w:rPr>
      </w:pPr>
      <w:r>
        <w:rPr>
          <w:rFonts w:ascii="Arial" w:cs="Arial" w:eastAsia="Arial" w:hAnsi="Arial"/>
          <w:sz w:val="18"/>
          <w:szCs w:val="18"/>
          <w:u w:val="single" w:color="auto"/>
          <w:color w:val="auto"/>
        </w:rPr>
        <w:t>Pension Plans</w:t>
      </w:r>
    </w:p>
    <w:p>
      <w:pPr>
        <w:spacing w:after="0" w:line="117" w:lineRule="exact"/>
        <w:rPr>
          <w:sz w:val="20"/>
          <w:szCs w:val="20"/>
          <w:color w:val="auto"/>
        </w:rPr>
      </w:pPr>
    </w:p>
    <w:p>
      <w:pPr>
        <w:ind w:left="1240" w:right="200" w:hanging="388"/>
        <w:spacing w:after="0" w:line="255" w:lineRule="auto"/>
        <w:tabs>
          <w:tab w:leader="none" w:pos="1240" w:val="left"/>
        </w:tabs>
        <w:numPr>
          <w:ilvl w:val="0"/>
          <w:numId w:val="50"/>
        </w:numPr>
        <w:rPr>
          <w:rFonts w:ascii="Times New Roman" w:cs="Times New Roman" w:eastAsia="Times New Roman" w:hAnsi="Times New Roman"/>
          <w:sz w:val="18"/>
          <w:szCs w:val="18"/>
          <w:color w:val="auto"/>
        </w:rPr>
      </w:pPr>
      <w:r>
        <w:rPr>
          <w:rFonts w:ascii="Arial" w:cs="Arial" w:eastAsia="Arial" w:hAnsi="Arial"/>
          <w:sz w:val="18"/>
          <w:szCs w:val="18"/>
          <w:color w:val="auto"/>
        </w:rPr>
        <w:t xml:space="preserve">Pay for the purpose of pension calculations includes base salary and bonus, but does </w:t>
      </w:r>
      <w:r>
        <w:rPr>
          <w:rFonts w:ascii="Arial" w:cs="Arial" w:eastAsia="Arial" w:hAnsi="Arial"/>
          <w:sz w:val="18"/>
          <w:szCs w:val="18"/>
          <w:u w:val="single" w:color="auto"/>
          <w:color w:val="auto"/>
        </w:rPr>
        <w:t>not</w:t>
      </w:r>
      <w:r>
        <w:rPr>
          <w:rFonts w:ascii="Arial" w:cs="Arial" w:eastAsia="Arial" w:hAnsi="Arial"/>
          <w:sz w:val="18"/>
          <w:szCs w:val="18"/>
          <w:color w:val="auto"/>
        </w:rPr>
        <w:t xml:space="preserve"> include stock-based awards. Inclusion of the annual bonus in the pension formula further strengthens the performance basis of the total compensation and benefits program.</w:t>
      </w:r>
    </w:p>
    <w:p>
      <w:pPr>
        <w:spacing w:after="0" w:line="68" w:lineRule="exact"/>
        <w:rPr>
          <w:rFonts w:ascii="Times New Roman" w:cs="Times New Roman" w:eastAsia="Times New Roman" w:hAnsi="Times New Roman"/>
          <w:sz w:val="18"/>
          <w:szCs w:val="18"/>
          <w:color w:val="auto"/>
        </w:rPr>
      </w:pPr>
    </w:p>
    <w:p>
      <w:pPr>
        <w:ind w:left="1240" w:right="260" w:hanging="388"/>
        <w:spacing w:after="0" w:line="255" w:lineRule="auto"/>
        <w:tabs>
          <w:tab w:leader="none" w:pos="1240" w:val="left"/>
        </w:tabs>
        <w:numPr>
          <w:ilvl w:val="0"/>
          <w:numId w:val="50"/>
        </w:numPr>
        <w:rPr>
          <w:rFonts w:ascii="Times New Roman" w:cs="Times New Roman" w:eastAsia="Times New Roman" w:hAnsi="Times New Roman"/>
          <w:sz w:val="18"/>
          <w:szCs w:val="18"/>
          <w:color w:val="auto"/>
        </w:rPr>
      </w:pPr>
      <w:r>
        <w:rPr>
          <w:rFonts w:ascii="Arial" w:cs="Arial" w:eastAsia="Arial" w:hAnsi="Arial"/>
          <w:sz w:val="18"/>
          <w:szCs w:val="18"/>
          <w:color w:val="auto"/>
        </w:rPr>
        <w:t>Because pension benefits use final average pay applied to all years of service, the increase in pension values is greatest late in an employee’s career when compensation tends to be highest. This also enhances the retention of high-performing employees whose compensation typically increases as their job responsibilities expand.</w:t>
      </w:r>
    </w:p>
    <w:p>
      <w:pPr>
        <w:spacing w:after="0" w:line="68" w:lineRule="exact"/>
        <w:rPr>
          <w:rFonts w:ascii="Times New Roman" w:cs="Times New Roman" w:eastAsia="Times New Roman" w:hAnsi="Times New Roman"/>
          <w:sz w:val="18"/>
          <w:szCs w:val="18"/>
          <w:color w:val="auto"/>
        </w:rPr>
      </w:pPr>
    </w:p>
    <w:p>
      <w:pPr>
        <w:ind w:left="1240" w:hanging="388"/>
        <w:spacing w:after="0" w:line="245" w:lineRule="auto"/>
        <w:tabs>
          <w:tab w:leader="none" w:pos="1240" w:val="left"/>
        </w:tabs>
        <w:numPr>
          <w:ilvl w:val="0"/>
          <w:numId w:val="50"/>
        </w:numPr>
        <w:rPr>
          <w:rFonts w:ascii="Times New Roman" w:cs="Times New Roman" w:eastAsia="Times New Roman" w:hAnsi="Times New Roman"/>
          <w:sz w:val="18"/>
          <w:szCs w:val="18"/>
          <w:color w:val="auto"/>
        </w:rPr>
      </w:pPr>
      <w:r>
        <w:rPr>
          <w:rFonts w:ascii="Arial" w:cs="Arial" w:eastAsia="Arial" w:hAnsi="Arial"/>
          <w:sz w:val="18"/>
          <w:szCs w:val="18"/>
          <w:color w:val="auto"/>
        </w:rPr>
        <w:t>The nonqualified Supplemental Pension Plan provides pension benefits to the extent annual salary exceeds the amount that can be considered in determining qualified pension benefits and to the extent other limits may apply to qualified benefits. Without the Supplemental Pension Plan, the retention power of the overall pension plan would be greatly reduced for employees earning more than that amount, since pension values would not reflect the higher level of pay in mid- to late-career.</w:t>
      </w:r>
    </w:p>
    <w:p>
      <w:pPr>
        <w:spacing w:after="0" w:line="77" w:lineRule="exact"/>
        <w:rPr>
          <w:rFonts w:ascii="Times New Roman" w:cs="Times New Roman" w:eastAsia="Times New Roman" w:hAnsi="Times New Roman"/>
          <w:sz w:val="18"/>
          <w:szCs w:val="18"/>
          <w:color w:val="auto"/>
        </w:rPr>
      </w:pPr>
    </w:p>
    <w:p>
      <w:pPr>
        <w:ind w:left="1240" w:right="240" w:hanging="388"/>
        <w:spacing w:after="0" w:line="248" w:lineRule="auto"/>
        <w:tabs>
          <w:tab w:leader="none" w:pos="1240" w:val="left"/>
        </w:tabs>
        <w:numPr>
          <w:ilvl w:val="0"/>
          <w:numId w:val="50"/>
        </w:numPr>
        <w:rPr>
          <w:rFonts w:ascii="Times New Roman" w:cs="Times New Roman" w:eastAsia="Times New Roman" w:hAnsi="Times New Roman"/>
          <w:sz w:val="18"/>
          <w:szCs w:val="18"/>
          <w:color w:val="auto"/>
        </w:rPr>
      </w:pPr>
      <w:r>
        <w:rPr>
          <w:rFonts w:ascii="Arial" w:cs="Arial" w:eastAsia="Arial" w:hAnsi="Arial"/>
          <w:sz w:val="18"/>
          <w:szCs w:val="18"/>
          <w:color w:val="auto"/>
        </w:rPr>
        <w:t>The nonqualified Additional Payments Plan provides pension benefits tied to the annual bonus, which further supports retention and performance objectives, and reinforces the Compensation Committee’s practice of linking a greater proportion of compensation to business results for more-senior-level executives. Including annual bonus in the pension formula gives the retirement program a greater performance orientation.</w:t>
      </w:r>
    </w:p>
    <w:p>
      <w:pPr>
        <w:spacing w:after="0" w:line="75" w:lineRule="exact"/>
        <w:rPr>
          <w:rFonts w:ascii="Times New Roman" w:cs="Times New Roman" w:eastAsia="Times New Roman" w:hAnsi="Times New Roman"/>
          <w:sz w:val="18"/>
          <w:szCs w:val="18"/>
          <w:color w:val="auto"/>
        </w:rPr>
      </w:pPr>
    </w:p>
    <w:p>
      <w:pPr>
        <w:ind w:left="1240" w:hanging="388"/>
        <w:spacing w:after="0"/>
        <w:tabs>
          <w:tab w:leader="none" w:pos="1240" w:val="left"/>
        </w:tabs>
        <w:numPr>
          <w:ilvl w:val="0"/>
          <w:numId w:val="50"/>
        </w:numPr>
        <w:rPr>
          <w:rFonts w:ascii="Times New Roman" w:cs="Times New Roman" w:eastAsia="Times New Roman" w:hAnsi="Times New Roman"/>
          <w:sz w:val="18"/>
          <w:szCs w:val="18"/>
          <w:color w:val="auto"/>
        </w:rPr>
      </w:pPr>
      <w:r>
        <w:rPr>
          <w:rFonts w:ascii="Arial" w:cs="Arial" w:eastAsia="Arial" w:hAnsi="Arial"/>
          <w:sz w:val="18"/>
          <w:szCs w:val="18"/>
          <w:color w:val="auto"/>
        </w:rPr>
        <w:t>For more information on the pension plans, including the benefits formula, see pages 50 to 52.</w:t>
      </w:r>
    </w:p>
    <w:p>
      <w:pPr>
        <w:spacing w:after="0" w:line="129" w:lineRule="exact"/>
        <w:rPr>
          <w:rFonts w:ascii="Times New Roman" w:cs="Times New Roman" w:eastAsia="Times New Roman" w:hAnsi="Times New Roman"/>
          <w:sz w:val="18"/>
          <w:szCs w:val="18"/>
          <w:color w:val="auto"/>
        </w:rPr>
      </w:pPr>
    </w:p>
    <w:p>
      <w:pPr>
        <w:ind w:left="1240" w:right="40" w:hanging="388"/>
        <w:spacing w:after="0" w:line="243" w:lineRule="auto"/>
        <w:tabs>
          <w:tab w:leader="none" w:pos="1240" w:val="left"/>
        </w:tabs>
        <w:numPr>
          <w:ilvl w:val="0"/>
          <w:numId w:val="50"/>
        </w:numPr>
        <w:rPr>
          <w:rFonts w:ascii="Times New Roman" w:cs="Times New Roman" w:eastAsia="Times New Roman" w:hAnsi="Times New Roman"/>
          <w:sz w:val="18"/>
          <w:szCs w:val="18"/>
          <w:color w:val="auto"/>
        </w:rPr>
      </w:pPr>
      <w:r>
        <w:rPr>
          <w:rFonts w:ascii="Arial" w:cs="Arial" w:eastAsia="Arial" w:hAnsi="Arial"/>
          <w:sz w:val="18"/>
          <w:szCs w:val="18"/>
          <w:color w:val="auto"/>
        </w:rPr>
        <w:t>In 2017, the pension accrual shown in the Summary Compensation Table for Mr. Woods increased. For a description of the breakdown of the underlying factors that resulted in the increase, see page 46. For the other Named Executive Officers, the higher lump sum interest rate (2.75 percent) versus 2016 (2.25 percent) and a decrease in the average annual bonus are the contributing factors to the negative pension accruals reported in the narrative to the Summary Compensation Table. These values are estimates; the actual values will be determined at the time each individual retires.</w:t>
      </w:r>
    </w:p>
    <w:p>
      <w:pPr>
        <w:spacing w:after="0" w:line="381" w:lineRule="exact"/>
        <w:rPr>
          <w:sz w:val="20"/>
          <w:szCs w:val="20"/>
          <w:color w:val="auto"/>
        </w:rPr>
      </w:pPr>
    </w:p>
    <w:p>
      <w:pPr>
        <w:ind w:left="860"/>
        <w:spacing w:after="0"/>
        <w:rPr>
          <w:sz w:val="20"/>
          <w:szCs w:val="20"/>
          <w:color w:val="auto"/>
        </w:rPr>
      </w:pPr>
      <w:r>
        <w:rPr>
          <w:rFonts w:ascii="Arial" w:cs="Arial" w:eastAsia="Arial" w:hAnsi="Arial"/>
          <w:sz w:val="20"/>
          <w:szCs w:val="20"/>
          <w:b w:val="1"/>
          <w:bCs w:val="1"/>
          <w:color w:val="2B4C9B"/>
        </w:rPr>
        <w:t>Other Key Elements of the Compensation Program</w:t>
      </w:r>
    </w:p>
    <w:p>
      <w:pPr>
        <w:spacing w:after="0" w:line="209" w:lineRule="exact"/>
        <w:rPr>
          <w:sz w:val="20"/>
          <w:szCs w:val="20"/>
          <w:color w:val="auto"/>
        </w:rPr>
      </w:pPr>
    </w:p>
    <w:p>
      <w:pPr>
        <w:ind w:left="860"/>
        <w:spacing w:after="0"/>
        <w:rPr>
          <w:sz w:val="20"/>
          <w:szCs w:val="20"/>
          <w:color w:val="auto"/>
        </w:rPr>
      </w:pPr>
      <w:r>
        <w:rPr>
          <w:rFonts w:ascii="Arial" w:cs="Arial" w:eastAsia="Arial" w:hAnsi="Arial"/>
          <w:sz w:val="18"/>
          <w:szCs w:val="18"/>
          <w:b w:val="1"/>
          <w:bCs w:val="1"/>
          <w:color w:val="auto"/>
        </w:rPr>
        <w:t>Benchmarking Principles</w:t>
      </w:r>
    </w:p>
    <w:p>
      <w:pPr>
        <w:spacing w:after="0" w:line="119" w:lineRule="exact"/>
        <w:rPr>
          <w:sz w:val="20"/>
          <w:szCs w:val="20"/>
          <w:color w:val="auto"/>
        </w:rPr>
      </w:pPr>
    </w:p>
    <w:p>
      <w:pPr>
        <w:jc w:val="both"/>
        <w:ind w:left="1240" w:right="620" w:hanging="388"/>
        <w:spacing w:after="0" w:line="255" w:lineRule="auto"/>
        <w:tabs>
          <w:tab w:leader="none" w:pos="1240" w:val="left"/>
        </w:tabs>
        <w:numPr>
          <w:ilvl w:val="0"/>
          <w:numId w:val="51"/>
        </w:numPr>
        <w:rPr>
          <w:rFonts w:ascii="Times New Roman" w:cs="Times New Roman" w:eastAsia="Times New Roman" w:hAnsi="Times New Roman"/>
          <w:sz w:val="18"/>
          <w:szCs w:val="18"/>
          <w:color w:val="auto"/>
        </w:rPr>
      </w:pPr>
      <w:r>
        <w:rPr>
          <w:rFonts w:ascii="Arial" w:cs="Arial" w:eastAsia="Arial" w:hAnsi="Arial"/>
          <w:sz w:val="18"/>
          <w:szCs w:val="18"/>
          <w:color w:val="auto"/>
        </w:rPr>
        <w:t>Consistent with the Compensation Committee’s practice of using well-informed judgment to determine overall executive compensation, the Committee focuses on a broad orientation, generally a range around the median compensation of our benchmark companies, which provides the ability to:</w:t>
      </w:r>
    </w:p>
    <w:p>
      <w:pPr>
        <w:spacing w:after="0" w:line="68" w:lineRule="exact"/>
        <w:rPr>
          <w:rFonts w:ascii="Times New Roman" w:cs="Times New Roman" w:eastAsia="Times New Roman" w:hAnsi="Times New Roman"/>
          <w:sz w:val="18"/>
          <w:szCs w:val="18"/>
          <w:color w:val="auto"/>
        </w:rPr>
      </w:pPr>
    </w:p>
    <w:p>
      <w:pPr>
        <w:ind w:left="1240"/>
        <w:spacing w:after="0"/>
        <w:rPr>
          <w:rFonts w:ascii="Times New Roman" w:cs="Times New Roman" w:eastAsia="Times New Roman" w:hAnsi="Times New Roman"/>
          <w:sz w:val="18"/>
          <w:szCs w:val="18"/>
          <w:color w:val="auto"/>
        </w:rPr>
      </w:pPr>
      <w:r>
        <w:rPr>
          <w:rFonts w:ascii="Arial" w:cs="Arial" w:eastAsia="Arial" w:hAnsi="Arial"/>
          <w:sz w:val="18"/>
          <w:szCs w:val="18"/>
          <w:color w:val="auto"/>
        </w:rPr>
        <w:t>–   Differentiate compensation based on experience and performance levels among executives;</w:t>
      </w:r>
    </w:p>
    <w:p>
      <w:pPr>
        <w:spacing w:after="0" w:line="117" w:lineRule="exact"/>
        <w:rPr>
          <w:rFonts w:ascii="Times New Roman" w:cs="Times New Roman" w:eastAsia="Times New Roman" w:hAnsi="Times New Roman"/>
          <w:sz w:val="18"/>
          <w:szCs w:val="18"/>
          <w:color w:val="auto"/>
        </w:rPr>
      </w:pPr>
    </w:p>
    <w:p>
      <w:pPr>
        <w:ind w:left="1600" w:right="100" w:hanging="378"/>
        <w:spacing w:after="0" w:line="276" w:lineRule="auto"/>
        <w:rPr>
          <w:rFonts w:ascii="Times New Roman" w:cs="Times New Roman" w:eastAsia="Times New Roman" w:hAnsi="Times New Roman"/>
          <w:sz w:val="18"/>
          <w:szCs w:val="18"/>
          <w:color w:val="auto"/>
        </w:rPr>
      </w:pPr>
      <w:r>
        <w:rPr>
          <w:rFonts w:ascii="Arial" w:cs="Arial" w:eastAsia="Arial" w:hAnsi="Arial"/>
          <w:sz w:val="18"/>
          <w:szCs w:val="18"/>
          <w:color w:val="auto"/>
        </w:rPr>
        <w:t>– Minimize the potential for automatic ratcheting-up of compensation that could occur with a narrow target among benchmarked companies;</w:t>
      </w:r>
    </w:p>
    <w:p>
      <w:pPr>
        <w:spacing w:after="0" w:line="50" w:lineRule="exact"/>
        <w:rPr>
          <w:rFonts w:ascii="Times New Roman" w:cs="Times New Roman" w:eastAsia="Times New Roman" w:hAnsi="Times New Roman"/>
          <w:sz w:val="18"/>
          <w:szCs w:val="18"/>
          <w:color w:val="auto"/>
        </w:rPr>
      </w:pPr>
    </w:p>
    <w:p>
      <w:pPr>
        <w:ind w:left="1240"/>
        <w:spacing w:after="0"/>
        <w:rPr>
          <w:rFonts w:ascii="Times New Roman" w:cs="Times New Roman" w:eastAsia="Times New Roman" w:hAnsi="Times New Roman"/>
          <w:sz w:val="18"/>
          <w:szCs w:val="18"/>
          <w:color w:val="auto"/>
        </w:rPr>
      </w:pPr>
      <w:r>
        <w:rPr>
          <w:rFonts w:ascii="Arial" w:cs="Arial" w:eastAsia="Arial" w:hAnsi="Arial"/>
          <w:sz w:val="18"/>
          <w:szCs w:val="18"/>
          <w:color w:val="auto"/>
        </w:rPr>
        <w:t>–   Ensure that a change in share price is a significant factor in determining market orientation;</w:t>
      </w:r>
    </w:p>
    <w:p>
      <w:pPr>
        <w:spacing w:after="0" w:line="117" w:lineRule="exact"/>
        <w:rPr>
          <w:rFonts w:ascii="Times New Roman" w:cs="Times New Roman" w:eastAsia="Times New Roman" w:hAnsi="Times New Roman"/>
          <w:sz w:val="18"/>
          <w:szCs w:val="18"/>
          <w:color w:val="auto"/>
        </w:rPr>
      </w:pPr>
    </w:p>
    <w:p>
      <w:pPr>
        <w:ind w:left="1240"/>
        <w:spacing w:after="0"/>
        <w:rPr>
          <w:rFonts w:ascii="Times New Roman" w:cs="Times New Roman" w:eastAsia="Times New Roman" w:hAnsi="Times New Roman"/>
          <w:sz w:val="18"/>
          <w:szCs w:val="18"/>
          <w:color w:val="auto"/>
        </w:rPr>
      </w:pPr>
      <w:r>
        <w:rPr>
          <w:rFonts w:ascii="Arial" w:cs="Arial" w:eastAsia="Arial" w:hAnsi="Arial"/>
          <w:sz w:val="18"/>
          <w:szCs w:val="18"/>
          <w:color w:val="auto"/>
        </w:rPr>
        <w:t>–   Manage salaries based on a long-term career orientation; and</w:t>
      </w:r>
    </w:p>
    <w:p>
      <w:pPr>
        <w:spacing w:after="0" w:line="117" w:lineRule="exact"/>
        <w:rPr>
          <w:rFonts w:ascii="Times New Roman" w:cs="Times New Roman" w:eastAsia="Times New Roman" w:hAnsi="Times New Roman"/>
          <w:sz w:val="18"/>
          <w:szCs w:val="18"/>
          <w:color w:val="auto"/>
        </w:rPr>
      </w:pPr>
    </w:p>
    <w:p>
      <w:pPr>
        <w:ind w:left="1240"/>
        <w:spacing w:after="0"/>
        <w:rPr>
          <w:rFonts w:ascii="Times New Roman" w:cs="Times New Roman" w:eastAsia="Times New Roman" w:hAnsi="Times New Roman"/>
          <w:sz w:val="18"/>
          <w:szCs w:val="18"/>
          <w:color w:val="auto"/>
        </w:rPr>
      </w:pPr>
      <w:r>
        <w:rPr>
          <w:rFonts w:ascii="Arial" w:cs="Arial" w:eastAsia="Arial" w:hAnsi="Arial"/>
          <w:sz w:val="18"/>
          <w:szCs w:val="18"/>
          <w:color w:val="auto"/>
        </w:rPr>
        <w:t>–   Respond to changing business conditions.</w:t>
      </w:r>
    </w:p>
    <w:p>
      <w:pPr>
        <w:spacing w:after="0" w:line="117" w:lineRule="exact"/>
        <w:rPr>
          <w:rFonts w:ascii="Times New Roman" w:cs="Times New Roman" w:eastAsia="Times New Roman" w:hAnsi="Times New Roman"/>
          <w:sz w:val="18"/>
          <w:szCs w:val="18"/>
          <w:color w:val="auto"/>
        </w:rPr>
      </w:pPr>
    </w:p>
    <w:p>
      <w:pPr>
        <w:ind w:left="1240" w:hanging="388"/>
        <w:spacing w:after="0"/>
        <w:tabs>
          <w:tab w:leader="none" w:pos="1240" w:val="left"/>
        </w:tabs>
        <w:numPr>
          <w:ilvl w:val="0"/>
          <w:numId w:val="51"/>
        </w:numPr>
        <w:rPr>
          <w:rFonts w:ascii="Times New Roman" w:cs="Times New Roman" w:eastAsia="Times New Roman" w:hAnsi="Times New Roman"/>
          <w:sz w:val="18"/>
          <w:szCs w:val="18"/>
          <w:color w:val="auto"/>
        </w:rPr>
      </w:pPr>
      <w:r>
        <w:rPr>
          <w:rFonts w:ascii="Arial" w:cs="Arial" w:eastAsia="Arial" w:hAnsi="Arial"/>
          <w:sz w:val="18"/>
          <w:szCs w:val="18"/>
          <w:color w:val="auto"/>
        </w:rPr>
        <w:t>These benchmarking principles apply to salary, annual bonus, and performance share awards.</w:t>
      </w:r>
    </w:p>
    <w:p>
      <w:pPr>
        <w:spacing w:after="0" w:line="129" w:lineRule="exact"/>
        <w:rPr>
          <w:rFonts w:ascii="Times New Roman" w:cs="Times New Roman" w:eastAsia="Times New Roman" w:hAnsi="Times New Roman"/>
          <w:sz w:val="18"/>
          <w:szCs w:val="18"/>
          <w:color w:val="auto"/>
        </w:rPr>
      </w:pPr>
    </w:p>
    <w:p>
      <w:pPr>
        <w:ind w:left="1240" w:right="380" w:hanging="388"/>
        <w:spacing w:after="0" w:line="255" w:lineRule="auto"/>
        <w:tabs>
          <w:tab w:leader="none" w:pos="1240" w:val="left"/>
        </w:tabs>
        <w:numPr>
          <w:ilvl w:val="0"/>
          <w:numId w:val="51"/>
        </w:numPr>
        <w:rPr>
          <w:rFonts w:ascii="Times New Roman" w:cs="Times New Roman" w:eastAsia="Times New Roman" w:hAnsi="Times New Roman"/>
          <w:sz w:val="18"/>
          <w:szCs w:val="18"/>
          <w:color w:val="auto"/>
        </w:rPr>
      </w:pPr>
      <w:r>
        <w:rPr>
          <w:rFonts w:ascii="Arial" w:cs="Arial" w:eastAsia="Arial" w:hAnsi="Arial"/>
          <w:sz w:val="18"/>
          <w:szCs w:val="18"/>
          <w:color w:val="auto"/>
        </w:rPr>
        <w:t>Evaluation of level of compensation requires comparison against other U.S. companies that generally have large scale and complexity, capital intensity, international operations, and proven sustainability over time. For a list of companies used to benchmark compensation, see page 37.</w:t>
      </w:r>
    </w:p>
    <w:p>
      <w:pPr>
        <w:spacing w:after="0" w:line="96" w:lineRule="exact"/>
        <w:rPr>
          <w:sz w:val="20"/>
          <w:szCs w:val="20"/>
          <w:color w:val="auto"/>
        </w:rPr>
      </w:pPr>
    </w:p>
    <w:p>
      <w:pPr>
        <w:ind w:left="880"/>
        <w:spacing w:after="0"/>
        <w:tabs>
          <w:tab w:leader="none" w:pos="2780" w:val="left"/>
        </w:tabs>
        <w:rPr>
          <w:sz w:val="20"/>
          <w:szCs w:val="20"/>
          <w:color w:val="auto"/>
        </w:rPr>
      </w:pPr>
      <w:r>
        <w:rPr>
          <w:rFonts w:ascii="Arial" w:cs="Arial" w:eastAsia="Arial" w:hAnsi="Arial"/>
          <w:sz w:val="18"/>
          <w:szCs w:val="18"/>
          <w:color w:val="auto"/>
        </w:rPr>
        <w:t>40</w:t>
      </w:r>
      <w:r>
        <w:rPr>
          <w:sz w:val="20"/>
          <w:szCs w:val="20"/>
          <w:color w:val="auto"/>
        </w:rPr>
        <w:tab/>
      </w:r>
      <w:r>
        <w:rPr>
          <w:rFonts w:ascii="Times New Roman" w:cs="Times New Roman" w:eastAsia="Times New Roman" w:hAnsi="Times New Roman"/>
          <w:sz w:val="18"/>
          <w:szCs w:val="18"/>
          <w:i w:val="1"/>
          <w:iCs w:val="1"/>
          <w:color w:val="auto"/>
        </w:rPr>
        <w:t>2018 Proxy Statement</w:t>
      </w:r>
    </w:p>
    <w:p>
      <w:pPr>
        <w:sectPr>
          <w:pgSz w:w="11900" w:h="16838" w:orient="portrait"/>
          <w:cols w:equalWidth="0" w:num="1">
            <w:col w:w="10560"/>
          </w:cols>
          <w:pgMar w:left="240" w:top="455" w:right="1099" w:bottom="1440" w:gutter="0" w:footer="0" w:header="0"/>
        </w:sectPr>
      </w:pPr>
    </w:p>
    <w:bookmarkStart w:id="43" w:name="page44"/>
    <w:bookmarkEnd w:id="43"/>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98">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Times New Roman" w:cs="Times New Roman" w:eastAsia="Times New Roman" w:hAnsi="Times New Roman"/>
            <w:sz w:val="18"/>
            <w:szCs w:val="18"/>
            <w:b w:val="1"/>
            <w:bCs w:val="1"/>
            <w:u w:val="single" w:color="auto"/>
            <w:color w:val="0000EE"/>
          </w:rPr>
          <w:t>Table of Contents</w:t>
        </w:r>
      </w:hyperlink>
    </w:p>
    <w:p>
      <w:pPr>
        <w:spacing w:after="0" w:line="305" w:lineRule="exact"/>
        <w:rPr>
          <w:sz w:val="20"/>
          <w:szCs w:val="20"/>
          <w:color w:val="auto"/>
        </w:rPr>
      </w:pPr>
    </w:p>
    <w:p>
      <w:pPr>
        <w:ind w:left="1240" w:right="20" w:hanging="388"/>
        <w:spacing w:after="0" w:line="275" w:lineRule="auto"/>
        <w:tabs>
          <w:tab w:leader="none" w:pos="1240" w:val="left"/>
        </w:tabs>
        <w:numPr>
          <w:ilvl w:val="0"/>
          <w:numId w:val="52"/>
        </w:numPr>
        <w:rPr>
          <w:rFonts w:ascii="Times New Roman" w:cs="Times New Roman" w:eastAsia="Times New Roman" w:hAnsi="Times New Roman"/>
          <w:sz w:val="18"/>
          <w:szCs w:val="18"/>
          <w:color w:val="auto"/>
        </w:rPr>
      </w:pPr>
      <w:r>
        <w:rPr>
          <w:rFonts w:ascii="Arial" w:cs="Arial" w:eastAsia="Arial" w:hAnsi="Arial"/>
          <w:sz w:val="18"/>
          <w:szCs w:val="18"/>
          <w:color w:val="auto"/>
        </w:rPr>
        <w:t>The Compensation Committee also uses tally sheets that provide detailed information, by pay element, and allow for assessment against publicly available data for similar positions at compensation benchmark companies.</w:t>
      </w:r>
    </w:p>
    <w:p>
      <w:pPr>
        <w:spacing w:after="0" w:line="51" w:lineRule="exact"/>
        <w:rPr>
          <w:rFonts w:ascii="Times New Roman" w:cs="Times New Roman" w:eastAsia="Times New Roman" w:hAnsi="Times New Roman"/>
          <w:sz w:val="18"/>
          <w:szCs w:val="18"/>
          <w:color w:val="auto"/>
        </w:rPr>
      </w:pPr>
    </w:p>
    <w:p>
      <w:pPr>
        <w:ind w:left="1240" w:right="260" w:hanging="388"/>
        <w:spacing w:after="0" w:line="277" w:lineRule="auto"/>
        <w:tabs>
          <w:tab w:leader="none" w:pos="1240" w:val="left"/>
        </w:tabs>
        <w:numPr>
          <w:ilvl w:val="0"/>
          <w:numId w:val="52"/>
        </w:numPr>
        <w:rPr>
          <w:rFonts w:ascii="Times New Roman" w:cs="Times New Roman" w:eastAsia="Times New Roman" w:hAnsi="Times New Roman"/>
          <w:sz w:val="17"/>
          <w:szCs w:val="17"/>
          <w:color w:val="auto"/>
        </w:rPr>
      </w:pPr>
      <w:r>
        <w:rPr>
          <w:rFonts w:ascii="Arial" w:cs="Arial" w:eastAsia="Arial" w:hAnsi="Arial"/>
          <w:sz w:val="17"/>
          <w:szCs w:val="17"/>
          <w:color w:val="auto"/>
        </w:rPr>
        <w:t>Whether an executive’s total compensation is near, substantially below, or above the median is a factor the Compensation Committee considers along with relative Company performance against industry peers, individual performance, experience, and level of responsibility when determining individual compensation levels, see below.</w:t>
      </w:r>
    </w:p>
    <w:p>
      <w:pPr>
        <w:spacing w:after="0" w:line="51" w:lineRule="exact"/>
        <w:rPr>
          <w:rFonts w:ascii="Times New Roman" w:cs="Times New Roman" w:eastAsia="Times New Roman" w:hAnsi="Times New Roman"/>
          <w:sz w:val="17"/>
          <w:szCs w:val="17"/>
          <w:color w:val="auto"/>
        </w:rPr>
      </w:pPr>
    </w:p>
    <w:p>
      <w:pPr>
        <w:ind w:left="1240" w:right="720" w:hanging="388"/>
        <w:spacing w:after="0" w:line="275" w:lineRule="auto"/>
        <w:tabs>
          <w:tab w:leader="none" w:pos="1240" w:val="left"/>
        </w:tabs>
        <w:numPr>
          <w:ilvl w:val="0"/>
          <w:numId w:val="52"/>
        </w:numPr>
        <w:rPr>
          <w:rFonts w:ascii="Times New Roman" w:cs="Times New Roman" w:eastAsia="Times New Roman" w:hAnsi="Times New Roman"/>
          <w:sz w:val="18"/>
          <w:szCs w:val="18"/>
          <w:color w:val="auto"/>
        </w:rPr>
      </w:pPr>
      <w:r>
        <w:rPr>
          <w:rFonts w:ascii="Arial" w:cs="Arial" w:eastAsia="Arial" w:hAnsi="Arial"/>
          <w:sz w:val="18"/>
          <w:szCs w:val="18"/>
          <w:color w:val="auto"/>
        </w:rPr>
        <w:t>The Compensation Committee uses an independent consultant to assist in this analysis as discussed in the Corporate Governance section, see page 13.</w:t>
      </w:r>
    </w:p>
    <w:p>
      <w:pPr>
        <w:spacing w:after="0" w:line="144" w:lineRule="exact"/>
        <w:rPr>
          <w:sz w:val="20"/>
          <w:szCs w:val="20"/>
          <w:color w:val="auto"/>
        </w:rPr>
      </w:pPr>
    </w:p>
    <w:p>
      <w:pPr>
        <w:ind w:left="860"/>
        <w:spacing w:after="0"/>
        <w:rPr>
          <w:sz w:val="20"/>
          <w:szCs w:val="20"/>
          <w:color w:val="auto"/>
        </w:rPr>
      </w:pPr>
      <w:r>
        <w:rPr>
          <w:rFonts w:ascii="Arial" w:cs="Arial" w:eastAsia="Arial" w:hAnsi="Arial"/>
          <w:sz w:val="18"/>
          <w:szCs w:val="18"/>
          <w:b w:val="1"/>
          <w:bCs w:val="1"/>
          <w:color w:val="auto"/>
        </w:rPr>
        <w:t>Performance Measurements</w:t>
      </w:r>
    </w:p>
    <w:p>
      <w:pPr>
        <w:spacing w:after="0" w:line="119" w:lineRule="exact"/>
        <w:rPr>
          <w:sz w:val="20"/>
          <w:szCs w:val="20"/>
          <w:color w:val="auto"/>
        </w:rPr>
      </w:pPr>
    </w:p>
    <w:p>
      <w:pPr>
        <w:ind w:left="1240" w:right="120" w:hanging="388"/>
        <w:spacing w:after="0" w:line="275" w:lineRule="auto"/>
        <w:tabs>
          <w:tab w:leader="none" w:pos="1240" w:val="left"/>
        </w:tabs>
        <w:numPr>
          <w:ilvl w:val="0"/>
          <w:numId w:val="53"/>
        </w:numPr>
        <w:rPr>
          <w:rFonts w:ascii="Times New Roman" w:cs="Times New Roman" w:eastAsia="Times New Roman" w:hAnsi="Times New Roman"/>
          <w:sz w:val="18"/>
          <w:szCs w:val="18"/>
          <w:color w:val="auto"/>
        </w:rPr>
      </w:pPr>
      <w:r>
        <w:rPr>
          <w:rFonts w:ascii="Arial" w:cs="Arial" w:eastAsia="Arial" w:hAnsi="Arial"/>
          <w:sz w:val="18"/>
          <w:szCs w:val="18"/>
          <w:color w:val="auto"/>
        </w:rPr>
        <w:t>The Compensation Committee assesses the CEO’s performance and documents the basis on which compensation decisions are made.</w:t>
      </w:r>
    </w:p>
    <w:p>
      <w:pPr>
        <w:spacing w:after="0" w:line="51" w:lineRule="exact"/>
        <w:rPr>
          <w:rFonts w:ascii="Times New Roman" w:cs="Times New Roman" w:eastAsia="Times New Roman" w:hAnsi="Times New Roman"/>
          <w:sz w:val="18"/>
          <w:szCs w:val="18"/>
          <w:color w:val="auto"/>
        </w:rPr>
      </w:pPr>
    </w:p>
    <w:p>
      <w:pPr>
        <w:ind w:left="1240" w:right="140" w:hanging="388"/>
        <w:spacing w:after="0" w:line="248" w:lineRule="auto"/>
        <w:tabs>
          <w:tab w:leader="none" w:pos="1240" w:val="left"/>
        </w:tabs>
        <w:numPr>
          <w:ilvl w:val="0"/>
          <w:numId w:val="53"/>
        </w:numPr>
        <w:rPr>
          <w:rFonts w:ascii="Times New Roman" w:cs="Times New Roman" w:eastAsia="Times New Roman" w:hAnsi="Times New Roman"/>
          <w:sz w:val="18"/>
          <w:szCs w:val="18"/>
          <w:color w:val="auto"/>
        </w:rPr>
      </w:pPr>
      <w:r>
        <w:rPr>
          <w:rFonts w:ascii="Arial" w:cs="Arial" w:eastAsia="Arial" w:hAnsi="Arial"/>
          <w:sz w:val="18"/>
          <w:szCs w:val="18"/>
          <w:color w:val="auto"/>
        </w:rPr>
        <w:t>Similarly, the CEO reviews the performance of all other senior executives with the Board of Directors during the annual executive development review in October of each year. In addition to this formal annual assessment, the Board also assesses the performance of all senior executives throughout the year during specific business reviews and Board Committee meetings.</w:t>
      </w:r>
    </w:p>
    <w:p>
      <w:pPr>
        <w:spacing w:after="0" w:line="75" w:lineRule="exact"/>
        <w:rPr>
          <w:rFonts w:ascii="Times New Roman" w:cs="Times New Roman" w:eastAsia="Times New Roman" w:hAnsi="Times New Roman"/>
          <w:sz w:val="18"/>
          <w:szCs w:val="18"/>
          <w:color w:val="auto"/>
        </w:rPr>
      </w:pPr>
    </w:p>
    <w:p>
      <w:pPr>
        <w:ind w:left="1240" w:right="80" w:hanging="388"/>
        <w:spacing w:after="0" w:line="245" w:lineRule="auto"/>
        <w:tabs>
          <w:tab w:leader="none" w:pos="1240" w:val="left"/>
        </w:tabs>
        <w:numPr>
          <w:ilvl w:val="0"/>
          <w:numId w:val="53"/>
        </w:numPr>
        <w:rPr>
          <w:rFonts w:ascii="Times New Roman" w:cs="Times New Roman" w:eastAsia="Times New Roman" w:hAnsi="Times New Roman"/>
          <w:sz w:val="18"/>
          <w:szCs w:val="18"/>
          <w:color w:val="auto"/>
        </w:rPr>
      </w:pPr>
      <w:r>
        <w:rPr>
          <w:rFonts w:ascii="Arial" w:cs="Arial" w:eastAsia="Arial" w:hAnsi="Arial"/>
          <w:sz w:val="18"/>
          <w:szCs w:val="18"/>
          <w:color w:val="auto"/>
        </w:rPr>
        <w:t>Industry-leading performance across companies within the oil and gas industry of comparable scale and complexity and over investment lead times of the business (10 years) is required in pre-established performance metrics to achieve a top category performance share award, see pages 29, 30, 34, and 35. While the performance metrics are not assigned a specific weight, safety performance and return on average capital employed (ROCE) are given the highest priority.</w:t>
      </w:r>
    </w:p>
    <w:p>
      <w:pPr>
        <w:spacing w:after="0" w:line="77" w:lineRule="exact"/>
        <w:rPr>
          <w:rFonts w:ascii="Times New Roman" w:cs="Times New Roman" w:eastAsia="Times New Roman" w:hAnsi="Times New Roman"/>
          <w:sz w:val="18"/>
          <w:szCs w:val="18"/>
          <w:color w:val="auto"/>
        </w:rPr>
      </w:pPr>
    </w:p>
    <w:p>
      <w:pPr>
        <w:ind w:left="1240" w:hanging="388"/>
        <w:spacing w:after="0"/>
        <w:tabs>
          <w:tab w:leader="none" w:pos="1240" w:val="left"/>
        </w:tabs>
        <w:numPr>
          <w:ilvl w:val="0"/>
          <w:numId w:val="53"/>
        </w:numPr>
        <w:rPr>
          <w:rFonts w:ascii="Times New Roman" w:cs="Times New Roman" w:eastAsia="Times New Roman" w:hAnsi="Times New Roman"/>
          <w:sz w:val="18"/>
          <w:szCs w:val="18"/>
          <w:color w:val="auto"/>
        </w:rPr>
      </w:pPr>
      <w:r>
        <w:rPr>
          <w:rFonts w:ascii="Arial" w:cs="Arial" w:eastAsia="Arial" w:hAnsi="Arial"/>
          <w:sz w:val="18"/>
          <w:szCs w:val="18"/>
          <w:color w:val="auto"/>
        </w:rPr>
        <w:t>Outstanding performance in one area will not cancel out poor performance in another.</w:t>
      </w:r>
    </w:p>
    <w:p>
      <w:pPr>
        <w:spacing w:after="0" w:line="129" w:lineRule="exact"/>
        <w:rPr>
          <w:rFonts w:ascii="Times New Roman" w:cs="Times New Roman" w:eastAsia="Times New Roman" w:hAnsi="Times New Roman"/>
          <w:sz w:val="18"/>
          <w:szCs w:val="18"/>
          <w:color w:val="auto"/>
        </w:rPr>
      </w:pPr>
    </w:p>
    <w:p>
      <w:pPr>
        <w:ind w:left="1240" w:right="40" w:hanging="388"/>
        <w:spacing w:after="0" w:line="255" w:lineRule="auto"/>
        <w:tabs>
          <w:tab w:leader="none" w:pos="1240" w:val="left"/>
        </w:tabs>
        <w:numPr>
          <w:ilvl w:val="0"/>
          <w:numId w:val="53"/>
        </w:numPr>
        <w:rPr>
          <w:rFonts w:ascii="Times New Roman" w:cs="Times New Roman" w:eastAsia="Times New Roman" w:hAnsi="Times New Roman"/>
          <w:sz w:val="18"/>
          <w:szCs w:val="18"/>
          <w:color w:val="auto"/>
        </w:rPr>
      </w:pPr>
      <w:r>
        <w:rPr>
          <w:rFonts w:ascii="Arial" w:cs="Arial" w:eastAsia="Arial" w:hAnsi="Arial"/>
          <w:sz w:val="18"/>
          <w:szCs w:val="18"/>
          <w:color w:val="auto"/>
        </w:rPr>
        <w:t>ExxonMobil encourages safety and safety reporting throughout the Company. Applying a measure of safety success at the senior executive level is intended to hold senior leaders accountable for the overall results of the Company’s safety program.</w:t>
      </w:r>
    </w:p>
    <w:p>
      <w:pPr>
        <w:spacing w:after="0" w:line="68" w:lineRule="exact"/>
        <w:rPr>
          <w:rFonts w:ascii="Times New Roman" w:cs="Times New Roman" w:eastAsia="Times New Roman" w:hAnsi="Times New Roman"/>
          <w:sz w:val="18"/>
          <w:szCs w:val="18"/>
          <w:color w:val="auto"/>
        </w:rPr>
      </w:pPr>
    </w:p>
    <w:p>
      <w:pPr>
        <w:ind w:left="1240" w:right="180" w:hanging="388"/>
        <w:spacing w:after="0" w:line="255" w:lineRule="auto"/>
        <w:tabs>
          <w:tab w:leader="none" w:pos="1240" w:val="left"/>
        </w:tabs>
        <w:numPr>
          <w:ilvl w:val="0"/>
          <w:numId w:val="53"/>
        </w:numPr>
        <w:rPr>
          <w:rFonts w:ascii="Times New Roman" w:cs="Times New Roman" w:eastAsia="Times New Roman" w:hAnsi="Times New Roman"/>
          <w:sz w:val="18"/>
          <w:szCs w:val="18"/>
          <w:color w:val="auto"/>
        </w:rPr>
      </w:pPr>
      <w:r>
        <w:rPr>
          <w:rFonts w:ascii="Arial" w:cs="Arial" w:eastAsia="Arial" w:hAnsi="Arial"/>
          <w:sz w:val="18"/>
          <w:szCs w:val="18"/>
          <w:color w:val="auto"/>
        </w:rPr>
        <w:t>Executive Officers are expected to perform at the highest level or they are replaced. If it is determined that another executive would make a stronger contribution than the current officer, a succession plan is implemented and the incumbent is reassigned or separated.</w:t>
      </w:r>
    </w:p>
    <w:p>
      <w:pPr>
        <w:spacing w:after="0" w:line="68" w:lineRule="exact"/>
        <w:rPr>
          <w:rFonts w:ascii="Times New Roman" w:cs="Times New Roman" w:eastAsia="Times New Roman" w:hAnsi="Times New Roman"/>
          <w:sz w:val="18"/>
          <w:szCs w:val="18"/>
          <w:color w:val="auto"/>
        </w:rPr>
      </w:pPr>
    </w:p>
    <w:p>
      <w:pPr>
        <w:ind w:left="1240" w:right="280" w:hanging="388"/>
        <w:spacing w:after="0" w:line="275" w:lineRule="auto"/>
        <w:tabs>
          <w:tab w:leader="none" w:pos="1240" w:val="left"/>
        </w:tabs>
        <w:numPr>
          <w:ilvl w:val="0"/>
          <w:numId w:val="53"/>
        </w:numPr>
        <w:rPr>
          <w:rFonts w:ascii="Times New Roman" w:cs="Times New Roman" w:eastAsia="Times New Roman" w:hAnsi="Times New Roman"/>
          <w:sz w:val="18"/>
          <w:szCs w:val="18"/>
          <w:color w:val="auto"/>
        </w:rPr>
      </w:pPr>
      <w:r>
        <w:rPr>
          <w:rFonts w:ascii="Arial" w:cs="Arial" w:eastAsia="Arial" w:hAnsi="Arial"/>
          <w:sz w:val="18"/>
          <w:szCs w:val="18"/>
          <w:color w:val="auto"/>
        </w:rPr>
        <w:t>The Committee also takes into account leadership in sustaining sound business controls and a strong ethical and corporate governance environment.</w:t>
      </w:r>
    </w:p>
    <w:p>
      <w:pPr>
        <w:spacing w:after="0" w:line="51" w:lineRule="exact"/>
        <w:rPr>
          <w:rFonts w:ascii="Times New Roman" w:cs="Times New Roman" w:eastAsia="Times New Roman" w:hAnsi="Times New Roman"/>
          <w:sz w:val="18"/>
          <w:szCs w:val="18"/>
          <w:color w:val="auto"/>
        </w:rPr>
      </w:pPr>
    </w:p>
    <w:p>
      <w:pPr>
        <w:ind w:left="1600" w:hanging="378"/>
        <w:spacing w:after="0" w:line="255" w:lineRule="auto"/>
        <w:rPr>
          <w:rFonts w:ascii="Times New Roman" w:cs="Times New Roman" w:eastAsia="Times New Roman" w:hAnsi="Times New Roman"/>
          <w:sz w:val="18"/>
          <w:szCs w:val="18"/>
          <w:color w:val="auto"/>
        </w:rPr>
      </w:pPr>
      <w:r>
        <w:rPr>
          <w:rFonts w:ascii="Arial" w:cs="Arial" w:eastAsia="Arial" w:hAnsi="Arial"/>
          <w:sz w:val="18"/>
          <w:szCs w:val="18"/>
          <w:color w:val="auto"/>
        </w:rPr>
        <w:t>– A violation of the Company’s code of business conduct could result in elimination of an officer’s incentive award for the year, as well as termination of employment and/or cancellation of all previously granted awards that have not yet vested.</w:t>
      </w:r>
    </w:p>
    <w:p>
      <w:pPr>
        <w:spacing w:after="0" w:line="69" w:lineRule="exact"/>
        <w:rPr>
          <w:rFonts w:ascii="Times New Roman" w:cs="Times New Roman" w:eastAsia="Times New Roman" w:hAnsi="Times New Roman"/>
          <w:sz w:val="18"/>
          <w:szCs w:val="18"/>
          <w:color w:val="auto"/>
        </w:rPr>
      </w:pPr>
    </w:p>
    <w:p>
      <w:pPr>
        <w:ind w:left="1240" w:right="320" w:hanging="388"/>
        <w:spacing w:after="0" w:line="255" w:lineRule="auto"/>
        <w:tabs>
          <w:tab w:leader="none" w:pos="1240" w:val="left"/>
        </w:tabs>
        <w:numPr>
          <w:ilvl w:val="0"/>
          <w:numId w:val="53"/>
        </w:numPr>
        <w:rPr>
          <w:rFonts w:ascii="Times New Roman" w:cs="Times New Roman" w:eastAsia="Times New Roman" w:hAnsi="Times New Roman"/>
          <w:sz w:val="18"/>
          <w:szCs w:val="18"/>
          <w:color w:val="auto"/>
        </w:rPr>
      </w:pPr>
      <w:r>
        <w:rPr>
          <w:rFonts w:ascii="Arial" w:cs="Arial" w:eastAsia="Arial" w:hAnsi="Arial"/>
          <w:sz w:val="18"/>
          <w:szCs w:val="18"/>
          <w:color w:val="auto"/>
        </w:rPr>
        <w:t>Experience and level of responsibility are also considered in assessing the contributions of individual executives. Career service for Named Executive Officers ranges from 25 to more than 39 years. Their most recent responsibilities are outlined below.</w:t>
      </w:r>
    </w:p>
    <w:p>
      <w:pPr>
        <w:spacing w:after="0" w:line="193" w:lineRule="exact"/>
        <w:rPr>
          <w:sz w:val="20"/>
          <w:szCs w:val="20"/>
          <w:color w:val="auto"/>
        </w:rPr>
      </w:pPr>
    </w:p>
    <w:tbl>
      <w:tblPr>
        <w:tblLayout w:type="fixed"/>
        <w:tblInd w:w="1270" w:type="dxa"/>
        <w:tblCellMar>
          <w:top w:w="0" w:type="dxa"/>
          <w:left w:w="0" w:type="dxa"/>
          <w:bottom w:w="0" w:type="dxa"/>
          <w:right w:w="0" w:type="dxa"/>
        </w:tblCellMar>
      </w:tblPr>
      <w:tr>
        <w:trPr>
          <w:trHeight w:val="242"/>
        </w:trPr>
        <w:tc>
          <w:tcPr>
            <w:tcW w:w="1540" w:type="dxa"/>
            <w:vAlign w:val="bottom"/>
            <w:tcBorders>
              <w:top w:val="single" w:sz="8" w:color="auto"/>
              <w:left w:val="single" w:sz="8" w:color="auto"/>
              <w:bottom w:val="single" w:sz="8" w:color="auto"/>
              <w:right w:val="single" w:sz="8" w:color="auto"/>
            </w:tcBorders>
          </w:tcPr>
          <w:p>
            <w:pPr>
              <w:ind w:left="140"/>
              <w:spacing w:after="0"/>
              <w:rPr>
                <w:sz w:val="20"/>
                <w:szCs w:val="20"/>
                <w:color w:val="auto"/>
              </w:rPr>
            </w:pPr>
            <w:r>
              <w:rPr>
                <w:rFonts w:ascii="Arial" w:cs="Arial" w:eastAsia="Arial" w:hAnsi="Arial"/>
                <w:sz w:val="14"/>
                <w:szCs w:val="14"/>
                <w:b w:val="1"/>
                <w:bCs w:val="1"/>
                <w:color w:val="auto"/>
              </w:rPr>
              <w:t>Name</w:t>
            </w:r>
          </w:p>
        </w:tc>
        <w:tc>
          <w:tcPr>
            <w:tcW w:w="6460" w:type="dxa"/>
            <w:vAlign w:val="bottom"/>
            <w:tcBorders>
              <w:top w:val="single" w:sz="8" w:color="auto"/>
              <w:bottom w:val="single" w:sz="8" w:color="auto"/>
              <w:right w:val="single" w:sz="8" w:color="auto"/>
            </w:tcBorders>
          </w:tcPr>
          <w:p>
            <w:pPr>
              <w:ind w:left="60"/>
              <w:spacing w:after="0"/>
              <w:rPr>
                <w:sz w:val="20"/>
                <w:szCs w:val="20"/>
                <w:color w:val="auto"/>
              </w:rPr>
            </w:pPr>
            <w:r>
              <w:rPr>
                <w:rFonts w:ascii="Arial" w:cs="Arial" w:eastAsia="Arial" w:hAnsi="Arial"/>
                <w:sz w:val="14"/>
                <w:szCs w:val="14"/>
                <w:b w:val="1"/>
                <w:bCs w:val="1"/>
                <w:color w:val="auto"/>
              </w:rPr>
              <w:t>Principal Position</w:t>
            </w:r>
          </w:p>
        </w:tc>
        <w:tc>
          <w:tcPr>
            <w:tcW w:w="1200" w:type="dxa"/>
            <w:vAlign w:val="bottom"/>
          </w:tcPr>
          <w:p>
            <w:pPr>
              <w:spacing w:after="0"/>
              <w:rPr>
                <w:sz w:val="21"/>
                <w:szCs w:val="21"/>
                <w:color w:val="auto"/>
              </w:rPr>
            </w:pPr>
          </w:p>
        </w:tc>
      </w:tr>
      <w:tr>
        <w:trPr>
          <w:trHeight w:val="216"/>
        </w:trPr>
        <w:tc>
          <w:tcPr>
            <w:tcW w:w="1540" w:type="dxa"/>
            <w:vAlign w:val="bottom"/>
            <w:tcBorders>
              <w:left w:val="single" w:sz="8" w:color="auto"/>
              <w:right w:val="single" w:sz="8" w:color="auto"/>
            </w:tcBorders>
            <w:shd w:val="clear" w:color="auto" w:fill="D4DBEB"/>
          </w:tcPr>
          <w:p>
            <w:pPr>
              <w:ind w:left="140"/>
              <w:spacing w:after="0"/>
              <w:rPr>
                <w:sz w:val="20"/>
                <w:szCs w:val="20"/>
                <w:color w:val="auto"/>
              </w:rPr>
            </w:pPr>
            <w:r>
              <w:rPr>
                <w:rFonts w:ascii="Arial" w:cs="Arial" w:eastAsia="Arial" w:hAnsi="Arial"/>
                <w:sz w:val="14"/>
                <w:szCs w:val="14"/>
                <w:color w:val="auto"/>
              </w:rPr>
              <w:t>D.W. Woods</w:t>
            </w:r>
          </w:p>
        </w:tc>
        <w:tc>
          <w:tcPr>
            <w:tcW w:w="6460" w:type="dxa"/>
            <w:vAlign w:val="bottom"/>
            <w:tcBorders>
              <w:right w:val="single" w:sz="8" w:color="auto"/>
            </w:tcBorders>
            <w:shd w:val="clear" w:color="auto" w:fill="D4DBEB"/>
          </w:tcPr>
          <w:p>
            <w:pPr>
              <w:ind w:left="60"/>
              <w:spacing w:after="0"/>
              <w:rPr>
                <w:sz w:val="20"/>
                <w:szCs w:val="20"/>
                <w:color w:val="auto"/>
              </w:rPr>
            </w:pPr>
            <w:r>
              <w:rPr>
                <w:rFonts w:ascii="Arial" w:cs="Arial" w:eastAsia="Arial" w:hAnsi="Arial"/>
                <w:sz w:val="14"/>
                <w:szCs w:val="14"/>
                <w:color w:val="auto"/>
              </w:rPr>
              <w:t>–   Chairman of the Board and CEO since January 1, 2017</w:t>
            </w:r>
          </w:p>
        </w:tc>
        <w:tc>
          <w:tcPr>
            <w:tcW w:w="1200" w:type="dxa"/>
            <w:vAlign w:val="bottom"/>
          </w:tcPr>
          <w:p>
            <w:pPr>
              <w:spacing w:after="0"/>
              <w:rPr>
                <w:sz w:val="18"/>
                <w:szCs w:val="18"/>
                <w:color w:val="auto"/>
              </w:rPr>
            </w:pPr>
          </w:p>
        </w:tc>
      </w:tr>
      <w:tr>
        <w:trPr>
          <w:trHeight w:val="203"/>
        </w:trPr>
        <w:tc>
          <w:tcPr>
            <w:tcW w:w="1540" w:type="dxa"/>
            <w:vAlign w:val="bottom"/>
            <w:tcBorders>
              <w:left w:val="single" w:sz="8" w:color="auto"/>
              <w:right w:val="single" w:sz="8" w:color="auto"/>
            </w:tcBorders>
            <w:shd w:val="clear" w:color="auto" w:fill="D4DBEB"/>
          </w:tcPr>
          <w:p>
            <w:pPr>
              <w:spacing w:after="0"/>
              <w:rPr>
                <w:sz w:val="17"/>
                <w:szCs w:val="17"/>
                <w:color w:val="auto"/>
              </w:rPr>
            </w:pPr>
          </w:p>
        </w:tc>
        <w:tc>
          <w:tcPr>
            <w:tcW w:w="6460" w:type="dxa"/>
            <w:vAlign w:val="bottom"/>
            <w:tcBorders>
              <w:right w:val="single" w:sz="8" w:color="auto"/>
            </w:tcBorders>
            <w:shd w:val="clear" w:color="auto" w:fill="D4DBEB"/>
          </w:tcPr>
          <w:p>
            <w:pPr>
              <w:ind w:left="60"/>
              <w:spacing w:after="0"/>
              <w:rPr>
                <w:sz w:val="20"/>
                <w:szCs w:val="20"/>
                <w:color w:val="auto"/>
              </w:rPr>
            </w:pPr>
            <w:r>
              <w:rPr>
                <w:rFonts w:ascii="Arial" w:cs="Arial" w:eastAsia="Arial" w:hAnsi="Arial"/>
                <w:sz w:val="14"/>
                <w:szCs w:val="14"/>
                <w:color w:val="auto"/>
              </w:rPr>
              <w:t>–   President and member of the Board since January 1, 2016</w:t>
            </w:r>
          </w:p>
        </w:tc>
        <w:tc>
          <w:tcPr>
            <w:tcW w:w="1200" w:type="dxa"/>
            <w:vAlign w:val="bottom"/>
          </w:tcPr>
          <w:p>
            <w:pPr>
              <w:spacing w:after="0"/>
              <w:rPr>
                <w:sz w:val="17"/>
                <w:szCs w:val="17"/>
                <w:color w:val="auto"/>
              </w:rPr>
            </w:pPr>
          </w:p>
        </w:tc>
      </w:tr>
      <w:tr>
        <w:trPr>
          <w:trHeight w:val="203"/>
        </w:trPr>
        <w:tc>
          <w:tcPr>
            <w:tcW w:w="1540" w:type="dxa"/>
            <w:vAlign w:val="bottom"/>
            <w:tcBorders>
              <w:left w:val="single" w:sz="8" w:color="auto"/>
              <w:right w:val="single" w:sz="8" w:color="auto"/>
            </w:tcBorders>
            <w:shd w:val="clear" w:color="auto" w:fill="D4DBEB"/>
          </w:tcPr>
          <w:p>
            <w:pPr>
              <w:spacing w:after="0"/>
              <w:rPr>
                <w:sz w:val="17"/>
                <w:szCs w:val="17"/>
                <w:color w:val="auto"/>
              </w:rPr>
            </w:pPr>
          </w:p>
        </w:tc>
        <w:tc>
          <w:tcPr>
            <w:tcW w:w="6460" w:type="dxa"/>
            <w:vAlign w:val="bottom"/>
            <w:tcBorders>
              <w:right w:val="single" w:sz="8" w:color="auto"/>
            </w:tcBorders>
            <w:shd w:val="clear" w:color="auto" w:fill="D4DBEB"/>
          </w:tcPr>
          <w:p>
            <w:pPr>
              <w:ind w:left="60"/>
              <w:spacing w:after="0"/>
              <w:rPr>
                <w:sz w:val="20"/>
                <w:szCs w:val="20"/>
                <w:color w:val="auto"/>
              </w:rPr>
            </w:pPr>
            <w:r>
              <w:rPr>
                <w:rFonts w:ascii="Arial" w:cs="Arial" w:eastAsia="Arial" w:hAnsi="Arial"/>
                <w:sz w:val="14"/>
                <w:szCs w:val="14"/>
                <w:color w:val="auto"/>
              </w:rPr>
              <w:t>–   Senior Vice President in 2014 and 2015</w:t>
            </w:r>
          </w:p>
        </w:tc>
        <w:tc>
          <w:tcPr>
            <w:tcW w:w="1200" w:type="dxa"/>
            <w:vAlign w:val="bottom"/>
          </w:tcPr>
          <w:p>
            <w:pPr>
              <w:spacing w:after="0"/>
              <w:rPr>
                <w:sz w:val="17"/>
                <w:szCs w:val="17"/>
                <w:color w:val="auto"/>
              </w:rPr>
            </w:pPr>
          </w:p>
        </w:tc>
      </w:tr>
      <w:tr>
        <w:trPr>
          <w:trHeight w:val="218"/>
        </w:trPr>
        <w:tc>
          <w:tcPr>
            <w:tcW w:w="1540" w:type="dxa"/>
            <w:vAlign w:val="bottom"/>
            <w:tcBorders>
              <w:left w:val="single" w:sz="8" w:color="auto"/>
              <w:bottom w:val="single" w:sz="8" w:color="D4DBEB"/>
              <w:right w:val="single" w:sz="8" w:color="auto"/>
            </w:tcBorders>
            <w:shd w:val="clear" w:color="auto" w:fill="D4DBEB"/>
          </w:tcPr>
          <w:p>
            <w:pPr>
              <w:spacing w:after="0"/>
              <w:rPr>
                <w:sz w:val="18"/>
                <w:szCs w:val="18"/>
                <w:color w:val="auto"/>
              </w:rPr>
            </w:pPr>
          </w:p>
        </w:tc>
        <w:tc>
          <w:tcPr>
            <w:tcW w:w="6460" w:type="dxa"/>
            <w:vAlign w:val="bottom"/>
            <w:tcBorders>
              <w:bottom w:val="single" w:sz="8" w:color="D4DBEB"/>
              <w:right w:val="single" w:sz="8" w:color="auto"/>
            </w:tcBorders>
            <w:shd w:val="clear" w:color="auto" w:fill="D4DBEB"/>
          </w:tcPr>
          <w:p>
            <w:pPr>
              <w:ind w:left="60"/>
              <w:spacing w:after="0"/>
              <w:rPr>
                <w:sz w:val="20"/>
                <w:szCs w:val="20"/>
                <w:color w:val="auto"/>
              </w:rPr>
            </w:pPr>
            <w:r>
              <w:rPr>
                <w:rFonts w:ascii="Arial" w:cs="Arial" w:eastAsia="Arial" w:hAnsi="Arial"/>
                <w:sz w:val="14"/>
                <w:szCs w:val="14"/>
                <w:color w:val="auto"/>
              </w:rPr>
              <w:t>–   More information regarding his career history is on page 20</w:t>
            </w:r>
          </w:p>
        </w:tc>
        <w:tc>
          <w:tcPr>
            <w:tcW w:w="1200" w:type="dxa"/>
            <w:vAlign w:val="bottom"/>
          </w:tcPr>
          <w:p>
            <w:pPr>
              <w:spacing w:after="0"/>
              <w:rPr>
                <w:sz w:val="18"/>
                <w:szCs w:val="18"/>
                <w:color w:val="auto"/>
              </w:rPr>
            </w:pPr>
          </w:p>
        </w:tc>
      </w:tr>
      <w:tr>
        <w:trPr>
          <w:trHeight w:val="222"/>
        </w:trPr>
        <w:tc>
          <w:tcPr>
            <w:tcW w:w="1540" w:type="dxa"/>
            <w:vAlign w:val="bottom"/>
            <w:tcBorders>
              <w:left w:val="single" w:sz="8" w:color="auto"/>
              <w:right w:val="single" w:sz="8" w:color="auto"/>
            </w:tcBorders>
          </w:tcPr>
          <w:p>
            <w:pPr>
              <w:ind w:left="140"/>
              <w:spacing w:after="0"/>
              <w:rPr>
                <w:sz w:val="20"/>
                <w:szCs w:val="20"/>
                <w:color w:val="auto"/>
              </w:rPr>
            </w:pPr>
            <w:r>
              <w:rPr>
                <w:rFonts w:ascii="Arial" w:cs="Arial" w:eastAsia="Arial" w:hAnsi="Arial"/>
                <w:sz w:val="14"/>
                <w:szCs w:val="14"/>
                <w:color w:val="auto"/>
              </w:rPr>
              <w:t>A.P. Swiger</w:t>
            </w:r>
          </w:p>
        </w:tc>
        <w:tc>
          <w:tcPr>
            <w:tcW w:w="6460" w:type="dxa"/>
            <w:vAlign w:val="bottom"/>
            <w:tcBorders>
              <w:right w:val="single" w:sz="8" w:color="auto"/>
            </w:tcBorders>
          </w:tcPr>
          <w:p>
            <w:pPr>
              <w:ind w:left="60"/>
              <w:spacing w:after="0"/>
              <w:rPr>
                <w:sz w:val="20"/>
                <w:szCs w:val="20"/>
                <w:color w:val="auto"/>
              </w:rPr>
            </w:pPr>
            <w:r>
              <w:rPr>
                <w:rFonts w:ascii="Arial" w:cs="Arial" w:eastAsia="Arial" w:hAnsi="Arial"/>
                <w:sz w:val="14"/>
                <w:szCs w:val="14"/>
                <w:color w:val="auto"/>
              </w:rPr>
              <w:t>–   Principal Financial Officer (PFO) since 2013</w:t>
            </w:r>
          </w:p>
        </w:tc>
        <w:tc>
          <w:tcPr>
            <w:tcW w:w="1200" w:type="dxa"/>
            <w:vAlign w:val="bottom"/>
          </w:tcPr>
          <w:p>
            <w:pPr>
              <w:spacing w:after="0"/>
              <w:rPr>
                <w:sz w:val="19"/>
                <w:szCs w:val="19"/>
                <w:color w:val="auto"/>
              </w:rPr>
            </w:pPr>
          </w:p>
        </w:tc>
      </w:tr>
      <w:tr>
        <w:trPr>
          <w:trHeight w:val="203"/>
        </w:trPr>
        <w:tc>
          <w:tcPr>
            <w:tcW w:w="1540" w:type="dxa"/>
            <w:vAlign w:val="bottom"/>
            <w:tcBorders>
              <w:left w:val="single" w:sz="8" w:color="auto"/>
              <w:right w:val="single" w:sz="8" w:color="auto"/>
            </w:tcBorders>
          </w:tcPr>
          <w:p>
            <w:pPr>
              <w:spacing w:after="0"/>
              <w:rPr>
                <w:sz w:val="17"/>
                <w:szCs w:val="17"/>
                <w:color w:val="auto"/>
              </w:rPr>
            </w:pPr>
          </w:p>
        </w:tc>
        <w:tc>
          <w:tcPr>
            <w:tcW w:w="6460" w:type="dxa"/>
            <w:vAlign w:val="bottom"/>
            <w:tcBorders>
              <w:right w:val="single" w:sz="8" w:color="auto"/>
            </w:tcBorders>
          </w:tcPr>
          <w:p>
            <w:pPr>
              <w:ind w:left="60"/>
              <w:spacing w:after="0"/>
              <w:rPr>
                <w:sz w:val="20"/>
                <w:szCs w:val="20"/>
                <w:color w:val="auto"/>
              </w:rPr>
            </w:pPr>
            <w:r>
              <w:rPr>
                <w:rFonts w:ascii="Arial" w:cs="Arial" w:eastAsia="Arial" w:hAnsi="Arial"/>
                <w:sz w:val="14"/>
                <w:szCs w:val="14"/>
                <w:color w:val="auto"/>
              </w:rPr>
              <w:t>–   Senior Vice President since 2009</w:t>
            </w:r>
          </w:p>
        </w:tc>
        <w:tc>
          <w:tcPr>
            <w:tcW w:w="1200" w:type="dxa"/>
            <w:vAlign w:val="bottom"/>
          </w:tcPr>
          <w:p>
            <w:pPr>
              <w:spacing w:after="0"/>
              <w:rPr>
                <w:sz w:val="17"/>
                <w:szCs w:val="17"/>
                <w:color w:val="auto"/>
              </w:rPr>
            </w:pPr>
          </w:p>
        </w:tc>
      </w:tr>
      <w:tr>
        <w:trPr>
          <w:trHeight w:val="35"/>
        </w:trPr>
        <w:tc>
          <w:tcPr>
            <w:tcW w:w="1540" w:type="dxa"/>
            <w:vAlign w:val="bottom"/>
            <w:tcBorders>
              <w:left w:val="single" w:sz="8" w:color="auto"/>
              <w:right w:val="single" w:sz="8" w:color="auto"/>
            </w:tcBorders>
          </w:tcPr>
          <w:p>
            <w:pPr>
              <w:spacing w:after="0"/>
              <w:rPr>
                <w:sz w:val="3"/>
                <w:szCs w:val="3"/>
                <w:color w:val="auto"/>
              </w:rPr>
            </w:pPr>
          </w:p>
        </w:tc>
        <w:tc>
          <w:tcPr>
            <w:tcW w:w="6460" w:type="dxa"/>
            <w:vAlign w:val="bottom"/>
            <w:tcBorders>
              <w:right w:val="single" w:sz="8" w:color="auto"/>
            </w:tcBorders>
          </w:tcPr>
          <w:p>
            <w:pPr>
              <w:spacing w:after="0"/>
              <w:rPr>
                <w:sz w:val="3"/>
                <w:szCs w:val="3"/>
                <w:color w:val="auto"/>
              </w:rPr>
            </w:pPr>
          </w:p>
        </w:tc>
        <w:tc>
          <w:tcPr>
            <w:tcW w:w="1200" w:type="dxa"/>
            <w:vAlign w:val="bottom"/>
          </w:tcPr>
          <w:p>
            <w:pPr>
              <w:spacing w:after="0"/>
              <w:rPr>
                <w:sz w:val="3"/>
                <w:szCs w:val="3"/>
                <w:color w:val="auto"/>
              </w:rPr>
            </w:pPr>
          </w:p>
        </w:tc>
      </w:tr>
      <w:tr>
        <w:trPr>
          <w:trHeight w:val="216"/>
        </w:trPr>
        <w:tc>
          <w:tcPr>
            <w:tcW w:w="1540" w:type="dxa"/>
            <w:vAlign w:val="bottom"/>
            <w:tcBorders>
              <w:left w:val="single" w:sz="8" w:color="auto"/>
              <w:right w:val="single" w:sz="8" w:color="auto"/>
            </w:tcBorders>
            <w:shd w:val="clear" w:color="auto" w:fill="D4DBEB"/>
          </w:tcPr>
          <w:p>
            <w:pPr>
              <w:ind w:left="140"/>
              <w:spacing w:after="0"/>
              <w:rPr>
                <w:sz w:val="20"/>
                <w:szCs w:val="20"/>
                <w:color w:val="auto"/>
              </w:rPr>
            </w:pPr>
            <w:r>
              <w:rPr>
                <w:rFonts w:ascii="Arial" w:cs="Arial" w:eastAsia="Arial" w:hAnsi="Arial"/>
                <w:sz w:val="14"/>
                <w:szCs w:val="14"/>
                <w:color w:val="auto"/>
              </w:rPr>
              <w:t>M.W. Albers</w:t>
            </w:r>
          </w:p>
        </w:tc>
        <w:tc>
          <w:tcPr>
            <w:tcW w:w="6460" w:type="dxa"/>
            <w:vAlign w:val="bottom"/>
            <w:tcBorders>
              <w:right w:val="single" w:sz="8" w:color="auto"/>
            </w:tcBorders>
            <w:shd w:val="clear" w:color="auto" w:fill="D4DBEB"/>
          </w:tcPr>
          <w:p>
            <w:pPr>
              <w:ind w:left="60"/>
              <w:spacing w:after="0"/>
              <w:rPr>
                <w:sz w:val="20"/>
                <w:szCs w:val="20"/>
                <w:color w:val="auto"/>
              </w:rPr>
            </w:pPr>
            <w:r>
              <w:rPr>
                <w:rFonts w:ascii="Arial" w:cs="Arial" w:eastAsia="Arial" w:hAnsi="Arial"/>
                <w:sz w:val="14"/>
                <w:szCs w:val="14"/>
                <w:color w:val="auto"/>
              </w:rPr>
              <w:t>–   Senior Vice President since 2007</w:t>
            </w:r>
          </w:p>
        </w:tc>
        <w:tc>
          <w:tcPr>
            <w:tcW w:w="1200" w:type="dxa"/>
            <w:vAlign w:val="bottom"/>
          </w:tcPr>
          <w:p>
            <w:pPr>
              <w:spacing w:after="0"/>
              <w:rPr>
                <w:sz w:val="18"/>
                <w:szCs w:val="18"/>
                <w:color w:val="auto"/>
              </w:rPr>
            </w:pPr>
          </w:p>
        </w:tc>
      </w:tr>
      <w:tr>
        <w:trPr>
          <w:trHeight w:val="222"/>
        </w:trPr>
        <w:tc>
          <w:tcPr>
            <w:tcW w:w="1540" w:type="dxa"/>
            <w:vAlign w:val="bottom"/>
            <w:tcBorders>
              <w:left w:val="single" w:sz="8" w:color="auto"/>
              <w:right w:val="single" w:sz="8" w:color="auto"/>
            </w:tcBorders>
          </w:tcPr>
          <w:p>
            <w:pPr>
              <w:ind w:left="140"/>
              <w:spacing w:after="0"/>
              <w:rPr>
                <w:sz w:val="20"/>
                <w:szCs w:val="20"/>
                <w:color w:val="auto"/>
              </w:rPr>
            </w:pPr>
            <w:r>
              <w:rPr>
                <w:rFonts w:ascii="Arial" w:cs="Arial" w:eastAsia="Arial" w:hAnsi="Arial"/>
                <w:sz w:val="14"/>
                <w:szCs w:val="14"/>
                <w:color w:val="auto"/>
              </w:rPr>
              <w:t>M.J. Dolan</w:t>
            </w:r>
          </w:p>
        </w:tc>
        <w:tc>
          <w:tcPr>
            <w:tcW w:w="6460" w:type="dxa"/>
            <w:vAlign w:val="bottom"/>
            <w:tcBorders>
              <w:right w:val="single" w:sz="8" w:color="auto"/>
            </w:tcBorders>
          </w:tcPr>
          <w:p>
            <w:pPr>
              <w:ind w:left="60"/>
              <w:spacing w:after="0"/>
              <w:rPr>
                <w:sz w:val="20"/>
                <w:szCs w:val="20"/>
                <w:color w:val="auto"/>
              </w:rPr>
            </w:pPr>
            <w:r>
              <w:rPr>
                <w:rFonts w:ascii="Arial" w:cs="Arial" w:eastAsia="Arial" w:hAnsi="Arial"/>
                <w:sz w:val="14"/>
                <w:szCs w:val="14"/>
                <w:color w:val="auto"/>
              </w:rPr>
              <w:t>–   Senior Vice President since 2008</w:t>
            </w:r>
          </w:p>
        </w:tc>
        <w:tc>
          <w:tcPr>
            <w:tcW w:w="1200" w:type="dxa"/>
            <w:vAlign w:val="bottom"/>
          </w:tcPr>
          <w:p>
            <w:pPr>
              <w:spacing w:after="0"/>
              <w:rPr>
                <w:sz w:val="19"/>
                <w:szCs w:val="19"/>
                <w:color w:val="auto"/>
              </w:rPr>
            </w:pPr>
          </w:p>
        </w:tc>
      </w:tr>
      <w:tr>
        <w:trPr>
          <w:trHeight w:val="35"/>
        </w:trPr>
        <w:tc>
          <w:tcPr>
            <w:tcW w:w="1540" w:type="dxa"/>
            <w:vAlign w:val="bottom"/>
            <w:tcBorders>
              <w:left w:val="single" w:sz="8" w:color="auto"/>
              <w:right w:val="single" w:sz="8" w:color="auto"/>
            </w:tcBorders>
          </w:tcPr>
          <w:p>
            <w:pPr>
              <w:spacing w:after="0"/>
              <w:rPr>
                <w:sz w:val="3"/>
                <w:szCs w:val="3"/>
                <w:color w:val="auto"/>
              </w:rPr>
            </w:pPr>
          </w:p>
        </w:tc>
        <w:tc>
          <w:tcPr>
            <w:tcW w:w="6460" w:type="dxa"/>
            <w:vAlign w:val="bottom"/>
            <w:tcBorders>
              <w:right w:val="single" w:sz="8" w:color="auto"/>
            </w:tcBorders>
          </w:tcPr>
          <w:p>
            <w:pPr>
              <w:spacing w:after="0"/>
              <w:rPr>
                <w:sz w:val="3"/>
                <w:szCs w:val="3"/>
                <w:color w:val="auto"/>
              </w:rPr>
            </w:pPr>
          </w:p>
        </w:tc>
        <w:tc>
          <w:tcPr>
            <w:tcW w:w="1200" w:type="dxa"/>
            <w:vAlign w:val="bottom"/>
          </w:tcPr>
          <w:p>
            <w:pPr>
              <w:spacing w:after="0"/>
              <w:rPr>
                <w:sz w:val="3"/>
                <w:szCs w:val="3"/>
                <w:color w:val="auto"/>
              </w:rPr>
            </w:pPr>
          </w:p>
        </w:tc>
      </w:tr>
      <w:tr>
        <w:trPr>
          <w:trHeight w:val="189"/>
        </w:trPr>
        <w:tc>
          <w:tcPr>
            <w:tcW w:w="1540" w:type="dxa"/>
            <w:vAlign w:val="bottom"/>
            <w:tcBorders>
              <w:left w:val="single" w:sz="8" w:color="auto"/>
              <w:right w:val="single" w:sz="8" w:color="auto"/>
            </w:tcBorders>
            <w:shd w:val="clear" w:color="auto" w:fill="D4DBEB"/>
          </w:tcPr>
          <w:p>
            <w:pPr>
              <w:ind w:left="140"/>
              <w:spacing w:after="0"/>
              <w:rPr>
                <w:sz w:val="20"/>
                <w:szCs w:val="20"/>
                <w:color w:val="auto"/>
              </w:rPr>
            </w:pPr>
            <w:r>
              <w:rPr>
                <w:rFonts w:ascii="Arial" w:cs="Arial" w:eastAsia="Arial" w:hAnsi="Arial"/>
                <w:sz w:val="14"/>
                <w:szCs w:val="14"/>
                <w:color w:val="auto"/>
              </w:rPr>
              <w:t>N.W. Duffin</w:t>
            </w:r>
          </w:p>
        </w:tc>
        <w:tc>
          <w:tcPr>
            <w:tcW w:w="6460" w:type="dxa"/>
            <w:vAlign w:val="bottom"/>
            <w:tcBorders>
              <w:right w:val="single" w:sz="8" w:color="auto"/>
            </w:tcBorders>
            <w:shd w:val="clear" w:color="auto" w:fill="D4DBEB"/>
          </w:tcPr>
          <w:p>
            <w:pPr>
              <w:ind w:left="60"/>
              <w:spacing w:after="0"/>
              <w:rPr>
                <w:sz w:val="20"/>
                <w:szCs w:val="20"/>
                <w:color w:val="auto"/>
              </w:rPr>
            </w:pPr>
            <w:r>
              <w:rPr>
                <w:rFonts w:ascii="Arial" w:cs="Arial" w:eastAsia="Arial" w:hAnsi="Arial"/>
                <w:sz w:val="14"/>
                <w:szCs w:val="14"/>
                <w:color w:val="auto"/>
              </w:rPr>
              <w:t>–   President of ExxonMobil Production Company and Vice President of Exxon Mobil</w:t>
            </w:r>
          </w:p>
        </w:tc>
        <w:tc>
          <w:tcPr>
            <w:tcW w:w="1200" w:type="dxa"/>
            <w:vAlign w:val="bottom"/>
          </w:tcPr>
          <w:p>
            <w:pPr>
              <w:spacing w:after="0"/>
              <w:rPr>
                <w:sz w:val="16"/>
                <w:szCs w:val="16"/>
                <w:color w:val="auto"/>
              </w:rPr>
            </w:pPr>
          </w:p>
        </w:tc>
      </w:tr>
      <w:tr>
        <w:trPr>
          <w:trHeight w:val="194"/>
        </w:trPr>
        <w:tc>
          <w:tcPr>
            <w:tcW w:w="1540" w:type="dxa"/>
            <w:vAlign w:val="bottom"/>
            <w:tcBorders>
              <w:left w:val="single" w:sz="8" w:color="auto"/>
              <w:right w:val="single" w:sz="8" w:color="auto"/>
            </w:tcBorders>
            <w:shd w:val="clear" w:color="auto" w:fill="D4DBEB"/>
          </w:tcPr>
          <w:p>
            <w:pPr>
              <w:spacing w:after="0"/>
              <w:rPr>
                <w:sz w:val="16"/>
                <w:szCs w:val="16"/>
                <w:color w:val="auto"/>
              </w:rPr>
            </w:pPr>
          </w:p>
        </w:tc>
        <w:tc>
          <w:tcPr>
            <w:tcW w:w="6460" w:type="dxa"/>
            <w:vAlign w:val="bottom"/>
            <w:tcBorders>
              <w:right w:val="single" w:sz="8" w:color="auto"/>
            </w:tcBorders>
            <w:shd w:val="clear" w:color="auto" w:fill="D4DBEB"/>
          </w:tcPr>
          <w:p>
            <w:pPr>
              <w:ind w:left="360"/>
              <w:spacing w:after="0"/>
              <w:rPr>
                <w:sz w:val="20"/>
                <w:szCs w:val="20"/>
                <w:color w:val="auto"/>
              </w:rPr>
            </w:pPr>
            <w:r>
              <w:rPr>
                <w:rFonts w:ascii="Arial" w:cs="Arial" w:eastAsia="Arial" w:hAnsi="Arial"/>
                <w:sz w:val="14"/>
                <w:szCs w:val="14"/>
                <w:color w:val="auto"/>
              </w:rPr>
              <w:t>Corporation since January 1, 2017</w:t>
            </w:r>
          </w:p>
        </w:tc>
        <w:tc>
          <w:tcPr>
            <w:tcW w:w="1200" w:type="dxa"/>
            <w:vAlign w:val="bottom"/>
          </w:tcPr>
          <w:p>
            <w:pPr>
              <w:spacing w:after="0"/>
              <w:rPr>
                <w:sz w:val="16"/>
                <w:szCs w:val="16"/>
                <w:color w:val="auto"/>
              </w:rPr>
            </w:pPr>
          </w:p>
        </w:tc>
      </w:tr>
      <w:tr>
        <w:trPr>
          <w:trHeight w:val="197"/>
        </w:trPr>
        <w:tc>
          <w:tcPr>
            <w:tcW w:w="1540" w:type="dxa"/>
            <w:vAlign w:val="bottom"/>
            <w:tcBorders>
              <w:left w:val="single" w:sz="8" w:color="auto"/>
              <w:bottom w:val="single" w:sz="8" w:color="auto"/>
              <w:right w:val="single" w:sz="8" w:color="auto"/>
            </w:tcBorders>
            <w:shd w:val="clear" w:color="auto" w:fill="D4DBEB"/>
          </w:tcPr>
          <w:p>
            <w:pPr>
              <w:spacing w:after="0"/>
              <w:rPr>
                <w:sz w:val="17"/>
                <w:szCs w:val="17"/>
                <w:color w:val="auto"/>
              </w:rPr>
            </w:pPr>
          </w:p>
        </w:tc>
        <w:tc>
          <w:tcPr>
            <w:tcW w:w="6460" w:type="dxa"/>
            <w:vAlign w:val="bottom"/>
            <w:tcBorders>
              <w:bottom w:val="single" w:sz="8" w:color="auto"/>
              <w:right w:val="single" w:sz="8" w:color="auto"/>
            </w:tcBorders>
            <w:shd w:val="clear" w:color="auto" w:fill="D4DBEB"/>
          </w:tcPr>
          <w:p>
            <w:pPr>
              <w:ind w:left="60"/>
              <w:spacing w:after="0"/>
              <w:rPr>
                <w:sz w:val="20"/>
                <w:szCs w:val="20"/>
                <w:color w:val="auto"/>
              </w:rPr>
            </w:pPr>
            <w:r>
              <w:rPr>
                <w:rFonts w:ascii="Arial" w:cs="Arial" w:eastAsia="Arial" w:hAnsi="Arial"/>
                <w:sz w:val="14"/>
                <w:szCs w:val="14"/>
                <w:color w:val="auto"/>
              </w:rPr>
              <w:t>–   President of ExxonMobil Development Company from 2007 through 2016</w:t>
            </w:r>
          </w:p>
        </w:tc>
        <w:tc>
          <w:tcPr>
            <w:tcW w:w="1200" w:type="dxa"/>
            <w:vAlign w:val="bottom"/>
          </w:tcPr>
          <w:p>
            <w:pPr>
              <w:spacing w:after="0"/>
              <w:rPr>
                <w:sz w:val="17"/>
                <w:szCs w:val="17"/>
                <w:color w:val="auto"/>
              </w:rPr>
            </w:pPr>
          </w:p>
        </w:tc>
      </w:tr>
      <w:tr>
        <w:trPr>
          <w:trHeight w:val="362"/>
        </w:trPr>
        <w:tc>
          <w:tcPr>
            <w:tcW w:w="1540" w:type="dxa"/>
            <w:vAlign w:val="bottom"/>
          </w:tcPr>
          <w:p>
            <w:pPr>
              <w:spacing w:after="0"/>
              <w:rPr>
                <w:sz w:val="24"/>
                <w:szCs w:val="24"/>
                <w:color w:val="auto"/>
              </w:rPr>
            </w:pPr>
          </w:p>
        </w:tc>
        <w:tc>
          <w:tcPr>
            <w:tcW w:w="6460" w:type="dxa"/>
            <w:vAlign w:val="bottom"/>
          </w:tcPr>
          <w:p>
            <w:pPr>
              <w:ind w:left="4160"/>
              <w:spacing w:after="0"/>
              <w:rPr>
                <w:sz w:val="20"/>
                <w:szCs w:val="20"/>
                <w:color w:val="auto"/>
              </w:rPr>
            </w:pPr>
            <w:r>
              <w:rPr>
                <w:rFonts w:ascii="Times New Roman" w:cs="Times New Roman" w:eastAsia="Times New Roman" w:hAnsi="Times New Roman"/>
                <w:sz w:val="18"/>
                <w:szCs w:val="18"/>
                <w:i w:val="1"/>
                <w:iCs w:val="1"/>
                <w:color w:val="auto"/>
              </w:rPr>
              <w:t>2018 Proxy Statement</w:t>
            </w:r>
          </w:p>
        </w:tc>
        <w:tc>
          <w:tcPr>
            <w:tcW w:w="1200" w:type="dxa"/>
            <w:vAlign w:val="bottom"/>
          </w:tcPr>
          <w:p>
            <w:pPr>
              <w:jc w:val="right"/>
              <w:spacing w:after="0"/>
              <w:rPr>
                <w:sz w:val="20"/>
                <w:szCs w:val="20"/>
                <w:color w:val="auto"/>
              </w:rPr>
            </w:pPr>
            <w:r>
              <w:rPr>
                <w:rFonts w:ascii="Arial" w:cs="Arial" w:eastAsia="Arial" w:hAnsi="Arial"/>
                <w:sz w:val="18"/>
                <w:szCs w:val="18"/>
                <w:color w:val="auto"/>
              </w:rPr>
              <w:t>41</w:t>
            </w:r>
          </w:p>
        </w:tc>
      </w:tr>
    </w:tbl>
    <w:p>
      <w:pPr>
        <w:sectPr>
          <w:pgSz w:w="11900" w:h="16838" w:orient="portrait"/>
          <w:cols w:equalWidth="0" w:num="1">
            <w:col w:w="10500"/>
          </w:cols>
          <w:pgMar w:left="240" w:top="455" w:right="1159" w:bottom="1440" w:gutter="0" w:footer="0" w:header="0"/>
        </w:sectPr>
      </w:pPr>
    </w:p>
    <w:bookmarkStart w:id="44" w:name="page45"/>
    <w:bookmarkEnd w:id="44"/>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99">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Times New Roman" w:cs="Times New Roman" w:eastAsia="Times New Roman" w:hAnsi="Times New Roman"/>
            <w:sz w:val="18"/>
            <w:szCs w:val="18"/>
            <w:b w:val="1"/>
            <w:bCs w:val="1"/>
            <w:u w:val="single" w:color="auto"/>
            <w:color w:val="0000EE"/>
          </w:rPr>
          <w:t>Table of Contents</w:t>
        </w:r>
      </w:hyperlink>
    </w:p>
    <w:p>
      <w:pPr>
        <w:spacing w:after="0" w:line="303" w:lineRule="exact"/>
        <w:rPr>
          <w:sz w:val="20"/>
          <w:szCs w:val="20"/>
          <w:color w:val="auto"/>
        </w:rPr>
      </w:pPr>
    </w:p>
    <w:p>
      <w:pPr>
        <w:ind w:left="860"/>
        <w:spacing w:after="0"/>
        <w:rPr>
          <w:sz w:val="20"/>
          <w:szCs w:val="20"/>
          <w:color w:val="auto"/>
        </w:rPr>
      </w:pPr>
      <w:r>
        <w:rPr>
          <w:rFonts w:ascii="Arial" w:cs="Arial" w:eastAsia="Arial" w:hAnsi="Arial"/>
          <w:sz w:val="18"/>
          <w:szCs w:val="18"/>
          <w:b w:val="1"/>
          <w:bCs w:val="1"/>
          <w:color w:val="auto"/>
        </w:rPr>
        <w:t>Share Utilization</w:t>
      </w:r>
    </w:p>
    <w:p>
      <w:pPr>
        <w:spacing w:after="0" w:line="119" w:lineRule="exact"/>
        <w:rPr>
          <w:sz w:val="20"/>
          <w:szCs w:val="20"/>
          <w:color w:val="auto"/>
        </w:rPr>
      </w:pPr>
    </w:p>
    <w:p>
      <w:pPr>
        <w:ind w:left="1240" w:right="60" w:hanging="388"/>
        <w:spacing w:after="0" w:line="248" w:lineRule="auto"/>
        <w:tabs>
          <w:tab w:leader="none" w:pos="1240" w:val="left"/>
        </w:tabs>
        <w:numPr>
          <w:ilvl w:val="0"/>
          <w:numId w:val="54"/>
        </w:numPr>
        <w:rPr>
          <w:rFonts w:ascii="Times New Roman" w:cs="Times New Roman" w:eastAsia="Times New Roman" w:hAnsi="Times New Roman"/>
          <w:sz w:val="18"/>
          <w:szCs w:val="18"/>
          <w:color w:val="auto"/>
        </w:rPr>
      </w:pPr>
      <w:r>
        <w:rPr>
          <w:rFonts w:ascii="Arial" w:cs="Arial" w:eastAsia="Arial" w:hAnsi="Arial"/>
          <w:sz w:val="18"/>
          <w:szCs w:val="18"/>
          <w:color w:val="auto"/>
        </w:rPr>
        <w:t>Each year, the Compensation Committee establishes a ceiling for performance share awards. The overall number of shares underlying awards granted in 2017 represents dilution of 0.2 percent. This dilution is about 70 percent below the average of the companies benchmarked for compensation based on historical grant patterns. The effect is a lower relative impact on earnings per share at time of grant versus the compensation benchmark companies.</w:t>
      </w:r>
    </w:p>
    <w:p>
      <w:pPr>
        <w:spacing w:after="0" w:line="75" w:lineRule="exact"/>
        <w:rPr>
          <w:rFonts w:ascii="Times New Roman" w:cs="Times New Roman" w:eastAsia="Times New Roman" w:hAnsi="Times New Roman"/>
          <w:sz w:val="18"/>
          <w:szCs w:val="18"/>
          <w:color w:val="auto"/>
        </w:rPr>
      </w:pPr>
    </w:p>
    <w:p>
      <w:pPr>
        <w:jc w:val="both"/>
        <w:ind w:left="1240" w:right="480" w:hanging="388"/>
        <w:spacing w:after="0" w:line="255" w:lineRule="auto"/>
        <w:tabs>
          <w:tab w:leader="none" w:pos="1240" w:val="left"/>
        </w:tabs>
        <w:numPr>
          <w:ilvl w:val="0"/>
          <w:numId w:val="54"/>
        </w:numPr>
        <w:rPr>
          <w:rFonts w:ascii="Times New Roman" w:cs="Times New Roman" w:eastAsia="Times New Roman" w:hAnsi="Times New Roman"/>
          <w:sz w:val="18"/>
          <w:szCs w:val="18"/>
          <w:color w:val="auto"/>
        </w:rPr>
      </w:pPr>
      <w:r>
        <w:rPr>
          <w:rFonts w:ascii="Arial" w:cs="Arial" w:eastAsia="Arial" w:hAnsi="Arial"/>
          <w:sz w:val="18"/>
          <w:szCs w:val="18"/>
          <w:color w:val="auto"/>
        </w:rPr>
        <w:t>The Company has a long-established practice of purchasing shares in the open market and through negotiated transactions to offset the dilutive effect of shares or units settled in shares issued under the performance share program.</w:t>
      </w:r>
    </w:p>
    <w:p>
      <w:pPr>
        <w:spacing w:after="0" w:line="161" w:lineRule="exact"/>
        <w:rPr>
          <w:sz w:val="20"/>
          <w:szCs w:val="20"/>
          <w:color w:val="auto"/>
        </w:rPr>
      </w:pPr>
    </w:p>
    <w:p>
      <w:pPr>
        <w:ind w:left="860"/>
        <w:spacing w:after="0"/>
        <w:rPr>
          <w:sz w:val="20"/>
          <w:szCs w:val="20"/>
          <w:color w:val="auto"/>
        </w:rPr>
      </w:pPr>
      <w:r>
        <w:rPr>
          <w:rFonts w:ascii="Arial" w:cs="Arial" w:eastAsia="Arial" w:hAnsi="Arial"/>
          <w:sz w:val="18"/>
          <w:szCs w:val="18"/>
          <w:b w:val="1"/>
          <w:bCs w:val="1"/>
          <w:color w:val="auto"/>
        </w:rPr>
        <w:t>Granting Practices</w:t>
      </w:r>
    </w:p>
    <w:p>
      <w:pPr>
        <w:spacing w:after="0" w:line="119" w:lineRule="exact"/>
        <w:rPr>
          <w:sz w:val="20"/>
          <w:szCs w:val="20"/>
          <w:color w:val="auto"/>
        </w:rPr>
      </w:pPr>
    </w:p>
    <w:p>
      <w:pPr>
        <w:ind w:left="1240" w:right="120" w:hanging="388"/>
        <w:spacing w:after="0" w:line="275" w:lineRule="auto"/>
        <w:tabs>
          <w:tab w:leader="none" w:pos="1240" w:val="left"/>
        </w:tabs>
        <w:numPr>
          <w:ilvl w:val="0"/>
          <w:numId w:val="55"/>
        </w:numPr>
        <w:rPr>
          <w:rFonts w:ascii="Times New Roman" w:cs="Times New Roman" w:eastAsia="Times New Roman" w:hAnsi="Times New Roman"/>
          <w:sz w:val="18"/>
          <w:szCs w:val="18"/>
          <w:color w:val="auto"/>
        </w:rPr>
      </w:pPr>
      <w:r>
        <w:rPr>
          <w:rFonts w:ascii="Arial" w:cs="Arial" w:eastAsia="Arial" w:hAnsi="Arial"/>
          <w:sz w:val="18"/>
          <w:szCs w:val="18"/>
          <w:color w:val="auto"/>
        </w:rPr>
        <w:t>The Compensation Committee grants incentive awards to the Company’s senior executives at its regular November meeting and does not do so by written consent.</w:t>
      </w:r>
    </w:p>
    <w:p>
      <w:pPr>
        <w:spacing w:after="0" w:line="51" w:lineRule="exact"/>
        <w:rPr>
          <w:rFonts w:ascii="Times New Roman" w:cs="Times New Roman" w:eastAsia="Times New Roman" w:hAnsi="Times New Roman"/>
          <w:sz w:val="18"/>
          <w:szCs w:val="18"/>
          <w:color w:val="auto"/>
        </w:rPr>
      </w:pPr>
    </w:p>
    <w:p>
      <w:pPr>
        <w:ind w:left="1240" w:right="40" w:hanging="388"/>
        <w:spacing w:after="0" w:line="248" w:lineRule="auto"/>
        <w:tabs>
          <w:tab w:leader="none" w:pos="1240" w:val="left"/>
        </w:tabs>
        <w:numPr>
          <w:ilvl w:val="0"/>
          <w:numId w:val="55"/>
        </w:numPr>
        <w:rPr>
          <w:rFonts w:ascii="Times New Roman" w:cs="Times New Roman" w:eastAsia="Times New Roman" w:hAnsi="Times New Roman"/>
          <w:sz w:val="18"/>
          <w:szCs w:val="18"/>
          <w:color w:val="auto"/>
        </w:rPr>
      </w:pPr>
      <w:r>
        <w:rPr>
          <w:rFonts w:ascii="Arial" w:cs="Arial" w:eastAsia="Arial" w:hAnsi="Arial"/>
          <w:sz w:val="18"/>
          <w:szCs w:val="18"/>
          <w:color w:val="auto"/>
        </w:rPr>
        <w:t>A committee currently comprised of ExxonMobil’s Chairman and Senior Vice Presidents grants incentive awards to other eligible employees within the parameters of the bonus and performance share award ceilings approved by the Compensation Committee. The schedule of the Compensation Committee determines when this committee meets to make such grants.</w:t>
      </w:r>
    </w:p>
    <w:p>
      <w:pPr>
        <w:spacing w:after="0" w:line="75" w:lineRule="exact"/>
        <w:rPr>
          <w:rFonts w:ascii="Times New Roman" w:cs="Times New Roman" w:eastAsia="Times New Roman" w:hAnsi="Times New Roman"/>
          <w:sz w:val="18"/>
          <w:szCs w:val="18"/>
          <w:color w:val="auto"/>
        </w:rPr>
      </w:pPr>
    </w:p>
    <w:p>
      <w:pPr>
        <w:ind w:left="1240" w:right="300" w:hanging="388"/>
        <w:spacing w:after="0" w:line="275" w:lineRule="auto"/>
        <w:tabs>
          <w:tab w:leader="none" w:pos="1240" w:val="left"/>
        </w:tabs>
        <w:numPr>
          <w:ilvl w:val="0"/>
          <w:numId w:val="55"/>
        </w:numPr>
        <w:rPr>
          <w:rFonts w:ascii="Times New Roman" w:cs="Times New Roman" w:eastAsia="Times New Roman" w:hAnsi="Times New Roman"/>
          <w:sz w:val="18"/>
          <w:szCs w:val="18"/>
          <w:color w:val="auto"/>
        </w:rPr>
      </w:pPr>
      <w:r>
        <w:rPr>
          <w:rFonts w:ascii="Arial" w:cs="Arial" w:eastAsia="Arial" w:hAnsi="Arial"/>
          <w:sz w:val="18"/>
          <w:szCs w:val="18"/>
          <w:color w:val="auto"/>
        </w:rPr>
        <w:t>The Compensation Committee does not award additional grants to offset any decline in value of prior grants. This ensures that the interests of executives are aligned with those of long-term shareholders, see page 39.</w:t>
      </w:r>
    </w:p>
    <w:p>
      <w:pPr>
        <w:spacing w:after="0" w:line="144" w:lineRule="exact"/>
        <w:rPr>
          <w:sz w:val="20"/>
          <w:szCs w:val="20"/>
          <w:color w:val="auto"/>
        </w:rPr>
      </w:pPr>
    </w:p>
    <w:p>
      <w:pPr>
        <w:ind w:left="860"/>
        <w:spacing w:after="0"/>
        <w:rPr>
          <w:sz w:val="20"/>
          <w:szCs w:val="20"/>
          <w:color w:val="auto"/>
        </w:rPr>
      </w:pPr>
      <w:r>
        <w:rPr>
          <w:rFonts w:ascii="Arial" w:cs="Arial" w:eastAsia="Arial" w:hAnsi="Arial"/>
          <w:sz w:val="18"/>
          <w:szCs w:val="18"/>
          <w:b w:val="1"/>
          <w:bCs w:val="1"/>
          <w:color w:val="auto"/>
        </w:rPr>
        <w:t>Stock Ownership</w:t>
      </w:r>
    </w:p>
    <w:p>
      <w:pPr>
        <w:spacing w:after="0" w:line="119" w:lineRule="exact"/>
        <w:rPr>
          <w:sz w:val="20"/>
          <w:szCs w:val="20"/>
          <w:color w:val="auto"/>
        </w:rPr>
      </w:pPr>
    </w:p>
    <w:p>
      <w:pPr>
        <w:ind w:left="1240" w:hanging="388"/>
        <w:spacing w:after="0" w:line="248" w:lineRule="auto"/>
        <w:tabs>
          <w:tab w:leader="none" w:pos="1240" w:val="left"/>
        </w:tabs>
        <w:numPr>
          <w:ilvl w:val="0"/>
          <w:numId w:val="56"/>
        </w:numPr>
        <w:rPr>
          <w:rFonts w:ascii="Times New Roman" w:cs="Times New Roman" w:eastAsia="Times New Roman" w:hAnsi="Times New Roman"/>
          <w:sz w:val="18"/>
          <w:szCs w:val="18"/>
          <w:color w:val="auto"/>
        </w:rPr>
      </w:pPr>
      <w:r>
        <w:rPr>
          <w:rFonts w:ascii="Arial" w:cs="Arial" w:eastAsia="Arial" w:hAnsi="Arial"/>
          <w:sz w:val="18"/>
          <w:szCs w:val="18"/>
          <w:color w:val="auto"/>
        </w:rPr>
        <w:t xml:space="preserve">In order to further align the interests of our senior executives with the interests of long-term shareholders and to ensure they have a significant stake in the sustainable long-term success of the Corporation, it is ExxonMobil’s policy that executives hold significant amounts of performance shares during employment </w:t>
      </w:r>
      <w:r>
        <w:rPr>
          <w:rFonts w:ascii="Arial" w:cs="Arial" w:eastAsia="Arial" w:hAnsi="Arial"/>
          <w:sz w:val="18"/>
          <w:szCs w:val="18"/>
          <w:u w:val="single" w:color="auto"/>
          <w:color w:val="auto"/>
        </w:rPr>
        <w:t>and</w:t>
      </w:r>
      <w:r>
        <w:rPr>
          <w:rFonts w:ascii="Arial" w:cs="Arial" w:eastAsia="Arial" w:hAnsi="Arial"/>
          <w:sz w:val="18"/>
          <w:szCs w:val="18"/>
          <w:color w:val="auto"/>
        </w:rPr>
        <w:t xml:space="preserve"> for many years after retirement.</w:t>
      </w:r>
    </w:p>
    <w:p>
      <w:pPr>
        <w:spacing w:after="0" w:line="75" w:lineRule="exact"/>
        <w:rPr>
          <w:rFonts w:ascii="Times New Roman" w:cs="Times New Roman" w:eastAsia="Times New Roman" w:hAnsi="Times New Roman"/>
          <w:sz w:val="18"/>
          <w:szCs w:val="18"/>
          <w:color w:val="auto"/>
        </w:rPr>
      </w:pPr>
    </w:p>
    <w:p>
      <w:pPr>
        <w:ind w:left="1240" w:right="720" w:hanging="388"/>
        <w:spacing w:after="0" w:line="275" w:lineRule="auto"/>
        <w:tabs>
          <w:tab w:leader="none" w:pos="1240" w:val="left"/>
        </w:tabs>
        <w:numPr>
          <w:ilvl w:val="0"/>
          <w:numId w:val="56"/>
        </w:numPr>
        <w:rPr>
          <w:rFonts w:ascii="Times New Roman" w:cs="Times New Roman" w:eastAsia="Times New Roman" w:hAnsi="Times New Roman"/>
          <w:sz w:val="18"/>
          <w:szCs w:val="18"/>
          <w:color w:val="auto"/>
        </w:rPr>
      </w:pPr>
      <w:r>
        <w:rPr>
          <w:rFonts w:ascii="Arial" w:cs="Arial" w:eastAsia="Arial" w:hAnsi="Arial"/>
          <w:sz w:val="18"/>
          <w:szCs w:val="18"/>
          <w:color w:val="auto"/>
        </w:rPr>
        <w:t>Performance shares cannot be used as collateral for any reason during the period of restriction, even during retirement.</w:t>
      </w:r>
    </w:p>
    <w:p>
      <w:pPr>
        <w:spacing w:after="0" w:line="51" w:lineRule="exact"/>
        <w:rPr>
          <w:rFonts w:ascii="Times New Roman" w:cs="Times New Roman" w:eastAsia="Times New Roman" w:hAnsi="Times New Roman"/>
          <w:sz w:val="18"/>
          <w:szCs w:val="18"/>
          <w:color w:val="auto"/>
        </w:rPr>
      </w:pPr>
    </w:p>
    <w:p>
      <w:pPr>
        <w:ind w:left="1240" w:right="400" w:hanging="388"/>
        <w:spacing w:after="0" w:line="255" w:lineRule="auto"/>
        <w:tabs>
          <w:tab w:leader="none" w:pos="1240" w:val="left"/>
        </w:tabs>
        <w:numPr>
          <w:ilvl w:val="0"/>
          <w:numId w:val="56"/>
        </w:numPr>
        <w:rPr>
          <w:rFonts w:ascii="Times New Roman" w:cs="Times New Roman" w:eastAsia="Times New Roman" w:hAnsi="Times New Roman"/>
          <w:sz w:val="18"/>
          <w:szCs w:val="18"/>
          <w:color w:val="auto"/>
        </w:rPr>
      </w:pPr>
      <w:r>
        <w:rPr>
          <w:rFonts w:ascii="Arial" w:cs="Arial" w:eastAsia="Arial" w:hAnsi="Arial"/>
          <w:sz w:val="18"/>
          <w:szCs w:val="18"/>
          <w:color w:val="auto"/>
        </w:rPr>
        <w:t>With over 50 percent of total compensation awarded in long-term equity with long vesting periods under the performance share program, stock ownership of ExxonMobil executives far exceeds the ownership guidelines of most companies.</w:t>
      </w:r>
    </w:p>
    <w:p>
      <w:pPr>
        <w:spacing w:after="0" w:line="68" w:lineRule="exact"/>
        <w:rPr>
          <w:rFonts w:ascii="Times New Roman" w:cs="Times New Roman" w:eastAsia="Times New Roman" w:hAnsi="Times New Roman"/>
          <w:sz w:val="18"/>
          <w:szCs w:val="18"/>
          <w:color w:val="auto"/>
        </w:rPr>
      </w:pPr>
    </w:p>
    <w:p>
      <w:pPr>
        <w:jc w:val="both"/>
        <w:ind w:left="1240" w:right="20" w:hanging="388"/>
        <w:spacing w:after="0" w:line="255" w:lineRule="auto"/>
        <w:tabs>
          <w:tab w:leader="none" w:pos="1240" w:val="left"/>
        </w:tabs>
        <w:numPr>
          <w:ilvl w:val="0"/>
          <w:numId w:val="56"/>
        </w:numPr>
        <w:rPr>
          <w:rFonts w:ascii="Times New Roman" w:cs="Times New Roman" w:eastAsia="Times New Roman" w:hAnsi="Times New Roman"/>
          <w:sz w:val="18"/>
          <w:szCs w:val="18"/>
          <w:color w:val="auto"/>
        </w:rPr>
      </w:pPr>
      <w:r>
        <w:rPr>
          <w:rFonts w:ascii="Arial" w:cs="Arial" w:eastAsia="Arial" w:hAnsi="Arial"/>
          <w:sz w:val="18"/>
          <w:szCs w:val="18"/>
          <w:color w:val="auto"/>
        </w:rPr>
        <w:t>The table below shows stock ownership, including shares underlying performance shares, as a multiple of salary and the percentage of shares that are still subject to restrictions for the Named Executive Officers as well as the average for all current U.S.-dollar-paid executive officers as of year-end 2017.</w:t>
      </w:r>
    </w:p>
    <w:p>
      <w:pPr>
        <w:spacing w:after="0" w:line="193" w:lineRule="exact"/>
        <w:rPr>
          <w:sz w:val="20"/>
          <w:szCs w:val="20"/>
          <w:color w:val="auto"/>
        </w:rPr>
      </w:pPr>
    </w:p>
    <w:tbl>
      <w:tblPr>
        <w:tblLayout w:type="fixed"/>
        <w:tblInd w:w="880" w:type="dxa"/>
        <w:tblCellMar>
          <w:top w:w="0" w:type="dxa"/>
          <w:left w:w="0" w:type="dxa"/>
          <w:bottom w:w="0" w:type="dxa"/>
          <w:right w:w="0" w:type="dxa"/>
        </w:tblCellMar>
      </w:tblPr>
      <w:tr>
        <w:trPr>
          <w:trHeight w:val="160"/>
        </w:trPr>
        <w:tc>
          <w:tcPr>
            <w:tcW w:w="400" w:type="dxa"/>
            <w:vAlign w:val="bottom"/>
            <w:tcBorders>
              <w:right w:val="single" w:sz="8" w:color="auto"/>
            </w:tcBorders>
          </w:tcPr>
          <w:p>
            <w:pPr>
              <w:spacing w:after="0"/>
              <w:rPr>
                <w:sz w:val="13"/>
                <w:szCs w:val="13"/>
                <w:color w:val="auto"/>
              </w:rPr>
            </w:pPr>
          </w:p>
        </w:tc>
        <w:tc>
          <w:tcPr>
            <w:tcW w:w="4640" w:type="dxa"/>
            <w:vAlign w:val="bottom"/>
            <w:tcBorders>
              <w:top w:val="single" w:sz="8" w:color="auto"/>
              <w:right w:val="single" w:sz="8" w:color="auto"/>
            </w:tcBorders>
          </w:tcPr>
          <w:p>
            <w:pPr>
              <w:spacing w:after="0"/>
              <w:rPr>
                <w:sz w:val="13"/>
                <w:szCs w:val="13"/>
                <w:color w:val="auto"/>
              </w:rPr>
            </w:pPr>
          </w:p>
        </w:tc>
        <w:tc>
          <w:tcPr>
            <w:tcW w:w="2180" w:type="dxa"/>
            <w:vAlign w:val="bottom"/>
            <w:tcBorders>
              <w:top w:val="single" w:sz="8" w:color="auto"/>
              <w:right w:val="single" w:sz="8" w:color="auto"/>
            </w:tcBorders>
          </w:tcPr>
          <w:p>
            <w:pPr>
              <w:jc w:val="center"/>
              <w:ind w:right="188"/>
              <w:spacing w:after="0"/>
              <w:rPr>
                <w:sz w:val="20"/>
                <w:szCs w:val="20"/>
                <w:color w:val="auto"/>
              </w:rPr>
            </w:pPr>
            <w:r>
              <w:rPr>
                <w:rFonts w:ascii="Arial" w:cs="Arial" w:eastAsia="Arial" w:hAnsi="Arial"/>
                <w:sz w:val="14"/>
                <w:szCs w:val="14"/>
                <w:b w:val="1"/>
                <w:bCs w:val="1"/>
                <w:color w:val="auto"/>
              </w:rPr>
              <w:t>Dollar Value of</w:t>
            </w:r>
          </w:p>
        </w:tc>
        <w:tc>
          <w:tcPr>
            <w:tcW w:w="2120" w:type="dxa"/>
            <w:vAlign w:val="bottom"/>
            <w:tcBorders>
              <w:top w:val="single" w:sz="8" w:color="auto"/>
              <w:right w:val="single" w:sz="8" w:color="auto"/>
            </w:tcBorders>
          </w:tcPr>
          <w:p>
            <w:pPr>
              <w:jc w:val="center"/>
              <w:ind w:right="228"/>
              <w:spacing w:after="0"/>
              <w:rPr>
                <w:sz w:val="20"/>
                <w:szCs w:val="20"/>
                <w:color w:val="auto"/>
              </w:rPr>
            </w:pPr>
            <w:r>
              <w:rPr>
                <w:rFonts w:ascii="Arial" w:cs="Arial" w:eastAsia="Arial" w:hAnsi="Arial"/>
                <w:sz w:val="14"/>
                <w:szCs w:val="14"/>
                <w:b w:val="1"/>
                <w:bCs w:val="1"/>
                <w:color w:val="auto"/>
              </w:rPr>
              <w:t>Percent of</w:t>
            </w:r>
          </w:p>
        </w:tc>
      </w:tr>
      <w:tr>
        <w:trPr>
          <w:trHeight w:val="162"/>
        </w:trPr>
        <w:tc>
          <w:tcPr>
            <w:tcW w:w="400" w:type="dxa"/>
            <w:vAlign w:val="bottom"/>
            <w:tcBorders>
              <w:right w:val="single" w:sz="8" w:color="auto"/>
            </w:tcBorders>
          </w:tcPr>
          <w:p>
            <w:pPr>
              <w:spacing w:after="0"/>
              <w:rPr>
                <w:sz w:val="14"/>
                <w:szCs w:val="14"/>
                <w:color w:val="auto"/>
              </w:rPr>
            </w:pPr>
          </w:p>
        </w:tc>
        <w:tc>
          <w:tcPr>
            <w:tcW w:w="4640" w:type="dxa"/>
            <w:vAlign w:val="bottom"/>
            <w:tcBorders>
              <w:right w:val="single" w:sz="8" w:color="auto"/>
            </w:tcBorders>
          </w:tcPr>
          <w:p>
            <w:pPr>
              <w:spacing w:after="0"/>
              <w:rPr>
                <w:sz w:val="14"/>
                <w:szCs w:val="14"/>
                <w:color w:val="auto"/>
              </w:rPr>
            </w:pPr>
          </w:p>
        </w:tc>
        <w:tc>
          <w:tcPr>
            <w:tcW w:w="2180" w:type="dxa"/>
            <w:vAlign w:val="bottom"/>
            <w:tcBorders>
              <w:right w:val="single" w:sz="8" w:color="auto"/>
            </w:tcBorders>
          </w:tcPr>
          <w:p>
            <w:pPr>
              <w:jc w:val="center"/>
              <w:ind w:right="188"/>
              <w:spacing w:after="0"/>
              <w:rPr>
                <w:sz w:val="20"/>
                <w:szCs w:val="20"/>
                <w:color w:val="auto"/>
              </w:rPr>
            </w:pPr>
            <w:r>
              <w:rPr>
                <w:rFonts w:ascii="Arial" w:cs="Arial" w:eastAsia="Arial" w:hAnsi="Arial"/>
                <w:sz w:val="14"/>
                <w:szCs w:val="14"/>
                <w:b w:val="1"/>
                <w:bCs w:val="1"/>
                <w:color w:val="auto"/>
              </w:rPr>
              <w:t>Stock Ownership</w:t>
            </w:r>
          </w:p>
        </w:tc>
        <w:tc>
          <w:tcPr>
            <w:tcW w:w="2120" w:type="dxa"/>
            <w:vAlign w:val="bottom"/>
            <w:tcBorders>
              <w:right w:val="single" w:sz="8" w:color="auto"/>
            </w:tcBorders>
          </w:tcPr>
          <w:p>
            <w:pPr>
              <w:jc w:val="center"/>
              <w:ind w:right="248"/>
              <w:spacing w:after="0"/>
              <w:rPr>
                <w:sz w:val="20"/>
                <w:szCs w:val="20"/>
                <w:color w:val="auto"/>
              </w:rPr>
            </w:pPr>
            <w:r>
              <w:rPr>
                <w:rFonts w:ascii="Arial" w:cs="Arial" w:eastAsia="Arial" w:hAnsi="Arial"/>
                <w:sz w:val="14"/>
                <w:szCs w:val="14"/>
                <w:b w:val="1"/>
                <w:bCs w:val="1"/>
                <w:color w:val="auto"/>
              </w:rPr>
              <w:t>Performance Shares</w:t>
            </w:r>
          </w:p>
        </w:tc>
      </w:tr>
      <w:tr>
        <w:trPr>
          <w:trHeight w:val="191"/>
        </w:trPr>
        <w:tc>
          <w:tcPr>
            <w:tcW w:w="400" w:type="dxa"/>
            <w:vAlign w:val="bottom"/>
            <w:tcBorders>
              <w:right w:val="single" w:sz="8" w:color="auto"/>
            </w:tcBorders>
          </w:tcPr>
          <w:p>
            <w:pPr>
              <w:spacing w:after="0"/>
              <w:rPr>
                <w:sz w:val="16"/>
                <w:szCs w:val="16"/>
                <w:color w:val="auto"/>
              </w:rPr>
            </w:pPr>
          </w:p>
        </w:tc>
        <w:tc>
          <w:tcPr>
            <w:tcW w:w="4640" w:type="dxa"/>
            <w:vAlign w:val="bottom"/>
            <w:tcBorders>
              <w:bottom w:val="single" w:sz="8" w:color="auto"/>
              <w:right w:val="single" w:sz="8" w:color="auto"/>
            </w:tcBorders>
          </w:tcPr>
          <w:p>
            <w:pPr>
              <w:ind w:left="120"/>
              <w:spacing w:after="0"/>
              <w:rPr>
                <w:sz w:val="20"/>
                <w:szCs w:val="20"/>
                <w:color w:val="auto"/>
              </w:rPr>
            </w:pPr>
            <w:r>
              <w:rPr>
                <w:rFonts w:ascii="Arial" w:cs="Arial" w:eastAsia="Arial" w:hAnsi="Arial"/>
                <w:sz w:val="14"/>
                <w:szCs w:val="14"/>
                <w:b w:val="1"/>
                <w:bCs w:val="1"/>
                <w:color w:val="auto"/>
              </w:rPr>
              <w:t>Name</w:t>
            </w:r>
          </w:p>
        </w:tc>
        <w:tc>
          <w:tcPr>
            <w:tcW w:w="2180" w:type="dxa"/>
            <w:vAlign w:val="bottom"/>
            <w:tcBorders>
              <w:bottom w:val="single" w:sz="8" w:color="auto"/>
              <w:right w:val="single" w:sz="8" w:color="auto"/>
            </w:tcBorders>
          </w:tcPr>
          <w:p>
            <w:pPr>
              <w:jc w:val="center"/>
              <w:ind w:right="188"/>
              <w:spacing w:after="0"/>
              <w:rPr>
                <w:sz w:val="20"/>
                <w:szCs w:val="20"/>
                <w:color w:val="auto"/>
              </w:rPr>
            </w:pPr>
            <w:r>
              <w:rPr>
                <w:rFonts w:ascii="Arial" w:cs="Arial" w:eastAsia="Arial" w:hAnsi="Arial"/>
                <w:sz w:val="14"/>
                <w:szCs w:val="14"/>
                <w:b w:val="1"/>
                <w:bCs w:val="1"/>
                <w:color w:val="auto"/>
              </w:rPr>
              <w:t>as a Multiple of Salary</w:t>
            </w:r>
          </w:p>
        </w:tc>
        <w:tc>
          <w:tcPr>
            <w:tcW w:w="2120" w:type="dxa"/>
            <w:vAlign w:val="bottom"/>
            <w:tcBorders>
              <w:bottom w:val="single" w:sz="8" w:color="auto"/>
              <w:right w:val="single" w:sz="8" w:color="auto"/>
            </w:tcBorders>
          </w:tcPr>
          <w:p>
            <w:pPr>
              <w:jc w:val="center"/>
              <w:ind w:right="268"/>
              <w:spacing w:after="0"/>
              <w:rPr>
                <w:sz w:val="20"/>
                <w:szCs w:val="20"/>
                <w:color w:val="auto"/>
              </w:rPr>
            </w:pPr>
            <w:r>
              <w:rPr>
                <w:rFonts w:ascii="Arial" w:cs="Arial" w:eastAsia="Arial" w:hAnsi="Arial"/>
                <w:sz w:val="14"/>
                <w:szCs w:val="14"/>
                <w:b w:val="1"/>
                <w:bCs w:val="1"/>
                <w:color w:val="auto"/>
              </w:rPr>
              <w:t>Restricted</w:t>
            </w:r>
          </w:p>
        </w:tc>
      </w:tr>
      <w:tr>
        <w:trPr>
          <w:trHeight w:val="223"/>
        </w:trPr>
        <w:tc>
          <w:tcPr>
            <w:tcW w:w="400" w:type="dxa"/>
            <w:vAlign w:val="bottom"/>
            <w:tcBorders>
              <w:right w:val="single" w:sz="8" w:color="auto"/>
            </w:tcBorders>
          </w:tcPr>
          <w:p>
            <w:pPr>
              <w:spacing w:after="0"/>
              <w:rPr>
                <w:sz w:val="19"/>
                <w:szCs w:val="19"/>
                <w:color w:val="auto"/>
              </w:rPr>
            </w:pPr>
          </w:p>
        </w:tc>
        <w:tc>
          <w:tcPr>
            <w:tcW w:w="4640" w:type="dxa"/>
            <w:vAlign w:val="bottom"/>
            <w:tcBorders>
              <w:right w:val="single" w:sz="8" w:color="auto"/>
            </w:tcBorders>
            <w:shd w:val="clear" w:color="auto" w:fill="D4DBEB"/>
          </w:tcPr>
          <w:p>
            <w:pPr>
              <w:ind w:left="140"/>
              <w:spacing w:after="0"/>
              <w:rPr>
                <w:sz w:val="20"/>
                <w:szCs w:val="20"/>
                <w:color w:val="auto"/>
              </w:rPr>
            </w:pPr>
            <w:r>
              <w:rPr>
                <w:rFonts w:ascii="Arial" w:cs="Arial" w:eastAsia="Arial" w:hAnsi="Arial"/>
                <w:sz w:val="14"/>
                <w:szCs w:val="14"/>
                <w:color w:val="auto"/>
              </w:rPr>
              <w:t>D.W. Woods</w:t>
            </w:r>
          </w:p>
        </w:tc>
        <w:tc>
          <w:tcPr>
            <w:tcW w:w="2180" w:type="dxa"/>
            <w:vAlign w:val="bottom"/>
            <w:tcBorders>
              <w:right w:val="single" w:sz="8" w:color="auto"/>
            </w:tcBorders>
            <w:shd w:val="clear" w:color="auto" w:fill="D4DBEB"/>
          </w:tcPr>
          <w:p>
            <w:pPr>
              <w:jc w:val="center"/>
              <w:ind w:right="148"/>
              <w:spacing w:after="0"/>
              <w:rPr>
                <w:sz w:val="20"/>
                <w:szCs w:val="20"/>
                <w:color w:val="auto"/>
              </w:rPr>
            </w:pPr>
            <w:r>
              <w:rPr>
                <w:rFonts w:ascii="Arial" w:cs="Arial" w:eastAsia="Arial" w:hAnsi="Arial"/>
                <w:sz w:val="14"/>
                <w:szCs w:val="14"/>
                <w:color w:val="auto"/>
              </w:rPr>
              <w:t>36</w:t>
            </w:r>
          </w:p>
        </w:tc>
        <w:tc>
          <w:tcPr>
            <w:tcW w:w="2120" w:type="dxa"/>
            <w:vAlign w:val="bottom"/>
            <w:tcBorders>
              <w:right w:val="single" w:sz="8" w:color="auto"/>
            </w:tcBorders>
            <w:shd w:val="clear" w:color="auto" w:fill="D4DBEB"/>
          </w:tcPr>
          <w:p>
            <w:pPr>
              <w:jc w:val="right"/>
              <w:ind w:right="1028"/>
              <w:spacing w:after="0"/>
              <w:rPr>
                <w:sz w:val="20"/>
                <w:szCs w:val="20"/>
                <w:color w:val="auto"/>
              </w:rPr>
            </w:pPr>
            <w:r>
              <w:rPr>
                <w:rFonts w:ascii="Arial" w:cs="Arial" w:eastAsia="Arial" w:hAnsi="Arial"/>
                <w:sz w:val="14"/>
                <w:szCs w:val="14"/>
                <w:color w:val="auto"/>
              </w:rPr>
              <w:t>91</w:t>
            </w:r>
          </w:p>
        </w:tc>
      </w:tr>
      <w:tr>
        <w:trPr>
          <w:trHeight w:val="226"/>
        </w:trPr>
        <w:tc>
          <w:tcPr>
            <w:tcW w:w="400" w:type="dxa"/>
            <w:vAlign w:val="bottom"/>
            <w:tcBorders>
              <w:right w:val="single" w:sz="8" w:color="auto"/>
            </w:tcBorders>
          </w:tcPr>
          <w:p>
            <w:pPr>
              <w:spacing w:after="0"/>
              <w:rPr>
                <w:sz w:val="19"/>
                <w:szCs w:val="19"/>
                <w:color w:val="auto"/>
              </w:rPr>
            </w:pPr>
          </w:p>
        </w:tc>
        <w:tc>
          <w:tcPr>
            <w:tcW w:w="4640" w:type="dxa"/>
            <w:vAlign w:val="bottom"/>
            <w:tcBorders>
              <w:right w:val="single" w:sz="8" w:color="auto"/>
            </w:tcBorders>
          </w:tcPr>
          <w:p>
            <w:pPr>
              <w:ind w:left="140"/>
              <w:spacing w:after="0"/>
              <w:rPr>
                <w:sz w:val="20"/>
                <w:szCs w:val="20"/>
                <w:color w:val="auto"/>
              </w:rPr>
            </w:pPr>
            <w:r>
              <w:rPr>
                <w:rFonts w:ascii="Arial" w:cs="Arial" w:eastAsia="Arial" w:hAnsi="Arial"/>
                <w:sz w:val="14"/>
                <w:szCs w:val="14"/>
                <w:color w:val="auto"/>
              </w:rPr>
              <w:t>A.P. Swiger</w:t>
            </w:r>
          </w:p>
        </w:tc>
        <w:tc>
          <w:tcPr>
            <w:tcW w:w="2180" w:type="dxa"/>
            <w:vAlign w:val="bottom"/>
            <w:tcBorders>
              <w:right w:val="single" w:sz="8" w:color="auto"/>
            </w:tcBorders>
          </w:tcPr>
          <w:p>
            <w:pPr>
              <w:jc w:val="center"/>
              <w:ind w:right="148"/>
              <w:spacing w:after="0"/>
              <w:rPr>
                <w:sz w:val="20"/>
                <w:szCs w:val="20"/>
                <w:color w:val="auto"/>
              </w:rPr>
            </w:pPr>
            <w:r>
              <w:rPr>
                <w:rFonts w:ascii="Arial" w:cs="Arial" w:eastAsia="Arial" w:hAnsi="Arial"/>
                <w:sz w:val="14"/>
                <w:szCs w:val="14"/>
                <w:color w:val="auto"/>
              </w:rPr>
              <w:t>60</w:t>
            </w:r>
          </w:p>
        </w:tc>
        <w:tc>
          <w:tcPr>
            <w:tcW w:w="2120" w:type="dxa"/>
            <w:vAlign w:val="bottom"/>
            <w:tcBorders>
              <w:right w:val="single" w:sz="8" w:color="auto"/>
            </w:tcBorders>
          </w:tcPr>
          <w:p>
            <w:pPr>
              <w:jc w:val="right"/>
              <w:ind w:right="1028"/>
              <w:spacing w:after="0"/>
              <w:rPr>
                <w:sz w:val="20"/>
                <w:szCs w:val="20"/>
                <w:color w:val="auto"/>
              </w:rPr>
            </w:pPr>
            <w:r>
              <w:rPr>
                <w:rFonts w:ascii="Arial" w:cs="Arial" w:eastAsia="Arial" w:hAnsi="Arial"/>
                <w:sz w:val="14"/>
                <w:szCs w:val="14"/>
                <w:color w:val="auto"/>
              </w:rPr>
              <w:t>73</w:t>
            </w:r>
          </w:p>
        </w:tc>
      </w:tr>
      <w:tr>
        <w:trPr>
          <w:trHeight w:val="234"/>
        </w:trPr>
        <w:tc>
          <w:tcPr>
            <w:tcW w:w="400" w:type="dxa"/>
            <w:vAlign w:val="bottom"/>
            <w:tcBorders>
              <w:right w:val="single" w:sz="8" w:color="auto"/>
            </w:tcBorders>
          </w:tcPr>
          <w:p>
            <w:pPr>
              <w:spacing w:after="0"/>
              <w:rPr>
                <w:sz w:val="20"/>
                <w:szCs w:val="20"/>
                <w:color w:val="auto"/>
              </w:rPr>
            </w:pPr>
          </w:p>
        </w:tc>
        <w:tc>
          <w:tcPr>
            <w:tcW w:w="4640" w:type="dxa"/>
            <w:vAlign w:val="bottom"/>
            <w:tcBorders>
              <w:right w:val="single" w:sz="8" w:color="auto"/>
            </w:tcBorders>
            <w:shd w:val="clear" w:color="auto" w:fill="D4DBEB"/>
          </w:tcPr>
          <w:p>
            <w:pPr>
              <w:ind w:left="140"/>
              <w:spacing w:after="0"/>
              <w:rPr>
                <w:sz w:val="20"/>
                <w:szCs w:val="20"/>
                <w:color w:val="auto"/>
              </w:rPr>
            </w:pPr>
            <w:r>
              <w:rPr>
                <w:rFonts w:ascii="Arial" w:cs="Arial" w:eastAsia="Arial" w:hAnsi="Arial"/>
                <w:sz w:val="14"/>
                <w:szCs w:val="14"/>
                <w:color w:val="auto"/>
              </w:rPr>
              <w:t>M.W. Albers</w:t>
            </w:r>
          </w:p>
        </w:tc>
        <w:tc>
          <w:tcPr>
            <w:tcW w:w="2180" w:type="dxa"/>
            <w:vAlign w:val="bottom"/>
            <w:tcBorders>
              <w:right w:val="single" w:sz="8" w:color="auto"/>
            </w:tcBorders>
            <w:shd w:val="clear" w:color="auto" w:fill="D4DBEB"/>
          </w:tcPr>
          <w:p>
            <w:pPr>
              <w:jc w:val="center"/>
              <w:ind w:right="148"/>
              <w:spacing w:after="0"/>
              <w:rPr>
                <w:sz w:val="20"/>
                <w:szCs w:val="20"/>
                <w:color w:val="auto"/>
              </w:rPr>
            </w:pPr>
            <w:r>
              <w:rPr>
                <w:rFonts w:ascii="Arial" w:cs="Arial" w:eastAsia="Arial" w:hAnsi="Arial"/>
                <w:sz w:val="14"/>
                <w:szCs w:val="14"/>
                <w:color w:val="auto"/>
              </w:rPr>
              <w:t>56</w:t>
            </w:r>
          </w:p>
        </w:tc>
        <w:tc>
          <w:tcPr>
            <w:tcW w:w="2120" w:type="dxa"/>
            <w:vAlign w:val="bottom"/>
            <w:tcBorders>
              <w:right w:val="single" w:sz="8" w:color="auto"/>
            </w:tcBorders>
            <w:shd w:val="clear" w:color="auto" w:fill="D4DBEB"/>
          </w:tcPr>
          <w:p>
            <w:pPr>
              <w:jc w:val="right"/>
              <w:ind w:right="1028"/>
              <w:spacing w:after="0"/>
              <w:rPr>
                <w:sz w:val="20"/>
                <w:szCs w:val="20"/>
                <w:color w:val="auto"/>
              </w:rPr>
            </w:pPr>
            <w:r>
              <w:rPr>
                <w:rFonts w:ascii="Arial" w:cs="Arial" w:eastAsia="Arial" w:hAnsi="Arial"/>
                <w:sz w:val="14"/>
                <w:szCs w:val="14"/>
                <w:color w:val="auto"/>
              </w:rPr>
              <w:t>86</w:t>
            </w:r>
          </w:p>
        </w:tc>
      </w:tr>
      <w:tr>
        <w:trPr>
          <w:trHeight w:val="226"/>
        </w:trPr>
        <w:tc>
          <w:tcPr>
            <w:tcW w:w="400" w:type="dxa"/>
            <w:vAlign w:val="bottom"/>
            <w:tcBorders>
              <w:right w:val="single" w:sz="8" w:color="auto"/>
            </w:tcBorders>
          </w:tcPr>
          <w:p>
            <w:pPr>
              <w:spacing w:after="0"/>
              <w:rPr>
                <w:sz w:val="19"/>
                <w:szCs w:val="19"/>
                <w:color w:val="auto"/>
              </w:rPr>
            </w:pPr>
          </w:p>
        </w:tc>
        <w:tc>
          <w:tcPr>
            <w:tcW w:w="4640" w:type="dxa"/>
            <w:vAlign w:val="bottom"/>
            <w:tcBorders>
              <w:right w:val="single" w:sz="8" w:color="auto"/>
            </w:tcBorders>
          </w:tcPr>
          <w:p>
            <w:pPr>
              <w:ind w:left="140"/>
              <w:spacing w:after="0"/>
              <w:rPr>
                <w:sz w:val="20"/>
                <w:szCs w:val="20"/>
                <w:color w:val="auto"/>
              </w:rPr>
            </w:pPr>
            <w:r>
              <w:rPr>
                <w:rFonts w:ascii="Arial" w:cs="Arial" w:eastAsia="Arial" w:hAnsi="Arial"/>
                <w:sz w:val="14"/>
                <w:szCs w:val="14"/>
                <w:color w:val="auto"/>
              </w:rPr>
              <w:t>M.J. Dolan</w:t>
            </w:r>
          </w:p>
        </w:tc>
        <w:tc>
          <w:tcPr>
            <w:tcW w:w="2180" w:type="dxa"/>
            <w:vAlign w:val="bottom"/>
            <w:tcBorders>
              <w:right w:val="single" w:sz="8" w:color="auto"/>
            </w:tcBorders>
          </w:tcPr>
          <w:p>
            <w:pPr>
              <w:jc w:val="center"/>
              <w:ind w:right="148"/>
              <w:spacing w:after="0"/>
              <w:rPr>
                <w:sz w:val="20"/>
                <w:szCs w:val="20"/>
                <w:color w:val="auto"/>
              </w:rPr>
            </w:pPr>
            <w:r>
              <w:rPr>
                <w:rFonts w:ascii="Arial" w:cs="Arial" w:eastAsia="Arial" w:hAnsi="Arial"/>
                <w:sz w:val="14"/>
                <w:szCs w:val="14"/>
                <w:color w:val="auto"/>
              </w:rPr>
              <w:t>63</w:t>
            </w:r>
          </w:p>
        </w:tc>
        <w:tc>
          <w:tcPr>
            <w:tcW w:w="2120" w:type="dxa"/>
            <w:vAlign w:val="bottom"/>
            <w:tcBorders>
              <w:right w:val="single" w:sz="8" w:color="auto"/>
            </w:tcBorders>
          </w:tcPr>
          <w:p>
            <w:pPr>
              <w:jc w:val="right"/>
              <w:ind w:right="1028"/>
              <w:spacing w:after="0"/>
              <w:rPr>
                <w:sz w:val="20"/>
                <w:szCs w:val="20"/>
                <w:color w:val="auto"/>
              </w:rPr>
            </w:pPr>
            <w:r>
              <w:rPr>
                <w:rFonts w:ascii="Arial" w:cs="Arial" w:eastAsia="Arial" w:hAnsi="Arial"/>
                <w:sz w:val="14"/>
                <w:szCs w:val="14"/>
                <w:color w:val="auto"/>
              </w:rPr>
              <w:t>81</w:t>
            </w:r>
          </w:p>
        </w:tc>
      </w:tr>
      <w:tr>
        <w:trPr>
          <w:trHeight w:val="234"/>
        </w:trPr>
        <w:tc>
          <w:tcPr>
            <w:tcW w:w="400" w:type="dxa"/>
            <w:vAlign w:val="bottom"/>
            <w:tcBorders>
              <w:right w:val="single" w:sz="8" w:color="auto"/>
            </w:tcBorders>
          </w:tcPr>
          <w:p>
            <w:pPr>
              <w:spacing w:after="0"/>
              <w:rPr>
                <w:sz w:val="20"/>
                <w:szCs w:val="20"/>
                <w:color w:val="auto"/>
              </w:rPr>
            </w:pPr>
          </w:p>
        </w:tc>
        <w:tc>
          <w:tcPr>
            <w:tcW w:w="4640" w:type="dxa"/>
            <w:vAlign w:val="bottom"/>
            <w:tcBorders>
              <w:right w:val="single" w:sz="8" w:color="auto"/>
            </w:tcBorders>
            <w:shd w:val="clear" w:color="auto" w:fill="D4DBEB"/>
          </w:tcPr>
          <w:p>
            <w:pPr>
              <w:ind w:left="140"/>
              <w:spacing w:after="0"/>
              <w:rPr>
                <w:sz w:val="20"/>
                <w:szCs w:val="20"/>
                <w:color w:val="auto"/>
              </w:rPr>
            </w:pPr>
            <w:r>
              <w:rPr>
                <w:rFonts w:ascii="Arial" w:cs="Arial" w:eastAsia="Arial" w:hAnsi="Arial"/>
                <w:sz w:val="14"/>
                <w:szCs w:val="14"/>
                <w:color w:val="auto"/>
              </w:rPr>
              <w:t>N.W. Duffin</w:t>
            </w:r>
          </w:p>
        </w:tc>
        <w:tc>
          <w:tcPr>
            <w:tcW w:w="2180" w:type="dxa"/>
            <w:vAlign w:val="bottom"/>
            <w:tcBorders>
              <w:right w:val="single" w:sz="8" w:color="auto"/>
            </w:tcBorders>
            <w:shd w:val="clear" w:color="auto" w:fill="D4DBEB"/>
          </w:tcPr>
          <w:p>
            <w:pPr>
              <w:jc w:val="center"/>
              <w:ind w:right="148"/>
              <w:spacing w:after="0"/>
              <w:rPr>
                <w:sz w:val="20"/>
                <w:szCs w:val="20"/>
                <w:color w:val="auto"/>
              </w:rPr>
            </w:pPr>
            <w:r>
              <w:rPr>
                <w:rFonts w:ascii="Arial" w:cs="Arial" w:eastAsia="Arial" w:hAnsi="Arial"/>
                <w:sz w:val="14"/>
                <w:szCs w:val="14"/>
                <w:color w:val="auto"/>
              </w:rPr>
              <w:t>46</w:t>
            </w:r>
          </w:p>
        </w:tc>
        <w:tc>
          <w:tcPr>
            <w:tcW w:w="2120" w:type="dxa"/>
            <w:vAlign w:val="bottom"/>
            <w:tcBorders>
              <w:right w:val="single" w:sz="8" w:color="auto"/>
            </w:tcBorders>
            <w:shd w:val="clear" w:color="auto" w:fill="D4DBEB"/>
          </w:tcPr>
          <w:p>
            <w:pPr>
              <w:jc w:val="right"/>
              <w:ind w:right="1028"/>
              <w:spacing w:after="0"/>
              <w:rPr>
                <w:sz w:val="20"/>
                <w:szCs w:val="20"/>
                <w:color w:val="auto"/>
              </w:rPr>
            </w:pPr>
            <w:r>
              <w:rPr>
                <w:rFonts w:ascii="Arial" w:cs="Arial" w:eastAsia="Arial" w:hAnsi="Arial"/>
                <w:sz w:val="14"/>
                <w:szCs w:val="14"/>
                <w:color w:val="auto"/>
              </w:rPr>
              <w:t>84</w:t>
            </w:r>
          </w:p>
        </w:tc>
      </w:tr>
      <w:tr>
        <w:trPr>
          <w:trHeight w:val="223"/>
        </w:trPr>
        <w:tc>
          <w:tcPr>
            <w:tcW w:w="400" w:type="dxa"/>
            <w:vAlign w:val="bottom"/>
            <w:tcBorders>
              <w:right w:val="single" w:sz="8" w:color="auto"/>
            </w:tcBorders>
          </w:tcPr>
          <w:p>
            <w:pPr>
              <w:spacing w:after="0"/>
              <w:rPr>
                <w:sz w:val="19"/>
                <w:szCs w:val="19"/>
                <w:color w:val="auto"/>
              </w:rPr>
            </w:pPr>
          </w:p>
        </w:tc>
        <w:tc>
          <w:tcPr>
            <w:tcW w:w="4640" w:type="dxa"/>
            <w:vAlign w:val="bottom"/>
            <w:tcBorders>
              <w:bottom w:val="single" w:sz="8" w:color="auto"/>
              <w:right w:val="single" w:sz="8" w:color="auto"/>
            </w:tcBorders>
          </w:tcPr>
          <w:p>
            <w:pPr>
              <w:ind w:left="140"/>
              <w:spacing w:after="0"/>
              <w:rPr>
                <w:sz w:val="20"/>
                <w:szCs w:val="20"/>
                <w:color w:val="auto"/>
              </w:rPr>
            </w:pPr>
            <w:r>
              <w:rPr>
                <w:rFonts w:ascii="Arial" w:cs="Arial" w:eastAsia="Arial" w:hAnsi="Arial"/>
                <w:sz w:val="14"/>
                <w:szCs w:val="14"/>
                <w:color w:val="auto"/>
              </w:rPr>
              <w:t>All Other U.S.-Dollar-Paid Executive Officers (Average)</w:t>
            </w:r>
          </w:p>
        </w:tc>
        <w:tc>
          <w:tcPr>
            <w:tcW w:w="2180" w:type="dxa"/>
            <w:vAlign w:val="bottom"/>
            <w:tcBorders>
              <w:bottom w:val="single" w:sz="8" w:color="auto"/>
              <w:right w:val="single" w:sz="8" w:color="auto"/>
            </w:tcBorders>
          </w:tcPr>
          <w:p>
            <w:pPr>
              <w:jc w:val="center"/>
              <w:ind w:right="148"/>
              <w:spacing w:after="0"/>
              <w:rPr>
                <w:sz w:val="20"/>
                <w:szCs w:val="20"/>
                <w:color w:val="auto"/>
              </w:rPr>
            </w:pPr>
            <w:r>
              <w:rPr>
                <w:rFonts w:ascii="Arial" w:cs="Arial" w:eastAsia="Arial" w:hAnsi="Arial"/>
                <w:sz w:val="14"/>
                <w:szCs w:val="14"/>
                <w:color w:val="auto"/>
              </w:rPr>
              <w:t>30</w:t>
            </w:r>
          </w:p>
        </w:tc>
        <w:tc>
          <w:tcPr>
            <w:tcW w:w="2120" w:type="dxa"/>
            <w:vAlign w:val="bottom"/>
            <w:tcBorders>
              <w:bottom w:val="single" w:sz="8" w:color="auto"/>
              <w:right w:val="single" w:sz="8" w:color="auto"/>
            </w:tcBorders>
          </w:tcPr>
          <w:p>
            <w:pPr>
              <w:jc w:val="right"/>
              <w:ind w:right="1028"/>
              <w:spacing w:after="0"/>
              <w:rPr>
                <w:sz w:val="20"/>
                <w:szCs w:val="20"/>
                <w:color w:val="auto"/>
              </w:rPr>
            </w:pPr>
            <w:r>
              <w:rPr>
                <w:rFonts w:ascii="Arial" w:cs="Arial" w:eastAsia="Arial" w:hAnsi="Arial"/>
                <w:sz w:val="14"/>
                <w:szCs w:val="14"/>
                <w:color w:val="auto"/>
              </w:rPr>
              <w:t>80</w:t>
            </w:r>
          </w:p>
        </w:tc>
      </w:tr>
      <w:tr>
        <w:trPr>
          <w:trHeight w:val="369"/>
        </w:trPr>
        <w:tc>
          <w:tcPr>
            <w:tcW w:w="400" w:type="dxa"/>
            <w:vAlign w:val="bottom"/>
          </w:tcPr>
          <w:p>
            <w:pPr>
              <w:jc w:val="right"/>
              <w:ind w:right="110"/>
              <w:spacing w:after="0"/>
              <w:rPr>
                <w:sz w:val="20"/>
                <w:szCs w:val="20"/>
                <w:color w:val="auto"/>
              </w:rPr>
            </w:pPr>
            <w:r>
              <w:rPr>
                <w:rFonts w:ascii="Arial" w:cs="Arial" w:eastAsia="Arial" w:hAnsi="Arial"/>
                <w:sz w:val="18"/>
                <w:szCs w:val="18"/>
                <w:color w:val="auto"/>
                <w:w w:val="89"/>
              </w:rPr>
              <w:t>42</w:t>
            </w:r>
          </w:p>
        </w:tc>
        <w:tc>
          <w:tcPr>
            <w:tcW w:w="4640" w:type="dxa"/>
            <w:vAlign w:val="bottom"/>
          </w:tcPr>
          <w:p>
            <w:pPr>
              <w:ind w:left="1520"/>
              <w:spacing w:after="0"/>
              <w:rPr>
                <w:sz w:val="20"/>
                <w:szCs w:val="20"/>
                <w:color w:val="auto"/>
              </w:rPr>
            </w:pPr>
            <w:r>
              <w:rPr>
                <w:rFonts w:ascii="Times New Roman" w:cs="Times New Roman" w:eastAsia="Times New Roman" w:hAnsi="Times New Roman"/>
                <w:sz w:val="18"/>
                <w:szCs w:val="18"/>
                <w:i w:val="1"/>
                <w:iCs w:val="1"/>
                <w:color w:val="auto"/>
              </w:rPr>
              <w:t>2018 Proxy Statement</w:t>
            </w:r>
          </w:p>
        </w:tc>
        <w:tc>
          <w:tcPr>
            <w:tcW w:w="2180" w:type="dxa"/>
            <w:vAlign w:val="bottom"/>
          </w:tcPr>
          <w:p>
            <w:pPr>
              <w:spacing w:after="0"/>
              <w:rPr>
                <w:sz w:val="24"/>
                <w:szCs w:val="24"/>
                <w:color w:val="auto"/>
              </w:rPr>
            </w:pPr>
          </w:p>
        </w:tc>
        <w:tc>
          <w:tcPr>
            <w:tcW w:w="2120" w:type="dxa"/>
            <w:vAlign w:val="bottom"/>
          </w:tcPr>
          <w:p>
            <w:pPr>
              <w:spacing w:after="0"/>
              <w:rPr>
                <w:sz w:val="24"/>
                <w:szCs w:val="24"/>
                <w:color w:val="auto"/>
              </w:rPr>
            </w:pPr>
          </w:p>
        </w:tc>
      </w:tr>
    </w:tbl>
    <w:p>
      <w:pPr>
        <w:sectPr>
          <w:pgSz w:w="11900" w:h="16838" w:orient="portrait"/>
          <w:cols w:equalWidth="0" w:num="1">
            <w:col w:w="10540"/>
          </w:cols>
          <w:pgMar w:left="240" w:top="455" w:right="1119" w:bottom="1440" w:gutter="0" w:footer="0" w:header="0"/>
        </w:sectPr>
      </w:pPr>
    </w:p>
    <w:bookmarkStart w:id="45" w:name="page46"/>
    <w:bookmarkEnd w:id="45"/>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00">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Times New Roman" w:cs="Times New Roman" w:eastAsia="Times New Roman" w:hAnsi="Times New Roman"/>
            <w:sz w:val="18"/>
            <w:szCs w:val="18"/>
            <w:b w:val="1"/>
            <w:bCs w:val="1"/>
            <w:u w:val="single" w:color="auto"/>
            <w:color w:val="0000EE"/>
          </w:rPr>
          <w:t>Table of Contents</w:t>
        </w:r>
      </w:hyperlink>
    </w:p>
    <w:p>
      <w:pPr>
        <w:spacing w:after="0" w:line="303" w:lineRule="exact"/>
        <w:rPr>
          <w:sz w:val="20"/>
          <w:szCs w:val="20"/>
          <w:color w:val="auto"/>
        </w:rPr>
      </w:pPr>
    </w:p>
    <w:p>
      <w:pPr>
        <w:ind w:left="860"/>
        <w:spacing w:after="0"/>
        <w:rPr>
          <w:sz w:val="20"/>
          <w:szCs w:val="20"/>
          <w:color w:val="auto"/>
        </w:rPr>
      </w:pPr>
      <w:r>
        <w:rPr>
          <w:rFonts w:ascii="Arial" w:cs="Arial" w:eastAsia="Arial" w:hAnsi="Arial"/>
          <w:sz w:val="18"/>
          <w:szCs w:val="18"/>
          <w:b w:val="1"/>
          <w:bCs w:val="1"/>
          <w:color w:val="auto"/>
        </w:rPr>
        <w:t>Hedging Policy</w:t>
      </w:r>
    </w:p>
    <w:p>
      <w:pPr>
        <w:spacing w:after="0" w:line="119" w:lineRule="exact"/>
        <w:rPr>
          <w:sz w:val="20"/>
          <w:szCs w:val="20"/>
          <w:color w:val="auto"/>
        </w:rPr>
      </w:pPr>
    </w:p>
    <w:p>
      <w:pPr>
        <w:ind w:left="1240" w:right="180" w:hanging="388"/>
        <w:spacing w:after="0" w:line="255" w:lineRule="auto"/>
        <w:tabs>
          <w:tab w:leader="none" w:pos="1240" w:val="left"/>
        </w:tabs>
        <w:numPr>
          <w:ilvl w:val="0"/>
          <w:numId w:val="57"/>
        </w:numPr>
        <w:rPr>
          <w:rFonts w:ascii="Times New Roman" w:cs="Times New Roman" w:eastAsia="Times New Roman" w:hAnsi="Times New Roman"/>
          <w:sz w:val="18"/>
          <w:szCs w:val="18"/>
          <w:color w:val="auto"/>
        </w:rPr>
      </w:pPr>
      <w:r>
        <w:rPr>
          <w:rFonts w:ascii="Arial" w:cs="Arial" w:eastAsia="Arial" w:hAnsi="Arial"/>
          <w:sz w:val="18"/>
          <w:szCs w:val="18"/>
          <w:color w:val="auto"/>
        </w:rPr>
        <w:t>Company policy prohibits all active executives, management, professional, or technical employees from purchasing or selling puts, calls, other options, or futures contracts on ExxonMobil common stock or trading in the oil or gas futures markets.</w:t>
      </w:r>
    </w:p>
    <w:p>
      <w:pPr>
        <w:spacing w:after="0" w:line="161" w:lineRule="exact"/>
        <w:rPr>
          <w:sz w:val="20"/>
          <w:szCs w:val="20"/>
          <w:color w:val="auto"/>
        </w:rPr>
      </w:pPr>
    </w:p>
    <w:p>
      <w:pPr>
        <w:ind w:left="860"/>
        <w:spacing w:after="0"/>
        <w:rPr>
          <w:sz w:val="20"/>
          <w:szCs w:val="20"/>
          <w:color w:val="auto"/>
        </w:rPr>
      </w:pPr>
      <w:r>
        <w:rPr>
          <w:rFonts w:ascii="Arial" w:cs="Arial" w:eastAsia="Arial" w:hAnsi="Arial"/>
          <w:sz w:val="18"/>
          <w:szCs w:val="18"/>
          <w:b w:val="1"/>
          <w:bCs w:val="1"/>
          <w:color w:val="auto"/>
        </w:rPr>
        <w:t>Clawback Policy and Forfeiture Provisions</w:t>
      </w:r>
    </w:p>
    <w:p>
      <w:pPr>
        <w:spacing w:after="0" w:line="119" w:lineRule="exact"/>
        <w:rPr>
          <w:sz w:val="20"/>
          <w:szCs w:val="20"/>
          <w:color w:val="auto"/>
        </w:rPr>
      </w:pPr>
    </w:p>
    <w:p>
      <w:pPr>
        <w:ind w:left="1240" w:right="40" w:hanging="388"/>
        <w:spacing w:after="0" w:line="248" w:lineRule="auto"/>
        <w:tabs>
          <w:tab w:leader="none" w:pos="1240" w:val="left"/>
        </w:tabs>
        <w:numPr>
          <w:ilvl w:val="0"/>
          <w:numId w:val="58"/>
        </w:numPr>
        <w:rPr>
          <w:rFonts w:ascii="Times New Roman" w:cs="Times New Roman" w:eastAsia="Times New Roman" w:hAnsi="Times New Roman"/>
          <w:sz w:val="18"/>
          <w:szCs w:val="18"/>
          <w:color w:val="auto"/>
        </w:rPr>
      </w:pPr>
      <w:r>
        <w:rPr>
          <w:rFonts w:ascii="Arial" w:cs="Arial" w:eastAsia="Arial" w:hAnsi="Arial"/>
          <w:sz w:val="18"/>
          <w:szCs w:val="18"/>
          <w:color w:val="auto"/>
        </w:rPr>
        <w:t>In the event of a material negative restatement of ExxonMobil’s reported financial or operating results, the Board is authorized to take actions as it deems necessary and appropriate, including the recoupment (clawback) of any bonus (cash or earnings bonus units) paid to an executive officer. This recoupment policy reflects the Company’s high ethical standards and strict compliance with accounting and other regulations applicable to public companies.</w:t>
      </w:r>
    </w:p>
    <w:p>
      <w:pPr>
        <w:spacing w:after="0" w:line="75" w:lineRule="exact"/>
        <w:rPr>
          <w:rFonts w:ascii="Times New Roman" w:cs="Times New Roman" w:eastAsia="Times New Roman" w:hAnsi="Times New Roman"/>
          <w:sz w:val="18"/>
          <w:szCs w:val="18"/>
          <w:color w:val="auto"/>
        </w:rPr>
      </w:pPr>
    </w:p>
    <w:p>
      <w:pPr>
        <w:ind w:left="1240" w:hanging="388"/>
        <w:spacing w:after="0" w:line="275" w:lineRule="auto"/>
        <w:tabs>
          <w:tab w:leader="none" w:pos="1240" w:val="left"/>
        </w:tabs>
        <w:numPr>
          <w:ilvl w:val="0"/>
          <w:numId w:val="58"/>
        </w:numPr>
        <w:rPr>
          <w:rFonts w:ascii="Times New Roman" w:cs="Times New Roman" w:eastAsia="Times New Roman" w:hAnsi="Times New Roman"/>
          <w:sz w:val="18"/>
          <w:szCs w:val="18"/>
          <w:color w:val="auto"/>
        </w:rPr>
      </w:pPr>
      <w:r>
        <w:rPr>
          <w:rFonts w:ascii="Arial" w:cs="Arial" w:eastAsia="Arial" w:hAnsi="Arial"/>
          <w:sz w:val="18"/>
          <w:szCs w:val="18"/>
          <w:color w:val="auto"/>
        </w:rPr>
        <w:t>The delayed portion of the annual bonus and unvested long-term performance share awards are at risk of forfeiture in case of early retirement and/or detrimental activity if an executive:</w:t>
      </w:r>
    </w:p>
    <w:p>
      <w:pPr>
        <w:spacing w:after="0" w:line="51" w:lineRule="exact"/>
        <w:rPr>
          <w:rFonts w:ascii="Times New Roman" w:cs="Times New Roman" w:eastAsia="Times New Roman" w:hAnsi="Times New Roman"/>
          <w:sz w:val="18"/>
          <w:szCs w:val="18"/>
          <w:color w:val="auto"/>
        </w:rPr>
      </w:pPr>
    </w:p>
    <w:p>
      <w:pPr>
        <w:ind w:left="1600" w:right="280" w:hanging="378"/>
        <w:spacing w:after="0" w:line="255" w:lineRule="auto"/>
        <w:rPr>
          <w:rFonts w:ascii="Times New Roman" w:cs="Times New Roman" w:eastAsia="Times New Roman" w:hAnsi="Times New Roman"/>
          <w:sz w:val="18"/>
          <w:szCs w:val="18"/>
          <w:color w:val="auto"/>
        </w:rPr>
      </w:pPr>
      <w:r>
        <w:rPr>
          <w:rFonts w:ascii="Arial" w:cs="Arial" w:eastAsia="Arial" w:hAnsi="Arial"/>
          <w:sz w:val="18"/>
          <w:szCs w:val="18"/>
          <w:color w:val="auto"/>
        </w:rPr>
        <w:t>– Leaves the Company before standard retirement time (defined as age 65 for U.S. employees). In the event of retirement prior to the age of 65 but after eligibility for early retirement (i.e., age 55 to 64), the Compensation Committee, in the case of an executive officer, must approve the retention of awards.</w:t>
      </w:r>
    </w:p>
    <w:p>
      <w:pPr>
        <w:spacing w:after="0" w:line="69" w:lineRule="exact"/>
        <w:rPr>
          <w:rFonts w:ascii="Times New Roman" w:cs="Times New Roman" w:eastAsia="Times New Roman" w:hAnsi="Times New Roman"/>
          <w:sz w:val="18"/>
          <w:szCs w:val="18"/>
          <w:color w:val="auto"/>
        </w:rPr>
      </w:pPr>
    </w:p>
    <w:p>
      <w:pPr>
        <w:ind w:left="1600" w:right="740" w:hanging="378"/>
        <w:spacing w:after="0" w:line="276" w:lineRule="auto"/>
        <w:rPr>
          <w:rFonts w:ascii="Times New Roman" w:cs="Times New Roman" w:eastAsia="Times New Roman" w:hAnsi="Times New Roman"/>
          <w:sz w:val="18"/>
          <w:szCs w:val="18"/>
          <w:color w:val="auto"/>
        </w:rPr>
      </w:pPr>
      <w:r>
        <w:rPr>
          <w:rFonts w:ascii="Arial" w:cs="Arial" w:eastAsia="Arial" w:hAnsi="Arial"/>
          <w:sz w:val="18"/>
          <w:szCs w:val="18"/>
          <w:color w:val="auto"/>
        </w:rPr>
        <w:t>– Engages in activity that is detrimental to the Company, even if such activity occurs or is discovered after retirement.</w:t>
      </w:r>
    </w:p>
    <w:p>
      <w:pPr>
        <w:spacing w:after="0" w:line="50" w:lineRule="exact"/>
        <w:rPr>
          <w:rFonts w:ascii="Times New Roman" w:cs="Times New Roman" w:eastAsia="Times New Roman" w:hAnsi="Times New Roman"/>
          <w:sz w:val="18"/>
          <w:szCs w:val="18"/>
          <w:color w:val="auto"/>
        </w:rPr>
      </w:pPr>
    </w:p>
    <w:p>
      <w:pPr>
        <w:ind w:left="1240" w:right="1040" w:hanging="388"/>
        <w:spacing w:after="0" w:line="275" w:lineRule="auto"/>
        <w:tabs>
          <w:tab w:leader="none" w:pos="1240" w:val="left"/>
        </w:tabs>
        <w:numPr>
          <w:ilvl w:val="0"/>
          <w:numId w:val="58"/>
        </w:numPr>
        <w:rPr>
          <w:rFonts w:ascii="Times New Roman" w:cs="Times New Roman" w:eastAsia="Times New Roman" w:hAnsi="Times New Roman"/>
          <w:sz w:val="18"/>
          <w:szCs w:val="18"/>
          <w:color w:val="auto"/>
        </w:rPr>
      </w:pPr>
      <w:r>
        <w:rPr>
          <w:rFonts w:ascii="Arial" w:cs="Arial" w:eastAsia="Arial" w:hAnsi="Arial"/>
          <w:sz w:val="18"/>
          <w:szCs w:val="18"/>
          <w:color w:val="auto"/>
        </w:rPr>
        <w:t>The uniquely long vesting periods of performance shares substantially increase the percentage of career compensation at risk of forfeiture due to detrimental activity.</w:t>
      </w:r>
    </w:p>
    <w:p>
      <w:pPr>
        <w:spacing w:after="0" w:line="144" w:lineRule="exact"/>
        <w:rPr>
          <w:sz w:val="20"/>
          <w:szCs w:val="20"/>
          <w:color w:val="auto"/>
        </w:rPr>
      </w:pPr>
    </w:p>
    <w:p>
      <w:pPr>
        <w:ind w:left="860"/>
        <w:spacing w:after="0"/>
        <w:rPr>
          <w:sz w:val="20"/>
          <w:szCs w:val="20"/>
          <w:color w:val="auto"/>
        </w:rPr>
      </w:pPr>
      <w:r>
        <w:rPr>
          <w:rFonts w:ascii="Arial" w:cs="Arial" w:eastAsia="Arial" w:hAnsi="Arial"/>
          <w:sz w:val="18"/>
          <w:szCs w:val="18"/>
          <w:b w:val="1"/>
          <w:bCs w:val="1"/>
          <w:color w:val="auto"/>
        </w:rPr>
        <w:t>Employment Arrangements</w:t>
      </w:r>
    </w:p>
    <w:p>
      <w:pPr>
        <w:spacing w:after="0" w:line="119" w:lineRule="exact"/>
        <w:rPr>
          <w:sz w:val="20"/>
          <w:szCs w:val="20"/>
          <w:color w:val="auto"/>
        </w:rPr>
      </w:pPr>
    </w:p>
    <w:p>
      <w:pPr>
        <w:ind w:left="1240" w:right="620" w:hanging="388"/>
        <w:spacing w:after="0" w:line="284" w:lineRule="auto"/>
        <w:tabs>
          <w:tab w:leader="none" w:pos="1240" w:val="left"/>
        </w:tabs>
        <w:numPr>
          <w:ilvl w:val="0"/>
          <w:numId w:val="59"/>
        </w:numPr>
        <w:rPr>
          <w:rFonts w:ascii="Times New Roman" w:cs="Times New Roman" w:eastAsia="Times New Roman" w:hAnsi="Times New Roman"/>
          <w:sz w:val="18"/>
          <w:szCs w:val="18"/>
          <w:color w:val="auto"/>
        </w:rPr>
      </w:pPr>
      <w:r>
        <w:rPr>
          <w:rFonts w:ascii="Arial" w:cs="Arial" w:eastAsia="Arial" w:hAnsi="Arial"/>
          <w:sz w:val="18"/>
          <w:szCs w:val="18"/>
          <w:color w:val="auto"/>
        </w:rPr>
        <w:t xml:space="preserve">The CEO and other Named Executive Officers are “at-will” employees and as such </w:t>
      </w:r>
      <w:r>
        <w:rPr>
          <w:rFonts w:ascii="Arial" w:cs="Arial" w:eastAsia="Arial" w:hAnsi="Arial"/>
          <w:sz w:val="18"/>
          <w:szCs w:val="18"/>
          <w:b w:val="1"/>
          <w:bCs w:val="1"/>
          <w:i w:val="1"/>
          <w:iCs w:val="1"/>
          <w:color w:val="auto"/>
        </w:rPr>
        <w:t>do not have employment</w:t>
      </w:r>
      <w:r>
        <w:rPr>
          <w:rFonts w:ascii="Arial" w:cs="Arial" w:eastAsia="Arial" w:hAnsi="Arial"/>
          <w:sz w:val="18"/>
          <w:szCs w:val="18"/>
          <w:color w:val="auto"/>
        </w:rPr>
        <w:t xml:space="preserve"> </w:t>
      </w:r>
      <w:r>
        <w:rPr>
          <w:rFonts w:ascii="Arial" w:cs="Arial" w:eastAsia="Arial" w:hAnsi="Arial"/>
          <w:sz w:val="18"/>
          <w:szCs w:val="18"/>
          <w:b w:val="1"/>
          <w:bCs w:val="1"/>
          <w:i w:val="1"/>
          <w:iCs w:val="1"/>
          <w:color w:val="auto"/>
        </w:rPr>
        <w:t xml:space="preserve">contracts, severance agreements, or change-in-control arrangements </w:t>
      </w:r>
      <w:r>
        <w:rPr>
          <w:rFonts w:ascii="Arial" w:cs="Arial" w:eastAsia="Arial" w:hAnsi="Arial"/>
          <w:sz w:val="18"/>
          <w:szCs w:val="18"/>
          <w:color w:val="auto"/>
        </w:rPr>
        <w:t>with the Company.</w:t>
      </w:r>
    </w:p>
    <w:p>
      <w:pPr>
        <w:spacing w:after="0" w:line="35" w:lineRule="exact"/>
        <w:rPr>
          <w:rFonts w:ascii="Times New Roman" w:cs="Times New Roman" w:eastAsia="Times New Roman" w:hAnsi="Times New Roman"/>
          <w:sz w:val="18"/>
          <w:szCs w:val="18"/>
          <w:color w:val="auto"/>
        </w:rPr>
      </w:pPr>
    </w:p>
    <w:p>
      <w:pPr>
        <w:ind w:left="1240" w:right="1140" w:hanging="388"/>
        <w:spacing w:after="0" w:line="275" w:lineRule="auto"/>
        <w:tabs>
          <w:tab w:leader="none" w:pos="1240" w:val="left"/>
        </w:tabs>
        <w:numPr>
          <w:ilvl w:val="0"/>
          <w:numId w:val="59"/>
        </w:numPr>
        <w:rPr>
          <w:rFonts w:ascii="Times New Roman" w:cs="Times New Roman" w:eastAsia="Times New Roman" w:hAnsi="Times New Roman"/>
          <w:sz w:val="18"/>
          <w:szCs w:val="18"/>
          <w:color w:val="auto"/>
        </w:rPr>
      </w:pPr>
      <w:r>
        <w:rPr>
          <w:rFonts w:ascii="Arial" w:cs="Arial" w:eastAsia="Arial" w:hAnsi="Arial"/>
          <w:sz w:val="18"/>
          <w:szCs w:val="18"/>
          <w:color w:val="auto"/>
        </w:rPr>
        <w:t>This eliminates any real or perceived “safety net” with respect to job security and increases the risk and consequences to the individual of performance that does not meet the highest standards.</w:t>
      </w:r>
    </w:p>
    <w:p>
      <w:pPr>
        <w:spacing w:after="0" w:line="144" w:lineRule="exact"/>
        <w:rPr>
          <w:sz w:val="20"/>
          <w:szCs w:val="20"/>
          <w:color w:val="auto"/>
        </w:rPr>
      </w:pPr>
    </w:p>
    <w:p>
      <w:pPr>
        <w:ind w:left="860"/>
        <w:spacing w:after="0"/>
        <w:rPr>
          <w:sz w:val="20"/>
          <w:szCs w:val="20"/>
          <w:color w:val="auto"/>
        </w:rPr>
      </w:pPr>
      <w:r>
        <w:rPr>
          <w:rFonts w:ascii="Arial" w:cs="Arial" w:eastAsia="Arial" w:hAnsi="Arial"/>
          <w:sz w:val="18"/>
          <w:szCs w:val="18"/>
          <w:b w:val="1"/>
          <w:bCs w:val="1"/>
          <w:color w:val="auto"/>
        </w:rPr>
        <w:t>Tax Matters</w:t>
      </w:r>
    </w:p>
    <w:p>
      <w:pPr>
        <w:spacing w:after="0" w:line="119" w:lineRule="exact"/>
        <w:rPr>
          <w:sz w:val="20"/>
          <w:szCs w:val="20"/>
          <w:color w:val="auto"/>
        </w:rPr>
      </w:pPr>
    </w:p>
    <w:p>
      <w:pPr>
        <w:ind w:left="1240" w:hanging="388"/>
        <w:spacing w:after="0"/>
        <w:tabs>
          <w:tab w:leader="none" w:pos="1240" w:val="left"/>
        </w:tabs>
        <w:numPr>
          <w:ilvl w:val="0"/>
          <w:numId w:val="60"/>
        </w:numPr>
        <w:rPr>
          <w:rFonts w:ascii="Times New Roman" w:cs="Times New Roman" w:eastAsia="Times New Roman" w:hAnsi="Times New Roman"/>
          <w:sz w:val="18"/>
          <w:szCs w:val="18"/>
          <w:color w:val="auto"/>
        </w:rPr>
      </w:pPr>
      <w:r>
        <w:rPr>
          <w:rFonts w:ascii="Arial" w:cs="Arial" w:eastAsia="Arial" w:hAnsi="Arial"/>
          <w:sz w:val="18"/>
          <w:szCs w:val="18"/>
          <w:color w:val="auto"/>
        </w:rPr>
        <w:t>The Company does not provide tax assistance for either bonus or performance share awards.</w:t>
      </w:r>
    </w:p>
    <w:p>
      <w:pPr>
        <w:spacing w:after="0" w:line="129" w:lineRule="exact"/>
        <w:rPr>
          <w:rFonts w:ascii="Times New Roman" w:cs="Times New Roman" w:eastAsia="Times New Roman" w:hAnsi="Times New Roman"/>
          <w:sz w:val="18"/>
          <w:szCs w:val="18"/>
          <w:color w:val="auto"/>
        </w:rPr>
      </w:pPr>
    </w:p>
    <w:p>
      <w:pPr>
        <w:ind w:left="1240" w:right="40" w:hanging="388"/>
        <w:spacing w:after="0" w:line="245" w:lineRule="auto"/>
        <w:tabs>
          <w:tab w:leader="none" w:pos="1240" w:val="left"/>
        </w:tabs>
        <w:numPr>
          <w:ilvl w:val="0"/>
          <w:numId w:val="60"/>
        </w:numPr>
        <w:rPr>
          <w:rFonts w:ascii="Times New Roman" w:cs="Times New Roman" w:eastAsia="Times New Roman" w:hAnsi="Times New Roman"/>
          <w:sz w:val="18"/>
          <w:szCs w:val="18"/>
          <w:color w:val="auto"/>
        </w:rPr>
      </w:pPr>
      <w:r>
        <w:rPr>
          <w:rFonts w:ascii="Arial" w:cs="Arial" w:eastAsia="Arial" w:hAnsi="Arial"/>
          <w:sz w:val="18"/>
          <w:szCs w:val="18"/>
          <w:color w:val="auto"/>
        </w:rPr>
        <w:t>Starting in 2018, the U.S. Internal Revenue Code (Code) was amended so that annual compensation, including performance-based compensation, in excess of $1 million paid to the CEO, the Principal Financial Officer (PFO), and the other three most highly paid executives is not tax deductible by the Corporation. This amendment applies to bonuses and performance shares granted beginning in November 2017 and later. It also applies to non-qualified pensions and other compensation paid to covered executives following retirement.</w:t>
      </w:r>
    </w:p>
    <w:p>
      <w:pPr>
        <w:spacing w:after="0" w:line="77" w:lineRule="exact"/>
        <w:rPr>
          <w:rFonts w:ascii="Times New Roman" w:cs="Times New Roman" w:eastAsia="Times New Roman" w:hAnsi="Times New Roman"/>
          <w:sz w:val="18"/>
          <w:szCs w:val="18"/>
          <w:color w:val="auto"/>
        </w:rPr>
      </w:pPr>
    </w:p>
    <w:p>
      <w:pPr>
        <w:ind w:left="1240" w:right="440" w:hanging="388"/>
        <w:spacing w:after="0" w:line="275" w:lineRule="auto"/>
        <w:tabs>
          <w:tab w:leader="none" w:pos="1240" w:val="left"/>
        </w:tabs>
        <w:numPr>
          <w:ilvl w:val="0"/>
          <w:numId w:val="60"/>
        </w:numPr>
        <w:rPr>
          <w:rFonts w:ascii="Times New Roman" w:cs="Times New Roman" w:eastAsia="Times New Roman" w:hAnsi="Times New Roman"/>
          <w:sz w:val="18"/>
          <w:szCs w:val="18"/>
          <w:color w:val="auto"/>
        </w:rPr>
      </w:pPr>
      <w:r>
        <w:rPr>
          <w:rFonts w:ascii="Arial" w:cs="Arial" w:eastAsia="Arial" w:hAnsi="Arial"/>
          <w:sz w:val="18"/>
          <w:szCs w:val="18"/>
          <w:color w:val="auto"/>
        </w:rPr>
        <w:t>A transition rule preserves the tax deductibility of bonuses and performance shares awarded prior to 2017 under pre-amendment Code provisions.</w:t>
      </w:r>
    </w:p>
    <w:p>
      <w:pPr>
        <w:spacing w:after="0" w:line="51" w:lineRule="exact"/>
        <w:rPr>
          <w:rFonts w:ascii="Times New Roman" w:cs="Times New Roman" w:eastAsia="Times New Roman" w:hAnsi="Times New Roman"/>
          <w:sz w:val="18"/>
          <w:szCs w:val="18"/>
          <w:color w:val="auto"/>
        </w:rPr>
      </w:pPr>
    </w:p>
    <w:p>
      <w:pPr>
        <w:ind w:left="1240" w:hanging="388"/>
        <w:spacing w:after="0"/>
        <w:tabs>
          <w:tab w:leader="none" w:pos="1240" w:val="left"/>
        </w:tabs>
        <w:numPr>
          <w:ilvl w:val="0"/>
          <w:numId w:val="60"/>
        </w:numPr>
        <w:rPr>
          <w:rFonts w:ascii="Times New Roman" w:cs="Times New Roman" w:eastAsia="Times New Roman" w:hAnsi="Times New Roman"/>
          <w:sz w:val="18"/>
          <w:szCs w:val="18"/>
          <w:color w:val="auto"/>
        </w:rPr>
      </w:pPr>
      <w:r>
        <w:rPr>
          <w:rFonts w:ascii="Arial" w:cs="Arial" w:eastAsia="Arial" w:hAnsi="Arial"/>
          <w:sz w:val="18"/>
          <w:szCs w:val="18"/>
          <w:color w:val="auto"/>
        </w:rPr>
        <w:t>Executives may not elect to defer any element of compensation prior to retirement.</w:t>
      </w:r>
    </w:p>
    <w:p>
      <w:pPr>
        <w:spacing w:after="0" w:line="129" w:lineRule="exact"/>
        <w:rPr>
          <w:rFonts w:ascii="Times New Roman" w:cs="Times New Roman" w:eastAsia="Times New Roman" w:hAnsi="Times New Roman"/>
          <w:sz w:val="18"/>
          <w:szCs w:val="18"/>
          <w:color w:val="auto"/>
        </w:rPr>
      </w:pPr>
    </w:p>
    <w:p>
      <w:pPr>
        <w:ind w:left="1240" w:right="140" w:hanging="388"/>
        <w:spacing w:after="0" w:line="255" w:lineRule="auto"/>
        <w:tabs>
          <w:tab w:leader="none" w:pos="1240" w:val="left"/>
        </w:tabs>
        <w:numPr>
          <w:ilvl w:val="0"/>
          <w:numId w:val="60"/>
        </w:numPr>
        <w:rPr>
          <w:rFonts w:ascii="Times New Roman" w:cs="Times New Roman" w:eastAsia="Times New Roman" w:hAnsi="Times New Roman"/>
          <w:sz w:val="18"/>
          <w:szCs w:val="18"/>
          <w:color w:val="auto"/>
        </w:rPr>
      </w:pPr>
      <w:r>
        <w:rPr>
          <w:rFonts w:ascii="Arial" w:cs="Arial" w:eastAsia="Arial" w:hAnsi="Arial"/>
          <w:sz w:val="18"/>
          <w:szCs w:val="18"/>
          <w:color w:val="auto"/>
        </w:rPr>
        <w:t>Nonqualified pension and other benefits have been designed in a manner intended to avoid additional taxes that could potentially be imposed on the recipients of such amounts by Section 409A of the Internal Revenue Code. This is achieved by setting the form and timing of distributions to eliminate executive and Company discretion.</w:t>
      </w:r>
    </w:p>
    <w:p>
      <w:pPr>
        <w:spacing w:after="0" w:line="163" w:lineRule="exact"/>
        <w:rPr>
          <w:sz w:val="20"/>
          <w:szCs w:val="20"/>
          <w:color w:val="auto"/>
        </w:rPr>
      </w:pPr>
    </w:p>
    <w:p>
      <w:pPr>
        <w:ind w:left="860"/>
        <w:spacing w:after="0"/>
        <w:rPr>
          <w:sz w:val="20"/>
          <w:szCs w:val="20"/>
          <w:color w:val="auto"/>
        </w:rPr>
      </w:pPr>
      <w:r>
        <w:rPr>
          <w:rFonts w:ascii="Arial" w:cs="Arial" w:eastAsia="Arial" w:hAnsi="Arial"/>
          <w:sz w:val="18"/>
          <w:szCs w:val="18"/>
          <w:color w:val="auto"/>
        </w:rPr>
        <w:t>The above Tax Matters discussion is based on the Company’s interpretation of current U.S. tax laws.</w:t>
      </w:r>
    </w:p>
    <w:p>
      <w:pPr>
        <w:spacing w:after="0" w:line="144" w:lineRule="exact"/>
        <w:rPr>
          <w:sz w:val="20"/>
          <w:szCs w:val="20"/>
          <w:color w:val="auto"/>
        </w:rPr>
      </w:pPr>
    </w:p>
    <w:tbl>
      <w:tblPr>
        <w:tblLayout w:type="fixed"/>
        <w:tblInd w:w="6960" w:type="dxa"/>
        <w:tblCellMar>
          <w:top w:w="0" w:type="dxa"/>
          <w:left w:w="0" w:type="dxa"/>
          <w:bottom w:w="0" w:type="dxa"/>
          <w:right w:w="0" w:type="dxa"/>
        </w:tblCellMar>
      </w:tblPr>
      <w:tr>
        <w:trPr>
          <w:trHeight w:val="243"/>
        </w:trPr>
        <w:tc>
          <w:tcPr>
            <w:tcW w:w="2440" w:type="dxa"/>
            <w:vAlign w:val="bottom"/>
          </w:tcPr>
          <w:p>
            <w:pPr>
              <w:spacing w:after="0"/>
              <w:rPr>
                <w:sz w:val="20"/>
                <w:szCs w:val="20"/>
                <w:color w:val="auto"/>
              </w:rPr>
            </w:pPr>
            <w:r>
              <w:rPr>
                <w:rFonts w:ascii="Times New Roman" w:cs="Times New Roman" w:eastAsia="Times New Roman" w:hAnsi="Times New Roman"/>
                <w:sz w:val="18"/>
                <w:szCs w:val="18"/>
                <w:i w:val="1"/>
                <w:iCs w:val="1"/>
                <w:color w:val="auto"/>
              </w:rPr>
              <w:t>2018 Proxy Statement</w:t>
            </w:r>
          </w:p>
        </w:tc>
        <w:tc>
          <w:tcPr>
            <w:tcW w:w="1060" w:type="dxa"/>
            <w:vAlign w:val="bottom"/>
          </w:tcPr>
          <w:p>
            <w:pPr>
              <w:jc w:val="right"/>
              <w:spacing w:after="0"/>
              <w:rPr>
                <w:sz w:val="20"/>
                <w:szCs w:val="20"/>
                <w:color w:val="auto"/>
              </w:rPr>
            </w:pPr>
            <w:r>
              <w:rPr>
                <w:rFonts w:ascii="Arial" w:cs="Arial" w:eastAsia="Arial" w:hAnsi="Arial"/>
                <w:sz w:val="18"/>
                <w:szCs w:val="18"/>
                <w:color w:val="auto"/>
              </w:rPr>
              <w:t>43</w:t>
            </w:r>
          </w:p>
        </w:tc>
      </w:tr>
    </w:tbl>
    <w:p>
      <w:pPr>
        <w:sectPr>
          <w:pgSz w:w="11900" w:h="16838" w:orient="portrait"/>
          <w:cols w:equalWidth="0" w:num="1">
            <w:col w:w="10580"/>
          </w:cols>
          <w:pgMar w:left="240" w:top="455" w:right="1079" w:bottom="1440" w:gutter="0" w:footer="0" w:header="0"/>
        </w:sectPr>
      </w:pPr>
    </w:p>
    <w:bookmarkStart w:id="46" w:name="page47"/>
    <w:bookmarkEnd w:id="46"/>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01">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Times New Roman" w:cs="Times New Roman" w:eastAsia="Times New Roman" w:hAnsi="Times New Roman"/>
            <w:sz w:val="18"/>
            <w:szCs w:val="18"/>
            <w:b w:val="1"/>
            <w:bCs w:val="1"/>
            <w:u w:val="single" w:color="auto"/>
            <w:color w:val="0000EE"/>
          </w:rPr>
          <w:t>Table of Contents</w:t>
        </w:r>
      </w:hyperlink>
    </w:p>
    <w:p>
      <w:pPr>
        <w:spacing w:after="0" w:line="303" w:lineRule="exact"/>
        <w:rPr>
          <w:sz w:val="20"/>
          <w:szCs w:val="20"/>
          <w:color w:val="auto"/>
        </w:rPr>
      </w:pPr>
    </w:p>
    <w:p>
      <w:pPr>
        <w:ind w:left="860"/>
        <w:spacing w:after="0"/>
        <w:rPr>
          <w:sz w:val="20"/>
          <w:szCs w:val="20"/>
          <w:color w:val="auto"/>
        </w:rPr>
      </w:pPr>
      <w:r>
        <w:rPr>
          <w:rFonts w:ascii="Arial" w:cs="Arial" w:eastAsia="Arial" w:hAnsi="Arial"/>
          <w:sz w:val="18"/>
          <w:szCs w:val="18"/>
          <w:b w:val="1"/>
          <w:bCs w:val="1"/>
          <w:color w:val="auto"/>
        </w:rPr>
        <w:t>Changes to Company Performance Metrics</w:t>
      </w:r>
    </w:p>
    <w:p>
      <w:pPr>
        <w:spacing w:after="0" w:line="119" w:lineRule="exact"/>
        <w:rPr>
          <w:sz w:val="20"/>
          <w:szCs w:val="20"/>
          <w:color w:val="auto"/>
        </w:rPr>
      </w:pPr>
    </w:p>
    <w:p>
      <w:pPr>
        <w:ind w:left="1240" w:hanging="388"/>
        <w:spacing w:after="0" w:line="275" w:lineRule="auto"/>
        <w:tabs>
          <w:tab w:leader="none" w:pos="1240" w:val="left"/>
        </w:tabs>
        <w:numPr>
          <w:ilvl w:val="0"/>
          <w:numId w:val="61"/>
        </w:numPr>
        <w:rPr>
          <w:rFonts w:ascii="Times New Roman" w:cs="Times New Roman" w:eastAsia="Times New Roman" w:hAnsi="Times New Roman"/>
          <w:sz w:val="18"/>
          <w:szCs w:val="18"/>
          <w:color w:val="auto"/>
        </w:rPr>
      </w:pPr>
      <w:r>
        <w:rPr>
          <w:rFonts w:ascii="Arial" w:cs="Arial" w:eastAsia="Arial" w:hAnsi="Arial"/>
          <w:sz w:val="18"/>
          <w:szCs w:val="18"/>
          <w:color w:val="auto"/>
        </w:rPr>
        <w:t>As described in the Executive Compensation Overview on page 34, the Compensation Committee made changes to the Company performance metrics used in compensation decisions in 2017.</w:t>
      </w:r>
    </w:p>
    <w:p>
      <w:pPr>
        <w:spacing w:after="0" w:line="51" w:lineRule="exact"/>
        <w:rPr>
          <w:rFonts w:ascii="Times New Roman" w:cs="Times New Roman" w:eastAsia="Times New Roman" w:hAnsi="Times New Roman"/>
          <w:sz w:val="18"/>
          <w:szCs w:val="18"/>
          <w:color w:val="auto"/>
        </w:rPr>
      </w:pPr>
    </w:p>
    <w:p>
      <w:pPr>
        <w:jc w:val="both"/>
        <w:ind w:left="1240" w:right="80" w:hanging="388"/>
        <w:spacing w:after="0" w:line="255" w:lineRule="auto"/>
        <w:tabs>
          <w:tab w:leader="none" w:pos="1240" w:val="left"/>
        </w:tabs>
        <w:numPr>
          <w:ilvl w:val="0"/>
          <w:numId w:val="61"/>
        </w:numPr>
        <w:rPr>
          <w:rFonts w:ascii="Times New Roman" w:cs="Times New Roman" w:eastAsia="Times New Roman" w:hAnsi="Times New Roman"/>
          <w:sz w:val="18"/>
          <w:szCs w:val="18"/>
          <w:color w:val="auto"/>
        </w:rPr>
      </w:pPr>
      <w:r>
        <w:rPr>
          <w:rFonts w:ascii="Arial" w:cs="Arial" w:eastAsia="Arial" w:hAnsi="Arial"/>
          <w:sz w:val="18"/>
          <w:szCs w:val="18"/>
          <w:color w:val="auto"/>
        </w:rPr>
        <w:t>Free Cash Flow and Shareholder Distributions yield metrics were removed but the charts are provided to show that the Company continues to lead our industry peers on these metrics over the investment lead times of the business (10 years). The rationale for removing these as performance metrics is provided on page 36, Footnote 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545465</wp:posOffset>
            </wp:positionH>
            <wp:positionV relativeFrom="paragraph">
              <wp:posOffset>135255</wp:posOffset>
            </wp:positionV>
            <wp:extent cx="6106160" cy="2529840"/>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02">
                      <a:extLst>
                        <a:ext uri="{28A0092B-C50C-407E-A947-70E740481C1C}"/>
                      </a:extLst>
                    </a:blip>
                    <a:srcRect/>
                    <a:stretch>
                      <a:fillRect/>
                    </a:stretch>
                  </pic:blipFill>
                  <pic:spPr bwMode="auto">
                    <a:xfrm>
                      <a:off x="0" y="0"/>
                      <a:ext cx="6106160" cy="252984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5" w:lineRule="exact"/>
        <w:rPr>
          <w:sz w:val="20"/>
          <w:szCs w:val="20"/>
          <w:color w:val="auto"/>
        </w:rPr>
      </w:pPr>
    </w:p>
    <w:p>
      <w:pPr>
        <w:ind w:left="1140" w:right="160" w:hanging="288"/>
        <w:spacing w:after="0" w:line="255" w:lineRule="auto"/>
        <w:tabs>
          <w:tab w:leader="none" w:pos="1140" w:val="left"/>
        </w:tabs>
        <w:numPr>
          <w:ilvl w:val="0"/>
          <w:numId w:val="62"/>
        </w:numPr>
        <w:rPr>
          <w:rFonts w:ascii="Arial" w:cs="Arial" w:eastAsia="Arial" w:hAnsi="Arial"/>
          <w:sz w:val="14"/>
          <w:szCs w:val="14"/>
          <w:color w:val="auto"/>
        </w:rPr>
      </w:pPr>
      <w:r>
        <w:rPr>
          <w:rFonts w:ascii="Arial" w:cs="Arial" w:eastAsia="Arial" w:hAnsi="Arial"/>
          <w:sz w:val="14"/>
          <w:szCs w:val="14"/>
          <w:color w:val="auto"/>
        </w:rPr>
        <w:t xml:space="preserve">Competitor data estimated on a consistent basis with ExxonMobil and based on public information. For definitions and more information, see the </w:t>
      </w:r>
      <w:r>
        <w:rPr>
          <w:rFonts w:ascii="Arial" w:cs="Arial" w:eastAsia="Arial" w:hAnsi="Arial"/>
          <w:sz w:val="14"/>
          <w:szCs w:val="14"/>
          <w:i w:val="1"/>
          <w:iCs w:val="1"/>
          <w:color w:val="auto"/>
        </w:rPr>
        <w:t xml:space="preserve">Summary Annual Report </w:t>
      </w:r>
      <w:r>
        <w:rPr>
          <w:rFonts w:ascii="Arial" w:cs="Arial" w:eastAsia="Arial" w:hAnsi="Arial"/>
          <w:sz w:val="14"/>
          <w:szCs w:val="14"/>
          <w:color w:val="auto"/>
        </w:rPr>
        <w:t>on page 37.</w:t>
      </w:r>
    </w:p>
    <w:p>
      <w:pPr>
        <w:ind w:left="1140" w:right="100" w:hanging="288"/>
        <w:spacing w:after="0" w:line="264" w:lineRule="auto"/>
        <w:tabs>
          <w:tab w:leader="none" w:pos="1140" w:val="left"/>
        </w:tabs>
        <w:numPr>
          <w:ilvl w:val="0"/>
          <w:numId w:val="62"/>
        </w:numPr>
        <w:rPr>
          <w:rFonts w:ascii="Arial" w:cs="Arial" w:eastAsia="Arial" w:hAnsi="Arial"/>
          <w:sz w:val="14"/>
          <w:szCs w:val="14"/>
          <w:color w:val="auto"/>
        </w:rPr>
      </w:pPr>
      <w:r>
        <w:rPr>
          <w:rFonts w:ascii="Arial" w:cs="Arial" w:eastAsia="Arial" w:hAnsi="Arial"/>
          <w:sz w:val="14"/>
          <w:szCs w:val="14"/>
          <w:color w:val="auto"/>
        </w:rPr>
        <w:t>Total shareholder distributions divided by market capitalization. Shareholder distributions consist of cash dividends and share buybacks to reduce shares outstanding.</w:t>
      </w:r>
    </w:p>
    <w:p>
      <w:pPr>
        <w:spacing w:after="0" w:line="91" w:lineRule="exact"/>
        <w:rPr>
          <w:sz w:val="20"/>
          <w:szCs w:val="20"/>
          <w:color w:val="auto"/>
        </w:rPr>
      </w:pPr>
    </w:p>
    <w:p>
      <w:pPr>
        <w:ind w:left="880"/>
        <w:spacing w:after="0"/>
        <w:tabs>
          <w:tab w:leader="none" w:pos="2780" w:val="left"/>
        </w:tabs>
        <w:rPr>
          <w:sz w:val="20"/>
          <w:szCs w:val="20"/>
          <w:color w:val="auto"/>
        </w:rPr>
      </w:pPr>
      <w:r>
        <w:rPr>
          <w:rFonts w:ascii="Arial" w:cs="Arial" w:eastAsia="Arial" w:hAnsi="Arial"/>
          <w:sz w:val="18"/>
          <w:szCs w:val="18"/>
          <w:color w:val="auto"/>
        </w:rPr>
        <w:t>44</w:t>
      </w:r>
      <w:r>
        <w:rPr>
          <w:sz w:val="20"/>
          <w:szCs w:val="20"/>
          <w:color w:val="auto"/>
        </w:rPr>
        <w:tab/>
      </w:r>
      <w:r>
        <w:rPr>
          <w:rFonts w:ascii="Times New Roman" w:cs="Times New Roman" w:eastAsia="Times New Roman" w:hAnsi="Times New Roman"/>
          <w:sz w:val="18"/>
          <w:szCs w:val="18"/>
          <w:i w:val="1"/>
          <w:iCs w:val="1"/>
          <w:color w:val="auto"/>
        </w:rPr>
        <w:t>2018 Proxy Statement</w:t>
      </w:r>
    </w:p>
    <w:p>
      <w:pPr>
        <w:sectPr>
          <w:pgSz w:w="11900" w:h="16838" w:orient="portrait"/>
          <w:cols w:equalWidth="0" w:num="1">
            <w:col w:w="10460"/>
          </w:cols>
          <w:pgMar w:left="240" w:top="455" w:right="1199" w:bottom="1440" w:gutter="0" w:footer="0" w:header="0"/>
        </w:sectPr>
      </w:pPr>
    </w:p>
    <w:bookmarkStart w:id="47" w:name="page48"/>
    <w:bookmarkEnd w:id="47"/>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03">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Times New Roman" w:cs="Times New Roman" w:eastAsia="Times New Roman" w:hAnsi="Times New Roman"/>
            <w:sz w:val="18"/>
            <w:szCs w:val="18"/>
            <w:b w:val="1"/>
            <w:bCs w:val="1"/>
            <w:u w:val="single" w:color="auto"/>
            <w:color w:val="0000EE"/>
          </w:rPr>
          <w:t>Table of Contents</w:t>
        </w:r>
      </w:hyperlink>
    </w:p>
    <w:p>
      <w:pPr>
        <w:spacing w:after="0" w:line="300" w:lineRule="exact"/>
        <w:rPr>
          <w:sz w:val="20"/>
          <w:szCs w:val="20"/>
          <w:color w:val="auto"/>
        </w:rPr>
      </w:pPr>
    </w:p>
    <w:p>
      <w:pPr>
        <w:ind w:left="860"/>
        <w:spacing w:after="0"/>
        <w:rPr>
          <w:sz w:val="20"/>
          <w:szCs w:val="20"/>
          <w:color w:val="auto"/>
        </w:rPr>
      </w:pPr>
      <w:r>
        <w:rPr>
          <w:rFonts w:ascii="Arial" w:cs="Arial" w:eastAsia="Arial" w:hAnsi="Arial"/>
          <w:sz w:val="23"/>
          <w:szCs w:val="23"/>
          <w:b w:val="1"/>
          <w:bCs w:val="1"/>
          <w:color w:val="2B4C9B"/>
        </w:rPr>
        <w:t>EXECUTIVE COMPENSATION TABLES</w:t>
      </w:r>
    </w:p>
    <w:p>
      <w:pPr>
        <w:spacing w:after="0" w:line="238" w:lineRule="exact"/>
        <w:rPr>
          <w:sz w:val="20"/>
          <w:szCs w:val="20"/>
          <w:color w:val="auto"/>
        </w:rPr>
      </w:pPr>
    </w:p>
    <w:p>
      <w:pPr>
        <w:ind w:left="860"/>
        <w:spacing w:after="0"/>
        <w:rPr>
          <w:sz w:val="20"/>
          <w:szCs w:val="20"/>
          <w:color w:val="auto"/>
        </w:rPr>
      </w:pPr>
      <w:r>
        <w:rPr>
          <w:rFonts w:ascii="Arial" w:cs="Arial" w:eastAsia="Arial" w:hAnsi="Arial"/>
          <w:sz w:val="18"/>
          <w:szCs w:val="18"/>
          <w:b w:val="1"/>
          <w:bCs w:val="1"/>
          <w:color w:val="auto"/>
        </w:rPr>
        <w:t>Summary Compensation Table for 2017</w:t>
      </w:r>
    </w:p>
    <w:p>
      <w:pPr>
        <w:spacing w:after="0" w:line="244" w:lineRule="exact"/>
        <w:rPr>
          <w:sz w:val="20"/>
          <w:szCs w:val="20"/>
          <w:color w:val="auto"/>
        </w:rPr>
      </w:pPr>
    </w:p>
    <w:tbl>
      <w:tblPr>
        <w:tblLayout w:type="fixed"/>
        <w:tblInd w:w="870" w:type="dxa"/>
        <w:tblCellMar>
          <w:top w:w="0" w:type="dxa"/>
          <w:left w:w="0" w:type="dxa"/>
          <w:bottom w:w="0" w:type="dxa"/>
          <w:right w:w="0" w:type="dxa"/>
        </w:tblCellMar>
      </w:tblPr>
      <w:tr>
        <w:trPr>
          <w:trHeight w:val="179"/>
        </w:trPr>
        <w:tc>
          <w:tcPr>
            <w:tcW w:w="2900" w:type="dxa"/>
            <w:vAlign w:val="bottom"/>
            <w:tcBorders>
              <w:top w:val="single" w:sz="8" w:color="auto"/>
              <w:left w:val="single" w:sz="8" w:color="auto"/>
              <w:right w:val="single" w:sz="8" w:color="auto"/>
            </w:tcBorders>
          </w:tcPr>
          <w:p>
            <w:pPr>
              <w:spacing w:after="0"/>
              <w:rPr>
                <w:sz w:val="15"/>
                <w:szCs w:val="15"/>
                <w:color w:val="auto"/>
              </w:rPr>
            </w:pPr>
          </w:p>
        </w:tc>
        <w:tc>
          <w:tcPr>
            <w:tcW w:w="580" w:type="dxa"/>
            <w:vAlign w:val="bottom"/>
            <w:tcBorders>
              <w:top w:val="single" w:sz="8" w:color="auto"/>
              <w:right w:val="single" w:sz="8" w:color="auto"/>
            </w:tcBorders>
          </w:tcPr>
          <w:p>
            <w:pPr>
              <w:spacing w:after="0"/>
              <w:rPr>
                <w:sz w:val="15"/>
                <w:szCs w:val="15"/>
                <w:color w:val="auto"/>
              </w:rPr>
            </w:pPr>
          </w:p>
        </w:tc>
        <w:tc>
          <w:tcPr>
            <w:tcW w:w="880" w:type="dxa"/>
            <w:vAlign w:val="bottom"/>
            <w:tcBorders>
              <w:top w:val="single" w:sz="8" w:color="auto"/>
              <w:right w:val="single" w:sz="8" w:color="auto"/>
            </w:tcBorders>
          </w:tcPr>
          <w:p>
            <w:pPr>
              <w:spacing w:after="0"/>
              <w:rPr>
                <w:sz w:val="15"/>
                <w:szCs w:val="15"/>
                <w:color w:val="auto"/>
              </w:rPr>
            </w:pPr>
          </w:p>
        </w:tc>
        <w:tc>
          <w:tcPr>
            <w:tcW w:w="860" w:type="dxa"/>
            <w:vAlign w:val="bottom"/>
            <w:tcBorders>
              <w:top w:val="single" w:sz="8" w:color="auto"/>
              <w:right w:val="single" w:sz="8" w:color="auto"/>
            </w:tcBorders>
          </w:tcPr>
          <w:p>
            <w:pPr>
              <w:spacing w:after="0"/>
              <w:rPr>
                <w:sz w:val="15"/>
                <w:szCs w:val="15"/>
                <w:color w:val="auto"/>
              </w:rPr>
            </w:pPr>
          </w:p>
        </w:tc>
        <w:tc>
          <w:tcPr>
            <w:tcW w:w="940" w:type="dxa"/>
            <w:vAlign w:val="bottom"/>
            <w:tcBorders>
              <w:top w:val="single" w:sz="8" w:color="auto"/>
              <w:right w:val="single" w:sz="8" w:color="auto"/>
            </w:tcBorders>
          </w:tcPr>
          <w:p>
            <w:pPr>
              <w:spacing w:after="0"/>
              <w:rPr>
                <w:sz w:val="15"/>
                <w:szCs w:val="15"/>
                <w:color w:val="auto"/>
              </w:rPr>
            </w:pPr>
          </w:p>
        </w:tc>
        <w:tc>
          <w:tcPr>
            <w:tcW w:w="460" w:type="dxa"/>
            <w:vAlign w:val="bottom"/>
            <w:tcBorders>
              <w:top w:val="single" w:sz="8" w:color="auto"/>
              <w:right w:val="single" w:sz="8" w:color="auto"/>
            </w:tcBorders>
          </w:tcPr>
          <w:p>
            <w:pPr>
              <w:spacing w:after="0"/>
              <w:rPr>
                <w:sz w:val="15"/>
                <w:szCs w:val="15"/>
                <w:color w:val="auto"/>
              </w:rPr>
            </w:pPr>
          </w:p>
        </w:tc>
        <w:tc>
          <w:tcPr>
            <w:tcW w:w="580" w:type="dxa"/>
            <w:vAlign w:val="bottom"/>
            <w:tcBorders>
              <w:top w:val="single" w:sz="8" w:color="auto"/>
              <w:right w:val="single" w:sz="8" w:color="auto"/>
            </w:tcBorders>
          </w:tcPr>
          <w:p>
            <w:pPr>
              <w:spacing w:after="0"/>
              <w:rPr>
                <w:sz w:val="15"/>
                <w:szCs w:val="15"/>
                <w:color w:val="auto"/>
              </w:rPr>
            </w:pPr>
          </w:p>
        </w:tc>
        <w:tc>
          <w:tcPr>
            <w:tcW w:w="860" w:type="dxa"/>
            <w:vAlign w:val="bottom"/>
            <w:tcBorders>
              <w:top w:val="single" w:sz="8" w:color="auto"/>
              <w:right w:val="single" w:sz="8" w:color="auto"/>
            </w:tcBorders>
          </w:tcPr>
          <w:p>
            <w:pPr>
              <w:jc w:val="center"/>
              <w:spacing w:after="0"/>
              <w:rPr>
                <w:sz w:val="20"/>
                <w:szCs w:val="20"/>
                <w:color w:val="auto"/>
              </w:rPr>
            </w:pPr>
            <w:r>
              <w:rPr>
                <w:rFonts w:ascii="Arial" w:cs="Arial" w:eastAsia="Arial" w:hAnsi="Arial"/>
                <w:sz w:val="13"/>
                <w:szCs w:val="13"/>
                <w:b w:val="1"/>
                <w:bCs w:val="1"/>
                <w:color w:val="auto"/>
                <w:w w:val="95"/>
              </w:rPr>
              <w:t>Change in</w:t>
            </w:r>
          </w:p>
        </w:tc>
        <w:tc>
          <w:tcPr>
            <w:tcW w:w="760" w:type="dxa"/>
            <w:vAlign w:val="bottom"/>
            <w:tcBorders>
              <w:top w:val="single" w:sz="8" w:color="auto"/>
              <w:right w:val="single" w:sz="8" w:color="auto"/>
            </w:tcBorders>
          </w:tcPr>
          <w:p>
            <w:pPr>
              <w:spacing w:after="0"/>
              <w:rPr>
                <w:sz w:val="15"/>
                <w:szCs w:val="15"/>
                <w:color w:val="auto"/>
              </w:rPr>
            </w:pPr>
          </w:p>
        </w:tc>
        <w:tc>
          <w:tcPr>
            <w:tcW w:w="920" w:type="dxa"/>
            <w:vAlign w:val="bottom"/>
            <w:tcBorders>
              <w:top w:val="single" w:sz="8" w:color="auto"/>
              <w:right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135"/>
        </w:trPr>
        <w:tc>
          <w:tcPr>
            <w:tcW w:w="2900" w:type="dxa"/>
            <w:vAlign w:val="bottom"/>
            <w:tcBorders>
              <w:left w:val="single" w:sz="8" w:color="auto"/>
              <w:right w:val="single" w:sz="8" w:color="auto"/>
            </w:tcBorders>
          </w:tcPr>
          <w:p>
            <w:pPr>
              <w:spacing w:after="0"/>
              <w:rPr>
                <w:sz w:val="11"/>
                <w:szCs w:val="11"/>
                <w:color w:val="auto"/>
              </w:rPr>
            </w:pPr>
          </w:p>
        </w:tc>
        <w:tc>
          <w:tcPr>
            <w:tcW w:w="580" w:type="dxa"/>
            <w:vAlign w:val="bottom"/>
            <w:tcBorders>
              <w:right w:val="single" w:sz="8" w:color="auto"/>
            </w:tcBorders>
          </w:tcPr>
          <w:p>
            <w:pPr>
              <w:spacing w:after="0"/>
              <w:rPr>
                <w:sz w:val="11"/>
                <w:szCs w:val="11"/>
                <w:color w:val="auto"/>
              </w:rPr>
            </w:pPr>
          </w:p>
        </w:tc>
        <w:tc>
          <w:tcPr>
            <w:tcW w:w="880" w:type="dxa"/>
            <w:vAlign w:val="bottom"/>
            <w:tcBorders>
              <w:right w:val="single" w:sz="8" w:color="auto"/>
            </w:tcBorders>
          </w:tcPr>
          <w:p>
            <w:pPr>
              <w:spacing w:after="0"/>
              <w:rPr>
                <w:sz w:val="11"/>
                <w:szCs w:val="11"/>
                <w:color w:val="auto"/>
              </w:rPr>
            </w:pPr>
          </w:p>
        </w:tc>
        <w:tc>
          <w:tcPr>
            <w:tcW w:w="860" w:type="dxa"/>
            <w:vAlign w:val="bottom"/>
            <w:tcBorders>
              <w:right w:val="single" w:sz="8" w:color="auto"/>
            </w:tcBorders>
          </w:tcPr>
          <w:p>
            <w:pPr>
              <w:spacing w:after="0"/>
              <w:rPr>
                <w:sz w:val="11"/>
                <w:szCs w:val="11"/>
                <w:color w:val="auto"/>
              </w:rPr>
            </w:pPr>
          </w:p>
        </w:tc>
        <w:tc>
          <w:tcPr>
            <w:tcW w:w="940" w:type="dxa"/>
            <w:vAlign w:val="bottom"/>
            <w:tcBorders>
              <w:right w:val="single" w:sz="8" w:color="auto"/>
            </w:tcBorders>
          </w:tcPr>
          <w:p>
            <w:pPr>
              <w:spacing w:after="0"/>
              <w:rPr>
                <w:sz w:val="11"/>
                <w:szCs w:val="11"/>
                <w:color w:val="auto"/>
              </w:rPr>
            </w:pPr>
          </w:p>
        </w:tc>
        <w:tc>
          <w:tcPr>
            <w:tcW w:w="460" w:type="dxa"/>
            <w:vAlign w:val="bottom"/>
            <w:tcBorders>
              <w:right w:val="single" w:sz="8" w:color="auto"/>
            </w:tcBorders>
          </w:tcPr>
          <w:p>
            <w:pPr>
              <w:spacing w:after="0"/>
              <w:rPr>
                <w:sz w:val="11"/>
                <w:szCs w:val="11"/>
                <w:color w:val="auto"/>
              </w:rPr>
            </w:pPr>
          </w:p>
        </w:tc>
        <w:tc>
          <w:tcPr>
            <w:tcW w:w="580" w:type="dxa"/>
            <w:vAlign w:val="bottom"/>
            <w:tcBorders>
              <w:right w:val="single" w:sz="8" w:color="auto"/>
            </w:tcBorders>
            <w:vMerge w:val="restart"/>
          </w:tcPr>
          <w:p>
            <w:pPr>
              <w:jc w:val="center"/>
              <w:spacing w:after="0"/>
              <w:rPr>
                <w:sz w:val="20"/>
                <w:szCs w:val="20"/>
                <w:color w:val="auto"/>
              </w:rPr>
            </w:pPr>
            <w:r>
              <w:rPr>
                <w:rFonts w:ascii="Arial" w:cs="Arial" w:eastAsia="Arial" w:hAnsi="Arial"/>
                <w:sz w:val="13"/>
                <w:szCs w:val="13"/>
                <w:b w:val="1"/>
                <w:bCs w:val="1"/>
                <w:color w:val="auto"/>
                <w:w w:val="94"/>
              </w:rPr>
              <w:t>Non-</w:t>
            </w:r>
          </w:p>
        </w:tc>
        <w:tc>
          <w:tcPr>
            <w:tcW w:w="860" w:type="dxa"/>
            <w:vAlign w:val="bottom"/>
            <w:tcBorders>
              <w:right w:val="single" w:sz="8" w:color="auto"/>
            </w:tcBorders>
          </w:tcPr>
          <w:p>
            <w:pPr>
              <w:jc w:val="center"/>
              <w:spacing w:after="0" w:line="135" w:lineRule="exact"/>
              <w:rPr>
                <w:sz w:val="20"/>
                <w:szCs w:val="20"/>
                <w:color w:val="auto"/>
              </w:rPr>
            </w:pPr>
            <w:r>
              <w:rPr>
                <w:rFonts w:ascii="Arial" w:cs="Arial" w:eastAsia="Arial" w:hAnsi="Arial"/>
                <w:sz w:val="13"/>
                <w:szCs w:val="13"/>
                <w:b w:val="1"/>
                <w:bCs w:val="1"/>
                <w:color w:val="auto"/>
                <w:w w:val="94"/>
              </w:rPr>
              <w:t>Pension</w:t>
            </w:r>
          </w:p>
        </w:tc>
        <w:tc>
          <w:tcPr>
            <w:tcW w:w="760" w:type="dxa"/>
            <w:vAlign w:val="bottom"/>
            <w:tcBorders>
              <w:right w:val="single" w:sz="8" w:color="auto"/>
            </w:tcBorders>
          </w:tcPr>
          <w:p>
            <w:pPr>
              <w:spacing w:after="0"/>
              <w:rPr>
                <w:sz w:val="11"/>
                <w:szCs w:val="11"/>
                <w:color w:val="auto"/>
              </w:rPr>
            </w:pPr>
          </w:p>
        </w:tc>
        <w:tc>
          <w:tcPr>
            <w:tcW w:w="920" w:type="dxa"/>
            <w:vAlign w:val="bottom"/>
            <w:tcBorders>
              <w:right w:val="single" w:sz="8" w:color="auto"/>
            </w:tcBorders>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900" w:type="dxa"/>
            <w:vAlign w:val="bottom"/>
            <w:tcBorders>
              <w:left w:val="single" w:sz="8" w:color="auto"/>
              <w:right w:val="single" w:sz="8" w:color="auto"/>
            </w:tcBorders>
          </w:tcPr>
          <w:p>
            <w:pPr>
              <w:spacing w:after="0"/>
              <w:rPr>
                <w:sz w:val="11"/>
                <w:szCs w:val="11"/>
                <w:color w:val="auto"/>
              </w:rPr>
            </w:pPr>
          </w:p>
        </w:tc>
        <w:tc>
          <w:tcPr>
            <w:tcW w:w="580" w:type="dxa"/>
            <w:vAlign w:val="bottom"/>
            <w:tcBorders>
              <w:right w:val="single" w:sz="8" w:color="auto"/>
            </w:tcBorders>
          </w:tcPr>
          <w:p>
            <w:pPr>
              <w:spacing w:after="0"/>
              <w:rPr>
                <w:sz w:val="11"/>
                <w:szCs w:val="11"/>
                <w:color w:val="auto"/>
              </w:rPr>
            </w:pPr>
          </w:p>
        </w:tc>
        <w:tc>
          <w:tcPr>
            <w:tcW w:w="880" w:type="dxa"/>
            <w:vAlign w:val="bottom"/>
            <w:tcBorders>
              <w:right w:val="single" w:sz="8" w:color="auto"/>
            </w:tcBorders>
          </w:tcPr>
          <w:p>
            <w:pPr>
              <w:spacing w:after="0"/>
              <w:rPr>
                <w:sz w:val="11"/>
                <w:szCs w:val="11"/>
                <w:color w:val="auto"/>
              </w:rPr>
            </w:pPr>
          </w:p>
        </w:tc>
        <w:tc>
          <w:tcPr>
            <w:tcW w:w="860" w:type="dxa"/>
            <w:vAlign w:val="bottom"/>
            <w:tcBorders>
              <w:right w:val="single" w:sz="8" w:color="auto"/>
            </w:tcBorders>
          </w:tcPr>
          <w:p>
            <w:pPr>
              <w:spacing w:after="0"/>
              <w:rPr>
                <w:sz w:val="11"/>
                <w:szCs w:val="11"/>
                <w:color w:val="auto"/>
              </w:rPr>
            </w:pPr>
          </w:p>
        </w:tc>
        <w:tc>
          <w:tcPr>
            <w:tcW w:w="940" w:type="dxa"/>
            <w:vAlign w:val="bottom"/>
            <w:tcBorders>
              <w:right w:val="single" w:sz="8" w:color="auto"/>
            </w:tcBorders>
          </w:tcPr>
          <w:p>
            <w:pPr>
              <w:spacing w:after="0"/>
              <w:rPr>
                <w:sz w:val="11"/>
                <w:szCs w:val="11"/>
                <w:color w:val="auto"/>
              </w:rPr>
            </w:pPr>
          </w:p>
        </w:tc>
        <w:tc>
          <w:tcPr>
            <w:tcW w:w="460" w:type="dxa"/>
            <w:vAlign w:val="bottom"/>
            <w:tcBorders>
              <w:right w:val="single" w:sz="8" w:color="auto"/>
            </w:tcBorders>
          </w:tcPr>
          <w:p>
            <w:pPr>
              <w:spacing w:after="0"/>
              <w:rPr>
                <w:sz w:val="11"/>
                <w:szCs w:val="11"/>
                <w:color w:val="auto"/>
              </w:rPr>
            </w:pPr>
          </w:p>
        </w:tc>
        <w:tc>
          <w:tcPr>
            <w:tcW w:w="580" w:type="dxa"/>
            <w:vAlign w:val="bottom"/>
            <w:tcBorders>
              <w:right w:val="single" w:sz="8" w:color="auto"/>
            </w:tcBorders>
            <w:vMerge w:val="continue"/>
          </w:tcPr>
          <w:p>
            <w:pPr>
              <w:spacing w:after="0"/>
              <w:rPr>
                <w:sz w:val="11"/>
                <w:szCs w:val="11"/>
                <w:color w:val="auto"/>
              </w:rPr>
            </w:pPr>
          </w:p>
        </w:tc>
        <w:tc>
          <w:tcPr>
            <w:tcW w:w="860" w:type="dxa"/>
            <w:vAlign w:val="bottom"/>
            <w:tcBorders>
              <w:right w:val="single" w:sz="8" w:color="auto"/>
            </w:tcBorders>
          </w:tcPr>
          <w:p>
            <w:pPr>
              <w:jc w:val="center"/>
              <w:spacing w:after="0" w:line="135" w:lineRule="exact"/>
              <w:rPr>
                <w:sz w:val="20"/>
                <w:szCs w:val="20"/>
                <w:color w:val="auto"/>
              </w:rPr>
            </w:pPr>
            <w:r>
              <w:rPr>
                <w:rFonts w:ascii="Arial" w:cs="Arial" w:eastAsia="Arial" w:hAnsi="Arial"/>
                <w:sz w:val="13"/>
                <w:szCs w:val="13"/>
                <w:b w:val="1"/>
                <w:bCs w:val="1"/>
                <w:color w:val="auto"/>
                <w:w w:val="97"/>
              </w:rPr>
              <w:t>Value and</w:t>
            </w:r>
          </w:p>
        </w:tc>
        <w:tc>
          <w:tcPr>
            <w:tcW w:w="760" w:type="dxa"/>
            <w:vAlign w:val="bottom"/>
            <w:tcBorders>
              <w:right w:val="single" w:sz="8" w:color="auto"/>
            </w:tcBorders>
          </w:tcPr>
          <w:p>
            <w:pPr>
              <w:spacing w:after="0"/>
              <w:rPr>
                <w:sz w:val="11"/>
                <w:szCs w:val="11"/>
                <w:color w:val="auto"/>
              </w:rPr>
            </w:pPr>
          </w:p>
        </w:tc>
        <w:tc>
          <w:tcPr>
            <w:tcW w:w="920" w:type="dxa"/>
            <w:vAlign w:val="bottom"/>
            <w:tcBorders>
              <w:right w:val="single" w:sz="8" w:color="auto"/>
            </w:tcBorders>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900" w:type="dxa"/>
            <w:vAlign w:val="bottom"/>
            <w:tcBorders>
              <w:left w:val="single" w:sz="8" w:color="auto"/>
              <w:right w:val="single" w:sz="8" w:color="auto"/>
            </w:tcBorders>
          </w:tcPr>
          <w:p>
            <w:pPr>
              <w:spacing w:after="0"/>
              <w:rPr>
                <w:sz w:val="11"/>
                <w:szCs w:val="11"/>
                <w:color w:val="auto"/>
              </w:rPr>
            </w:pPr>
          </w:p>
        </w:tc>
        <w:tc>
          <w:tcPr>
            <w:tcW w:w="580" w:type="dxa"/>
            <w:vAlign w:val="bottom"/>
            <w:tcBorders>
              <w:right w:val="single" w:sz="8" w:color="auto"/>
            </w:tcBorders>
          </w:tcPr>
          <w:p>
            <w:pPr>
              <w:spacing w:after="0"/>
              <w:rPr>
                <w:sz w:val="11"/>
                <w:szCs w:val="11"/>
                <w:color w:val="auto"/>
              </w:rPr>
            </w:pPr>
          </w:p>
        </w:tc>
        <w:tc>
          <w:tcPr>
            <w:tcW w:w="880" w:type="dxa"/>
            <w:vAlign w:val="bottom"/>
            <w:tcBorders>
              <w:right w:val="single" w:sz="8" w:color="auto"/>
            </w:tcBorders>
          </w:tcPr>
          <w:p>
            <w:pPr>
              <w:spacing w:after="0"/>
              <w:rPr>
                <w:sz w:val="11"/>
                <w:szCs w:val="11"/>
                <w:color w:val="auto"/>
              </w:rPr>
            </w:pPr>
          </w:p>
        </w:tc>
        <w:tc>
          <w:tcPr>
            <w:tcW w:w="860" w:type="dxa"/>
            <w:vAlign w:val="bottom"/>
            <w:tcBorders>
              <w:right w:val="single" w:sz="8" w:color="auto"/>
            </w:tcBorders>
          </w:tcPr>
          <w:p>
            <w:pPr>
              <w:spacing w:after="0"/>
              <w:rPr>
                <w:sz w:val="11"/>
                <w:szCs w:val="11"/>
                <w:color w:val="auto"/>
              </w:rPr>
            </w:pPr>
          </w:p>
        </w:tc>
        <w:tc>
          <w:tcPr>
            <w:tcW w:w="940" w:type="dxa"/>
            <w:vAlign w:val="bottom"/>
            <w:tcBorders>
              <w:right w:val="single" w:sz="8" w:color="auto"/>
            </w:tcBorders>
          </w:tcPr>
          <w:p>
            <w:pPr>
              <w:spacing w:after="0"/>
              <w:rPr>
                <w:sz w:val="11"/>
                <w:szCs w:val="11"/>
                <w:color w:val="auto"/>
              </w:rPr>
            </w:pPr>
          </w:p>
        </w:tc>
        <w:tc>
          <w:tcPr>
            <w:tcW w:w="460" w:type="dxa"/>
            <w:vAlign w:val="bottom"/>
            <w:tcBorders>
              <w:right w:val="single" w:sz="8" w:color="auto"/>
            </w:tcBorders>
          </w:tcPr>
          <w:p>
            <w:pPr>
              <w:spacing w:after="0"/>
              <w:rPr>
                <w:sz w:val="11"/>
                <w:szCs w:val="11"/>
                <w:color w:val="auto"/>
              </w:rPr>
            </w:pPr>
          </w:p>
        </w:tc>
        <w:tc>
          <w:tcPr>
            <w:tcW w:w="580" w:type="dxa"/>
            <w:vAlign w:val="bottom"/>
            <w:tcBorders>
              <w:right w:val="single" w:sz="8" w:color="auto"/>
            </w:tcBorders>
          </w:tcPr>
          <w:p>
            <w:pPr>
              <w:jc w:val="center"/>
              <w:spacing w:after="0" w:line="135" w:lineRule="exact"/>
              <w:rPr>
                <w:sz w:val="20"/>
                <w:szCs w:val="20"/>
                <w:color w:val="auto"/>
              </w:rPr>
            </w:pPr>
            <w:r>
              <w:rPr>
                <w:rFonts w:ascii="Arial" w:cs="Arial" w:eastAsia="Arial" w:hAnsi="Arial"/>
                <w:sz w:val="13"/>
                <w:szCs w:val="13"/>
                <w:b w:val="1"/>
                <w:bCs w:val="1"/>
                <w:color w:val="auto"/>
                <w:w w:val="95"/>
              </w:rPr>
              <w:t>Equity</w:t>
            </w:r>
          </w:p>
        </w:tc>
        <w:tc>
          <w:tcPr>
            <w:tcW w:w="860" w:type="dxa"/>
            <w:vAlign w:val="bottom"/>
            <w:tcBorders>
              <w:right w:val="single" w:sz="8" w:color="auto"/>
            </w:tcBorders>
          </w:tcPr>
          <w:p>
            <w:pPr>
              <w:jc w:val="center"/>
              <w:spacing w:after="0" w:line="135" w:lineRule="exact"/>
              <w:rPr>
                <w:sz w:val="20"/>
                <w:szCs w:val="20"/>
                <w:color w:val="auto"/>
              </w:rPr>
            </w:pPr>
            <w:r>
              <w:rPr>
                <w:rFonts w:ascii="Arial" w:cs="Arial" w:eastAsia="Arial" w:hAnsi="Arial"/>
                <w:sz w:val="13"/>
                <w:szCs w:val="13"/>
                <w:b w:val="1"/>
                <w:bCs w:val="1"/>
                <w:color w:val="auto"/>
                <w:w w:val="96"/>
              </w:rPr>
              <w:t>Nonqualified</w:t>
            </w:r>
          </w:p>
        </w:tc>
        <w:tc>
          <w:tcPr>
            <w:tcW w:w="760" w:type="dxa"/>
            <w:vAlign w:val="bottom"/>
            <w:tcBorders>
              <w:right w:val="single" w:sz="8" w:color="auto"/>
            </w:tcBorders>
            <w:vMerge w:val="restart"/>
          </w:tcPr>
          <w:p>
            <w:pPr>
              <w:jc w:val="center"/>
              <w:spacing w:after="0"/>
              <w:rPr>
                <w:sz w:val="20"/>
                <w:szCs w:val="20"/>
                <w:color w:val="auto"/>
              </w:rPr>
            </w:pPr>
            <w:r>
              <w:rPr>
                <w:rFonts w:ascii="Arial" w:cs="Arial" w:eastAsia="Arial" w:hAnsi="Arial"/>
                <w:sz w:val="13"/>
                <w:szCs w:val="13"/>
                <w:b w:val="1"/>
                <w:bCs w:val="1"/>
                <w:color w:val="auto"/>
                <w:w w:val="96"/>
              </w:rPr>
              <w:t>All</w:t>
            </w:r>
          </w:p>
        </w:tc>
        <w:tc>
          <w:tcPr>
            <w:tcW w:w="920" w:type="dxa"/>
            <w:vAlign w:val="bottom"/>
            <w:tcBorders>
              <w:right w:val="single" w:sz="8" w:color="auto"/>
            </w:tcBorders>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900" w:type="dxa"/>
            <w:vAlign w:val="bottom"/>
            <w:tcBorders>
              <w:left w:val="single" w:sz="8" w:color="auto"/>
              <w:right w:val="single" w:sz="8" w:color="auto"/>
            </w:tcBorders>
          </w:tcPr>
          <w:p>
            <w:pPr>
              <w:spacing w:after="0"/>
              <w:rPr>
                <w:sz w:val="11"/>
                <w:szCs w:val="11"/>
                <w:color w:val="auto"/>
              </w:rPr>
            </w:pPr>
          </w:p>
        </w:tc>
        <w:tc>
          <w:tcPr>
            <w:tcW w:w="580" w:type="dxa"/>
            <w:vAlign w:val="bottom"/>
            <w:tcBorders>
              <w:right w:val="single" w:sz="8" w:color="auto"/>
            </w:tcBorders>
          </w:tcPr>
          <w:p>
            <w:pPr>
              <w:spacing w:after="0"/>
              <w:rPr>
                <w:sz w:val="11"/>
                <w:szCs w:val="11"/>
                <w:color w:val="auto"/>
              </w:rPr>
            </w:pPr>
          </w:p>
        </w:tc>
        <w:tc>
          <w:tcPr>
            <w:tcW w:w="880" w:type="dxa"/>
            <w:vAlign w:val="bottom"/>
            <w:tcBorders>
              <w:right w:val="single" w:sz="8" w:color="auto"/>
            </w:tcBorders>
          </w:tcPr>
          <w:p>
            <w:pPr>
              <w:spacing w:after="0"/>
              <w:rPr>
                <w:sz w:val="11"/>
                <w:szCs w:val="11"/>
                <w:color w:val="auto"/>
              </w:rPr>
            </w:pPr>
          </w:p>
        </w:tc>
        <w:tc>
          <w:tcPr>
            <w:tcW w:w="860" w:type="dxa"/>
            <w:vAlign w:val="bottom"/>
            <w:tcBorders>
              <w:right w:val="single" w:sz="8" w:color="auto"/>
            </w:tcBorders>
          </w:tcPr>
          <w:p>
            <w:pPr>
              <w:spacing w:after="0"/>
              <w:rPr>
                <w:sz w:val="11"/>
                <w:szCs w:val="11"/>
                <w:color w:val="auto"/>
              </w:rPr>
            </w:pPr>
          </w:p>
        </w:tc>
        <w:tc>
          <w:tcPr>
            <w:tcW w:w="940" w:type="dxa"/>
            <w:vAlign w:val="bottom"/>
            <w:tcBorders>
              <w:right w:val="single" w:sz="8" w:color="auto"/>
            </w:tcBorders>
          </w:tcPr>
          <w:p>
            <w:pPr>
              <w:spacing w:after="0"/>
              <w:rPr>
                <w:sz w:val="11"/>
                <w:szCs w:val="11"/>
                <w:color w:val="auto"/>
              </w:rPr>
            </w:pPr>
          </w:p>
        </w:tc>
        <w:tc>
          <w:tcPr>
            <w:tcW w:w="460" w:type="dxa"/>
            <w:vAlign w:val="bottom"/>
            <w:tcBorders>
              <w:right w:val="single" w:sz="8" w:color="auto"/>
            </w:tcBorders>
          </w:tcPr>
          <w:p>
            <w:pPr>
              <w:spacing w:after="0"/>
              <w:rPr>
                <w:sz w:val="11"/>
                <w:szCs w:val="11"/>
                <w:color w:val="auto"/>
              </w:rPr>
            </w:pPr>
          </w:p>
        </w:tc>
        <w:tc>
          <w:tcPr>
            <w:tcW w:w="580" w:type="dxa"/>
            <w:vAlign w:val="bottom"/>
            <w:tcBorders>
              <w:right w:val="single" w:sz="8" w:color="auto"/>
            </w:tcBorders>
          </w:tcPr>
          <w:p>
            <w:pPr>
              <w:jc w:val="center"/>
              <w:spacing w:after="0" w:line="135" w:lineRule="exact"/>
              <w:rPr>
                <w:sz w:val="20"/>
                <w:szCs w:val="20"/>
                <w:color w:val="auto"/>
              </w:rPr>
            </w:pPr>
            <w:r>
              <w:rPr>
                <w:rFonts w:ascii="Arial" w:cs="Arial" w:eastAsia="Arial" w:hAnsi="Arial"/>
                <w:sz w:val="13"/>
                <w:szCs w:val="13"/>
                <w:b w:val="1"/>
                <w:bCs w:val="1"/>
                <w:color w:val="auto"/>
                <w:w w:val="95"/>
              </w:rPr>
              <w:t>Incentive</w:t>
            </w:r>
          </w:p>
        </w:tc>
        <w:tc>
          <w:tcPr>
            <w:tcW w:w="860" w:type="dxa"/>
            <w:vAlign w:val="bottom"/>
            <w:tcBorders>
              <w:right w:val="single" w:sz="8" w:color="auto"/>
            </w:tcBorders>
          </w:tcPr>
          <w:p>
            <w:pPr>
              <w:jc w:val="center"/>
              <w:spacing w:after="0" w:line="135" w:lineRule="exact"/>
              <w:rPr>
                <w:sz w:val="20"/>
                <w:szCs w:val="20"/>
                <w:color w:val="auto"/>
              </w:rPr>
            </w:pPr>
            <w:r>
              <w:rPr>
                <w:rFonts w:ascii="Arial" w:cs="Arial" w:eastAsia="Arial" w:hAnsi="Arial"/>
                <w:sz w:val="13"/>
                <w:szCs w:val="13"/>
                <w:b w:val="1"/>
                <w:bCs w:val="1"/>
                <w:color w:val="auto"/>
                <w:w w:val="97"/>
              </w:rPr>
              <w:t>Deferred</w:t>
            </w:r>
          </w:p>
        </w:tc>
        <w:tc>
          <w:tcPr>
            <w:tcW w:w="760" w:type="dxa"/>
            <w:vAlign w:val="bottom"/>
            <w:tcBorders>
              <w:right w:val="single" w:sz="8" w:color="auto"/>
            </w:tcBorders>
            <w:vMerge w:val="continue"/>
          </w:tcPr>
          <w:p>
            <w:pPr>
              <w:spacing w:after="0"/>
              <w:rPr>
                <w:sz w:val="11"/>
                <w:szCs w:val="11"/>
                <w:color w:val="auto"/>
              </w:rPr>
            </w:pPr>
          </w:p>
        </w:tc>
        <w:tc>
          <w:tcPr>
            <w:tcW w:w="920" w:type="dxa"/>
            <w:vAlign w:val="bottom"/>
            <w:tcBorders>
              <w:right w:val="single" w:sz="8" w:color="auto"/>
            </w:tcBorders>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900" w:type="dxa"/>
            <w:vAlign w:val="bottom"/>
            <w:tcBorders>
              <w:left w:val="single" w:sz="8" w:color="auto"/>
              <w:right w:val="single" w:sz="8" w:color="auto"/>
            </w:tcBorders>
          </w:tcPr>
          <w:p>
            <w:pPr>
              <w:spacing w:after="0"/>
              <w:rPr>
                <w:sz w:val="11"/>
                <w:szCs w:val="11"/>
                <w:color w:val="auto"/>
              </w:rPr>
            </w:pPr>
          </w:p>
        </w:tc>
        <w:tc>
          <w:tcPr>
            <w:tcW w:w="580" w:type="dxa"/>
            <w:vAlign w:val="bottom"/>
            <w:tcBorders>
              <w:right w:val="single" w:sz="8" w:color="auto"/>
            </w:tcBorders>
          </w:tcPr>
          <w:p>
            <w:pPr>
              <w:spacing w:after="0"/>
              <w:rPr>
                <w:sz w:val="11"/>
                <w:szCs w:val="11"/>
                <w:color w:val="auto"/>
              </w:rPr>
            </w:pPr>
          </w:p>
        </w:tc>
        <w:tc>
          <w:tcPr>
            <w:tcW w:w="880" w:type="dxa"/>
            <w:vAlign w:val="bottom"/>
            <w:tcBorders>
              <w:right w:val="single" w:sz="8" w:color="auto"/>
            </w:tcBorders>
          </w:tcPr>
          <w:p>
            <w:pPr>
              <w:spacing w:after="0"/>
              <w:rPr>
                <w:sz w:val="11"/>
                <w:szCs w:val="11"/>
                <w:color w:val="auto"/>
              </w:rPr>
            </w:pPr>
          </w:p>
        </w:tc>
        <w:tc>
          <w:tcPr>
            <w:tcW w:w="860" w:type="dxa"/>
            <w:vAlign w:val="bottom"/>
            <w:tcBorders>
              <w:right w:val="single" w:sz="8" w:color="auto"/>
            </w:tcBorders>
          </w:tcPr>
          <w:p>
            <w:pPr>
              <w:spacing w:after="0"/>
              <w:rPr>
                <w:sz w:val="11"/>
                <w:szCs w:val="11"/>
                <w:color w:val="auto"/>
              </w:rPr>
            </w:pPr>
          </w:p>
        </w:tc>
        <w:tc>
          <w:tcPr>
            <w:tcW w:w="940" w:type="dxa"/>
            <w:vAlign w:val="bottom"/>
            <w:tcBorders>
              <w:right w:val="single" w:sz="8" w:color="auto"/>
            </w:tcBorders>
            <w:vMerge w:val="restart"/>
          </w:tcPr>
          <w:p>
            <w:pPr>
              <w:jc w:val="center"/>
              <w:spacing w:after="0"/>
              <w:rPr>
                <w:sz w:val="20"/>
                <w:szCs w:val="20"/>
                <w:color w:val="auto"/>
              </w:rPr>
            </w:pPr>
            <w:r>
              <w:rPr>
                <w:rFonts w:ascii="Arial" w:cs="Arial" w:eastAsia="Arial" w:hAnsi="Arial"/>
                <w:sz w:val="13"/>
                <w:szCs w:val="13"/>
                <w:b w:val="1"/>
                <w:bCs w:val="1"/>
                <w:color w:val="auto"/>
                <w:w w:val="95"/>
              </w:rPr>
              <w:t>Stock</w:t>
            </w:r>
          </w:p>
        </w:tc>
        <w:tc>
          <w:tcPr>
            <w:tcW w:w="460" w:type="dxa"/>
            <w:vAlign w:val="bottom"/>
            <w:tcBorders>
              <w:right w:val="single" w:sz="8" w:color="auto"/>
            </w:tcBorders>
            <w:vMerge w:val="restart"/>
          </w:tcPr>
          <w:p>
            <w:pPr>
              <w:jc w:val="center"/>
              <w:spacing w:after="0"/>
              <w:rPr>
                <w:sz w:val="20"/>
                <w:szCs w:val="20"/>
                <w:color w:val="auto"/>
              </w:rPr>
            </w:pPr>
            <w:r>
              <w:rPr>
                <w:rFonts w:ascii="Arial" w:cs="Arial" w:eastAsia="Arial" w:hAnsi="Arial"/>
                <w:sz w:val="13"/>
                <w:szCs w:val="13"/>
                <w:b w:val="1"/>
                <w:bCs w:val="1"/>
                <w:color w:val="auto"/>
                <w:w w:val="95"/>
              </w:rPr>
              <w:t>Option</w:t>
            </w:r>
          </w:p>
        </w:tc>
        <w:tc>
          <w:tcPr>
            <w:tcW w:w="580" w:type="dxa"/>
            <w:vAlign w:val="bottom"/>
            <w:tcBorders>
              <w:right w:val="single" w:sz="8" w:color="auto"/>
            </w:tcBorders>
          </w:tcPr>
          <w:p>
            <w:pPr>
              <w:jc w:val="center"/>
              <w:spacing w:after="0" w:line="135" w:lineRule="exact"/>
              <w:rPr>
                <w:sz w:val="20"/>
                <w:szCs w:val="20"/>
                <w:color w:val="auto"/>
              </w:rPr>
            </w:pPr>
            <w:r>
              <w:rPr>
                <w:rFonts w:ascii="Arial" w:cs="Arial" w:eastAsia="Arial" w:hAnsi="Arial"/>
                <w:sz w:val="13"/>
                <w:szCs w:val="13"/>
                <w:b w:val="1"/>
                <w:bCs w:val="1"/>
                <w:color w:val="auto"/>
                <w:w w:val="94"/>
              </w:rPr>
              <w:t>Plan</w:t>
            </w:r>
          </w:p>
        </w:tc>
        <w:tc>
          <w:tcPr>
            <w:tcW w:w="860" w:type="dxa"/>
            <w:vAlign w:val="bottom"/>
            <w:tcBorders>
              <w:right w:val="single" w:sz="8" w:color="auto"/>
            </w:tcBorders>
          </w:tcPr>
          <w:p>
            <w:pPr>
              <w:jc w:val="center"/>
              <w:spacing w:after="0" w:line="135" w:lineRule="exact"/>
              <w:rPr>
                <w:sz w:val="20"/>
                <w:szCs w:val="20"/>
                <w:color w:val="auto"/>
              </w:rPr>
            </w:pPr>
            <w:r>
              <w:rPr>
                <w:rFonts w:ascii="Arial" w:cs="Arial" w:eastAsia="Arial" w:hAnsi="Arial"/>
                <w:sz w:val="13"/>
                <w:szCs w:val="13"/>
                <w:b w:val="1"/>
                <w:bCs w:val="1"/>
                <w:color w:val="auto"/>
                <w:w w:val="99"/>
              </w:rPr>
              <w:t>Compen-</w:t>
            </w:r>
          </w:p>
        </w:tc>
        <w:tc>
          <w:tcPr>
            <w:tcW w:w="760" w:type="dxa"/>
            <w:vAlign w:val="bottom"/>
            <w:tcBorders>
              <w:right w:val="single" w:sz="8" w:color="auto"/>
            </w:tcBorders>
          </w:tcPr>
          <w:p>
            <w:pPr>
              <w:jc w:val="center"/>
              <w:spacing w:after="0" w:line="135" w:lineRule="exact"/>
              <w:rPr>
                <w:sz w:val="20"/>
                <w:szCs w:val="20"/>
                <w:color w:val="auto"/>
              </w:rPr>
            </w:pPr>
            <w:r>
              <w:rPr>
                <w:rFonts w:ascii="Arial" w:cs="Arial" w:eastAsia="Arial" w:hAnsi="Arial"/>
                <w:sz w:val="13"/>
                <w:szCs w:val="13"/>
                <w:b w:val="1"/>
                <w:bCs w:val="1"/>
                <w:color w:val="auto"/>
                <w:w w:val="97"/>
              </w:rPr>
              <w:t>Other</w:t>
            </w:r>
          </w:p>
        </w:tc>
        <w:tc>
          <w:tcPr>
            <w:tcW w:w="920" w:type="dxa"/>
            <w:vAlign w:val="bottom"/>
            <w:tcBorders>
              <w:right w:val="single" w:sz="8" w:color="auto"/>
            </w:tcBorders>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900" w:type="dxa"/>
            <w:vAlign w:val="bottom"/>
            <w:tcBorders>
              <w:left w:val="single" w:sz="8" w:color="auto"/>
              <w:right w:val="single" w:sz="8" w:color="auto"/>
            </w:tcBorders>
            <w:vMerge w:val="restart"/>
          </w:tcPr>
          <w:p>
            <w:pPr>
              <w:ind w:left="140"/>
              <w:spacing w:after="0"/>
              <w:rPr>
                <w:sz w:val="20"/>
                <w:szCs w:val="20"/>
                <w:color w:val="auto"/>
              </w:rPr>
            </w:pPr>
            <w:r>
              <w:rPr>
                <w:rFonts w:ascii="Arial" w:cs="Arial" w:eastAsia="Arial" w:hAnsi="Arial"/>
                <w:sz w:val="13"/>
                <w:szCs w:val="13"/>
                <w:b w:val="1"/>
                <w:bCs w:val="1"/>
                <w:color w:val="auto"/>
              </w:rPr>
              <w:t>Name and</w:t>
            </w:r>
          </w:p>
        </w:tc>
        <w:tc>
          <w:tcPr>
            <w:tcW w:w="580" w:type="dxa"/>
            <w:vAlign w:val="bottom"/>
            <w:tcBorders>
              <w:right w:val="single" w:sz="8" w:color="auto"/>
            </w:tcBorders>
          </w:tcPr>
          <w:p>
            <w:pPr>
              <w:spacing w:after="0"/>
              <w:rPr>
                <w:sz w:val="11"/>
                <w:szCs w:val="11"/>
                <w:color w:val="auto"/>
              </w:rPr>
            </w:pPr>
          </w:p>
        </w:tc>
        <w:tc>
          <w:tcPr>
            <w:tcW w:w="880" w:type="dxa"/>
            <w:vAlign w:val="bottom"/>
            <w:tcBorders>
              <w:right w:val="single" w:sz="8" w:color="auto"/>
            </w:tcBorders>
            <w:vMerge w:val="restart"/>
          </w:tcPr>
          <w:p>
            <w:pPr>
              <w:jc w:val="right"/>
              <w:ind w:right="197"/>
              <w:spacing w:after="0"/>
              <w:rPr>
                <w:sz w:val="20"/>
                <w:szCs w:val="20"/>
                <w:color w:val="auto"/>
              </w:rPr>
            </w:pPr>
            <w:r>
              <w:rPr>
                <w:rFonts w:ascii="Arial" w:cs="Arial" w:eastAsia="Arial" w:hAnsi="Arial"/>
                <w:sz w:val="13"/>
                <w:szCs w:val="13"/>
                <w:b w:val="1"/>
                <w:bCs w:val="1"/>
                <w:color w:val="auto"/>
              </w:rPr>
              <w:t>Salary</w:t>
            </w:r>
          </w:p>
        </w:tc>
        <w:tc>
          <w:tcPr>
            <w:tcW w:w="860" w:type="dxa"/>
            <w:vAlign w:val="bottom"/>
            <w:tcBorders>
              <w:right w:val="single" w:sz="8" w:color="auto"/>
            </w:tcBorders>
            <w:vMerge w:val="restart"/>
          </w:tcPr>
          <w:p>
            <w:pPr>
              <w:jc w:val="right"/>
              <w:ind w:right="197"/>
              <w:spacing w:after="0"/>
              <w:rPr>
                <w:sz w:val="20"/>
                <w:szCs w:val="20"/>
                <w:color w:val="auto"/>
              </w:rPr>
            </w:pPr>
            <w:r>
              <w:rPr>
                <w:rFonts w:ascii="Arial" w:cs="Arial" w:eastAsia="Arial" w:hAnsi="Arial"/>
                <w:sz w:val="13"/>
                <w:szCs w:val="13"/>
                <w:b w:val="1"/>
                <w:bCs w:val="1"/>
                <w:color w:val="auto"/>
              </w:rPr>
              <w:t>Bonus</w:t>
            </w:r>
          </w:p>
        </w:tc>
        <w:tc>
          <w:tcPr>
            <w:tcW w:w="940" w:type="dxa"/>
            <w:vAlign w:val="bottom"/>
            <w:tcBorders>
              <w:right w:val="single" w:sz="8" w:color="auto"/>
            </w:tcBorders>
            <w:vMerge w:val="continue"/>
          </w:tcPr>
          <w:p>
            <w:pPr>
              <w:spacing w:after="0"/>
              <w:rPr>
                <w:sz w:val="11"/>
                <w:szCs w:val="11"/>
                <w:color w:val="auto"/>
              </w:rPr>
            </w:pPr>
          </w:p>
        </w:tc>
        <w:tc>
          <w:tcPr>
            <w:tcW w:w="460" w:type="dxa"/>
            <w:vAlign w:val="bottom"/>
            <w:tcBorders>
              <w:right w:val="single" w:sz="8" w:color="auto"/>
            </w:tcBorders>
            <w:vMerge w:val="continue"/>
          </w:tcPr>
          <w:p>
            <w:pPr>
              <w:spacing w:after="0"/>
              <w:rPr>
                <w:sz w:val="11"/>
                <w:szCs w:val="11"/>
                <w:color w:val="auto"/>
              </w:rPr>
            </w:pPr>
          </w:p>
        </w:tc>
        <w:tc>
          <w:tcPr>
            <w:tcW w:w="580" w:type="dxa"/>
            <w:vAlign w:val="bottom"/>
            <w:tcBorders>
              <w:right w:val="single" w:sz="8" w:color="auto"/>
            </w:tcBorders>
          </w:tcPr>
          <w:p>
            <w:pPr>
              <w:jc w:val="center"/>
              <w:spacing w:after="0" w:line="135" w:lineRule="exact"/>
              <w:rPr>
                <w:sz w:val="20"/>
                <w:szCs w:val="20"/>
                <w:color w:val="auto"/>
              </w:rPr>
            </w:pPr>
            <w:r>
              <w:rPr>
                <w:rFonts w:ascii="Arial" w:cs="Arial" w:eastAsia="Arial" w:hAnsi="Arial"/>
                <w:sz w:val="13"/>
                <w:szCs w:val="13"/>
                <w:b w:val="1"/>
                <w:bCs w:val="1"/>
                <w:color w:val="auto"/>
                <w:w w:val="95"/>
              </w:rPr>
              <w:t>Compen-</w:t>
            </w:r>
          </w:p>
        </w:tc>
        <w:tc>
          <w:tcPr>
            <w:tcW w:w="860" w:type="dxa"/>
            <w:vAlign w:val="bottom"/>
            <w:tcBorders>
              <w:right w:val="single" w:sz="8" w:color="auto"/>
            </w:tcBorders>
          </w:tcPr>
          <w:p>
            <w:pPr>
              <w:jc w:val="center"/>
              <w:spacing w:after="0" w:line="135" w:lineRule="exact"/>
              <w:rPr>
                <w:sz w:val="20"/>
                <w:szCs w:val="20"/>
                <w:color w:val="auto"/>
              </w:rPr>
            </w:pPr>
            <w:r>
              <w:rPr>
                <w:rFonts w:ascii="Arial" w:cs="Arial" w:eastAsia="Arial" w:hAnsi="Arial"/>
                <w:sz w:val="13"/>
                <w:szCs w:val="13"/>
                <w:b w:val="1"/>
                <w:bCs w:val="1"/>
                <w:color w:val="auto"/>
                <w:w w:val="93"/>
              </w:rPr>
              <w:t>sation</w:t>
            </w:r>
          </w:p>
        </w:tc>
        <w:tc>
          <w:tcPr>
            <w:tcW w:w="760" w:type="dxa"/>
            <w:vAlign w:val="bottom"/>
            <w:tcBorders>
              <w:right w:val="single" w:sz="8" w:color="auto"/>
            </w:tcBorders>
          </w:tcPr>
          <w:p>
            <w:pPr>
              <w:jc w:val="center"/>
              <w:spacing w:after="0" w:line="135" w:lineRule="exact"/>
              <w:rPr>
                <w:sz w:val="20"/>
                <w:szCs w:val="20"/>
                <w:color w:val="auto"/>
              </w:rPr>
            </w:pPr>
            <w:r>
              <w:rPr>
                <w:rFonts w:ascii="Arial" w:cs="Arial" w:eastAsia="Arial" w:hAnsi="Arial"/>
                <w:sz w:val="13"/>
                <w:szCs w:val="13"/>
                <w:b w:val="1"/>
                <w:bCs w:val="1"/>
                <w:color w:val="auto"/>
                <w:w w:val="95"/>
              </w:rPr>
              <w:t>Compen-</w:t>
            </w:r>
          </w:p>
        </w:tc>
        <w:tc>
          <w:tcPr>
            <w:tcW w:w="920" w:type="dxa"/>
            <w:vAlign w:val="bottom"/>
            <w:tcBorders>
              <w:right w:val="single" w:sz="8" w:color="auto"/>
            </w:tcBorders>
            <w:vMerge w:val="restart"/>
          </w:tcPr>
          <w:p>
            <w:pPr>
              <w:jc w:val="right"/>
              <w:ind w:right="277"/>
              <w:spacing w:after="0"/>
              <w:rPr>
                <w:sz w:val="20"/>
                <w:szCs w:val="20"/>
                <w:color w:val="auto"/>
              </w:rPr>
            </w:pPr>
            <w:r>
              <w:rPr>
                <w:rFonts w:ascii="Arial" w:cs="Arial" w:eastAsia="Arial" w:hAnsi="Arial"/>
                <w:sz w:val="13"/>
                <w:szCs w:val="13"/>
                <w:b w:val="1"/>
                <w:bCs w:val="1"/>
                <w:color w:val="auto"/>
              </w:rPr>
              <w:t>Total</w:t>
            </w:r>
          </w:p>
        </w:tc>
        <w:tc>
          <w:tcPr>
            <w:tcW w:w="0" w:type="dxa"/>
            <w:vAlign w:val="bottom"/>
          </w:tcPr>
          <w:p>
            <w:pPr>
              <w:spacing w:after="0"/>
              <w:rPr>
                <w:sz w:val="1"/>
                <w:szCs w:val="1"/>
                <w:color w:val="auto"/>
              </w:rPr>
            </w:pPr>
          </w:p>
        </w:tc>
      </w:tr>
      <w:tr>
        <w:trPr>
          <w:trHeight w:val="135"/>
        </w:trPr>
        <w:tc>
          <w:tcPr>
            <w:tcW w:w="2900" w:type="dxa"/>
            <w:vAlign w:val="bottom"/>
            <w:tcBorders>
              <w:left w:val="single" w:sz="8" w:color="auto"/>
              <w:right w:val="single" w:sz="8" w:color="auto"/>
            </w:tcBorders>
            <w:vMerge w:val="continue"/>
          </w:tcPr>
          <w:p>
            <w:pPr>
              <w:spacing w:after="0"/>
              <w:rPr>
                <w:sz w:val="11"/>
                <w:szCs w:val="11"/>
                <w:color w:val="auto"/>
              </w:rPr>
            </w:pPr>
          </w:p>
        </w:tc>
        <w:tc>
          <w:tcPr>
            <w:tcW w:w="580" w:type="dxa"/>
            <w:vAlign w:val="bottom"/>
            <w:tcBorders>
              <w:right w:val="single" w:sz="8" w:color="auto"/>
            </w:tcBorders>
            <w:vMerge w:val="restart"/>
          </w:tcPr>
          <w:p>
            <w:pPr>
              <w:ind w:left="140"/>
              <w:spacing w:after="0"/>
              <w:rPr>
                <w:sz w:val="20"/>
                <w:szCs w:val="20"/>
                <w:color w:val="auto"/>
              </w:rPr>
            </w:pPr>
            <w:r>
              <w:rPr>
                <w:rFonts w:ascii="Arial" w:cs="Arial" w:eastAsia="Arial" w:hAnsi="Arial"/>
                <w:sz w:val="13"/>
                <w:szCs w:val="13"/>
                <w:b w:val="1"/>
                <w:bCs w:val="1"/>
                <w:color w:val="auto"/>
              </w:rPr>
              <w:t>Year</w:t>
            </w:r>
          </w:p>
        </w:tc>
        <w:tc>
          <w:tcPr>
            <w:tcW w:w="880" w:type="dxa"/>
            <w:vAlign w:val="bottom"/>
            <w:tcBorders>
              <w:right w:val="single" w:sz="8" w:color="auto"/>
            </w:tcBorders>
            <w:vMerge w:val="continue"/>
          </w:tcPr>
          <w:p>
            <w:pPr>
              <w:spacing w:after="0"/>
              <w:rPr>
                <w:sz w:val="11"/>
                <w:szCs w:val="11"/>
                <w:color w:val="auto"/>
              </w:rPr>
            </w:pPr>
          </w:p>
        </w:tc>
        <w:tc>
          <w:tcPr>
            <w:tcW w:w="860" w:type="dxa"/>
            <w:vAlign w:val="bottom"/>
            <w:tcBorders>
              <w:right w:val="single" w:sz="8" w:color="auto"/>
            </w:tcBorders>
            <w:vMerge w:val="continue"/>
          </w:tcPr>
          <w:p>
            <w:pPr>
              <w:spacing w:after="0"/>
              <w:rPr>
                <w:sz w:val="11"/>
                <w:szCs w:val="11"/>
                <w:color w:val="auto"/>
              </w:rPr>
            </w:pPr>
          </w:p>
        </w:tc>
        <w:tc>
          <w:tcPr>
            <w:tcW w:w="940" w:type="dxa"/>
            <w:vAlign w:val="bottom"/>
            <w:tcBorders>
              <w:right w:val="single" w:sz="8" w:color="auto"/>
            </w:tcBorders>
          </w:tcPr>
          <w:p>
            <w:pPr>
              <w:jc w:val="center"/>
              <w:spacing w:after="0" w:line="135" w:lineRule="exact"/>
              <w:rPr>
                <w:sz w:val="20"/>
                <w:szCs w:val="20"/>
                <w:color w:val="auto"/>
              </w:rPr>
            </w:pPr>
            <w:r>
              <w:rPr>
                <w:rFonts w:ascii="Arial" w:cs="Arial" w:eastAsia="Arial" w:hAnsi="Arial"/>
                <w:sz w:val="13"/>
                <w:szCs w:val="13"/>
                <w:b w:val="1"/>
                <w:bCs w:val="1"/>
                <w:color w:val="auto"/>
                <w:w w:val="97"/>
              </w:rPr>
              <w:t>Awards</w:t>
            </w:r>
          </w:p>
        </w:tc>
        <w:tc>
          <w:tcPr>
            <w:tcW w:w="460" w:type="dxa"/>
            <w:vAlign w:val="bottom"/>
            <w:tcBorders>
              <w:right w:val="single" w:sz="8" w:color="auto"/>
            </w:tcBorders>
          </w:tcPr>
          <w:p>
            <w:pPr>
              <w:jc w:val="center"/>
              <w:spacing w:after="0" w:line="135" w:lineRule="exact"/>
              <w:rPr>
                <w:sz w:val="20"/>
                <w:szCs w:val="20"/>
                <w:color w:val="auto"/>
              </w:rPr>
            </w:pPr>
            <w:r>
              <w:rPr>
                <w:rFonts w:ascii="Arial" w:cs="Arial" w:eastAsia="Arial" w:hAnsi="Arial"/>
                <w:sz w:val="13"/>
                <w:szCs w:val="13"/>
                <w:b w:val="1"/>
                <w:bCs w:val="1"/>
                <w:color w:val="auto"/>
                <w:w w:val="93"/>
              </w:rPr>
              <w:t>Awards</w:t>
            </w:r>
          </w:p>
        </w:tc>
        <w:tc>
          <w:tcPr>
            <w:tcW w:w="580" w:type="dxa"/>
            <w:vAlign w:val="bottom"/>
            <w:tcBorders>
              <w:right w:val="single" w:sz="8" w:color="auto"/>
            </w:tcBorders>
          </w:tcPr>
          <w:p>
            <w:pPr>
              <w:jc w:val="center"/>
              <w:spacing w:after="0" w:line="135" w:lineRule="exact"/>
              <w:rPr>
                <w:sz w:val="20"/>
                <w:szCs w:val="20"/>
                <w:color w:val="auto"/>
              </w:rPr>
            </w:pPr>
            <w:r>
              <w:rPr>
                <w:rFonts w:ascii="Arial" w:cs="Arial" w:eastAsia="Arial" w:hAnsi="Arial"/>
                <w:sz w:val="13"/>
                <w:szCs w:val="13"/>
                <w:b w:val="1"/>
                <w:bCs w:val="1"/>
                <w:color w:val="auto"/>
                <w:w w:val="99"/>
              </w:rPr>
              <w:t>sation</w:t>
            </w:r>
          </w:p>
        </w:tc>
        <w:tc>
          <w:tcPr>
            <w:tcW w:w="860" w:type="dxa"/>
            <w:vAlign w:val="bottom"/>
            <w:tcBorders>
              <w:right w:val="single" w:sz="8" w:color="auto"/>
            </w:tcBorders>
          </w:tcPr>
          <w:p>
            <w:pPr>
              <w:jc w:val="center"/>
              <w:spacing w:after="0" w:line="135" w:lineRule="exact"/>
              <w:rPr>
                <w:sz w:val="20"/>
                <w:szCs w:val="20"/>
                <w:color w:val="auto"/>
              </w:rPr>
            </w:pPr>
            <w:r>
              <w:rPr>
                <w:rFonts w:ascii="Arial" w:cs="Arial" w:eastAsia="Arial" w:hAnsi="Arial"/>
                <w:sz w:val="13"/>
                <w:szCs w:val="13"/>
                <w:b w:val="1"/>
                <w:bCs w:val="1"/>
                <w:color w:val="auto"/>
                <w:w w:val="96"/>
              </w:rPr>
              <w:t>Earnings</w:t>
            </w:r>
          </w:p>
        </w:tc>
        <w:tc>
          <w:tcPr>
            <w:tcW w:w="760" w:type="dxa"/>
            <w:vAlign w:val="bottom"/>
            <w:tcBorders>
              <w:right w:val="single" w:sz="8" w:color="auto"/>
            </w:tcBorders>
          </w:tcPr>
          <w:p>
            <w:pPr>
              <w:jc w:val="center"/>
              <w:spacing w:after="0" w:line="135" w:lineRule="exact"/>
              <w:rPr>
                <w:sz w:val="20"/>
                <w:szCs w:val="20"/>
                <w:color w:val="auto"/>
              </w:rPr>
            </w:pPr>
            <w:r>
              <w:rPr>
                <w:rFonts w:ascii="Arial" w:cs="Arial" w:eastAsia="Arial" w:hAnsi="Arial"/>
                <w:sz w:val="13"/>
                <w:szCs w:val="13"/>
                <w:b w:val="1"/>
                <w:bCs w:val="1"/>
                <w:color w:val="auto"/>
                <w:w w:val="99"/>
              </w:rPr>
              <w:t>sation</w:t>
            </w:r>
          </w:p>
        </w:tc>
        <w:tc>
          <w:tcPr>
            <w:tcW w:w="920" w:type="dxa"/>
            <w:vAlign w:val="bottom"/>
            <w:tcBorders>
              <w:right w:val="single" w:sz="8" w:color="auto"/>
            </w:tcBorders>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82"/>
        </w:trPr>
        <w:tc>
          <w:tcPr>
            <w:tcW w:w="2900" w:type="dxa"/>
            <w:vAlign w:val="bottom"/>
            <w:tcBorders>
              <w:left w:val="single" w:sz="8" w:color="auto"/>
              <w:bottom w:val="single" w:sz="8" w:color="auto"/>
              <w:right w:val="single" w:sz="8" w:color="auto"/>
            </w:tcBorders>
          </w:tcPr>
          <w:p>
            <w:pPr>
              <w:ind w:left="140"/>
              <w:spacing w:after="0"/>
              <w:rPr>
                <w:sz w:val="20"/>
                <w:szCs w:val="20"/>
                <w:color w:val="auto"/>
              </w:rPr>
            </w:pPr>
            <w:r>
              <w:rPr>
                <w:rFonts w:ascii="Arial" w:cs="Arial" w:eastAsia="Arial" w:hAnsi="Arial"/>
                <w:sz w:val="13"/>
                <w:szCs w:val="13"/>
                <w:b w:val="1"/>
                <w:bCs w:val="1"/>
                <w:color w:val="auto"/>
              </w:rPr>
              <w:t>Principal Position</w:t>
            </w:r>
          </w:p>
        </w:tc>
        <w:tc>
          <w:tcPr>
            <w:tcW w:w="580" w:type="dxa"/>
            <w:vAlign w:val="bottom"/>
            <w:tcBorders>
              <w:bottom w:val="single" w:sz="8" w:color="auto"/>
              <w:right w:val="single" w:sz="8" w:color="auto"/>
            </w:tcBorders>
            <w:vMerge w:val="continue"/>
          </w:tcPr>
          <w:p>
            <w:pPr>
              <w:spacing w:after="0"/>
              <w:rPr>
                <w:sz w:val="15"/>
                <w:szCs w:val="15"/>
                <w:color w:val="auto"/>
              </w:rPr>
            </w:pPr>
          </w:p>
        </w:tc>
        <w:tc>
          <w:tcPr>
            <w:tcW w:w="880" w:type="dxa"/>
            <w:vAlign w:val="bottom"/>
            <w:tcBorders>
              <w:bottom w:val="single" w:sz="8" w:color="auto"/>
              <w:right w:val="single" w:sz="8" w:color="auto"/>
            </w:tcBorders>
          </w:tcPr>
          <w:p>
            <w:pPr>
              <w:jc w:val="right"/>
              <w:ind w:right="317"/>
              <w:spacing w:after="0"/>
              <w:rPr>
                <w:sz w:val="20"/>
                <w:szCs w:val="20"/>
                <w:color w:val="auto"/>
              </w:rPr>
            </w:pPr>
            <w:r>
              <w:rPr>
                <w:rFonts w:ascii="Arial" w:cs="Arial" w:eastAsia="Arial" w:hAnsi="Arial"/>
                <w:sz w:val="13"/>
                <w:szCs w:val="13"/>
                <w:b w:val="1"/>
                <w:bCs w:val="1"/>
                <w:color w:val="auto"/>
              </w:rPr>
              <w:t>($)</w:t>
            </w:r>
          </w:p>
        </w:tc>
        <w:tc>
          <w:tcPr>
            <w:tcW w:w="860" w:type="dxa"/>
            <w:vAlign w:val="bottom"/>
            <w:tcBorders>
              <w:bottom w:val="single" w:sz="8" w:color="auto"/>
              <w:right w:val="single" w:sz="8" w:color="auto"/>
            </w:tcBorders>
          </w:tcPr>
          <w:p>
            <w:pPr>
              <w:jc w:val="right"/>
              <w:ind w:right="317"/>
              <w:spacing w:after="0"/>
              <w:rPr>
                <w:sz w:val="20"/>
                <w:szCs w:val="20"/>
                <w:color w:val="auto"/>
              </w:rPr>
            </w:pPr>
            <w:r>
              <w:rPr>
                <w:rFonts w:ascii="Arial" w:cs="Arial" w:eastAsia="Arial" w:hAnsi="Arial"/>
                <w:sz w:val="13"/>
                <w:szCs w:val="13"/>
                <w:b w:val="1"/>
                <w:bCs w:val="1"/>
                <w:color w:val="auto"/>
              </w:rPr>
              <w:t>($)</w:t>
            </w:r>
          </w:p>
        </w:tc>
        <w:tc>
          <w:tcPr>
            <w:tcW w:w="94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3"/>
                <w:szCs w:val="13"/>
                <w:b w:val="1"/>
                <w:bCs w:val="1"/>
                <w:color w:val="auto"/>
              </w:rPr>
              <w:t>($)</w:t>
            </w:r>
          </w:p>
        </w:tc>
        <w:tc>
          <w:tcPr>
            <w:tcW w:w="46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3"/>
                <w:szCs w:val="13"/>
                <w:b w:val="1"/>
                <w:bCs w:val="1"/>
                <w:color w:val="auto"/>
              </w:rPr>
              <w:t>($)</w:t>
            </w:r>
          </w:p>
        </w:tc>
        <w:tc>
          <w:tcPr>
            <w:tcW w:w="58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3"/>
                <w:szCs w:val="13"/>
                <w:b w:val="1"/>
                <w:bCs w:val="1"/>
                <w:color w:val="auto"/>
              </w:rPr>
              <w:t>($)</w:t>
            </w:r>
          </w:p>
        </w:tc>
        <w:tc>
          <w:tcPr>
            <w:tcW w:w="86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3"/>
                <w:szCs w:val="13"/>
                <w:b w:val="1"/>
                <w:bCs w:val="1"/>
                <w:color w:val="auto"/>
              </w:rPr>
              <w:t>($)</w:t>
            </w:r>
          </w:p>
        </w:tc>
        <w:tc>
          <w:tcPr>
            <w:tcW w:w="76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3"/>
                <w:szCs w:val="13"/>
                <w:b w:val="1"/>
                <w:bCs w:val="1"/>
                <w:color w:val="auto"/>
                <w:w w:val="87"/>
              </w:rPr>
              <w:t>($)</w:t>
            </w:r>
          </w:p>
        </w:tc>
        <w:tc>
          <w:tcPr>
            <w:tcW w:w="920" w:type="dxa"/>
            <w:vAlign w:val="bottom"/>
            <w:tcBorders>
              <w:bottom w:val="single" w:sz="8" w:color="auto"/>
              <w:right w:val="single" w:sz="8" w:color="auto"/>
            </w:tcBorders>
          </w:tcPr>
          <w:p>
            <w:pPr>
              <w:jc w:val="right"/>
              <w:ind w:right="337"/>
              <w:spacing w:after="0"/>
              <w:rPr>
                <w:sz w:val="20"/>
                <w:szCs w:val="20"/>
                <w:color w:val="auto"/>
              </w:rPr>
            </w:pPr>
            <w:r>
              <w:rPr>
                <w:rFonts w:ascii="Arial" w:cs="Arial" w:eastAsia="Arial" w:hAnsi="Arial"/>
                <w:sz w:val="13"/>
                <w:szCs w:val="13"/>
                <w:b w:val="1"/>
                <w:bCs w:val="1"/>
                <w:color w:val="auto"/>
              </w:rPr>
              <w:t>($)</w:t>
            </w:r>
          </w:p>
        </w:tc>
        <w:tc>
          <w:tcPr>
            <w:tcW w:w="0" w:type="dxa"/>
            <w:vAlign w:val="bottom"/>
          </w:tcPr>
          <w:p>
            <w:pPr>
              <w:spacing w:after="0"/>
              <w:rPr>
                <w:sz w:val="1"/>
                <w:szCs w:val="1"/>
                <w:color w:val="auto"/>
              </w:rPr>
            </w:pPr>
          </w:p>
        </w:tc>
      </w:tr>
      <w:tr>
        <w:trPr>
          <w:trHeight w:val="165"/>
        </w:trPr>
        <w:tc>
          <w:tcPr>
            <w:tcW w:w="2900" w:type="dxa"/>
            <w:vAlign w:val="bottom"/>
            <w:tcBorders>
              <w:left w:val="single" w:sz="8" w:color="auto"/>
              <w:right w:val="single" w:sz="8" w:color="auto"/>
            </w:tcBorders>
            <w:shd w:val="clear" w:color="auto" w:fill="D4DBEB"/>
          </w:tcPr>
          <w:p>
            <w:pPr>
              <w:ind w:left="160"/>
              <w:spacing w:after="0"/>
              <w:rPr>
                <w:sz w:val="20"/>
                <w:szCs w:val="20"/>
                <w:color w:val="auto"/>
              </w:rPr>
            </w:pPr>
            <w:r>
              <w:rPr>
                <w:rFonts w:ascii="Arial" w:cs="Arial" w:eastAsia="Arial" w:hAnsi="Arial"/>
                <w:sz w:val="13"/>
                <w:szCs w:val="13"/>
                <w:color w:val="auto"/>
              </w:rPr>
              <w:t>D.W. Woods</w:t>
            </w:r>
          </w:p>
        </w:tc>
        <w:tc>
          <w:tcPr>
            <w:tcW w:w="580" w:type="dxa"/>
            <w:vAlign w:val="bottom"/>
            <w:tcBorders>
              <w:right w:val="single" w:sz="8" w:color="auto"/>
            </w:tcBorders>
            <w:shd w:val="clear" w:color="auto" w:fill="D4DBEB"/>
          </w:tcPr>
          <w:p>
            <w:pPr>
              <w:ind w:left="160"/>
              <w:spacing w:after="0"/>
              <w:rPr>
                <w:sz w:val="20"/>
                <w:szCs w:val="20"/>
                <w:color w:val="auto"/>
              </w:rPr>
            </w:pPr>
            <w:r>
              <w:rPr>
                <w:rFonts w:ascii="Arial" w:cs="Arial" w:eastAsia="Arial" w:hAnsi="Arial"/>
                <w:sz w:val="13"/>
                <w:szCs w:val="13"/>
                <w:color w:val="auto"/>
              </w:rPr>
              <w:t>2017</w:t>
            </w:r>
          </w:p>
        </w:tc>
        <w:tc>
          <w:tcPr>
            <w:tcW w:w="880" w:type="dxa"/>
            <w:vAlign w:val="bottom"/>
            <w:tcBorders>
              <w:right w:val="single" w:sz="8" w:color="auto"/>
            </w:tcBorders>
            <w:shd w:val="clear" w:color="auto" w:fill="D4DBEB"/>
          </w:tcPr>
          <w:p>
            <w:pPr>
              <w:jc w:val="right"/>
              <w:ind w:right="97"/>
              <w:spacing w:after="0"/>
              <w:rPr>
                <w:sz w:val="20"/>
                <w:szCs w:val="20"/>
                <w:color w:val="auto"/>
              </w:rPr>
            </w:pPr>
            <w:r>
              <w:rPr>
                <w:rFonts w:ascii="Arial" w:cs="Arial" w:eastAsia="Arial" w:hAnsi="Arial"/>
                <w:sz w:val="13"/>
                <w:szCs w:val="13"/>
                <w:color w:val="auto"/>
              </w:rPr>
              <w:t>1,200,000</w:t>
            </w:r>
          </w:p>
        </w:tc>
        <w:tc>
          <w:tcPr>
            <w:tcW w:w="860" w:type="dxa"/>
            <w:vAlign w:val="bottom"/>
            <w:tcBorders>
              <w:right w:val="single" w:sz="8" w:color="auto"/>
            </w:tcBorders>
            <w:shd w:val="clear" w:color="auto" w:fill="D4DBEB"/>
          </w:tcPr>
          <w:p>
            <w:pPr>
              <w:jc w:val="right"/>
              <w:ind w:right="77"/>
              <w:spacing w:after="0"/>
              <w:rPr>
                <w:sz w:val="20"/>
                <w:szCs w:val="20"/>
                <w:color w:val="auto"/>
              </w:rPr>
            </w:pPr>
            <w:r>
              <w:rPr>
                <w:rFonts w:ascii="Arial" w:cs="Arial" w:eastAsia="Arial" w:hAnsi="Arial"/>
                <w:sz w:val="13"/>
                <w:szCs w:val="13"/>
                <w:color w:val="auto"/>
              </w:rPr>
              <w:t>1,848,000</w:t>
            </w:r>
          </w:p>
        </w:tc>
        <w:tc>
          <w:tcPr>
            <w:tcW w:w="940" w:type="dxa"/>
            <w:vAlign w:val="bottom"/>
            <w:tcBorders>
              <w:right w:val="single" w:sz="8" w:color="auto"/>
            </w:tcBorders>
            <w:shd w:val="clear" w:color="auto" w:fill="D4DBEB"/>
          </w:tcPr>
          <w:p>
            <w:pPr>
              <w:jc w:val="right"/>
              <w:ind w:right="97"/>
              <w:spacing w:after="0"/>
              <w:rPr>
                <w:sz w:val="20"/>
                <w:szCs w:val="20"/>
                <w:color w:val="auto"/>
              </w:rPr>
            </w:pPr>
            <w:r>
              <w:rPr>
                <w:rFonts w:ascii="Arial" w:cs="Arial" w:eastAsia="Arial" w:hAnsi="Arial"/>
                <w:sz w:val="13"/>
                <w:szCs w:val="13"/>
                <w:color w:val="auto"/>
              </w:rPr>
              <w:t>10,809,810</w:t>
            </w:r>
          </w:p>
        </w:tc>
        <w:tc>
          <w:tcPr>
            <w:tcW w:w="460" w:type="dxa"/>
            <w:vAlign w:val="bottom"/>
            <w:tcBorders>
              <w:right w:val="single" w:sz="8" w:color="auto"/>
            </w:tcBorders>
            <w:shd w:val="clear" w:color="auto" w:fill="D4DBEB"/>
          </w:tcPr>
          <w:p>
            <w:pPr>
              <w:jc w:val="right"/>
              <w:ind w:right="77"/>
              <w:spacing w:after="0"/>
              <w:rPr>
                <w:sz w:val="20"/>
                <w:szCs w:val="20"/>
                <w:color w:val="auto"/>
              </w:rPr>
            </w:pPr>
            <w:r>
              <w:rPr>
                <w:rFonts w:ascii="Arial" w:cs="Arial" w:eastAsia="Arial" w:hAnsi="Arial"/>
                <w:sz w:val="13"/>
                <w:szCs w:val="13"/>
                <w:color w:val="auto"/>
              </w:rPr>
              <w:t>0</w:t>
            </w:r>
          </w:p>
        </w:tc>
        <w:tc>
          <w:tcPr>
            <w:tcW w:w="580" w:type="dxa"/>
            <w:vAlign w:val="bottom"/>
            <w:tcBorders>
              <w:right w:val="single" w:sz="8" w:color="auto"/>
            </w:tcBorders>
            <w:shd w:val="clear" w:color="auto" w:fill="D4DBEB"/>
          </w:tcPr>
          <w:p>
            <w:pPr>
              <w:jc w:val="right"/>
              <w:ind w:right="97"/>
              <w:spacing w:after="0"/>
              <w:rPr>
                <w:sz w:val="20"/>
                <w:szCs w:val="20"/>
                <w:color w:val="auto"/>
              </w:rPr>
            </w:pPr>
            <w:r>
              <w:rPr>
                <w:rFonts w:ascii="Arial" w:cs="Arial" w:eastAsia="Arial" w:hAnsi="Arial"/>
                <w:sz w:val="13"/>
                <w:szCs w:val="13"/>
                <w:color w:val="auto"/>
              </w:rPr>
              <w:t>0</w:t>
            </w:r>
          </w:p>
        </w:tc>
        <w:tc>
          <w:tcPr>
            <w:tcW w:w="860" w:type="dxa"/>
            <w:vAlign w:val="bottom"/>
            <w:tcBorders>
              <w:right w:val="single" w:sz="8" w:color="auto"/>
            </w:tcBorders>
            <w:shd w:val="clear" w:color="auto" w:fill="D4DBEB"/>
          </w:tcPr>
          <w:p>
            <w:pPr>
              <w:jc w:val="right"/>
              <w:ind w:right="97"/>
              <w:spacing w:after="0"/>
              <w:rPr>
                <w:sz w:val="20"/>
                <w:szCs w:val="20"/>
                <w:color w:val="auto"/>
              </w:rPr>
            </w:pPr>
            <w:r>
              <w:rPr>
                <w:rFonts w:ascii="Arial" w:cs="Arial" w:eastAsia="Arial" w:hAnsi="Arial"/>
                <w:sz w:val="13"/>
                <w:szCs w:val="13"/>
                <w:color w:val="auto"/>
              </w:rPr>
              <w:t>3,325,779</w:t>
            </w:r>
          </w:p>
        </w:tc>
        <w:tc>
          <w:tcPr>
            <w:tcW w:w="760" w:type="dxa"/>
            <w:vAlign w:val="bottom"/>
            <w:tcBorders>
              <w:right w:val="single" w:sz="8" w:color="auto"/>
            </w:tcBorders>
            <w:shd w:val="clear" w:color="auto" w:fill="D4DBEB"/>
          </w:tcPr>
          <w:p>
            <w:pPr>
              <w:jc w:val="right"/>
              <w:ind w:right="97"/>
              <w:spacing w:after="0"/>
              <w:rPr>
                <w:sz w:val="20"/>
                <w:szCs w:val="20"/>
                <w:color w:val="auto"/>
              </w:rPr>
            </w:pPr>
            <w:r>
              <w:rPr>
                <w:rFonts w:ascii="Arial" w:cs="Arial" w:eastAsia="Arial" w:hAnsi="Arial"/>
                <w:sz w:val="13"/>
                <w:szCs w:val="13"/>
                <w:color w:val="auto"/>
              </w:rPr>
              <w:t>282,544</w:t>
            </w:r>
          </w:p>
        </w:tc>
        <w:tc>
          <w:tcPr>
            <w:tcW w:w="920" w:type="dxa"/>
            <w:vAlign w:val="bottom"/>
            <w:tcBorders>
              <w:right w:val="single" w:sz="8" w:color="auto"/>
            </w:tcBorders>
            <w:shd w:val="clear" w:color="auto" w:fill="D4DBEB"/>
          </w:tcPr>
          <w:p>
            <w:pPr>
              <w:jc w:val="right"/>
              <w:ind w:right="77"/>
              <w:spacing w:after="0"/>
              <w:rPr>
                <w:sz w:val="20"/>
                <w:szCs w:val="20"/>
                <w:color w:val="auto"/>
              </w:rPr>
            </w:pPr>
            <w:r>
              <w:rPr>
                <w:rFonts w:ascii="Arial" w:cs="Arial" w:eastAsia="Arial" w:hAnsi="Arial"/>
                <w:sz w:val="13"/>
                <w:szCs w:val="13"/>
                <w:color w:val="auto"/>
              </w:rPr>
              <w:t>17,466,133</w:t>
            </w:r>
          </w:p>
        </w:tc>
        <w:tc>
          <w:tcPr>
            <w:tcW w:w="0" w:type="dxa"/>
            <w:vAlign w:val="bottom"/>
          </w:tcPr>
          <w:p>
            <w:pPr>
              <w:spacing w:after="0"/>
              <w:rPr>
                <w:sz w:val="1"/>
                <w:szCs w:val="1"/>
                <w:color w:val="auto"/>
              </w:rPr>
            </w:pPr>
          </w:p>
        </w:tc>
      </w:tr>
      <w:tr>
        <w:trPr>
          <w:trHeight w:val="135"/>
        </w:trPr>
        <w:tc>
          <w:tcPr>
            <w:tcW w:w="2900" w:type="dxa"/>
            <w:vAlign w:val="bottom"/>
            <w:tcBorders>
              <w:left w:val="single" w:sz="8" w:color="auto"/>
              <w:right w:val="single" w:sz="8" w:color="auto"/>
            </w:tcBorders>
            <w:shd w:val="clear" w:color="auto" w:fill="D4DBEB"/>
          </w:tcPr>
          <w:p>
            <w:pPr>
              <w:ind w:left="160"/>
              <w:spacing w:after="0" w:line="135" w:lineRule="exact"/>
              <w:rPr>
                <w:sz w:val="20"/>
                <w:szCs w:val="20"/>
                <w:color w:val="auto"/>
              </w:rPr>
            </w:pPr>
            <w:r>
              <w:rPr>
                <w:rFonts w:ascii="Arial" w:cs="Arial" w:eastAsia="Arial" w:hAnsi="Arial"/>
                <w:sz w:val="13"/>
                <w:szCs w:val="13"/>
                <w:i w:val="1"/>
                <w:iCs w:val="1"/>
                <w:color w:val="auto"/>
              </w:rPr>
              <w:t xml:space="preserve">Chairman and CEO </w:t>
            </w:r>
            <w:r>
              <w:rPr>
                <w:rFonts w:ascii="Arial" w:cs="Arial" w:eastAsia="Arial" w:hAnsi="Arial"/>
                <w:sz w:val="10"/>
                <w:szCs w:val="10"/>
                <w:i w:val="1"/>
                <w:iCs w:val="1"/>
                <w:color w:val="auto"/>
              </w:rPr>
              <w:t>(1)</w:t>
            </w:r>
          </w:p>
        </w:tc>
        <w:tc>
          <w:tcPr>
            <w:tcW w:w="580" w:type="dxa"/>
            <w:vAlign w:val="bottom"/>
            <w:tcBorders>
              <w:right w:val="single" w:sz="8" w:color="auto"/>
            </w:tcBorders>
            <w:shd w:val="clear" w:color="auto" w:fill="D4DBEB"/>
          </w:tcPr>
          <w:p>
            <w:pPr>
              <w:ind w:left="160"/>
              <w:spacing w:after="0" w:line="135" w:lineRule="exact"/>
              <w:rPr>
                <w:sz w:val="20"/>
                <w:szCs w:val="20"/>
                <w:color w:val="auto"/>
              </w:rPr>
            </w:pPr>
            <w:r>
              <w:rPr>
                <w:rFonts w:ascii="Arial" w:cs="Arial" w:eastAsia="Arial" w:hAnsi="Arial"/>
                <w:sz w:val="13"/>
                <w:szCs w:val="13"/>
                <w:color w:val="auto"/>
              </w:rPr>
              <w:t>2016</w:t>
            </w:r>
          </w:p>
        </w:tc>
        <w:tc>
          <w:tcPr>
            <w:tcW w:w="880" w:type="dxa"/>
            <w:vAlign w:val="bottom"/>
            <w:tcBorders>
              <w:right w:val="single" w:sz="8" w:color="auto"/>
            </w:tcBorders>
            <w:shd w:val="clear" w:color="auto" w:fill="D4DBEB"/>
          </w:tcPr>
          <w:p>
            <w:pPr>
              <w:jc w:val="right"/>
              <w:ind w:right="97"/>
              <w:spacing w:after="0" w:line="135" w:lineRule="exact"/>
              <w:rPr>
                <w:sz w:val="20"/>
                <w:szCs w:val="20"/>
                <w:color w:val="auto"/>
              </w:rPr>
            </w:pPr>
            <w:r>
              <w:rPr>
                <w:rFonts w:ascii="Arial" w:cs="Arial" w:eastAsia="Arial" w:hAnsi="Arial"/>
                <w:sz w:val="13"/>
                <w:szCs w:val="13"/>
                <w:color w:val="auto"/>
              </w:rPr>
              <w:t>1,000,000</w:t>
            </w:r>
          </w:p>
        </w:tc>
        <w:tc>
          <w:tcPr>
            <w:tcW w:w="860" w:type="dxa"/>
            <w:vAlign w:val="bottom"/>
            <w:tcBorders>
              <w:right w:val="single" w:sz="8" w:color="auto"/>
            </w:tcBorders>
            <w:shd w:val="clear" w:color="auto" w:fill="D4DBEB"/>
          </w:tcPr>
          <w:p>
            <w:pPr>
              <w:jc w:val="right"/>
              <w:ind w:right="77"/>
              <w:spacing w:after="0" w:line="135" w:lineRule="exact"/>
              <w:rPr>
                <w:sz w:val="20"/>
                <w:szCs w:val="20"/>
                <w:color w:val="auto"/>
              </w:rPr>
            </w:pPr>
            <w:r>
              <w:rPr>
                <w:rFonts w:ascii="Arial" w:cs="Arial" w:eastAsia="Arial" w:hAnsi="Arial"/>
                <w:sz w:val="13"/>
                <w:szCs w:val="13"/>
                <w:color w:val="auto"/>
              </w:rPr>
              <w:t>1,232,000</w:t>
            </w:r>
          </w:p>
        </w:tc>
        <w:tc>
          <w:tcPr>
            <w:tcW w:w="940" w:type="dxa"/>
            <w:vAlign w:val="bottom"/>
            <w:tcBorders>
              <w:right w:val="single" w:sz="8" w:color="auto"/>
            </w:tcBorders>
            <w:shd w:val="clear" w:color="auto" w:fill="D4DBEB"/>
          </w:tcPr>
          <w:p>
            <w:pPr>
              <w:jc w:val="right"/>
              <w:ind w:right="97"/>
              <w:spacing w:after="0" w:line="135" w:lineRule="exact"/>
              <w:rPr>
                <w:sz w:val="20"/>
                <w:szCs w:val="20"/>
                <w:color w:val="auto"/>
              </w:rPr>
            </w:pPr>
            <w:r>
              <w:rPr>
                <w:rFonts w:ascii="Arial" w:cs="Arial" w:eastAsia="Arial" w:hAnsi="Arial"/>
                <w:sz w:val="13"/>
                <w:szCs w:val="13"/>
                <w:color w:val="auto"/>
              </w:rPr>
              <w:t>12,014,215</w:t>
            </w:r>
          </w:p>
        </w:tc>
        <w:tc>
          <w:tcPr>
            <w:tcW w:w="460" w:type="dxa"/>
            <w:vAlign w:val="bottom"/>
            <w:tcBorders>
              <w:right w:val="single" w:sz="8" w:color="auto"/>
            </w:tcBorders>
            <w:shd w:val="clear" w:color="auto" w:fill="D4DBEB"/>
          </w:tcPr>
          <w:p>
            <w:pPr>
              <w:jc w:val="right"/>
              <w:ind w:right="77"/>
              <w:spacing w:after="0" w:line="135" w:lineRule="exact"/>
              <w:rPr>
                <w:sz w:val="20"/>
                <w:szCs w:val="20"/>
                <w:color w:val="auto"/>
              </w:rPr>
            </w:pPr>
            <w:r>
              <w:rPr>
                <w:rFonts w:ascii="Arial" w:cs="Arial" w:eastAsia="Arial" w:hAnsi="Arial"/>
                <w:sz w:val="13"/>
                <w:szCs w:val="13"/>
                <w:color w:val="auto"/>
              </w:rPr>
              <w:t>0</w:t>
            </w:r>
          </w:p>
        </w:tc>
        <w:tc>
          <w:tcPr>
            <w:tcW w:w="580" w:type="dxa"/>
            <w:vAlign w:val="bottom"/>
            <w:tcBorders>
              <w:right w:val="single" w:sz="8" w:color="auto"/>
            </w:tcBorders>
            <w:shd w:val="clear" w:color="auto" w:fill="D4DBEB"/>
          </w:tcPr>
          <w:p>
            <w:pPr>
              <w:jc w:val="right"/>
              <w:ind w:right="97"/>
              <w:spacing w:after="0" w:line="135" w:lineRule="exact"/>
              <w:rPr>
                <w:sz w:val="20"/>
                <w:szCs w:val="20"/>
                <w:color w:val="auto"/>
              </w:rPr>
            </w:pPr>
            <w:r>
              <w:rPr>
                <w:rFonts w:ascii="Arial" w:cs="Arial" w:eastAsia="Arial" w:hAnsi="Arial"/>
                <w:sz w:val="13"/>
                <w:szCs w:val="13"/>
                <w:color w:val="auto"/>
              </w:rPr>
              <w:t>0</w:t>
            </w:r>
          </w:p>
        </w:tc>
        <w:tc>
          <w:tcPr>
            <w:tcW w:w="860" w:type="dxa"/>
            <w:vAlign w:val="bottom"/>
            <w:tcBorders>
              <w:right w:val="single" w:sz="8" w:color="auto"/>
            </w:tcBorders>
            <w:shd w:val="clear" w:color="auto" w:fill="D4DBEB"/>
          </w:tcPr>
          <w:p>
            <w:pPr>
              <w:jc w:val="right"/>
              <w:ind w:right="97"/>
              <w:spacing w:after="0" w:line="135" w:lineRule="exact"/>
              <w:rPr>
                <w:sz w:val="20"/>
                <w:szCs w:val="20"/>
                <w:color w:val="auto"/>
              </w:rPr>
            </w:pPr>
            <w:r>
              <w:rPr>
                <w:rFonts w:ascii="Arial" w:cs="Arial" w:eastAsia="Arial" w:hAnsi="Arial"/>
                <w:sz w:val="13"/>
                <w:szCs w:val="13"/>
                <w:color w:val="auto"/>
              </w:rPr>
              <w:t>2,179,208</w:t>
            </w:r>
          </w:p>
        </w:tc>
        <w:tc>
          <w:tcPr>
            <w:tcW w:w="760" w:type="dxa"/>
            <w:vAlign w:val="bottom"/>
            <w:tcBorders>
              <w:right w:val="single" w:sz="8" w:color="auto"/>
            </w:tcBorders>
            <w:shd w:val="clear" w:color="auto" w:fill="D4DBEB"/>
          </w:tcPr>
          <w:p>
            <w:pPr>
              <w:jc w:val="right"/>
              <w:ind w:right="97"/>
              <w:spacing w:after="0" w:line="135" w:lineRule="exact"/>
              <w:rPr>
                <w:sz w:val="20"/>
                <w:szCs w:val="20"/>
                <w:color w:val="auto"/>
              </w:rPr>
            </w:pPr>
            <w:r>
              <w:rPr>
                <w:rFonts w:ascii="Arial" w:cs="Arial" w:eastAsia="Arial" w:hAnsi="Arial"/>
                <w:sz w:val="13"/>
                <w:szCs w:val="13"/>
                <w:color w:val="auto"/>
              </w:rPr>
              <w:t>421,505</w:t>
            </w:r>
          </w:p>
        </w:tc>
        <w:tc>
          <w:tcPr>
            <w:tcW w:w="920" w:type="dxa"/>
            <w:vAlign w:val="bottom"/>
            <w:tcBorders>
              <w:right w:val="single" w:sz="8" w:color="auto"/>
            </w:tcBorders>
            <w:shd w:val="clear" w:color="auto" w:fill="D4DBEB"/>
          </w:tcPr>
          <w:p>
            <w:pPr>
              <w:jc w:val="right"/>
              <w:ind w:right="77"/>
              <w:spacing w:after="0" w:line="135" w:lineRule="exact"/>
              <w:rPr>
                <w:sz w:val="20"/>
                <w:szCs w:val="20"/>
                <w:color w:val="auto"/>
              </w:rPr>
            </w:pPr>
            <w:r>
              <w:rPr>
                <w:rFonts w:ascii="Arial" w:cs="Arial" w:eastAsia="Arial" w:hAnsi="Arial"/>
                <w:sz w:val="13"/>
                <w:szCs w:val="13"/>
                <w:color w:val="auto"/>
              </w:rPr>
              <w:t>16,846,928</w:t>
            </w:r>
          </w:p>
        </w:tc>
        <w:tc>
          <w:tcPr>
            <w:tcW w:w="0" w:type="dxa"/>
            <w:vAlign w:val="bottom"/>
          </w:tcPr>
          <w:p>
            <w:pPr>
              <w:spacing w:after="0"/>
              <w:rPr>
                <w:sz w:val="1"/>
                <w:szCs w:val="1"/>
                <w:color w:val="auto"/>
              </w:rPr>
            </w:pPr>
          </w:p>
        </w:tc>
      </w:tr>
      <w:tr>
        <w:trPr>
          <w:trHeight w:val="171"/>
        </w:trPr>
        <w:tc>
          <w:tcPr>
            <w:tcW w:w="2900" w:type="dxa"/>
            <w:vAlign w:val="bottom"/>
            <w:tcBorders>
              <w:left w:val="single" w:sz="8" w:color="auto"/>
              <w:right w:val="single" w:sz="8" w:color="auto"/>
            </w:tcBorders>
            <w:shd w:val="clear" w:color="auto" w:fill="D4DBEB"/>
          </w:tcPr>
          <w:p>
            <w:pPr>
              <w:spacing w:after="0"/>
              <w:rPr>
                <w:sz w:val="14"/>
                <w:szCs w:val="14"/>
                <w:color w:val="auto"/>
              </w:rPr>
            </w:pPr>
          </w:p>
        </w:tc>
        <w:tc>
          <w:tcPr>
            <w:tcW w:w="580" w:type="dxa"/>
            <w:vAlign w:val="bottom"/>
            <w:tcBorders>
              <w:right w:val="single" w:sz="8" w:color="auto"/>
            </w:tcBorders>
            <w:shd w:val="clear" w:color="auto" w:fill="D4DBEB"/>
          </w:tcPr>
          <w:p>
            <w:pPr>
              <w:ind w:left="160"/>
              <w:spacing w:after="0"/>
              <w:rPr>
                <w:sz w:val="20"/>
                <w:szCs w:val="20"/>
                <w:color w:val="auto"/>
              </w:rPr>
            </w:pPr>
            <w:r>
              <w:rPr>
                <w:rFonts w:ascii="Arial" w:cs="Arial" w:eastAsia="Arial" w:hAnsi="Arial"/>
                <w:sz w:val="13"/>
                <w:szCs w:val="13"/>
                <w:color w:val="auto"/>
              </w:rPr>
              <w:t>2015</w:t>
            </w:r>
          </w:p>
        </w:tc>
        <w:tc>
          <w:tcPr>
            <w:tcW w:w="880" w:type="dxa"/>
            <w:vAlign w:val="bottom"/>
            <w:tcBorders>
              <w:right w:val="single" w:sz="8" w:color="auto"/>
            </w:tcBorders>
            <w:shd w:val="clear" w:color="auto" w:fill="D4DBEB"/>
          </w:tcPr>
          <w:p>
            <w:pPr>
              <w:jc w:val="right"/>
              <w:ind w:right="97"/>
              <w:spacing w:after="0"/>
              <w:rPr>
                <w:sz w:val="20"/>
                <w:szCs w:val="20"/>
                <w:color w:val="auto"/>
              </w:rPr>
            </w:pPr>
            <w:r>
              <w:rPr>
                <w:rFonts w:ascii="Arial" w:cs="Arial" w:eastAsia="Arial" w:hAnsi="Arial"/>
                <w:sz w:val="13"/>
                <w:szCs w:val="13"/>
                <w:color w:val="auto"/>
              </w:rPr>
              <w:t>736,667</w:t>
            </w:r>
          </w:p>
        </w:tc>
        <w:tc>
          <w:tcPr>
            <w:tcW w:w="860" w:type="dxa"/>
            <w:vAlign w:val="bottom"/>
            <w:tcBorders>
              <w:right w:val="single" w:sz="8" w:color="auto"/>
            </w:tcBorders>
            <w:shd w:val="clear" w:color="auto" w:fill="D4DBEB"/>
          </w:tcPr>
          <w:p>
            <w:pPr>
              <w:jc w:val="right"/>
              <w:ind w:right="77"/>
              <w:spacing w:after="0"/>
              <w:rPr>
                <w:sz w:val="20"/>
                <w:szCs w:val="20"/>
                <w:color w:val="auto"/>
              </w:rPr>
            </w:pPr>
            <w:r>
              <w:rPr>
                <w:rFonts w:ascii="Arial" w:cs="Arial" w:eastAsia="Arial" w:hAnsi="Arial"/>
                <w:sz w:val="13"/>
                <w:szCs w:val="13"/>
                <w:color w:val="auto"/>
              </w:rPr>
              <w:t>1,219,000</w:t>
            </w:r>
          </w:p>
        </w:tc>
        <w:tc>
          <w:tcPr>
            <w:tcW w:w="940" w:type="dxa"/>
            <w:vAlign w:val="bottom"/>
            <w:tcBorders>
              <w:right w:val="single" w:sz="8" w:color="auto"/>
            </w:tcBorders>
            <w:shd w:val="clear" w:color="auto" w:fill="D4DBEB"/>
          </w:tcPr>
          <w:p>
            <w:pPr>
              <w:jc w:val="right"/>
              <w:ind w:right="97"/>
              <w:spacing w:after="0"/>
              <w:rPr>
                <w:sz w:val="20"/>
                <w:szCs w:val="20"/>
                <w:color w:val="auto"/>
              </w:rPr>
            </w:pPr>
            <w:r>
              <w:rPr>
                <w:rFonts w:ascii="Arial" w:cs="Arial" w:eastAsia="Arial" w:hAnsi="Arial"/>
                <w:sz w:val="13"/>
                <w:szCs w:val="13"/>
                <w:color w:val="auto"/>
              </w:rPr>
              <w:t>7,241,492</w:t>
            </w:r>
          </w:p>
        </w:tc>
        <w:tc>
          <w:tcPr>
            <w:tcW w:w="460" w:type="dxa"/>
            <w:vAlign w:val="bottom"/>
            <w:tcBorders>
              <w:right w:val="single" w:sz="8" w:color="auto"/>
            </w:tcBorders>
            <w:shd w:val="clear" w:color="auto" w:fill="D4DBEB"/>
          </w:tcPr>
          <w:p>
            <w:pPr>
              <w:jc w:val="right"/>
              <w:ind w:right="77"/>
              <w:spacing w:after="0"/>
              <w:rPr>
                <w:sz w:val="20"/>
                <w:szCs w:val="20"/>
                <w:color w:val="auto"/>
              </w:rPr>
            </w:pPr>
            <w:r>
              <w:rPr>
                <w:rFonts w:ascii="Arial" w:cs="Arial" w:eastAsia="Arial" w:hAnsi="Arial"/>
                <w:sz w:val="13"/>
                <w:szCs w:val="13"/>
                <w:color w:val="auto"/>
              </w:rPr>
              <w:t>0</w:t>
            </w:r>
          </w:p>
        </w:tc>
        <w:tc>
          <w:tcPr>
            <w:tcW w:w="580" w:type="dxa"/>
            <w:vAlign w:val="bottom"/>
            <w:tcBorders>
              <w:right w:val="single" w:sz="8" w:color="auto"/>
            </w:tcBorders>
            <w:shd w:val="clear" w:color="auto" w:fill="D4DBEB"/>
          </w:tcPr>
          <w:p>
            <w:pPr>
              <w:jc w:val="right"/>
              <w:ind w:right="97"/>
              <w:spacing w:after="0"/>
              <w:rPr>
                <w:sz w:val="20"/>
                <w:szCs w:val="20"/>
                <w:color w:val="auto"/>
              </w:rPr>
            </w:pPr>
            <w:r>
              <w:rPr>
                <w:rFonts w:ascii="Arial" w:cs="Arial" w:eastAsia="Arial" w:hAnsi="Arial"/>
                <w:sz w:val="13"/>
                <w:szCs w:val="13"/>
                <w:color w:val="auto"/>
              </w:rPr>
              <w:t>0</w:t>
            </w:r>
          </w:p>
        </w:tc>
        <w:tc>
          <w:tcPr>
            <w:tcW w:w="860" w:type="dxa"/>
            <w:vAlign w:val="bottom"/>
            <w:tcBorders>
              <w:right w:val="single" w:sz="8" w:color="auto"/>
            </w:tcBorders>
            <w:shd w:val="clear" w:color="auto" w:fill="D4DBEB"/>
          </w:tcPr>
          <w:p>
            <w:pPr>
              <w:jc w:val="right"/>
              <w:ind w:right="97"/>
              <w:spacing w:after="0"/>
              <w:rPr>
                <w:sz w:val="20"/>
                <w:szCs w:val="20"/>
                <w:color w:val="auto"/>
              </w:rPr>
            </w:pPr>
            <w:r>
              <w:rPr>
                <w:rFonts w:ascii="Arial" w:cs="Arial" w:eastAsia="Arial" w:hAnsi="Arial"/>
                <w:sz w:val="13"/>
                <w:szCs w:val="13"/>
                <w:color w:val="auto"/>
              </w:rPr>
              <w:t>954,492</w:t>
            </w:r>
          </w:p>
        </w:tc>
        <w:tc>
          <w:tcPr>
            <w:tcW w:w="760" w:type="dxa"/>
            <w:vAlign w:val="bottom"/>
            <w:tcBorders>
              <w:right w:val="single" w:sz="8" w:color="auto"/>
            </w:tcBorders>
            <w:shd w:val="clear" w:color="auto" w:fill="D4DBEB"/>
          </w:tcPr>
          <w:p>
            <w:pPr>
              <w:jc w:val="right"/>
              <w:ind w:right="97"/>
              <w:spacing w:after="0"/>
              <w:rPr>
                <w:sz w:val="20"/>
                <w:szCs w:val="20"/>
                <w:color w:val="auto"/>
              </w:rPr>
            </w:pPr>
            <w:r>
              <w:rPr>
                <w:rFonts w:ascii="Arial" w:cs="Arial" w:eastAsia="Arial" w:hAnsi="Arial"/>
                <w:sz w:val="13"/>
                <w:szCs w:val="13"/>
                <w:color w:val="auto"/>
              </w:rPr>
              <w:t>143,221</w:t>
            </w:r>
          </w:p>
        </w:tc>
        <w:tc>
          <w:tcPr>
            <w:tcW w:w="920" w:type="dxa"/>
            <w:vAlign w:val="bottom"/>
            <w:tcBorders>
              <w:right w:val="single" w:sz="8" w:color="auto"/>
            </w:tcBorders>
            <w:shd w:val="clear" w:color="auto" w:fill="D4DBEB"/>
          </w:tcPr>
          <w:p>
            <w:pPr>
              <w:jc w:val="right"/>
              <w:ind w:right="77"/>
              <w:spacing w:after="0"/>
              <w:rPr>
                <w:sz w:val="20"/>
                <w:szCs w:val="20"/>
                <w:color w:val="auto"/>
              </w:rPr>
            </w:pPr>
            <w:r>
              <w:rPr>
                <w:rFonts w:ascii="Arial" w:cs="Arial" w:eastAsia="Arial" w:hAnsi="Arial"/>
                <w:sz w:val="13"/>
                <w:szCs w:val="13"/>
                <w:color w:val="auto"/>
              </w:rPr>
              <w:t>10,294,872</w:t>
            </w:r>
          </w:p>
        </w:tc>
        <w:tc>
          <w:tcPr>
            <w:tcW w:w="0" w:type="dxa"/>
            <w:vAlign w:val="bottom"/>
          </w:tcPr>
          <w:p>
            <w:pPr>
              <w:spacing w:after="0"/>
              <w:rPr>
                <w:sz w:val="1"/>
                <w:szCs w:val="1"/>
                <w:color w:val="auto"/>
              </w:rPr>
            </w:pPr>
          </w:p>
        </w:tc>
      </w:tr>
      <w:tr>
        <w:trPr>
          <w:trHeight w:val="181"/>
        </w:trPr>
        <w:tc>
          <w:tcPr>
            <w:tcW w:w="2900" w:type="dxa"/>
            <w:vAlign w:val="bottom"/>
            <w:tcBorders>
              <w:left w:val="single" w:sz="8" w:color="auto"/>
              <w:right w:val="single" w:sz="8" w:color="auto"/>
            </w:tcBorders>
          </w:tcPr>
          <w:p>
            <w:pPr>
              <w:ind w:left="160"/>
              <w:spacing w:after="0"/>
              <w:rPr>
                <w:sz w:val="20"/>
                <w:szCs w:val="20"/>
                <w:color w:val="auto"/>
              </w:rPr>
            </w:pPr>
            <w:r>
              <w:rPr>
                <w:rFonts w:ascii="Arial" w:cs="Arial" w:eastAsia="Arial" w:hAnsi="Arial"/>
                <w:sz w:val="13"/>
                <w:szCs w:val="13"/>
                <w:color w:val="auto"/>
              </w:rPr>
              <w:t>A.P. Swiger</w:t>
            </w:r>
          </w:p>
        </w:tc>
        <w:tc>
          <w:tcPr>
            <w:tcW w:w="580" w:type="dxa"/>
            <w:vAlign w:val="bottom"/>
            <w:tcBorders>
              <w:right w:val="single" w:sz="8" w:color="auto"/>
            </w:tcBorders>
          </w:tcPr>
          <w:p>
            <w:pPr>
              <w:ind w:left="160"/>
              <w:spacing w:after="0"/>
              <w:rPr>
                <w:sz w:val="20"/>
                <w:szCs w:val="20"/>
                <w:color w:val="auto"/>
              </w:rPr>
            </w:pPr>
            <w:r>
              <w:rPr>
                <w:rFonts w:ascii="Arial" w:cs="Arial" w:eastAsia="Arial" w:hAnsi="Arial"/>
                <w:sz w:val="13"/>
                <w:szCs w:val="13"/>
                <w:color w:val="auto"/>
              </w:rPr>
              <w:t>2017</w:t>
            </w:r>
          </w:p>
        </w:tc>
        <w:tc>
          <w:tcPr>
            <w:tcW w:w="880" w:type="dxa"/>
            <w:vAlign w:val="bottom"/>
            <w:tcBorders>
              <w:right w:val="single" w:sz="8" w:color="auto"/>
            </w:tcBorders>
          </w:tcPr>
          <w:p>
            <w:pPr>
              <w:jc w:val="right"/>
              <w:ind w:right="97"/>
              <w:spacing w:after="0"/>
              <w:rPr>
                <w:sz w:val="20"/>
                <w:szCs w:val="20"/>
                <w:color w:val="auto"/>
              </w:rPr>
            </w:pPr>
            <w:r>
              <w:rPr>
                <w:rFonts w:ascii="Arial" w:cs="Arial" w:eastAsia="Arial" w:hAnsi="Arial"/>
                <w:sz w:val="13"/>
                <w:szCs w:val="13"/>
                <w:color w:val="auto"/>
              </w:rPr>
              <w:t>1,337,500</w:t>
            </w:r>
          </w:p>
        </w:tc>
        <w:tc>
          <w:tcPr>
            <w:tcW w:w="860" w:type="dxa"/>
            <w:vAlign w:val="bottom"/>
            <w:tcBorders>
              <w:right w:val="single" w:sz="8" w:color="auto"/>
            </w:tcBorders>
          </w:tcPr>
          <w:p>
            <w:pPr>
              <w:jc w:val="right"/>
              <w:ind w:right="77"/>
              <w:spacing w:after="0"/>
              <w:rPr>
                <w:sz w:val="20"/>
                <w:szCs w:val="20"/>
                <w:color w:val="auto"/>
              </w:rPr>
            </w:pPr>
            <w:r>
              <w:rPr>
                <w:rFonts w:ascii="Arial" w:cs="Arial" w:eastAsia="Arial" w:hAnsi="Arial"/>
                <w:sz w:val="13"/>
                <w:szCs w:val="13"/>
                <w:color w:val="auto"/>
              </w:rPr>
              <w:t>1,603,000</w:t>
            </w:r>
          </w:p>
        </w:tc>
        <w:tc>
          <w:tcPr>
            <w:tcW w:w="940" w:type="dxa"/>
            <w:vAlign w:val="bottom"/>
            <w:tcBorders>
              <w:right w:val="single" w:sz="8" w:color="auto"/>
            </w:tcBorders>
          </w:tcPr>
          <w:p>
            <w:pPr>
              <w:jc w:val="right"/>
              <w:ind w:right="97"/>
              <w:spacing w:after="0"/>
              <w:rPr>
                <w:sz w:val="20"/>
                <w:szCs w:val="20"/>
                <w:color w:val="auto"/>
              </w:rPr>
            </w:pPr>
            <w:r>
              <w:rPr>
                <w:rFonts w:ascii="Arial" w:cs="Arial" w:eastAsia="Arial" w:hAnsi="Arial"/>
                <w:sz w:val="13"/>
                <w:szCs w:val="13"/>
                <w:color w:val="auto"/>
              </w:rPr>
              <w:t>8,123,736</w:t>
            </w:r>
          </w:p>
        </w:tc>
        <w:tc>
          <w:tcPr>
            <w:tcW w:w="460" w:type="dxa"/>
            <w:vAlign w:val="bottom"/>
            <w:tcBorders>
              <w:right w:val="single" w:sz="8" w:color="auto"/>
            </w:tcBorders>
          </w:tcPr>
          <w:p>
            <w:pPr>
              <w:jc w:val="right"/>
              <w:ind w:right="77"/>
              <w:spacing w:after="0"/>
              <w:rPr>
                <w:sz w:val="20"/>
                <w:szCs w:val="20"/>
                <w:color w:val="auto"/>
              </w:rPr>
            </w:pPr>
            <w:r>
              <w:rPr>
                <w:rFonts w:ascii="Arial" w:cs="Arial" w:eastAsia="Arial" w:hAnsi="Arial"/>
                <w:sz w:val="13"/>
                <w:szCs w:val="13"/>
                <w:color w:val="auto"/>
              </w:rPr>
              <w:t>0</w:t>
            </w:r>
          </w:p>
        </w:tc>
        <w:tc>
          <w:tcPr>
            <w:tcW w:w="580" w:type="dxa"/>
            <w:vAlign w:val="bottom"/>
            <w:tcBorders>
              <w:right w:val="single" w:sz="8" w:color="auto"/>
            </w:tcBorders>
          </w:tcPr>
          <w:p>
            <w:pPr>
              <w:jc w:val="right"/>
              <w:ind w:right="97"/>
              <w:spacing w:after="0"/>
              <w:rPr>
                <w:sz w:val="20"/>
                <w:szCs w:val="20"/>
                <w:color w:val="auto"/>
              </w:rPr>
            </w:pPr>
            <w:r>
              <w:rPr>
                <w:rFonts w:ascii="Arial" w:cs="Arial" w:eastAsia="Arial" w:hAnsi="Arial"/>
                <w:sz w:val="13"/>
                <w:szCs w:val="13"/>
                <w:color w:val="auto"/>
              </w:rPr>
              <w:t>0</w:t>
            </w:r>
          </w:p>
        </w:tc>
        <w:tc>
          <w:tcPr>
            <w:tcW w:w="860" w:type="dxa"/>
            <w:vAlign w:val="bottom"/>
            <w:tcBorders>
              <w:right w:val="single" w:sz="8" w:color="auto"/>
            </w:tcBorders>
          </w:tcPr>
          <w:p>
            <w:pPr>
              <w:jc w:val="right"/>
              <w:ind w:right="97"/>
              <w:spacing w:after="0"/>
              <w:rPr>
                <w:sz w:val="20"/>
                <w:szCs w:val="20"/>
                <w:color w:val="auto"/>
              </w:rPr>
            </w:pPr>
            <w:r>
              <w:rPr>
                <w:rFonts w:ascii="Arial" w:cs="Arial" w:eastAsia="Arial" w:hAnsi="Arial"/>
                <w:sz w:val="13"/>
                <w:szCs w:val="13"/>
                <w:color w:val="auto"/>
              </w:rPr>
              <w:t>0</w:t>
            </w:r>
          </w:p>
        </w:tc>
        <w:tc>
          <w:tcPr>
            <w:tcW w:w="760" w:type="dxa"/>
            <w:vAlign w:val="bottom"/>
            <w:tcBorders>
              <w:right w:val="single" w:sz="8" w:color="auto"/>
            </w:tcBorders>
          </w:tcPr>
          <w:p>
            <w:pPr>
              <w:jc w:val="right"/>
              <w:ind w:right="97"/>
              <w:spacing w:after="0"/>
              <w:rPr>
                <w:sz w:val="20"/>
                <w:szCs w:val="20"/>
                <w:color w:val="auto"/>
              </w:rPr>
            </w:pPr>
            <w:r>
              <w:rPr>
                <w:rFonts w:ascii="Arial" w:cs="Arial" w:eastAsia="Arial" w:hAnsi="Arial"/>
                <w:sz w:val="13"/>
                <w:szCs w:val="13"/>
                <w:color w:val="auto"/>
              </w:rPr>
              <w:t>151,738</w:t>
            </w:r>
          </w:p>
        </w:tc>
        <w:tc>
          <w:tcPr>
            <w:tcW w:w="920" w:type="dxa"/>
            <w:vAlign w:val="bottom"/>
            <w:tcBorders>
              <w:right w:val="single" w:sz="8" w:color="auto"/>
            </w:tcBorders>
          </w:tcPr>
          <w:p>
            <w:pPr>
              <w:jc w:val="right"/>
              <w:ind w:right="77"/>
              <w:spacing w:after="0"/>
              <w:rPr>
                <w:sz w:val="20"/>
                <w:szCs w:val="20"/>
                <w:color w:val="auto"/>
              </w:rPr>
            </w:pPr>
            <w:r>
              <w:rPr>
                <w:rFonts w:ascii="Arial" w:cs="Arial" w:eastAsia="Arial" w:hAnsi="Arial"/>
                <w:sz w:val="13"/>
                <w:szCs w:val="13"/>
                <w:color w:val="auto"/>
              </w:rPr>
              <w:t>11,215,974</w:t>
            </w:r>
          </w:p>
        </w:tc>
        <w:tc>
          <w:tcPr>
            <w:tcW w:w="0" w:type="dxa"/>
            <w:vAlign w:val="bottom"/>
          </w:tcPr>
          <w:p>
            <w:pPr>
              <w:spacing w:after="0"/>
              <w:rPr>
                <w:sz w:val="1"/>
                <w:szCs w:val="1"/>
                <w:color w:val="auto"/>
              </w:rPr>
            </w:pPr>
          </w:p>
        </w:tc>
      </w:tr>
      <w:tr>
        <w:trPr>
          <w:trHeight w:val="135"/>
        </w:trPr>
        <w:tc>
          <w:tcPr>
            <w:tcW w:w="2900" w:type="dxa"/>
            <w:vAlign w:val="bottom"/>
            <w:tcBorders>
              <w:left w:val="single" w:sz="8" w:color="auto"/>
              <w:right w:val="single" w:sz="8" w:color="auto"/>
            </w:tcBorders>
          </w:tcPr>
          <w:p>
            <w:pPr>
              <w:ind w:left="160"/>
              <w:spacing w:after="0" w:line="135" w:lineRule="exact"/>
              <w:rPr>
                <w:sz w:val="20"/>
                <w:szCs w:val="20"/>
                <w:color w:val="auto"/>
              </w:rPr>
            </w:pPr>
            <w:r>
              <w:rPr>
                <w:rFonts w:ascii="Arial" w:cs="Arial" w:eastAsia="Arial" w:hAnsi="Arial"/>
                <w:sz w:val="13"/>
                <w:szCs w:val="13"/>
                <w:i w:val="1"/>
                <w:iCs w:val="1"/>
                <w:color w:val="auto"/>
              </w:rPr>
              <w:t>Senior Vice President; PFO</w:t>
            </w:r>
          </w:p>
        </w:tc>
        <w:tc>
          <w:tcPr>
            <w:tcW w:w="580" w:type="dxa"/>
            <w:vAlign w:val="bottom"/>
            <w:tcBorders>
              <w:right w:val="single" w:sz="8" w:color="auto"/>
            </w:tcBorders>
          </w:tcPr>
          <w:p>
            <w:pPr>
              <w:ind w:left="160"/>
              <w:spacing w:after="0" w:line="135" w:lineRule="exact"/>
              <w:rPr>
                <w:sz w:val="20"/>
                <w:szCs w:val="20"/>
                <w:color w:val="auto"/>
              </w:rPr>
            </w:pPr>
            <w:r>
              <w:rPr>
                <w:rFonts w:ascii="Arial" w:cs="Arial" w:eastAsia="Arial" w:hAnsi="Arial"/>
                <w:sz w:val="13"/>
                <w:szCs w:val="13"/>
                <w:color w:val="auto"/>
              </w:rPr>
              <w:t>2016</w:t>
            </w:r>
          </w:p>
        </w:tc>
        <w:tc>
          <w:tcPr>
            <w:tcW w:w="880" w:type="dxa"/>
            <w:vAlign w:val="bottom"/>
            <w:tcBorders>
              <w:right w:val="single" w:sz="8" w:color="auto"/>
            </w:tcBorders>
          </w:tcPr>
          <w:p>
            <w:pPr>
              <w:jc w:val="right"/>
              <w:ind w:right="97"/>
              <w:spacing w:after="0" w:line="135" w:lineRule="exact"/>
              <w:rPr>
                <w:sz w:val="20"/>
                <w:szCs w:val="20"/>
                <w:color w:val="auto"/>
              </w:rPr>
            </w:pPr>
            <w:r>
              <w:rPr>
                <w:rFonts w:ascii="Arial" w:cs="Arial" w:eastAsia="Arial" w:hAnsi="Arial"/>
                <w:sz w:val="13"/>
                <w:szCs w:val="13"/>
                <w:color w:val="auto"/>
              </w:rPr>
              <w:t>1,287,500</w:t>
            </w:r>
          </w:p>
        </w:tc>
        <w:tc>
          <w:tcPr>
            <w:tcW w:w="860" w:type="dxa"/>
            <w:vAlign w:val="bottom"/>
            <w:tcBorders>
              <w:right w:val="single" w:sz="8" w:color="auto"/>
            </w:tcBorders>
          </w:tcPr>
          <w:p>
            <w:pPr>
              <w:jc w:val="right"/>
              <w:ind w:right="77"/>
              <w:spacing w:after="0" w:line="135" w:lineRule="exact"/>
              <w:rPr>
                <w:sz w:val="20"/>
                <w:szCs w:val="20"/>
                <w:color w:val="auto"/>
              </w:rPr>
            </w:pPr>
            <w:r>
              <w:rPr>
                <w:rFonts w:ascii="Arial" w:cs="Arial" w:eastAsia="Arial" w:hAnsi="Arial"/>
                <w:sz w:val="13"/>
                <w:szCs w:val="13"/>
                <w:color w:val="auto"/>
              </w:rPr>
              <w:t>986,000</w:t>
            </w:r>
          </w:p>
        </w:tc>
        <w:tc>
          <w:tcPr>
            <w:tcW w:w="940" w:type="dxa"/>
            <w:vAlign w:val="bottom"/>
            <w:tcBorders>
              <w:right w:val="single" w:sz="8" w:color="auto"/>
            </w:tcBorders>
          </w:tcPr>
          <w:p>
            <w:pPr>
              <w:jc w:val="right"/>
              <w:ind w:right="97"/>
              <w:spacing w:after="0" w:line="135" w:lineRule="exact"/>
              <w:rPr>
                <w:sz w:val="20"/>
                <w:szCs w:val="20"/>
                <w:color w:val="auto"/>
              </w:rPr>
            </w:pPr>
            <w:r>
              <w:rPr>
                <w:rFonts w:ascii="Arial" w:cs="Arial" w:eastAsia="Arial" w:hAnsi="Arial"/>
                <w:sz w:val="13"/>
                <w:szCs w:val="13"/>
                <w:color w:val="auto"/>
              </w:rPr>
              <w:t>9,330,748</w:t>
            </w:r>
          </w:p>
        </w:tc>
        <w:tc>
          <w:tcPr>
            <w:tcW w:w="460" w:type="dxa"/>
            <w:vAlign w:val="bottom"/>
            <w:tcBorders>
              <w:right w:val="single" w:sz="8" w:color="auto"/>
            </w:tcBorders>
          </w:tcPr>
          <w:p>
            <w:pPr>
              <w:jc w:val="right"/>
              <w:ind w:right="77"/>
              <w:spacing w:after="0" w:line="135" w:lineRule="exact"/>
              <w:rPr>
                <w:sz w:val="20"/>
                <w:szCs w:val="20"/>
                <w:color w:val="auto"/>
              </w:rPr>
            </w:pPr>
            <w:r>
              <w:rPr>
                <w:rFonts w:ascii="Arial" w:cs="Arial" w:eastAsia="Arial" w:hAnsi="Arial"/>
                <w:sz w:val="13"/>
                <w:szCs w:val="13"/>
                <w:color w:val="auto"/>
              </w:rPr>
              <w:t>0</w:t>
            </w:r>
          </w:p>
        </w:tc>
        <w:tc>
          <w:tcPr>
            <w:tcW w:w="580" w:type="dxa"/>
            <w:vAlign w:val="bottom"/>
            <w:tcBorders>
              <w:right w:val="single" w:sz="8" w:color="auto"/>
            </w:tcBorders>
          </w:tcPr>
          <w:p>
            <w:pPr>
              <w:jc w:val="right"/>
              <w:ind w:right="97"/>
              <w:spacing w:after="0" w:line="135" w:lineRule="exact"/>
              <w:rPr>
                <w:sz w:val="20"/>
                <w:szCs w:val="20"/>
                <w:color w:val="auto"/>
              </w:rPr>
            </w:pPr>
            <w:r>
              <w:rPr>
                <w:rFonts w:ascii="Arial" w:cs="Arial" w:eastAsia="Arial" w:hAnsi="Arial"/>
                <w:sz w:val="13"/>
                <w:szCs w:val="13"/>
                <w:color w:val="auto"/>
              </w:rPr>
              <w:t>0</w:t>
            </w:r>
          </w:p>
        </w:tc>
        <w:tc>
          <w:tcPr>
            <w:tcW w:w="860" w:type="dxa"/>
            <w:vAlign w:val="bottom"/>
            <w:tcBorders>
              <w:right w:val="single" w:sz="8" w:color="auto"/>
            </w:tcBorders>
          </w:tcPr>
          <w:p>
            <w:pPr>
              <w:jc w:val="right"/>
              <w:ind w:right="97"/>
              <w:spacing w:after="0" w:line="135" w:lineRule="exact"/>
              <w:rPr>
                <w:sz w:val="20"/>
                <w:szCs w:val="20"/>
                <w:color w:val="auto"/>
              </w:rPr>
            </w:pPr>
            <w:r>
              <w:rPr>
                <w:rFonts w:ascii="Arial" w:cs="Arial" w:eastAsia="Arial" w:hAnsi="Arial"/>
                <w:sz w:val="13"/>
                <w:szCs w:val="13"/>
                <w:color w:val="auto"/>
              </w:rPr>
              <w:t>3,805,931</w:t>
            </w:r>
          </w:p>
        </w:tc>
        <w:tc>
          <w:tcPr>
            <w:tcW w:w="760" w:type="dxa"/>
            <w:vAlign w:val="bottom"/>
            <w:tcBorders>
              <w:right w:val="single" w:sz="8" w:color="auto"/>
            </w:tcBorders>
          </w:tcPr>
          <w:p>
            <w:pPr>
              <w:jc w:val="right"/>
              <w:ind w:right="97"/>
              <w:spacing w:after="0" w:line="135" w:lineRule="exact"/>
              <w:rPr>
                <w:sz w:val="20"/>
                <w:szCs w:val="20"/>
                <w:color w:val="auto"/>
              </w:rPr>
            </w:pPr>
            <w:r>
              <w:rPr>
                <w:rFonts w:ascii="Arial" w:cs="Arial" w:eastAsia="Arial" w:hAnsi="Arial"/>
                <w:sz w:val="13"/>
                <w:szCs w:val="13"/>
                <w:color w:val="auto"/>
              </w:rPr>
              <w:t>146,568</w:t>
            </w:r>
          </w:p>
        </w:tc>
        <w:tc>
          <w:tcPr>
            <w:tcW w:w="920" w:type="dxa"/>
            <w:vAlign w:val="bottom"/>
            <w:tcBorders>
              <w:right w:val="single" w:sz="8" w:color="auto"/>
            </w:tcBorders>
          </w:tcPr>
          <w:p>
            <w:pPr>
              <w:jc w:val="right"/>
              <w:ind w:right="77"/>
              <w:spacing w:after="0" w:line="135" w:lineRule="exact"/>
              <w:rPr>
                <w:sz w:val="20"/>
                <w:szCs w:val="20"/>
                <w:color w:val="auto"/>
              </w:rPr>
            </w:pPr>
            <w:r>
              <w:rPr>
                <w:rFonts w:ascii="Arial" w:cs="Arial" w:eastAsia="Arial" w:hAnsi="Arial"/>
                <w:sz w:val="13"/>
                <w:szCs w:val="13"/>
                <w:color w:val="auto"/>
              </w:rPr>
              <w:t>15,556,747</w:t>
            </w:r>
          </w:p>
        </w:tc>
        <w:tc>
          <w:tcPr>
            <w:tcW w:w="0" w:type="dxa"/>
            <w:vAlign w:val="bottom"/>
          </w:tcPr>
          <w:p>
            <w:pPr>
              <w:spacing w:after="0"/>
              <w:rPr>
                <w:sz w:val="1"/>
                <w:szCs w:val="1"/>
                <w:color w:val="auto"/>
              </w:rPr>
            </w:pPr>
          </w:p>
        </w:tc>
      </w:tr>
      <w:tr>
        <w:trPr>
          <w:trHeight w:val="170"/>
        </w:trPr>
        <w:tc>
          <w:tcPr>
            <w:tcW w:w="2900" w:type="dxa"/>
            <w:vAlign w:val="bottom"/>
            <w:tcBorders>
              <w:left w:val="single" w:sz="8" w:color="auto"/>
              <w:right w:val="single" w:sz="8" w:color="auto"/>
            </w:tcBorders>
          </w:tcPr>
          <w:p>
            <w:pPr>
              <w:spacing w:after="0"/>
              <w:rPr>
                <w:sz w:val="14"/>
                <w:szCs w:val="14"/>
                <w:color w:val="auto"/>
              </w:rPr>
            </w:pPr>
          </w:p>
        </w:tc>
        <w:tc>
          <w:tcPr>
            <w:tcW w:w="580" w:type="dxa"/>
            <w:vAlign w:val="bottom"/>
            <w:tcBorders>
              <w:right w:val="single" w:sz="8" w:color="auto"/>
            </w:tcBorders>
          </w:tcPr>
          <w:p>
            <w:pPr>
              <w:ind w:left="160"/>
              <w:spacing w:after="0"/>
              <w:rPr>
                <w:sz w:val="20"/>
                <w:szCs w:val="20"/>
                <w:color w:val="auto"/>
              </w:rPr>
            </w:pPr>
            <w:r>
              <w:rPr>
                <w:rFonts w:ascii="Arial" w:cs="Arial" w:eastAsia="Arial" w:hAnsi="Arial"/>
                <w:sz w:val="13"/>
                <w:szCs w:val="13"/>
                <w:color w:val="auto"/>
              </w:rPr>
              <w:t>2015</w:t>
            </w:r>
          </w:p>
        </w:tc>
        <w:tc>
          <w:tcPr>
            <w:tcW w:w="880" w:type="dxa"/>
            <w:vAlign w:val="bottom"/>
            <w:tcBorders>
              <w:right w:val="single" w:sz="8" w:color="auto"/>
            </w:tcBorders>
          </w:tcPr>
          <w:p>
            <w:pPr>
              <w:jc w:val="right"/>
              <w:ind w:right="97"/>
              <w:spacing w:after="0"/>
              <w:rPr>
                <w:sz w:val="20"/>
                <w:szCs w:val="20"/>
                <w:color w:val="auto"/>
              </w:rPr>
            </w:pPr>
            <w:r>
              <w:rPr>
                <w:rFonts w:ascii="Arial" w:cs="Arial" w:eastAsia="Arial" w:hAnsi="Arial"/>
                <w:sz w:val="13"/>
                <w:szCs w:val="13"/>
                <w:color w:val="auto"/>
              </w:rPr>
              <w:t>1,228,750</w:t>
            </w:r>
          </w:p>
        </w:tc>
        <w:tc>
          <w:tcPr>
            <w:tcW w:w="860" w:type="dxa"/>
            <w:vAlign w:val="bottom"/>
            <w:tcBorders>
              <w:right w:val="single" w:sz="8" w:color="auto"/>
            </w:tcBorders>
          </w:tcPr>
          <w:p>
            <w:pPr>
              <w:jc w:val="right"/>
              <w:ind w:right="77"/>
              <w:spacing w:after="0"/>
              <w:rPr>
                <w:sz w:val="20"/>
                <w:szCs w:val="20"/>
                <w:color w:val="auto"/>
              </w:rPr>
            </w:pPr>
            <w:r>
              <w:rPr>
                <w:rFonts w:ascii="Arial" w:cs="Arial" w:eastAsia="Arial" w:hAnsi="Arial"/>
                <w:sz w:val="13"/>
                <w:szCs w:val="13"/>
                <w:color w:val="auto"/>
              </w:rPr>
              <w:t>1,409,000</w:t>
            </w:r>
          </w:p>
        </w:tc>
        <w:tc>
          <w:tcPr>
            <w:tcW w:w="940" w:type="dxa"/>
            <w:vAlign w:val="bottom"/>
            <w:tcBorders>
              <w:right w:val="single" w:sz="8" w:color="auto"/>
            </w:tcBorders>
          </w:tcPr>
          <w:p>
            <w:pPr>
              <w:jc w:val="right"/>
              <w:ind w:right="97"/>
              <w:spacing w:after="0"/>
              <w:rPr>
                <w:sz w:val="20"/>
                <w:szCs w:val="20"/>
                <w:color w:val="auto"/>
              </w:rPr>
            </w:pPr>
            <w:r>
              <w:rPr>
                <w:rFonts w:ascii="Arial" w:cs="Arial" w:eastAsia="Arial" w:hAnsi="Arial"/>
                <w:sz w:val="13"/>
                <w:szCs w:val="13"/>
                <w:color w:val="auto"/>
              </w:rPr>
              <w:t>8,648,192</w:t>
            </w:r>
          </w:p>
        </w:tc>
        <w:tc>
          <w:tcPr>
            <w:tcW w:w="460" w:type="dxa"/>
            <w:vAlign w:val="bottom"/>
            <w:tcBorders>
              <w:right w:val="single" w:sz="8" w:color="auto"/>
            </w:tcBorders>
          </w:tcPr>
          <w:p>
            <w:pPr>
              <w:jc w:val="right"/>
              <w:ind w:right="77"/>
              <w:spacing w:after="0"/>
              <w:rPr>
                <w:sz w:val="20"/>
                <w:szCs w:val="20"/>
                <w:color w:val="auto"/>
              </w:rPr>
            </w:pPr>
            <w:r>
              <w:rPr>
                <w:rFonts w:ascii="Arial" w:cs="Arial" w:eastAsia="Arial" w:hAnsi="Arial"/>
                <w:sz w:val="13"/>
                <w:szCs w:val="13"/>
                <w:color w:val="auto"/>
              </w:rPr>
              <w:t>0</w:t>
            </w:r>
          </w:p>
        </w:tc>
        <w:tc>
          <w:tcPr>
            <w:tcW w:w="580" w:type="dxa"/>
            <w:vAlign w:val="bottom"/>
            <w:tcBorders>
              <w:right w:val="single" w:sz="8" w:color="auto"/>
            </w:tcBorders>
          </w:tcPr>
          <w:p>
            <w:pPr>
              <w:jc w:val="right"/>
              <w:ind w:right="97"/>
              <w:spacing w:after="0"/>
              <w:rPr>
                <w:sz w:val="20"/>
                <w:szCs w:val="20"/>
                <w:color w:val="auto"/>
              </w:rPr>
            </w:pPr>
            <w:r>
              <w:rPr>
                <w:rFonts w:ascii="Arial" w:cs="Arial" w:eastAsia="Arial" w:hAnsi="Arial"/>
                <w:sz w:val="13"/>
                <w:szCs w:val="13"/>
                <w:color w:val="auto"/>
              </w:rPr>
              <w:t>0</w:t>
            </w:r>
          </w:p>
        </w:tc>
        <w:tc>
          <w:tcPr>
            <w:tcW w:w="860" w:type="dxa"/>
            <w:vAlign w:val="bottom"/>
            <w:tcBorders>
              <w:right w:val="single" w:sz="8" w:color="auto"/>
            </w:tcBorders>
          </w:tcPr>
          <w:p>
            <w:pPr>
              <w:jc w:val="right"/>
              <w:ind w:right="97"/>
              <w:spacing w:after="0"/>
              <w:rPr>
                <w:sz w:val="20"/>
                <w:szCs w:val="20"/>
                <w:color w:val="auto"/>
              </w:rPr>
            </w:pPr>
            <w:r>
              <w:rPr>
                <w:rFonts w:ascii="Arial" w:cs="Arial" w:eastAsia="Arial" w:hAnsi="Arial"/>
                <w:sz w:val="13"/>
                <w:szCs w:val="13"/>
                <w:color w:val="auto"/>
              </w:rPr>
              <w:t>3,489,861</w:t>
            </w:r>
          </w:p>
        </w:tc>
        <w:tc>
          <w:tcPr>
            <w:tcW w:w="760" w:type="dxa"/>
            <w:vAlign w:val="bottom"/>
            <w:tcBorders>
              <w:right w:val="single" w:sz="8" w:color="auto"/>
            </w:tcBorders>
          </w:tcPr>
          <w:p>
            <w:pPr>
              <w:jc w:val="right"/>
              <w:ind w:right="97"/>
              <w:spacing w:after="0"/>
              <w:rPr>
                <w:sz w:val="20"/>
                <w:szCs w:val="20"/>
                <w:color w:val="auto"/>
              </w:rPr>
            </w:pPr>
            <w:r>
              <w:rPr>
                <w:rFonts w:ascii="Arial" w:cs="Arial" w:eastAsia="Arial" w:hAnsi="Arial"/>
                <w:sz w:val="13"/>
                <w:szCs w:val="13"/>
                <w:color w:val="auto"/>
              </w:rPr>
              <w:t>126,559</w:t>
            </w:r>
          </w:p>
        </w:tc>
        <w:tc>
          <w:tcPr>
            <w:tcW w:w="920" w:type="dxa"/>
            <w:vAlign w:val="bottom"/>
            <w:tcBorders>
              <w:right w:val="single" w:sz="8" w:color="auto"/>
            </w:tcBorders>
          </w:tcPr>
          <w:p>
            <w:pPr>
              <w:jc w:val="right"/>
              <w:ind w:right="77"/>
              <w:spacing w:after="0"/>
              <w:rPr>
                <w:sz w:val="20"/>
                <w:szCs w:val="20"/>
                <w:color w:val="auto"/>
              </w:rPr>
            </w:pPr>
            <w:r>
              <w:rPr>
                <w:rFonts w:ascii="Arial" w:cs="Arial" w:eastAsia="Arial" w:hAnsi="Arial"/>
                <w:sz w:val="13"/>
                <w:szCs w:val="13"/>
                <w:color w:val="auto"/>
              </w:rPr>
              <w:t>14,902,362</w:t>
            </w:r>
          </w:p>
        </w:tc>
        <w:tc>
          <w:tcPr>
            <w:tcW w:w="0" w:type="dxa"/>
            <w:vAlign w:val="bottom"/>
          </w:tcPr>
          <w:p>
            <w:pPr>
              <w:spacing w:after="0"/>
              <w:rPr>
                <w:sz w:val="1"/>
                <w:szCs w:val="1"/>
                <w:color w:val="auto"/>
              </w:rPr>
            </w:pPr>
          </w:p>
        </w:tc>
      </w:tr>
      <w:tr>
        <w:trPr>
          <w:trHeight w:val="181"/>
        </w:trPr>
        <w:tc>
          <w:tcPr>
            <w:tcW w:w="2900" w:type="dxa"/>
            <w:vAlign w:val="bottom"/>
            <w:tcBorders>
              <w:left w:val="single" w:sz="8" w:color="auto"/>
              <w:right w:val="single" w:sz="8" w:color="auto"/>
            </w:tcBorders>
            <w:shd w:val="clear" w:color="auto" w:fill="D4DBEB"/>
          </w:tcPr>
          <w:p>
            <w:pPr>
              <w:ind w:left="160"/>
              <w:spacing w:after="0"/>
              <w:rPr>
                <w:sz w:val="20"/>
                <w:szCs w:val="20"/>
                <w:color w:val="auto"/>
              </w:rPr>
            </w:pPr>
            <w:r>
              <w:rPr>
                <w:rFonts w:ascii="Arial" w:cs="Arial" w:eastAsia="Arial" w:hAnsi="Arial"/>
                <w:sz w:val="13"/>
                <w:szCs w:val="13"/>
                <w:color w:val="auto"/>
              </w:rPr>
              <w:t>M.W. Albers</w:t>
            </w:r>
          </w:p>
        </w:tc>
        <w:tc>
          <w:tcPr>
            <w:tcW w:w="580" w:type="dxa"/>
            <w:vAlign w:val="bottom"/>
            <w:tcBorders>
              <w:right w:val="single" w:sz="8" w:color="auto"/>
            </w:tcBorders>
            <w:shd w:val="clear" w:color="auto" w:fill="D4DBEB"/>
          </w:tcPr>
          <w:p>
            <w:pPr>
              <w:ind w:left="160"/>
              <w:spacing w:after="0"/>
              <w:rPr>
                <w:sz w:val="20"/>
                <w:szCs w:val="20"/>
                <w:color w:val="auto"/>
              </w:rPr>
            </w:pPr>
            <w:r>
              <w:rPr>
                <w:rFonts w:ascii="Arial" w:cs="Arial" w:eastAsia="Arial" w:hAnsi="Arial"/>
                <w:sz w:val="13"/>
                <w:szCs w:val="13"/>
                <w:color w:val="auto"/>
              </w:rPr>
              <w:t>2017</w:t>
            </w:r>
          </w:p>
        </w:tc>
        <w:tc>
          <w:tcPr>
            <w:tcW w:w="880" w:type="dxa"/>
            <w:vAlign w:val="bottom"/>
            <w:tcBorders>
              <w:right w:val="single" w:sz="8" w:color="auto"/>
            </w:tcBorders>
            <w:shd w:val="clear" w:color="auto" w:fill="D4DBEB"/>
          </w:tcPr>
          <w:p>
            <w:pPr>
              <w:jc w:val="right"/>
              <w:ind w:right="97"/>
              <w:spacing w:after="0"/>
              <w:rPr>
                <w:sz w:val="20"/>
                <w:szCs w:val="20"/>
                <w:color w:val="auto"/>
              </w:rPr>
            </w:pPr>
            <w:r>
              <w:rPr>
                <w:rFonts w:ascii="Arial" w:cs="Arial" w:eastAsia="Arial" w:hAnsi="Arial"/>
                <w:sz w:val="13"/>
                <w:szCs w:val="13"/>
                <w:color w:val="auto"/>
              </w:rPr>
              <w:t>1,337,500</w:t>
            </w:r>
          </w:p>
        </w:tc>
        <w:tc>
          <w:tcPr>
            <w:tcW w:w="860" w:type="dxa"/>
            <w:vAlign w:val="bottom"/>
            <w:tcBorders>
              <w:right w:val="single" w:sz="8" w:color="auto"/>
            </w:tcBorders>
            <w:shd w:val="clear" w:color="auto" w:fill="D4DBEB"/>
          </w:tcPr>
          <w:p>
            <w:pPr>
              <w:jc w:val="right"/>
              <w:ind w:right="77"/>
              <w:spacing w:after="0"/>
              <w:rPr>
                <w:sz w:val="20"/>
                <w:szCs w:val="20"/>
                <w:color w:val="auto"/>
              </w:rPr>
            </w:pPr>
            <w:r>
              <w:rPr>
                <w:rFonts w:ascii="Arial" w:cs="Arial" w:eastAsia="Arial" w:hAnsi="Arial"/>
                <w:sz w:val="13"/>
                <w:szCs w:val="13"/>
                <w:color w:val="auto"/>
              </w:rPr>
              <w:t>1,603,000</w:t>
            </w:r>
          </w:p>
        </w:tc>
        <w:tc>
          <w:tcPr>
            <w:tcW w:w="940" w:type="dxa"/>
            <w:vAlign w:val="bottom"/>
            <w:tcBorders>
              <w:right w:val="single" w:sz="8" w:color="auto"/>
            </w:tcBorders>
            <w:shd w:val="clear" w:color="auto" w:fill="D4DBEB"/>
          </w:tcPr>
          <w:p>
            <w:pPr>
              <w:jc w:val="right"/>
              <w:ind w:right="97"/>
              <w:spacing w:after="0"/>
              <w:rPr>
                <w:sz w:val="20"/>
                <w:szCs w:val="20"/>
                <w:color w:val="auto"/>
              </w:rPr>
            </w:pPr>
            <w:r>
              <w:rPr>
                <w:rFonts w:ascii="Arial" w:cs="Arial" w:eastAsia="Arial" w:hAnsi="Arial"/>
                <w:sz w:val="13"/>
                <w:szCs w:val="13"/>
                <w:color w:val="auto"/>
              </w:rPr>
              <w:t>8,123,736</w:t>
            </w:r>
          </w:p>
        </w:tc>
        <w:tc>
          <w:tcPr>
            <w:tcW w:w="460" w:type="dxa"/>
            <w:vAlign w:val="bottom"/>
            <w:tcBorders>
              <w:right w:val="single" w:sz="8" w:color="auto"/>
            </w:tcBorders>
            <w:shd w:val="clear" w:color="auto" w:fill="D4DBEB"/>
          </w:tcPr>
          <w:p>
            <w:pPr>
              <w:jc w:val="right"/>
              <w:ind w:right="77"/>
              <w:spacing w:after="0"/>
              <w:rPr>
                <w:sz w:val="20"/>
                <w:szCs w:val="20"/>
                <w:color w:val="auto"/>
              </w:rPr>
            </w:pPr>
            <w:r>
              <w:rPr>
                <w:rFonts w:ascii="Arial" w:cs="Arial" w:eastAsia="Arial" w:hAnsi="Arial"/>
                <w:sz w:val="13"/>
                <w:szCs w:val="13"/>
                <w:color w:val="auto"/>
              </w:rPr>
              <w:t>0</w:t>
            </w:r>
          </w:p>
        </w:tc>
        <w:tc>
          <w:tcPr>
            <w:tcW w:w="580" w:type="dxa"/>
            <w:vAlign w:val="bottom"/>
            <w:tcBorders>
              <w:right w:val="single" w:sz="8" w:color="auto"/>
            </w:tcBorders>
            <w:shd w:val="clear" w:color="auto" w:fill="D4DBEB"/>
          </w:tcPr>
          <w:p>
            <w:pPr>
              <w:jc w:val="right"/>
              <w:ind w:right="97"/>
              <w:spacing w:after="0"/>
              <w:rPr>
                <w:sz w:val="20"/>
                <w:szCs w:val="20"/>
                <w:color w:val="auto"/>
              </w:rPr>
            </w:pPr>
            <w:r>
              <w:rPr>
                <w:rFonts w:ascii="Arial" w:cs="Arial" w:eastAsia="Arial" w:hAnsi="Arial"/>
                <w:sz w:val="13"/>
                <w:szCs w:val="13"/>
                <w:color w:val="auto"/>
              </w:rPr>
              <w:t>0</w:t>
            </w:r>
          </w:p>
        </w:tc>
        <w:tc>
          <w:tcPr>
            <w:tcW w:w="860" w:type="dxa"/>
            <w:vAlign w:val="bottom"/>
            <w:tcBorders>
              <w:right w:val="single" w:sz="8" w:color="auto"/>
            </w:tcBorders>
            <w:shd w:val="clear" w:color="auto" w:fill="D4DBEB"/>
          </w:tcPr>
          <w:p>
            <w:pPr>
              <w:jc w:val="right"/>
              <w:ind w:right="97"/>
              <w:spacing w:after="0"/>
              <w:rPr>
                <w:sz w:val="20"/>
                <w:szCs w:val="20"/>
                <w:color w:val="auto"/>
              </w:rPr>
            </w:pPr>
            <w:r>
              <w:rPr>
                <w:rFonts w:ascii="Arial" w:cs="Arial" w:eastAsia="Arial" w:hAnsi="Arial"/>
                <w:sz w:val="13"/>
                <w:szCs w:val="13"/>
                <w:color w:val="auto"/>
              </w:rPr>
              <w:t>0</w:t>
            </w:r>
          </w:p>
        </w:tc>
        <w:tc>
          <w:tcPr>
            <w:tcW w:w="760" w:type="dxa"/>
            <w:vAlign w:val="bottom"/>
            <w:tcBorders>
              <w:right w:val="single" w:sz="8" w:color="auto"/>
            </w:tcBorders>
            <w:shd w:val="clear" w:color="auto" w:fill="D4DBEB"/>
          </w:tcPr>
          <w:p>
            <w:pPr>
              <w:jc w:val="right"/>
              <w:ind w:right="97"/>
              <w:spacing w:after="0"/>
              <w:rPr>
                <w:sz w:val="20"/>
                <w:szCs w:val="20"/>
                <w:color w:val="auto"/>
              </w:rPr>
            </w:pPr>
            <w:r>
              <w:rPr>
                <w:rFonts w:ascii="Arial" w:cs="Arial" w:eastAsia="Arial" w:hAnsi="Arial"/>
                <w:sz w:val="13"/>
                <w:szCs w:val="13"/>
                <w:color w:val="auto"/>
              </w:rPr>
              <w:t>166,875</w:t>
            </w:r>
          </w:p>
        </w:tc>
        <w:tc>
          <w:tcPr>
            <w:tcW w:w="920" w:type="dxa"/>
            <w:vAlign w:val="bottom"/>
            <w:tcBorders>
              <w:right w:val="single" w:sz="8" w:color="auto"/>
            </w:tcBorders>
            <w:shd w:val="clear" w:color="auto" w:fill="D4DBEB"/>
          </w:tcPr>
          <w:p>
            <w:pPr>
              <w:jc w:val="right"/>
              <w:ind w:right="77"/>
              <w:spacing w:after="0"/>
              <w:rPr>
                <w:sz w:val="20"/>
                <w:szCs w:val="20"/>
                <w:color w:val="auto"/>
              </w:rPr>
            </w:pPr>
            <w:r>
              <w:rPr>
                <w:rFonts w:ascii="Arial" w:cs="Arial" w:eastAsia="Arial" w:hAnsi="Arial"/>
                <w:sz w:val="13"/>
                <w:szCs w:val="13"/>
                <w:color w:val="auto"/>
              </w:rPr>
              <w:t>11,231,111</w:t>
            </w:r>
          </w:p>
        </w:tc>
        <w:tc>
          <w:tcPr>
            <w:tcW w:w="0" w:type="dxa"/>
            <w:vAlign w:val="bottom"/>
          </w:tcPr>
          <w:p>
            <w:pPr>
              <w:spacing w:after="0"/>
              <w:rPr>
                <w:sz w:val="1"/>
                <w:szCs w:val="1"/>
                <w:color w:val="auto"/>
              </w:rPr>
            </w:pPr>
          </w:p>
        </w:tc>
      </w:tr>
      <w:tr>
        <w:trPr>
          <w:trHeight w:val="135"/>
        </w:trPr>
        <w:tc>
          <w:tcPr>
            <w:tcW w:w="2900" w:type="dxa"/>
            <w:vAlign w:val="bottom"/>
            <w:tcBorders>
              <w:left w:val="single" w:sz="8" w:color="auto"/>
              <w:right w:val="single" w:sz="8" w:color="auto"/>
            </w:tcBorders>
            <w:shd w:val="clear" w:color="auto" w:fill="D4DBEB"/>
          </w:tcPr>
          <w:p>
            <w:pPr>
              <w:ind w:left="160"/>
              <w:spacing w:after="0" w:line="135" w:lineRule="exact"/>
              <w:rPr>
                <w:sz w:val="20"/>
                <w:szCs w:val="20"/>
                <w:color w:val="auto"/>
              </w:rPr>
            </w:pPr>
            <w:r>
              <w:rPr>
                <w:rFonts w:ascii="Arial" w:cs="Arial" w:eastAsia="Arial" w:hAnsi="Arial"/>
                <w:sz w:val="13"/>
                <w:szCs w:val="13"/>
                <w:i w:val="1"/>
                <w:iCs w:val="1"/>
                <w:color w:val="auto"/>
              </w:rPr>
              <w:t>Senior Vice President</w:t>
            </w:r>
          </w:p>
        </w:tc>
        <w:tc>
          <w:tcPr>
            <w:tcW w:w="580" w:type="dxa"/>
            <w:vAlign w:val="bottom"/>
            <w:tcBorders>
              <w:right w:val="single" w:sz="8" w:color="auto"/>
            </w:tcBorders>
            <w:shd w:val="clear" w:color="auto" w:fill="D4DBEB"/>
          </w:tcPr>
          <w:p>
            <w:pPr>
              <w:ind w:left="160"/>
              <w:spacing w:after="0" w:line="135" w:lineRule="exact"/>
              <w:rPr>
                <w:sz w:val="20"/>
                <w:szCs w:val="20"/>
                <w:color w:val="auto"/>
              </w:rPr>
            </w:pPr>
            <w:r>
              <w:rPr>
                <w:rFonts w:ascii="Arial" w:cs="Arial" w:eastAsia="Arial" w:hAnsi="Arial"/>
                <w:sz w:val="13"/>
                <w:szCs w:val="13"/>
                <w:color w:val="auto"/>
              </w:rPr>
              <w:t>2016</w:t>
            </w:r>
          </w:p>
        </w:tc>
        <w:tc>
          <w:tcPr>
            <w:tcW w:w="880" w:type="dxa"/>
            <w:vAlign w:val="bottom"/>
            <w:tcBorders>
              <w:right w:val="single" w:sz="8" w:color="auto"/>
            </w:tcBorders>
            <w:shd w:val="clear" w:color="auto" w:fill="D4DBEB"/>
          </w:tcPr>
          <w:p>
            <w:pPr>
              <w:jc w:val="right"/>
              <w:ind w:right="97"/>
              <w:spacing w:after="0" w:line="135" w:lineRule="exact"/>
              <w:rPr>
                <w:sz w:val="20"/>
                <w:szCs w:val="20"/>
                <w:color w:val="auto"/>
              </w:rPr>
            </w:pPr>
            <w:r>
              <w:rPr>
                <w:rFonts w:ascii="Arial" w:cs="Arial" w:eastAsia="Arial" w:hAnsi="Arial"/>
                <w:sz w:val="13"/>
                <w:szCs w:val="13"/>
                <w:color w:val="auto"/>
              </w:rPr>
              <w:t>1,287,500</w:t>
            </w:r>
          </w:p>
        </w:tc>
        <w:tc>
          <w:tcPr>
            <w:tcW w:w="860" w:type="dxa"/>
            <w:vAlign w:val="bottom"/>
            <w:tcBorders>
              <w:right w:val="single" w:sz="8" w:color="auto"/>
            </w:tcBorders>
            <w:shd w:val="clear" w:color="auto" w:fill="D4DBEB"/>
          </w:tcPr>
          <w:p>
            <w:pPr>
              <w:jc w:val="right"/>
              <w:ind w:right="77"/>
              <w:spacing w:after="0" w:line="135" w:lineRule="exact"/>
              <w:rPr>
                <w:sz w:val="20"/>
                <w:szCs w:val="20"/>
                <w:color w:val="auto"/>
              </w:rPr>
            </w:pPr>
            <w:r>
              <w:rPr>
                <w:rFonts w:ascii="Arial" w:cs="Arial" w:eastAsia="Arial" w:hAnsi="Arial"/>
                <w:sz w:val="13"/>
                <w:szCs w:val="13"/>
                <w:color w:val="auto"/>
              </w:rPr>
              <w:t>986,000</w:t>
            </w:r>
          </w:p>
        </w:tc>
        <w:tc>
          <w:tcPr>
            <w:tcW w:w="940" w:type="dxa"/>
            <w:vAlign w:val="bottom"/>
            <w:tcBorders>
              <w:right w:val="single" w:sz="8" w:color="auto"/>
            </w:tcBorders>
            <w:shd w:val="clear" w:color="auto" w:fill="D4DBEB"/>
          </w:tcPr>
          <w:p>
            <w:pPr>
              <w:jc w:val="right"/>
              <w:ind w:right="97"/>
              <w:spacing w:after="0" w:line="135" w:lineRule="exact"/>
              <w:rPr>
                <w:sz w:val="20"/>
                <w:szCs w:val="20"/>
                <w:color w:val="auto"/>
              </w:rPr>
            </w:pPr>
            <w:r>
              <w:rPr>
                <w:rFonts w:ascii="Arial" w:cs="Arial" w:eastAsia="Arial" w:hAnsi="Arial"/>
                <w:sz w:val="13"/>
                <w:szCs w:val="13"/>
                <w:color w:val="auto"/>
              </w:rPr>
              <w:t>9,330,748</w:t>
            </w:r>
          </w:p>
        </w:tc>
        <w:tc>
          <w:tcPr>
            <w:tcW w:w="460" w:type="dxa"/>
            <w:vAlign w:val="bottom"/>
            <w:tcBorders>
              <w:right w:val="single" w:sz="8" w:color="auto"/>
            </w:tcBorders>
            <w:shd w:val="clear" w:color="auto" w:fill="D4DBEB"/>
          </w:tcPr>
          <w:p>
            <w:pPr>
              <w:jc w:val="right"/>
              <w:ind w:right="77"/>
              <w:spacing w:after="0" w:line="135" w:lineRule="exact"/>
              <w:rPr>
                <w:sz w:val="20"/>
                <w:szCs w:val="20"/>
                <w:color w:val="auto"/>
              </w:rPr>
            </w:pPr>
            <w:r>
              <w:rPr>
                <w:rFonts w:ascii="Arial" w:cs="Arial" w:eastAsia="Arial" w:hAnsi="Arial"/>
                <w:sz w:val="13"/>
                <w:szCs w:val="13"/>
                <w:color w:val="auto"/>
              </w:rPr>
              <w:t>0</w:t>
            </w:r>
          </w:p>
        </w:tc>
        <w:tc>
          <w:tcPr>
            <w:tcW w:w="580" w:type="dxa"/>
            <w:vAlign w:val="bottom"/>
            <w:tcBorders>
              <w:right w:val="single" w:sz="8" w:color="auto"/>
            </w:tcBorders>
            <w:shd w:val="clear" w:color="auto" w:fill="D4DBEB"/>
          </w:tcPr>
          <w:p>
            <w:pPr>
              <w:jc w:val="right"/>
              <w:ind w:right="97"/>
              <w:spacing w:after="0" w:line="135" w:lineRule="exact"/>
              <w:rPr>
                <w:sz w:val="20"/>
                <w:szCs w:val="20"/>
                <w:color w:val="auto"/>
              </w:rPr>
            </w:pPr>
            <w:r>
              <w:rPr>
                <w:rFonts w:ascii="Arial" w:cs="Arial" w:eastAsia="Arial" w:hAnsi="Arial"/>
                <w:sz w:val="13"/>
                <w:szCs w:val="13"/>
                <w:color w:val="auto"/>
              </w:rPr>
              <w:t>0</w:t>
            </w:r>
          </w:p>
        </w:tc>
        <w:tc>
          <w:tcPr>
            <w:tcW w:w="860" w:type="dxa"/>
            <w:vAlign w:val="bottom"/>
            <w:tcBorders>
              <w:right w:val="single" w:sz="8" w:color="auto"/>
            </w:tcBorders>
            <w:shd w:val="clear" w:color="auto" w:fill="D4DBEB"/>
          </w:tcPr>
          <w:p>
            <w:pPr>
              <w:jc w:val="right"/>
              <w:ind w:right="97"/>
              <w:spacing w:after="0" w:line="135" w:lineRule="exact"/>
              <w:rPr>
                <w:sz w:val="20"/>
                <w:szCs w:val="20"/>
                <w:color w:val="auto"/>
              </w:rPr>
            </w:pPr>
            <w:r>
              <w:rPr>
                <w:rFonts w:ascii="Arial" w:cs="Arial" w:eastAsia="Arial" w:hAnsi="Arial"/>
                <w:sz w:val="13"/>
                <w:szCs w:val="13"/>
                <w:color w:val="auto"/>
              </w:rPr>
              <w:t>4,056,601</w:t>
            </w:r>
          </w:p>
        </w:tc>
        <w:tc>
          <w:tcPr>
            <w:tcW w:w="760" w:type="dxa"/>
            <w:vAlign w:val="bottom"/>
            <w:tcBorders>
              <w:right w:val="single" w:sz="8" w:color="auto"/>
            </w:tcBorders>
            <w:shd w:val="clear" w:color="auto" w:fill="D4DBEB"/>
          </w:tcPr>
          <w:p>
            <w:pPr>
              <w:jc w:val="right"/>
              <w:ind w:right="97"/>
              <w:spacing w:after="0" w:line="135" w:lineRule="exact"/>
              <w:rPr>
                <w:sz w:val="20"/>
                <w:szCs w:val="20"/>
                <w:color w:val="auto"/>
              </w:rPr>
            </w:pPr>
            <w:r>
              <w:rPr>
                <w:rFonts w:ascii="Arial" w:cs="Arial" w:eastAsia="Arial" w:hAnsi="Arial"/>
                <w:sz w:val="13"/>
                <w:szCs w:val="13"/>
                <w:color w:val="auto"/>
              </w:rPr>
              <w:t>171,658</w:t>
            </w:r>
          </w:p>
        </w:tc>
        <w:tc>
          <w:tcPr>
            <w:tcW w:w="920" w:type="dxa"/>
            <w:vAlign w:val="bottom"/>
            <w:tcBorders>
              <w:right w:val="single" w:sz="8" w:color="auto"/>
            </w:tcBorders>
            <w:shd w:val="clear" w:color="auto" w:fill="D4DBEB"/>
          </w:tcPr>
          <w:p>
            <w:pPr>
              <w:jc w:val="right"/>
              <w:ind w:right="77"/>
              <w:spacing w:after="0" w:line="135" w:lineRule="exact"/>
              <w:rPr>
                <w:sz w:val="20"/>
                <w:szCs w:val="20"/>
                <w:color w:val="auto"/>
              </w:rPr>
            </w:pPr>
            <w:r>
              <w:rPr>
                <w:rFonts w:ascii="Arial" w:cs="Arial" w:eastAsia="Arial" w:hAnsi="Arial"/>
                <w:sz w:val="13"/>
                <w:szCs w:val="13"/>
                <w:color w:val="auto"/>
              </w:rPr>
              <w:t>15,832,507</w:t>
            </w:r>
          </w:p>
        </w:tc>
        <w:tc>
          <w:tcPr>
            <w:tcW w:w="0" w:type="dxa"/>
            <w:vAlign w:val="bottom"/>
          </w:tcPr>
          <w:p>
            <w:pPr>
              <w:spacing w:after="0"/>
              <w:rPr>
                <w:sz w:val="1"/>
                <w:szCs w:val="1"/>
                <w:color w:val="auto"/>
              </w:rPr>
            </w:pPr>
          </w:p>
        </w:tc>
      </w:tr>
      <w:tr>
        <w:trPr>
          <w:trHeight w:val="171"/>
        </w:trPr>
        <w:tc>
          <w:tcPr>
            <w:tcW w:w="2900" w:type="dxa"/>
            <w:vAlign w:val="bottom"/>
            <w:tcBorders>
              <w:left w:val="single" w:sz="8" w:color="auto"/>
              <w:right w:val="single" w:sz="8" w:color="auto"/>
            </w:tcBorders>
            <w:shd w:val="clear" w:color="auto" w:fill="D4DBEB"/>
          </w:tcPr>
          <w:p>
            <w:pPr>
              <w:spacing w:after="0"/>
              <w:rPr>
                <w:sz w:val="14"/>
                <w:szCs w:val="14"/>
                <w:color w:val="auto"/>
              </w:rPr>
            </w:pPr>
          </w:p>
        </w:tc>
        <w:tc>
          <w:tcPr>
            <w:tcW w:w="580" w:type="dxa"/>
            <w:vAlign w:val="bottom"/>
            <w:tcBorders>
              <w:right w:val="single" w:sz="8" w:color="auto"/>
            </w:tcBorders>
            <w:shd w:val="clear" w:color="auto" w:fill="D4DBEB"/>
          </w:tcPr>
          <w:p>
            <w:pPr>
              <w:ind w:left="160"/>
              <w:spacing w:after="0"/>
              <w:rPr>
                <w:sz w:val="20"/>
                <w:szCs w:val="20"/>
                <w:color w:val="auto"/>
              </w:rPr>
            </w:pPr>
            <w:r>
              <w:rPr>
                <w:rFonts w:ascii="Arial" w:cs="Arial" w:eastAsia="Arial" w:hAnsi="Arial"/>
                <w:sz w:val="13"/>
                <w:szCs w:val="13"/>
                <w:color w:val="auto"/>
              </w:rPr>
              <w:t>2015</w:t>
            </w:r>
          </w:p>
        </w:tc>
        <w:tc>
          <w:tcPr>
            <w:tcW w:w="880" w:type="dxa"/>
            <w:vAlign w:val="bottom"/>
            <w:tcBorders>
              <w:right w:val="single" w:sz="8" w:color="auto"/>
            </w:tcBorders>
            <w:shd w:val="clear" w:color="auto" w:fill="D4DBEB"/>
          </w:tcPr>
          <w:p>
            <w:pPr>
              <w:jc w:val="right"/>
              <w:ind w:right="97"/>
              <w:spacing w:after="0"/>
              <w:rPr>
                <w:sz w:val="20"/>
                <w:szCs w:val="20"/>
                <w:color w:val="auto"/>
              </w:rPr>
            </w:pPr>
            <w:r>
              <w:rPr>
                <w:rFonts w:ascii="Arial" w:cs="Arial" w:eastAsia="Arial" w:hAnsi="Arial"/>
                <w:sz w:val="13"/>
                <w:szCs w:val="13"/>
                <w:color w:val="auto"/>
              </w:rPr>
              <w:t>1,232,500</w:t>
            </w:r>
          </w:p>
        </w:tc>
        <w:tc>
          <w:tcPr>
            <w:tcW w:w="860" w:type="dxa"/>
            <w:vAlign w:val="bottom"/>
            <w:tcBorders>
              <w:right w:val="single" w:sz="8" w:color="auto"/>
            </w:tcBorders>
            <w:shd w:val="clear" w:color="auto" w:fill="D4DBEB"/>
          </w:tcPr>
          <w:p>
            <w:pPr>
              <w:jc w:val="right"/>
              <w:ind w:right="77"/>
              <w:spacing w:after="0"/>
              <w:rPr>
                <w:sz w:val="20"/>
                <w:szCs w:val="20"/>
                <w:color w:val="auto"/>
              </w:rPr>
            </w:pPr>
            <w:r>
              <w:rPr>
                <w:rFonts w:ascii="Arial" w:cs="Arial" w:eastAsia="Arial" w:hAnsi="Arial"/>
                <w:sz w:val="13"/>
                <w:szCs w:val="13"/>
                <w:color w:val="auto"/>
              </w:rPr>
              <w:t>1,409,000</w:t>
            </w:r>
          </w:p>
        </w:tc>
        <w:tc>
          <w:tcPr>
            <w:tcW w:w="940" w:type="dxa"/>
            <w:vAlign w:val="bottom"/>
            <w:tcBorders>
              <w:right w:val="single" w:sz="8" w:color="auto"/>
            </w:tcBorders>
            <w:shd w:val="clear" w:color="auto" w:fill="D4DBEB"/>
          </w:tcPr>
          <w:p>
            <w:pPr>
              <w:jc w:val="right"/>
              <w:ind w:right="97"/>
              <w:spacing w:after="0"/>
              <w:rPr>
                <w:sz w:val="20"/>
                <w:szCs w:val="20"/>
                <w:color w:val="auto"/>
              </w:rPr>
            </w:pPr>
            <w:r>
              <w:rPr>
                <w:rFonts w:ascii="Arial" w:cs="Arial" w:eastAsia="Arial" w:hAnsi="Arial"/>
                <w:sz w:val="13"/>
                <w:szCs w:val="13"/>
                <w:color w:val="auto"/>
              </w:rPr>
              <w:t>8,648,192</w:t>
            </w:r>
          </w:p>
        </w:tc>
        <w:tc>
          <w:tcPr>
            <w:tcW w:w="460" w:type="dxa"/>
            <w:vAlign w:val="bottom"/>
            <w:tcBorders>
              <w:right w:val="single" w:sz="8" w:color="auto"/>
            </w:tcBorders>
            <w:shd w:val="clear" w:color="auto" w:fill="D4DBEB"/>
          </w:tcPr>
          <w:p>
            <w:pPr>
              <w:jc w:val="right"/>
              <w:ind w:right="77"/>
              <w:spacing w:after="0"/>
              <w:rPr>
                <w:sz w:val="20"/>
                <w:szCs w:val="20"/>
                <w:color w:val="auto"/>
              </w:rPr>
            </w:pPr>
            <w:r>
              <w:rPr>
                <w:rFonts w:ascii="Arial" w:cs="Arial" w:eastAsia="Arial" w:hAnsi="Arial"/>
                <w:sz w:val="13"/>
                <w:szCs w:val="13"/>
                <w:color w:val="auto"/>
              </w:rPr>
              <w:t>0</w:t>
            </w:r>
          </w:p>
        </w:tc>
        <w:tc>
          <w:tcPr>
            <w:tcW w:w="580" w:type="dxa"/>
            <w:vAlign w:val="bottom"/>
            <w:tcBorders>
              <w:right w:val="single" w:sz="8" w:color="auto"/>
            </w:tcBorders>
            <w:shd w:val="clear" w:color="auto" w:fill="D4DBEB"/>
          </w:tcPr>
          <w:p>
            <w:pPr>
              <w:jc w:val="right"/>
              <w:ind w:right="97"/>
              <w:spacing w:after="0"/>
              <w:rPr>
                <w:sz w:val="20"/>
                <w:szCs w:val="20"/>
                <w:color w:val="auto"/>
              </w:rPr>
            </w:pPr>
            <w:r>
              <w:rPr>
                <w:rFonts w:ascii="Arial" w:cs="Arial" w:eastAsia="Arial" w:hAnsi="Arial"/>
                <w:sz w:val="13"/>
                <w:szCs w:val="13"/>
                <w:color w:val="auto"/>
              </w:rPr>
              <w:t>0</w:t>
            </w:r>
          </w:p>
        </w:tc>
        <w:tc>
          <w:tcPr>
            <w:tcW w:w="860" w:type="dxa"/>
            <w:vAlign w:val="bottom"/>
            <w:tcBorders>
              <w:right w:val="single" w:sz="8" w:color="auto"/>
            </w:tcBorders>
            <w:shd w:val="clear" w:color="auto" w:fill="D4DBEB"/>
          </w:tcPr>
          <w:p>
            <w:pPr>
              <w:jc w:val="right"/>
              <w:ind w:right="97"/>
              <w:spacing w:after="0"/>
              <w:rPr>
                <w:sz w:val="20"/>
                <w:szCs w:val="20"/>
                <w:color w:val="auto"/>
              </w:rPr>
            </w:pPr>
            <w:r>
              <w:rPr>
                <w:rFonts w:ascii="Arial" w:cs="Arial" w:eastAsia="Arial" w:hAnsi="Arial"/>
                <w:sz w:val="13"/>
                <w:szCs w:val="13"/>
                <w:color w:val="auto"/>
              </w:rPr>
              <w:t>3,277,380</w:t>
            </w:r>
          </w:p>
        </w:tc>
        <w:tc>
          <w:tcPr>
            <w:tcW w:w="760" w:type="dxa"/>
            <w:vAlign w:val="bottom"/>
            <w:tcBorders>
              <w:right w:val="single" w:sz="8" w:color="auto"/>
            </w:tcBorders>
            <w:shd w:val="clear" w:color="auto" w:fill="D4DBEB"/>
          </w:tcPr>
          <w:p>
            <w:pPr>
              <w:jc w:val="right"/>
              <w:ind w:right="97"/>
              <w:spacing w:after="0"/>
              <w:rPr>
                <w:sz w:val="20"/>
                <w:szCs w:val="20"/>
                <w:color w:val="auto"/>
              </w:rPr>
            </w:pPr>
            <w:r>
              <w:rPr>
                <w:rFonts w:ascii="Arial" w:cs="Arial" w:eastAsia="Arial" w:hAnsi="Arial"/>
                <w:sz w:val="13"/>
                <w:szCs w:val="13"/>
                <w:color w:val="auto"/>
              </w:rPr>
              <w:t>129,265</w:t>
            </w:r>
          </w:p>
        </w:tc>
        <w:tc>
          <w:tcPr>
            <w:tcW w:w="920" w:type="dxa"/>
            <w:vAlign w:val="bottom"/>
            <w:tcBorders>
              <w:right w:val="single" w:sz="8" w:color="auto"/>
            </w:tcBorders>
            <w:shd w:val="clear" w:color="auto" w:fill="D4DBEB"/>
          </w:tcPr>
          <w:p>
            <w:pPr>
              <w:jc w:val="right"/>
              <w:ind w:right="77"/>
              <w:spacing w:after="0"/>
              <w:rPr>
                <w:sz w:val="20"/>
                <w:szCs w:val="20"/>
                <w:color w:val="auto"/>
              </w:rPr>
            </w:pPr>
            <w:r>
              <w:rPr>
                <w:rFonts w:ascii="Arial" w:cs="Arial" w:eastAsia="Arial" w:hAnsi="Arial"/>
                <w:sz w:val="13"/>
                <w:szCs w:val="13"/>
                <w:color w:val="auto"/>
              </w:rPr>
              <w:t>14,696,337</w:t>
            </w:r>
          </w:p>
        </w:tc>
        <w:tc>
          <w:tcPr>
            <w:tcW w:w="0" w:type="dxa"/>
            <w:vAlign w:val="bottom"/>
          </w:tcPr>
          <w:p>
            <w:pPr>
              <w:spacing w:after="0"/>
              <w:rPr>
                <w:sz w:val="1"/>
                <w:szCs w:val="1"/>
                <w:color w:val="auto"/>
              </w:rPr>
            </w:pPr>
          </w:p>
        </w:tc>
      </w:tr>
      <w:tr>
        <w:trPr>
          <w:trHeight w:val="181"/>
        </w:trPr>
        <w:tc>
          <w:tcPr>
            <w:tcW w:w="2900" w:type="dxa"/>
            <w:vAlign w:val="bottom"/>
            <w:tcBorders>
              <w:left w:val="single" w:sz="8" w:color="auto"/>
              <w:right w:val="single" w:sz="8" w:color="auto"/>
            </w:tcBorders>
          </w:tcPr>
          <w:p>
            <w:pPr>
              <w:ind w:left="160"/>
              <w:spacing w:after="0"/>
              <w:rPr>
                <w:sz w:val="20"/>
                <w:szCs w:val="20"/>
                <w:color w:val="auto"/>
              </w:rPr>
            </w:pPr>
            <w:r>
              <w:rPr>
                <w:rFonts w:ascii="Arial" w:cs="Arial" w:eastAsia="Arial" w:hAnsi="Arial"/>
                <w:sz w:val="13"/>
                <w:szCs w:val="13"/>
                <w:color w:val="auto"/>
              </w:rPr>
              <w:t>M.J. Dolan</w:t>
            </w:r>
          </w:p>
        </w:tc>
        <w:tc>
          <w:tcPr>
            <w:tcW w:w="580" w:type="dxa"/>
            <w:vAlign w:val="bottom"/>
            <w:tcBorders>
              <w:right w:val="single" w:sz="8" w:color="auto"/>
            </w:tcBorders>
          </w:tcPr>
          <w:p>
            <w:pPr>
              <w:ind w:left="160"/>
              <w:spacing w:after="0"/>
              <w:rPr>
                <w:sz w:val="20"/>
                <w:szCs w:val="20"/>
                <w:color w:val="auto"/>
              </w:rPr>
            </w:pPr>
            <w:r>
              <w:rPr>
                <w:rFonts w:ascii="Arial" w:cs="Arial" w:eastAsia="Arial" w:hAnsi="Arial"/>
                <w:sz w:val="13"/>
                <w:szCs w:val="13"/>
                <w:color w:val="auto"/>
              </w:rPr>
              <w:t>2017</w:t>
            </w:r>
          </w:p>
        </w:tc>
        <w:tc>
          <w:tcPr>
            <w:tcW w:w="880" w:type="dxa"/>
            <w:vAlign w:val="bottom"/>
            <w:tcBorders>
              <w:right w:val="single" w:sz="8" w:color="auto"/>
            </w:tcBorders>
          </w:tcPr>
          <w:p>
            <w:pPr>
              <w:jc w:val="right"/>
              <w:ind w:right="97"/>
              <w:spacing w:after="0"/>
              <w:rPr>
                <w:sz w:val="20"/>
                <w:szCs w:val="20"/>
                <w:color w:val="auto"/>
              </w:rPr>
            </w:pPr>
            <w:r>
              <w:rPr>
                <w:rFonts w:ascii="Arial" w:cs="Arial" w:eastAsia="Arial" w:hAnsi="Arial"/>
                <w:sz w:val="13"/>
                <w:szCs w:val="13"/>
                <w:color w:val="auto"/>
              </w:rPr>
              <w:t>1,430,000</w:t>
            </w:r>
          </w:p>
        </w:tc>
        <w:tc>
          <w:tcPr>
            <w:tcW w:w="860" w:type="dxa"/>
            <w:vAlign w:val="bottom"/>
            <w:tcBorders>
              <w:right w:val="single" w:sz="8" w:color="auto"/>
            </w:tcBorders>
          </w:tcPr>
          <w:p>
            <w:pPr>
              <w:jc w:val="right"/>
              <w:ind w:right="77"/>
              <w:spacing w:after="0"/>
              <w:rPr>
                <w:sz w:val="20"/>
                <w:szCs w:val="20"/>
                <w:color w:val="auto"/>
              </w:rPr>
            </w:pPr>
            <w:r>
              <w:rPr>
                <w:rFonts w:ascii="Arial" w:cs="Arial" w:eastAsia="Arial" w:hAnsi="Arial"/>
                <w:sz w:val="13"/>
                <w:szCs w:val="13"/>
                <w:color w:val="auto"/>
              </w:rPr>
              <w:t>1,603,000</w:t>
            </w:r>
          </w:p>
        </w:tc>
        <w:tc>
          <w:tcPr>
            <w:tcW w:w="940" w:type="dxa"/>
            <w:vAlign w:val="bottom"/>
            <w:tcBorders>
              <w:right w:val="single" w:sz="8" w:color="auto"/>
            </w:tcBorders>
          </w:tcPr>
          <w:p>
            <w:pPr>
              <w:jc w:val="right"/>
              <w:ind w:right="97"/>
              <w:spacing w:after="0"/>
              <w:rPr>
                <w:sz w:val="20"/>
                <w:szCs w:val="20"/>
                <w:color w:val="auto"/>
              </w:rPr>
            </w:pPr>
            <w:r>
              <w:rPr>
                <w:rFonts w:ascii="Arial" w:cs="Arial" w:eastAsia="Arial" w:hAnsi="Arial"/>
                <w:sz w:val="13"/>
                <w:szCs w:val="13"/>
                <w:color w:val="auto"/>
              </w:rPr>
              <w:t>8,123,736</w:t>
            </w:r>
          </w:p>
        </w:tc>
        <w:tc>
          <w:tcPr>
            <w:tcW w:w="460" w:type="dxa"/>
            <w:vAlign w:val="bottom"/>
            <w:tcBorders>
              <w:right w:val="single" w:sz="8" w:color="auto"/>
            </w:tcBorders>
          </w:tcPr>
          <w:p>
            <w:pPr>
              <w:jc w:val="right"/>
              <w:ind w:right="77"/>
              <w:spacing w:after="0"/>
              <w:rPr>
                <w:sz w:val="20"/>
                <w:szCs w:val="20"/>
                <w:color w:val="auto"/>
              </w:rPr>
            </w:pPr>
            <w:r>
              <w:rPr>
                <w:rFonts w:ascii="Arial" w:cs="Arial" w:eastAsia="Arial" w:hAnsi="Arial"/>
                <w:sz w:val="13"/>
                <w:szCs w:val="13"/>
                <w:color w:val="auto"/>
              </w:rPr>
              <w:t>0</w:t>
            </w:r>
          </w:p>
        </w:tc>
        <w:tc>
          <w:tcPr>
            <w:tcW w:w="580" w:type="dxa"/>
            <w:vAlign w:val="bottom"/>
            <w:tcBorders>
              <w:right w:val="single" w:sz="8" w:color="auto"/>
            </w:tcBorders>
          </w:tcPr>
          <w:p>
            <w:pPr>
              <w:jc w:val="right"/>
              <w:ind w:right="97"/>
              <w:spacing w:after="0"/>
              <w:rPr>
                <w:sz w:val="20"/>
                <w:szCs w:val="20"/>
                <w:color w:val="auto"/>
              </w:rPr>
            </w:pPr>
            <w:r>
              <w:rPr>
                <w:rFonts w:ascii="Arial" w:cs="Arial" w:eastAsia="Arial" w:hAnsi="Arial"/>
                <w:sz w:val="13"/>
                <w:szCs w:val="13"/>
                <w:color w:val="auto"/>
              </w:rPr>
              <w:t>0</w:t>
            </w:r>
          </w:p>
        </w:tc>
        <w:tc>
          <w:tcPr>
            <w:tcW w:w="860" w:type="dxa"/>
            <w:vAlign w:val="bottom"/>
            <w:tcBorders>
              <w:right w:val="single" w:sz="8" w:color="auto"/>
            </w:tcBorders>
          </w:tcPr>
          <w:p>
            <w:pPr>
              <w:jc w:val="right"/>
              <w:ind w:right="97"/>
              <w:spacing w:after="0"/>
              <w:rPr>
                <w:sz w:val="20"/>
                <w:szCs w:val="20"/>
                <w:color w:val="auto"/>
              </w:rPr>
            </w:pPr>
            <w:r>
              <w:rPr>
                <w:rFonts w:ascii="Arial" w:cs="Arial" w:eastAsia="Arial" w:hAnsi="Arial"/>
                <w:sz w:val="13"/>
                <w:szCs w:val="13"/>
                <w:color w:val="auto"/>
              </w:rPr>
              <w:t>0</w:t>
            </w:r>
          </w:p>
        </w:tc>
        <w:tc>
          <w:tcPr>
            <w:tcW w:w="760" w:type="dxa"/>
            <w:vAlign w:val="bottom"/>
            <w:tcBorders>
              <w:right w:val="single" w:sz="8" w:color="auto"/>
            </w:tcBorders>
          </w:tcPr>
          <w:p>
            <w:pPr>
              <w:jc w:val="right"/>
              <w:ind w:right="97"/>
              <w:spacing w:after="0"/>
              <w:rPr>
                <w:sz w:val="20"/>
                <w:szCs w:val="20"/>
                <w:color w:val="auto"/>
              </w:rPr>
            </w:pPr>
            <w:r>
              <w:rPr>
                <w:rFonts w:ascii="Arial" w:cs="Arial" w:eastAsia="Arial" w:hAnsi="Arial"/>
                <w:sz w:val="13"/>
                <w:szCs w:val="13"/>
                <w:color w:val="auto"/>
              </w:rPr>
              <w:t>158,215</w:t>
            </w:r>
          </w:p>
        </w:tc>
        <w:tc>
          <w:tcPr>
            <w:tcW w:w="920" w:type="dxa"/>
            <w:vAlign w:val="bottom"/>
            <w:tcBorders>
              <w:right w:val="single" w:sz="8" w:color="auto"/>
            </w:tcBorders>
          </w:tcPr>
          <w:p>
            <w:pPr>
              <w:jc w:val="right"/>
              <w:ind w:right="77"/>
              <w:spacing w:after="0"/>
              <w:rPr>
                <w:sz w:val="20"/>
                <w:szCs w:val="20"/>
                <w:color w:val="auto"/>
              </w:rPr>
            </w:pPr>
            <w:r>
              <w:rPr>
                <w:rFonts w:ascii="Arial" w:cs="Arial" w:eastAsia="Arial" w:hAnsi="Arial"/>
                <w:sz w:val="13"/>
                <w:szCs w:val="13"/>
                <w:color w:val="auto"/>
              </w:rPr>
              <w:t>11,314,951</w:t>
            </w:r>
          </w:p>
        </w:tc>
        <w:tc>
          <w:tcPr>
            <w:tcW w:w="0" w:type="dxa"/>
            <w:vAlign w:val="bottom"/>
          </w:tcPr>
          <w:p>
            <w:pPr>
              <w:spacing w:after="0"/>
              <w:rPr>
                <w:sz w:val="1"/>
                <w:szCs w:val="1"/>
                <w:color w:val="auto"/>
              </w:rPr>
            </w:pPr>
          </w:p>
        </w:tc>
      </w:tr>
      <w:tr>
        <w:trPr>
          <w:trHeight w:val="135"/>
        </w:trPr>
        <w:tc>
          <w:tcPr>
            <w:tcW w:w="2900" w:type="dxa"/>
            <w:vAlign w:val="bottom"/>
            <w:tcBorders>
              <w:left w:val="single" w:sz="8" w:color="auto"/>
              <w:right w:val="single" w:sz="8" w:color="auto"/>
            </w:tcBorders>
          </w:tcPr>
          <w:p>
            <w:pPr>
              <w:ind w:left="160"/>
              <w:spacing w:after="0" w:line="135" w:lineRule="exact"/>
              <w:rPr>
                <w:sz w:val="20"/>
                <w:szCs w:val="20"/>
                <w:color w:val="auto"/>
              </w:rPr>
            </w:pPr>
            <w:r>
              <w:rPr>
                <w:rFonts w:ascii="Arial" w:cs="Arial" w:eastAsia="Arial" w:hAnsi="Arial"/>
                <w:sz w:val="13"/>
                <w:szCs w:val="13"/>
                <w:i w:val="1"/>
                <w:iCs w:val="1"/>
                <w:color w:val="auto"/>
              </w:rPr>
              <w:t>Senior Vice President</w:t>
            </w:r>
          </w:p>
        </w:tc>
        <w:tc>
          <w:tcPr>
            <w:tcW w:w="580" w:type="dxa"/>
            <w:vAlign w:val="bottom"/>
            <w:tcBorders>
              <w:right w:val="single" w:sz="8" w:color="auto"/>
            </w:tcBorders>
          </w:tcPr>
          <w:p>
            <w:pPr>
              <w:ind w:left="160"/>
              <w:spacing w:after="0" w:line="135" w:lineRule="exact"/>
              <w:rPr>
                <w:sz w:val="20"/>
                <w:szCs w:val="20"/>
                <w:color w:val="auto"/>
              </w:rPr>
            </w:pPr>
            <w:r>
              <w:rPr>
                <w:rFonts w:ascii="Arial" w:cs="Arial" w:eastAsia="Arial" w:hAnsi="Arial"/>
                <w:sz w:val="13"/>
                <w:szCs w:val="13"/>
                <w:color w:val="auto"/>
              </w:rPr>
              <w:t>2016</w:t>
            </w:r>
          </w:p>
        </w:tc>
        <w:tc>
          <w:tcPr>
            <w:tcW w:w="880" w:type="dxa"/>
            <w:vAlign w:val="bottom"/>
            <w:tcBorders>
              <w:right w:val="single" w:sz="8" w:color="auto"/>
            </w:tcBorders>
          </w:tcPr>
          <w:p>
            <w:pPr>
              <w:jc w:val="right"/>
              <w:ind w:right="97"/>
              <w:spacing w:after="0" w:line="135" w:lineRule="exact"/>
              <w:rPr>
                <w:sz w:val="20"/>
                <w:szCs w:val="20"/>
                <w:color w:val="auto"/>
              </w:rPr>
            </w:pPr>
            <w:r>
              <w:rPr>
                <w:rFonts w:ascii="Arial" w:cs="Arial" w:eastAsia="Arial" w:hAnsi="Arial"/>
                <w:sz w:val="13"/>
                <w:szCs w:val="13"/>
                <w:color w:val="auto"/>
              </w:rPr>
              <w:t>1,385,000</w:t>
            </w:r>
          </w:p>
        </w:tc>
        <w:tc>
          <w:tcPr>
            <w:tcW w:w="860" w:type="dxa"/>
            <w:vAlign w:val="bottom"/>
            <w:tcBorders>
              <w:right w:val="single" w:sz="8" w:color="auto"/>
            </w:tcBorders>
          </w:tcPr>
          <w:p>
            <w:pPr>
              <w:jc w:val="right"/>
              <w:ind w:right="77"/>
              <w:spacing w:after="0" w:line="135" w:lineRule="exact"/>
              <w:rPr>
                <w:sz w:val="20"/>
                <w:szCs w:val="20"/>
                <w:color w:val="auto"/>
              </w:rPr>
            </w:pPr>
            <w:r>
              <w:rPr>
                <w:rFonts w:ascii="Arial" w:cs="Arial" w:eastAsia="Arial" w:hAnsi="Arial"/>
                <w:sz w:val="13"/>
                <w:szCs w:val="13"/>
                <w:color w:val="auto"/>
              </w:rPr>
              <w:t>1,145,000</w:t>
            </w:r>
          </w:p>
        </w:tc>
        <w:tc>
          <w:tcPr>
            <w:tcW w:w="940" w:type="dxa"/>
            <w:vAlign w:val="bottom"/>
            <w:tcBorders>
              <w:right w:val="single" w:sz="8" w:color="auto"/>
            </w:tcBorders>
          </w:tcPr>
          <w:p>
            <w:pPr>
              <w:jc w:val="right"/>
              <w:ind w:right="97"/>
              <w:spacing w:after="0" w:line="135" w:lineRule="exact"/>
              <w:rPr>
                <w:sz w:val="20"/>
                <w:szCs w:val="20"/>
                <w:color w:val="auto"/>
              </w:rPr>
            </w:pPr>
            <w:r>
              <w:rPr>
                <w:rFonts w:ascii="Arial" w:cs="Arial" w:eastAsia="Arial" w:hAnsi="Arial"/>
                <w:sz w:val="13"/>
                <w:szCs w:val="13"/>
                <w:color w:val="auto"/>
              </w:rPr>
              <w:t>10,874,180</w:t>
            </w:r>
          </w:p>
        </w:tc>
        <w:tc>
          <w:tcPr>
            <w:tcW w:w="460" w:type="dxa"/>
            <w:vAlign w:val="bottom"/>
            <w:tcBorders>
              <w:right w:val="single" w:sz="8" w:color="auto"/>
            </w:tcBorders>
          </w:tcPr>
          <w:p>
            <w:pPr>
              <w:jc w:val="right"/>
              <w:ind w:right="77"/>
              <w:spacing w:after="0" w:line="135" w:lineRule="exact"/>
              <w:rPr>
                <w:sz w:val="20"/>
                <w:szCs w:val="20"/>
                <w:color w:val="auto"/>
              </w:rPr>
            </w:pPr>
            <w:r>
              <w:rPr>
                <w:rFonts w:ascii="Arial" w:cs="Arial" w:eastAsia="Arial" w:hAnsi="Arial"/>
                <w:sz w:val="13"/>
                <w:szCs w:val="13"/>
                <w:color w:val="auto"/>
              </w:rPr>
              <w:t>0</w:t>
            </w:r>
          </w:p>
        </w:tc>
        <w:tc>
          <w:tcPr>
            <w:tcW w:w="580" w:type="dxa"/>
            <w:vAlign w:val="bottom"/>
            <w:tcBorders>
              <w:right w:val="single" w:sz="8" w:color="auto"/>
            </w:tcBorders>
          </w:tcPr>
          <w:p>
            <w:pPr>
              <w:jc w:val="right"/>
              <w:ind w:right="97"/>
              <w:spacing w:after="0" w:line="135" w:lineRule="exact"/>
              <w:rPr>
                <w:sz w:val="20"/>
                <w:szCs w:val="20"/>
                <w:color w:val="auto"/>
              </w:rPr>
            </w:pPr>
            <w:r>
              <w:rPr>
                <w:rFonts w:ascii="Arial" w:cs="Arial" w:eastAsia="Arial" w:hAnsi="Arial"/>
                <w:sz w:val="13"/>
                <w:szCs w:val="13"/>
                <w:color w:val="auto"/>
              </w:rPr>
              <w:t>0</w:t>
            </w:r>
          </w:p>
        </w:tc>
        <w:tc>
          <w:tcPr>
            <w:tcW w:w="860" w:type="dxa"/>
            <w:vAlign w:val="bottom"/>
            <w:tcBorders>
              <w:right w:val="single" w:sz="8" w:color="auto"/>
            </w:tcBorders>
          </w:tcPr>
          <w:p>
            <w:pPr>
              <w:jc w:val="right"/>
              <w:ind w:right="97"/>
              <w:spacing w:after="0" w:line="135" w:lineRule="exact"/>
              <w:rPr>
                <w:sz w:val="20"/>
                <w:szCs w:val="20"/>
                <w:color w:val="auto"/>
              </w:rPr>
            </w:pPr>
            <w:r>
              <w:rPr>
                <w:rFonts w:ascii="Arial" w:cs="Arial" w:eastAsia="Arial" w:hAnsi="Arial"/>
                <w:sz w:val="13"/>
                <w:szCs w:val="13"/>
                <w:color w:val="auto"/>
              </w:rPr>
              <w:t>2,088,167</w:t>
            </w:r>
          </w:p>
        </w:tc>
        <w:tc>
          <w:tcPr>
            <w:tcW w:w="760" w:type="dxa"/>
            <w:vAlign w:val="bottom"/>
            <w:tcBorders>
              <w:right w:val="single" w:sz="8" w:color="auto"/>
            </w:tcBorders>
          </w:tcPr>
          <w:p>
            <w:pPr>
              <w:jc w:val="right"/>
              <w:ind w:right="97"/>
              <w:spacing w:after="0" w:line="135" w:lineRule="exact"/>
              <w:rPr>
                <w:sz w:val="20"/>
                <w:szCs w:val="20"/>
                <w:color w:val="auto"/>
              </w:rPr>
            </w:pPr>
            <w:r>
              <w:rPr>
                <w:rFonts w:ascii="Arial" w:cs="Arial" w:eastAsia="Arial" w:hAnsi="Arial"/>
                <w:sz w:val="13"/>
                <w:szCs w:val="13"/>
                <w:color w:val="auto"/>
              </w:rPr>
              <w:t>153,388</w:t>
            </w:r>
          </w:p>
        </w:tc>
        <w:tc>
          <w:tcPr>
            <w:tcW w:w="920" w:type="dxa"/>
            <w:vAlign w:val="bottom"/>
            <w:tcBorders>
              <w:right w:val="single" w:sz="8" w:color="auto"/>
            </w:tcBorders>
          </w:tcPr>
          <w:p>
            <w:pPr>
              <w:jc w:val="right"/>
              <w:ind w:right="77"/>
              <w:spacing w:after="0" w:line="135" w:lineRule="exact"/>
              <w:rPr>
                <w:sz w:val="20"/>
                <w:szCs w:val="20"/>
                <w:color w:val="auto"/>
              </w:rPr>
            </w:pPr>
            <w:r>
              <w:rPr>
                <w:rFonts w:ascii="Arial" w:cs="Arial" w:eastAsia="Arial" w:hAnsi="Arial"/>
                <w:sz w:val="13"/>
                <w:szCs w:val="13"/>
                <w:color w:val="auto"/>
              </w:rPr>
              <w:t>15,645,735</w:t>
            </w:r>
          </w:p>
        </w:tc>
        <w:tc>
          <w:tcPr>
            <w:tcW w:w="0" w:type="dxa"/>
            <w:vAlign w:val="bottom"/>
          </w:tcPr>
          <w:p>
            <w:pPr>
              <w:spacing w:after="0"/>
              <w:rPr>
                <w:sz w:val="1"/>
                <w:szCs w:val="1"/>
                <w:color w:val="auto"/>
              </w:rPr>
            </w:pPr>
          </w:p>
        </w:tc>
      </w:tr>
      <w:tr>
        <w:trPr>
          <w:trHeight w:val="170"/>
        </w:trPr>
        <w:tc>
          <w:tcPr>
            <w:tcW w:w="2900" w:type="dxa"/>
            <w:vAlign w:val="bottom"/>
            <w:tcBorders>
              <w:left w:val="single" w:sz="8" w:color="auto"/>
              <w:right w:val="single" w:sz="8" w:color="auto"/>
            </w:tcBorders>
          </w:tcPr>
          <w:p>
            <w:pPr>
              <w:spacing w:after="0"/>
              <w:rPr>
                <w:sz w:val="14"/>
                <w:szCs w:val="14"/>
                <w:color w:val="auto"/>
              </w:rPr>
            </w:pPr>
          </w:p>
        </w:tc>
        <w:tc>
          <w:tcPr>
            <w:tcW w:w="580" w:type="dxa"/>
            <w:vAlign w:val="bottom"/>
            <w:tcBorders>
              <w:right w:val="single" w:sz="8" w:color="auto"/>
            </w:tcBorders>
          </w:tcPr>
          <w:p>
            <w:pPr>
              <w:ind w:left="160"/>
              <w:spacing w:after="0"/>
              <w:rPr>
                <w:sz w:val="20"/>
                <w:szCs w:val="20"/>
                <w:color w:val="auto"/>
              </w:rPr>
            </w:pPr>
            <w:r>
              <w:rPr>
                <w:rFonts w:ascii="Arial" w:cs="Arial" w:eastAsia="Arial" w:hAnsi="Arial"/>
                <w:sz w:val="13"/>
                <w:szCs w:val="13"/>
                <w:color w:val="auto"/>
              </w:rPr>
              <w:t>2015</w:t>
            </w:r>
          </w:p>
        </w:tc>
        <w:tc>
          <w:tcPr>
            <w:tcW w:w="880" w:type="dxa"/>
            <w:vAlign w:val="bottom"/>
            <w:tcBorders>
              <w:right w:val="single" w:sz="8" w:color="auto"/>
            </w:tcBorders>
          </w:tcPr>
          <w:p>
            <w:pPr>
              <w:jc w:val="right"/>
              <w:ind w:right="97"/>
              <w:spacing w:after="0"/>
              <w:rPr>
                <w:sz w:val="20"/>
                <w:szCs w:val="20"/>
                <w:color w:val="auto"/>
              </w:rPr>
            </w:pPr>
            <w:r>
              <w:rPr>
                <w:rFonts w:ascii="Arial" w:cs="Arial" w:eastAsia="Arial" w:hAnsi="Arial"/>
                <w:sz w:val="13"/>
                <w:szCs w:val="13"/>
                <w:color w:val="auto"/>
              </w:rPr>
              <w:t>1,322,500</w:t>
            </w:r>
          </w:p>
        </w:tc>
        <w:tc>
          <w:tcPr>
            <w:tcW w:w="860" w:type="dxa"/>
            <w:vAlign w:val="bottom"/>
            <w:tcBorders>
              <w:right w:val="single" w:sz="8" w:color="auto"/>
            </w:tcBorders>
          </w:tcPr>
          <w:p>
            <w:pPr>
              <w:jc w:val="right"/>
              <w:ind w:right="77"/>
              <w:spacing w:after="0"/>
              <w:rPr>
                <w:sz w:val="20"/>
                <w:szCs w:val="20"/>
                <w:color w:val="auto"/>
              </w:rPr>
            </w:pPr>
            <w:r>
              <w:rPr>
                <w:rFonts w:ascii="Arial" w:cs="Arial" w:eastAsia="Arial" w:hAnsi="Arial"/>
                <w:sz w:val="13"/>
                <w:szCs w:val="13"/>
                <w:color w:val="auto"/>
              </w:rPr>
              <w:t>1,635,000</w:t>
            </w:r>
          </w:p>
        </w:tc>
        <w:tc>
          <w:tcPr>
            <w:tcW w:w="940" w:type="dxa"/>
            <w:vAlign w:val="bottom"/>
            <w:tcBorders>
              <w:right w:val="single" w:sz="8" w:color="auto"/>
            </w:tcBorders>
          </w:tcPr>
          <w:p>
            <w:pPr>
              <w:jc w:val="right"/>
              <w:ind w:right="97"/>
              <w:spacing w:after="0"/>
              <w:rPr>
                <w:sz w:val="20"/>
                <w:szCs w:val="20"/>
                <w:color w:val="auto"/>
              </w:rPr>
            </w:pPr>
            <w:r>
              <w:rPr>
                <w:rFonts w:ascii="Arial" w:cs="Arial" w:eastAsia="Arial" w:hAnsi="Arial"/>
                <w:sz w:val="13"/>
                <w:szCs w:val="13"/>
                <w:color w:val="auto"/>
              </w:rPr>
              <w:t>10,078,720</w:t>
            </w:r>
          </w:p>
        </w:tc>
        <w:tc>
          <w:tcPr>
            <w:tcW w:w="460" w:type="dxa"/>
            <w:vAlign w:val="bottom"/>
            <w:tcBorders>
              <w:right w:val="single" w:sz="8" w:color="auto"/>
            </w:tcBorders>
          </w:tcPr>
          <w:p>
            <w:pPr>
              <w:jc w:val="right"/>
              <w:ind w:right="77"/>
              <w:spacing w:after="0"/>
              <w:rPr>
                <w:sz w:val="20"/>
                <w:szCs w:val="20"/>
                <w:color w:val="auto"/>
              </w:rPr>
            </w:pPr>
            <w:r>
              <w:rPr>
                <w:rFonts w:ascii="Arial" w:cs="Arial" w:eastAsia="Arial" w:hAnsi="Arial"/>
                <w:sz w:val="13"/>
                <w:szCs w:val="13"/>
                <w:color w:val="auto"/>
              </w:rPr>
              <w:t>0</w:t>
            </w:r>
          </w:p>
        </w:tc>
        <w:tc>
          <w:tcPr>
            <w:tcW w:w="580" w:type="dxa"/>
            <w:vAlign w:val="bottom"/>
            <w:tcBorders>
              <w:right w:val="single" w:sz="8" w:color="auto"/>
            </w:tcBorders>
          </w:tcPr>
          <w:p>
            <w:pPr>
              <w:jc w:val="right"/>
              <w:ind w:right="97"/>
              <w:spacing w:after="0"/>
              <w:rPr>
                <w:sz w:val="20"/>
                <w:szCs w:val="20"/>
                <w:color w:val="auto"/>
              </w:rPr>
            </w:pPr>
            <w:r>
              <w:rPr>
                <w:rFonts w:ascii="Arial" w:cs="Arial" w:eastAsia="Arial" w:hAnsi="Arial"/>
                <w:sz w:val="13"/>
                <w:szCs w:val="13"/>
                <w:color w:val="auto"/>
              </w:rPr>
              <w:t>0</w:t>
            </w:r>
          </w:p>
        </w:tc>
        <w:tc>
          <w:tcPr>
            <w:tcW w:w="860" w:type="dxa"/>
            <w:vAlign w:val="bottom"/>
            <w:tcBorders>
              <w:right w:val="single" w:sz="8" w:color="auto"/>
            </w:tcBorders>
          </w:tcPr>
          <w:p>
            <w:pPr>
              <w:jc w:val="right"/>
              <w:ind w:right="97"/>
              <w:spacing w:after="0"/>
              <w:rPr>
                <w:sz w:val="20"/>
                <w:szCs w:val="20"/>
                <w:color w:val="auto"/>
              </w:rPr>
            </w:pPr>
            <w:r>
              <w:rPr>
                <w:rFonts w:ascii="Arial" w:cs="Arial" w:eastAsia="Arial" w:hAnsi="Arial"/>
                <w:sz w:val="13"/>
                <w:szCs w:val="13"/>
                <w:color w:val="auto"/>
              </w:rPr>
              <w:t>1,565,725</w:t>
            </w:r>
          </w:p>
        </w:tc>
        <w:tc>
          <w:tcPr>
            <w:tcW w:w="760" w:type="dxa"/>
            <w:vAlign w:val="bottom"/>
            <w:tcBorders>
              <w:right w:val="single" w:sz="8" w:color="auto"/>
            </w:tcBorders>
          </w:tcPr>
          <w:p>
            <w:pPr>
              <w:jc w:val="right"/>
              <w:ind w:right="97"/>
              <w:spacing w:after="0"/>
              <w:rPr>
                <w:sz w:val="20"/>
                <w:szCs w:val="20"/>
                <w:color w:val="auto"/>
              </w:rPr>
            </w:pPr>
            <w:r>
              <w:rPr>
                <w:rFonts w:ascii="Arial" w:cs="Arial" w:eastAsia="Arial" w:hAnsi="Arial"/>
                <w:sz w:val="13"/>
                <w:szCs w:val="13"/>
                <w:color w:val="auto"/>
              </w:rPr>
              <w:t>147,587</w:t>
            </w:r>
          </w:p>
        </w:tc>
        <w:tc>
          <w:tcPr>
            <w:tcW w:w="920" w:type="dxa"/>
            <w:vAlign w:val="bottom"/>
            <w:tcBorders>
              <w:right w:val="single" w:sz="8" w:color="auto"/>
            </w:tcBorders>
          </w:tcPr>
          <w:p>
            <w:pPr>
              <w:jc w:val="right"/>
              <w:ind w:right="77"/>
              <w:spacing w:after="0"/>
              <w:rPr>
                <w:sz w:val="20"/>
                <w:szCs w:val="20"/>
                <w:color w:val="auto"/>
              </w:rPr>
            </w:pPr>
            <w:r>
              <w:rPr>
                <w:rFonts w:ascii="Arial" w:cs="Arial" w:eastAsia="Arial" w:hAnsi="Arial"/>
                <w:sz w:val="13"/>
                <w:szCs w:val="13"/>
                <w:color w:val="auto"/>
              </w:rPr>
              <w:t>14,749,532</w:t>
            </w:r>
          </w:p>
        </w:tc>
        <w:tc>
          <w:tcPr>
            <w:tcW w:w="0" w:type="dxa"/>
            <w:vAlign w:val="bottom"/>
          </w:tcPr>
          <w:p>
            <w:pPr>
              <w:spacing w:after="0"/>
              <w:rPr>
                <w:sz w:val="1"/>
                <w:szCs w:val="1"/>
                <w:color w:val="auto"/>
              </w:rPr>
            </w:pPr>
          </w:p>
        </w:tc>
      </w:tr>
      <w:tr>
        <w:trPr>
          <w:trHeight w:val="183"/>
        </w:trPr>
        <w:tc>
          <w:tcPr>
            <w:tcW w:w="2900" w:type="dxa"/>
            <w:vAlign w:val="bottom"/>
            <w:tcBorders>
              <w:left w:val="single" w:sz="8" w:color="auto"/>
              <w:right w:val="single" w:sz="8" w:color="auto"/>
            </w:tcBorders>
            <w:shd w:val="clear" w:color="auto" w:fill="D4DBEB"/>
          </w:tcPr>
          <w:p>
            <w:pPr>
              <w:ind w:left="160"/>
              <w:spacing w:after="0"/>
              <w:rPr>
                <w:sz w:val="20"/>
                <w:szCs w:val="20"/>
                <w:color w:val="auto"/>
              </w:rPr>
            </w:pPr>
            <w:r>
              <w:rPr>
                <w:rFonts w:ascii="Arial" w:cs="Arial" w:eastAsia="Arial" w:hAnsi="Arial"/>
                <w:sz w:val="13"/>
                <w:szCs w:val="13"/>
                <w:color w:val="auto"/>
              </w:rPr>
              <w:t>N.W. Duffin</w:t>
            </w:r>
          </w:p>
        </w:tc>
        <w:tc>
          <w:tcPr>
            <w:tcW w:w="580" w:type="dxa"/>
            <w:vAlign w:val="bottom"/>
            <w:tcBorders>
              <w:right w:val="single" w:sz="8" w:color="auto"/>
            </w:tcBorders>
            <w:shd w:val="clear" w:color="auto" w:fill="D4DBEB"/>
          </w:tcPr>
          <w:p>
            <w:pPr>
              <w:ind w:left="160"/>
              <w:spacing w:after="0"/>
              <w:rPr>
                <w:sz w:val="20"/>
                <w:szCs w:val="20"/>
                <w:color w:val="auto"/>
              </w:rPr>
            </w:pPr>
            <w:r>
              <w:rPr>
                <w:rFonts w:ascii="Arial" w:cs="Arial" w:eastAsia="Arial" w:hAnsi="Arial"/>
                <w:sz w:val="13"/>
                <w:szCs w:val="13"/>
                <w:color w:val="auto"/>
              </w:rPr>
              <w:t>2017</w:t>
            </w:r>
          </w:p>
        </w:tc>
        <w:tc>
          <w:tcPr>
            <w:tcW w:w="880" w:type="dxa"/>
            <w:vAlign w:val="bottom"/>
            <w:tcBorders>
              <w:right w:val="single" w:sz="8" w:color="auto"/>
            </w:tcBorders>
            <w:shd w:val="clear" w:color="auto" w:fill="D4DBEB"/>
          </w:tcPr>
          <w:p>
            <w:pPr>
              <w:jc w:val="right"/>
              <w:ind w:right="97"/>
              <w:spacing w:after="0"/>
              <w:rPr>
                <w:sz w:val="20"/>
                <w:szCs w:val="20"/>
                <w:color w:val="auto"/>
              </w:rPr>
            </w:pPr>
            <w:r>
              <w:rPr>
                <w:rFonts w:ascii="Arial" w:cs="Arial" w:eastAsia="Arial" w:hAnsi="Arial"/>
                <w:sz w:val="13"/>
                <w:szCs w:val="13"/>
                <w:color w:val="auto"/>
              </w:rPr>
              <w:t>1,063,250</w:t>
            </w:r>
          </w:p>
        </w:tc>
        <w:tc>
          <w:tcPr>
            <w:tcW w:w="860" w:type="dxa"/>
            <w:vAlign w:val="bottom"/>
            <w:tcBorders>
              <w:right w:val="single" w:sz="8" w:color="auto"/>
            </w:tcBorders>
            <w:shd w:val="clear" w:color="auto" w:fill="D4DBEB"/>
          </w:tcPr>
          <w:p>
            <w:pPr>
              <w:jc w:val="right"/>
              <w:ind w:right="77"/>
              <w:spacing w:after="0"/>
              <w:rPr>
                <w:sz w:val="20"/>
                <w:szCs w:val="20"/>
                <w:color w:val="auto"/>
              </w:rPr>
            </w:pPr>
            <w:r>
              <w:rPr>
                <w:rFonts w:ascii="Arial" w:cs="Arial" w:eastAsia="Arial" w:hAnsi="Arial"/>
                <w:sz w:val="13"/>
                <w:szCs w:val="13"/>
                <w:color w:val="auto"/>
              </w:rPr>
              <w:t>1,021,000</w:t>
            </w:r>
          </w:p>
        </w:tc>
        <w:tc>
          <w:tcPr>
            <w:tcW w:w="940" w:type="dxa"/>
            <w:vAlign w:val="bottom"/>
            <w:tcBorders>
              <w:right w:val="single" w:sz="8" w:color="auto"/>
            </w:tcBorders>
            <w:shd w:val="clear" w:color="auto" w:fill="D4DBEB"/>
          </w:tcPr>
          <w:p>
            <w:pPr>
              <w:jc w:val="right"/>
              <w:ind w:right="97"/>
              <w:spacing w:after="0"/>
              <w:rPr>
                <w:sz w:val="20"/>
                <w:szCs w:val="20"/>
                <w:color w:val="auto"/>
              </w:rPr>
            </w:pPr>
            <w:r>
              <w:rPr>
                <w:rFonts w:ascii="Arial" w:cs="Arial" w:eastAsia="Arial" w:hAnsi="Arial"/>
                <w:sz w:val="13"/>
                <w:szCs w:val="13"/>
                <w:color w:val="auto"/>
              </w:rPr>
              <w:t>5,675,150</w:t>
            </w:r>
          </w:p>
        </w:tc>
        <w:tc>
          <w:tcPr>
            <w:tcW w:w="460" w:type="dxa"/>
            <w:vAlign w:val="bottom"/>
            <w:tcBorders>
              <w:right w:val="single" w:sz="8" w:color="auto"/>
            </w:tcBorders>
            <w:shd w:val="clear" w:color="auto" w:fill="D4DBEB"/>
          </w:tcPr>
          <w:p>
            <w:pPr>
              <w:jc w:val="right"/>
              <w:ind w:right="77"/>
              <w:spacing w:after="0"/>
              <w:rPr>
                <w:sz w:val="20"/>
                <w:szCs w:val="20"/>
                <w:color w:val="auto"/>
              </w:rPr>
            </w:pPr>
            <w:r>
              <w:rPr>
                <w:rFonts w:ascii="Arial" w:cs="Arial" w:eastAsia="Arial" w:hAnsi="Arial"/>
                <w:sz w:val="13"/>
                <w:szCs w:val="13"/>
                <w:color w:val="auto"/>
              </w:rPr>
              <w:t>0</w:t>
            </w:r>
          </w:p>
        </w:tc>
        <w:tc>
          <w:tcPr>
            <w:tcW w:w="580" w:type="dxa"/>
            <w:vAlign w:val="bottom"/>
            <w:tcBorders>
              <w:right w:val="single" w:sz="8" w:color="auto"/>
            </w:tcBorders>
            <w:shd w:val="clear" w:color="auto" w:fill="D4DBEB"/>
          </w:tcPr>
          <w:p>
            <w:pPr>
              <w:jc w:val="right"/>
              <w:ind w:right="97"/>
              <w:spacing w:after="0"/>
              <w:rPr>
                <w:sz w:val="20"/>
                <w:szCs w:val="20"/>
                <w:color w:val="auto"/>
              </w:rPr>
            </w:pPr>
            <w:r>
              <w:rPr>
                <w:rFonts w:ascii="Arial" w:cs="Arial" w:eastAsia="Arial" w:hAnsi="Arial"/>
                <w:sz w:val="13"/>
                <w:szCs w:val="13"/>
                <w:color w:val="auto"/>
              </w:rPr>
              <w:t>0</w:t>
            </w:r>
          </w:p>
        </w:tc>
        <w:tc>
          <w:tcPr>
            <w:tcW w:w="860" w:type="dxa"/>
            <w:vAlign w:val="bottom"/>
            <w:tcBorders>
              <w:right w:val="single" w:sz="8" w:color="auto"/>
            </w:tcBorders>
            <w:shd w:val="clear" w:color="auto" w:fill="D4DBEB"/>
          </w:tcPr>
          <w:p>
            <w:pPr>
              <w:jc w:val="right"/>
              <w:ind w:right="97"/>
              <w:spacing w:after="0"/>
              <w:rPr>
                <w:sz w:val="20"/>
                <w:szCs w:val="20"/>
                <w:color w:val="auto"/>
              </w:rPr>
            </w:pPr>
            <w:r>
              <w:rPr>
                <w:rFonts w:ascii="Arial" w:cs="Arial" w:eastAsia="Arial" w:hAnsi="Arial"/>
                <w:sz w:val="13"/>
                <w:szCs w:val="13"/>
                <w:color w:val="auto"/>
              </w:rPr>
              <w:t>0</w:t>
            </w:r>
          </w:p>
        </w:tc>
        <w:tc>
          <w:tcPr>
            <w:tcW w:w="760" w:type="dxa"/>
            <w:vAlign w:val="bottom"/>
            <w:tcBorders>
              <w:right w:val="single" w:sz="8" w:color="auto"/>
            </w:tcBorders>
            <w:shd w:val="clear" w:color="auto" w:fill="D4DBEB"/>
          </w:tcPr>
          <w:p>
            <w:pPr>
              <w:jc w:val="right"/>
              <w:ind w:right="97"/>
              <w:spacing w:after="0"/>
              <w:rPr>
                <w:sz w:val="20"/>
                <w:szCs w:val="20"/>
                <w:color w:val="auto"/>
              </w:rPr>
            </w:pPr>
            <w:r>
              <w:rPr>
                <w:rFonts w:ascii="Arial" w:cs="Arial" w:eastAsia="Arial" w:hAnsi="Arial"/>
                <w:sz w:val="13"/>
                <w:szCs w:val="13"/>
                <w:color w:val="auto"/>
              </w:rPr>
              <w:t>120,349</w:t>
            </w:r>
          </w:p>
        </w:tc>
        <w:tc>
          <w:tcPr>
            <w:tcW w:w="920" w:type="dxa"/>
            <w:vAlign w:val="bottom"/>
            <w:tcBorders>
              <w:right w:val="single" w:sz="8" w:color="auto"/>
            </w:tcBorders>
            <w:shd w:val="clear" w:color="auto" w:fill="D4DBEB"/>
          </w:tcPr>
          <w:p>
            <w:pPr>
              <w:jc w:val="right"/>
              <w:ind w:right="77"/>
              <w:spacing w:after="0"/>
              <w:rPr>
                <w:sz w:val="20"/>
                <w:szCs w:val="20"/>
                <w:color w:val="auto"/>
              </w:rPr>
            </w:pPr>
            <w:r>
              <w:rPr>
                <w:rFonts w:ascii="Arial" w:cs="Arial" w:eastAsia="Arial" w:hAnsi="Arial"/>
                <w:sz w:val="13"/>
                <w:szCs w:val="13"/>
                <w:color w:val="auto"/>
              </w:rPr>
              <w:t>7,879,749</w:t>
            </w:r>
          </w:p>
        </w:tc>
        <w:tc>
          <w:tcPr>
            <w:tcW w:w="0" w:type="dxa"/>
            <w:vAlign w:val="bottom"/>
          </w:tcPr>
          <w:p>
            <w:pPr>
              <w:spacing w:after="0"/>
              <w:rPr>
                <w:sz w:val="1"/>
                <w:szCs w:val="1"/>
                <w:color w:val="auto"/>
              </w:rPr>
            </w:pPr>
          </w:p>
        </w:tc>
      </w:tr>
      <w:tr>
        <w:trPr>
          <w:trHeight w:val="135"/>
        </w:trPr>
        <w:tc>
          <w:tcPr>
            <w:tcW w:w="2900" w:type="dxa"/>
            <w:vAlign w:val="bottom"/>
            <w:tcBorders>
              <w:left w:val="single" w:sz="8" w:color="auto"/>
              <w:right w:val="single" w:sz="8" w:color="auto"/>
            </w:tcBorders>
            <w:shd w:val="clear" w:color="auto" w:fill="D4DBEB"/>
          </w:tcPr>
          <w:p>
            <w:pPr>
              <w:ind w:left="160"/>
              <w:spacing w:after="0" w:line="135" w:lineRule="exact"/>
              <w:rPr>
                <w:sz w:val="20"/>
                <w:szCs w:val="20"/>
                <w:color w:val="auto"/>
              </w:rPr>
            </w:pPr>
            <w:r>
              <w:rPr>
                <w:rFonts w:ascii="Arial" w:cs="Arial" w:eastAsia="Arial" w:hAnsi="Arial"/>
                <w:sz w:val="13"/>
                <w:szCs w:val="13"/>
                <w:i w:val="1"/>
                <w:iCs w:val="1"/>
                <w:color w:val="auto"/>
              </w:rPr>
              <w:t>Vice President; President,</w:t>
            </w:r>
          </w:p>
        </w:tc>
        <w:tc>
          <w:tcPr>
            <w:tcW w:w="580" w:type="dxa"/>
            <w:vAlign w:val="bottom"/>
            <w:tcBorders>
              <w:right w:val="single" w:sz="8" w:color="auto"/>
            </w:tcBorders>
            <w:shd w:val="clear" w:color="auto" w:fill="D4DBEB"/>
          </w:tcPr>
          <w:p>
            <w:pPr>
              <w:spacing w:after="0"/>
              <w:rPr>
                <w:sz w:val="11"/>
                <w:szCs w:val="11"/>
                <w:color w:val="auto"/>
              </w:rPr>
            </w:pPr>
          </w:p>
        </w:tc>
        <w:tc>
          <w:tcPr>
            <w:tcW w:w="880" w:type="dxa"/>
            <w:vAlign w:val="bottom"/>
            <w:tcBorders>
              <w:right w:val="single" w:sz="8" w:color="auto"/>
            </w:tcBorders>
            <w:shd w:val="clear" w:color="auto" w:fill="D4DBEB"/>
          </w:tcPr>
          <w:p>
            <w:pPr>
              <w:spacing w:after="0"/>
              <w:rPr>
                <w:sz w:val="11"/>
                <w:szCs w:val="11"/>
                <w:color w:val="auto"/>
              </w:rPr>
            </w:pPr>
          </w:p>
        </w:tc>
        <w:tc>
          <w:tcPr>
            <w:tcW w:w="860" w:type="dxa"/>
            <w:vAlign w:val="bottom"/>
            <w:tcBorders>
              <w:right w:val="single" w:sz="8" w:color="auto"/>
            </w:tcBorders>
            <w:shd w:val="clear" w:color="auto" w:fill="D4DBEB"/>
          </w:tcPr>
          <w:p>
            <w:pPr>
              <w:spacing w:after="0"/>
              <w:rPr>
                <w:sz w:val="11"/>
                <w:szCs w:val="11"/>
                <w:color w:val="auto"/>
              </w:rPr>
            </w:pPr>
          </w:p>
        </w:tc>
        <w:tc>
          <w:tcPr>
            <w:tcW w:w="940" w:type="dxa"/>
            <w:vAlign w:val="bottom"/>
            <w:tcBorders>
              <w:right w:val="single" w:sz="8" w:color="auto"/>
            </w:tcBorders>
            <w:shd w:val="clear" w:color="auto" w:fill="D4DBEB"/>
          </w:tcPr>
          <w:p>
            <w:pPr>
              <w:spacing w:after="0"/>
              <w:rPr>
                <w:sz w:val="11"/>
                <w:szCs w:val="11"/>
                <w:color w:val="auto"/>
              </w:rPr>
            </w:pPr>
          </w:p>
        </w:tc>
        <w:tc>
          <w:tcPr>
            <w:tcW w:w="460" w:type="dxa"/>
            <w:vAlign w:val="bottom"/>
            <w:tcBorders>
              <w:right w:val="single" w:sz="8" w:color="auto"/>
            </w:tcBorders>
            <w:shd w:val="clear" w:color="auto" w:fill="D4DBEB"/>
          </w:tcPr>
          <w:p>
            <w:pPr>
              <w:spacing w:after="0"/>
              <w:rPr>
                <w:sz w:val="11"/>
                <w:szCs w:val="11"/>
                <w:color w:val="auto"/>
              </w:rPr>
            </w:pPr>
          </w:p>
        </w:tc>
        <w:tc>
          <w:tcPr>
            <w:tcW w:w="580" w:type="dxa"/>
            <w:vAlign w:val="bottom"/>
            <w:tcBorders>
              <w:right w:val="single" w:sz="8" w:color="auto"/>
            </w:tcBorders>
            <w:shd w:val="clear" w:color="auto" w:fill="D4DBEB"/>
          </w:tcPr>
          <w:p>
            <w:pPr>
              <w:spacing w:after="0"/>
              <w:rPr>
                <w:sz w:val="11"/>
                <w:szCs w:val="11"/>
                <w:color w:val="auto"/>
              </w:rPr>
            </w:pPr>
          </w:p>
        </w:tc>
        <w:tc>
          <w:tcPr>
            <w:tcW w:w="860" w:type="dxa"/>
            <w:vAlign w:val="bottom"/>
            <w:tcBorders>
              <w:right w:val="single" w:sz="8" w:color="auto"/>
            </w:tcBorders>
            <w:shd w:val="clear" w:color="auto" w:fill="D4DBEB"/>
          </w:tcPr>
          <w:p>
            <w:pPr>
              <w:spacing w:after="0"/>
              <w:rPr>
                <w:sz w:val="11"/>
                <w:szCs w:val="11"/>
                <w:color w:val="auto"/>
              </w:rPr>
            </w:pPr>
          </w:p>
        </w:tc>
        <w:tc>
          <w:tcPr>
            <w:tcW w:w="760" w:type="dxa"/>
            <w:vAlign w:val="bottom"/>
            <w:tcBorders>
              <w:right w:val="single" w:sz="8" w:color="auto"/>
            </w:tcBorders>
            <w:shd w:val="clear" w:color="auto" w:fill="D4DBEB"/>
          </w:tcPr>
          <w:p>
            <w:pPr>
              <w:spacing w:after="0"/>
              <w:rPr>
                <w:sz w:val="11"/>
                <w:szCs w:val="11"/>
                <w:color w:val="auto"/>
              </w:rPr>
            </w:pPr>
          </w:p>
        </w:tc>
        <w:tc>
          <w:tcPr>
            <w:tcW w:w="920" w:type="dxa"/>
            <w:vAlign w:val="bottom"/>
            <w:tcBorders>
              <w:right w:val="single" w:sz="8" w:color="auto"/>
            </w:tcBorders>
            <w:shd w:val="clear" w:color="auto" w:fill="D4DBEB"/>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900" w:type="dxa"/>
            <w:vAlign w:val="bottom"/>
            <w:tcBorders>
              <w:left w:val="single" w:sz="8" w:color="auto"/>
              <w:right w:val="single" w:sz="8" w:color="auto"/>
            </w:tcBorders>
            <w:shd w:val="clear" w:color="auto" w:fill="D4DBEB"/>
          </w:tcPr>
          <w:p>
            <w:pPr>
              <w:ind w:left="160"/>
              <w:spacing w:after="0" w:line="135" w:lineRule="exact"/>
              <w:rPr>
                <w:sz w:val="20"/>
                <w:szCs w:val="20"/>
                <w:color w:val="auto"/>
              </w:rPr>
            </w:pPr>
            <w:r>
              <w:rPr>
                <w:rFonts w:ascii="Arial" w:cs="Arial" w:eastAsia="Arial" w:hAnsi="Arial"/>
                <w:sz w:val="13"/>
                <w:szCs w:val="13"/>
                <w:i w:val="1"/>
                <w:iCs w:val="1"/>
                <w:color w:val="auto"/>
              </w:rPr>
              <w:t>ExxonMobil Production</w:t>
            </w:r>
          </w:p>
        </w:tc>
        <w:tc>
          <w:tcPr>
            <w:tcW w:w="580" w:type="dxa"/>
            <w:vAlign w:val="bottom"/>
            <w:tcBorders>
              <w:right w:val="single" w:sz="8" w:color="auto"/>
            </w:tcBorders>
            <w:shd w:val="clear" w:color="auto" w:fill="D4DBEB"/>
          </w:tcPr>
          <w:p>
            <w:pPr>
              <w:spacing w:after="0"/>
              <w:rPr>
                <w:sz w:val="11"/>
                <w:szCs w:val="11"/>
                <w:color w:val="auto"/>
              </w:rPr>
            </w:pPr>
          </w:p>
        </w:tc>
        <w:tc>
          <w:tcPr>
            <w:tcW w:w="880" w:type="dxa"/>
            <w:vAlign w:val="bottom"/>
            <w:tcBorders>
              <w:right w:val="single" w:sz="8" w:color="auto"/>
            </w:tcBorders>
            <w:shd w:val="clear" w:color="auto" w:fill="D4DBEB"/>
          </w:tcPr>
          <w:p>
            <w:pPr>
              <w:spacing w:after="0"/>
              <w:rPr>
                <w:sz w:val="11"/>
                <w:szCs w:val="11"/>
                <w:color w:val="auto"/>
              </w:rPr>
            </w:pPr>
          </w:p>
        </w:tc>
        <w:tc>
          <w:tcPr>
            <w:tcW w:w="860" w:type="dxa"/>
            <w:vAlign w:val="bottom"/>
            <w:tcBorders>
              <w:right w:val="single" w:sz="8" w:color="auto"/>
            </w:tcBorders>
            <w:shd w:val="clear" w:color="auto" w:fill="D4DBEB"/>
          </w:tcPr>
          <w:p>
            <w:pPr>
              <w:spacing w:after="0"/>
              <w:rPr>
                <w:sz w:val="11"/>
                <w:szCs w:val="11"/>
                <w:color w:val="auto"/>
              </w:rPr>
            </w:pPr>
          </w:p>
        </w:tc>
        <w:tc>
          <w:tcPr>
            <w:tcW w:w="940" w:type="dxa"/>
            <w:vAlign w:val="bottom"/>
            <w:tcBorders>
              <w:right w:val="single" w:sz="8" w:color="auto"/>
            </w:tcBorders>
            <w:shd w:val="clear" w:color="auto" w:fill="D4DBEB"/>
          </w:tcPr>
          <w:p>
            <w:pPr>
              <w:spacing w:after="0"/>
              <w:rPr>
                <w:sz w:val="11"/>
                <w:szCs w:val="11"/>
                <w:color w:val="auto"/>
              </w:rPr>
            </w:pPr>
          </w:p>
        </w:tc>
        <w:tc>
          <w:tcPr>
            <w:tcW w:w="460" w:type="dxa"/>
            <w:vAlign w:val="bottom"/>
            <w:tcBorders>
              <w:right w:val="single" w:sz="8" w:color="auto"/>
            </w:tcBorders>
            <w:shd w:val="clear" w:color="auto" w:fill="D4DBEB"/>
          </w:tcPr>
          <w:p>
            <w:pPr>
              <w:spacing w:after="0"/>
              <w:rPr>
                <w:sz w:val="11"/>
                <w:szCs w:val="11"/>
                <w:color w:val="auto"/>
              </w:rPr>
            </w:pPr>
          </w:p>
        </w:tc>
        <w:tc>
          <w:tcPr>
            <w:tcW w:w="580" w:type="dxa"/>
            <w:vAlign w:val="bottom"/>
            <w:tcBorders>
              <w:right w:val="single" w:sz="8" w:color="auto"/>
            </w:tcBorders>
            <w:shd w:val="clear" w:color="auto" w:fill="D4DBEB"/>
          </w:tcPr>
          <w:p>
            <w:pPr>
              <w:spacing w:after="0"/>
              <w:rPr>
                <w:sz w:val="11"/>
                <w:szCs w:val="11"/>
                <w:color w:val="auto"/>
              </w:rPr>
            </w:pPr>
          </w:p>
        </w:tc>
        <w:tc>
          <w:tcPr>
            <w:tcW w:w="860" w:type="dxa"/>
            <w:vAlign w:val="bottom"/>
            <w:tcBorders>
              <w:right w:val="single" w:sz="8" w:color="auto"/>
            </w:tcBorders>
            <w:shd w:val="clear" w:color="auto" w:fill="D4DBEB"/>
          </w:tcPr>
          <w:p>
            <w:pPr>
              <w:spacing w:after="0"/>
              <w:rPr>
                <w:sz w:val="11"/>
                <w:szCs w:val="11"/>
                <w:color w:val="auto"/>
              </w:rPr>
            </w:pPr>
          </w:p>
        </w:tc>
        <w:tc>
          <w:tcPr>
            <w:tcW w:w="760" w:type="dxa"/>
            <w:vAlign w:val="bottom"/>
            <w:tcBorders>
              <w:right w:val="single" w:sz="8" w:color="auto"/>
            </w:tcBorders>
            <w:shd w:val="clear" w:color="auto" w:fill="D4DBEB"/>
          </w:tcPr>
          <w:p>
            <w:pPr>
              <w:spacing w:after="0"/>
              <w:rPr>
                <w:sz w:val="11"/>
                <w:szCs w:val="11"/>
                <w:color w:val="auto"/>
              </w:rPr>
            </w:pPr>
          </w:p>
        </w:tc>
        <w:tc>
          <w:tcPr>
            <w:tcW w:w="920" w:type="dxa"/>
            <w:vAlign w:val="bottom"/>
            <w:tcBorders>
              <w:right w:val="single" w:sz="8" w:color="auto"/>
            </w:tcBorders>
            <w:shd w:val="clear" w:color="auto" w:fill="D4DBEB"/>
          </w:tcPr>
          <w:p>
            <w:pPr>
              <w:spacing w:after="0"/>
              <w:rPr>
                <w:sz w:val="11"/>
                <w:szCs w:val="11"/>
                <w:color w:val="auto"/>
              </w:rPr>
            </w:pPr>
          </w:p>
        </w:tc>
        <w:tc>
          <w:tcPr>
            <w:tcW w:w="0" w:type="dxa"/>
            <w:vAlign w:val="bottom"/>
          </w:tcPr>
          <w:p>
            <w:pPr>
              <w:spacing w:after="0"/>
              <w:rPr>
                <w:sz w:val="1"/>
                <w:szCs w:val="1"/>
                <w:color w:val="auto"/>
              </w:rPr>
            </w:pPr>
          </w:p>
        </w:tc>
      </w:tr>
      <w:tr>
        <w:trPr>
          <w:trHeight w:val="168"/>
        </w:trPr>
        <w:tc>
          <w:tcPr>
            <w:tcW w:w="2900" w:type="dxa"/>
            <w:vAlign w:val="bottom"/>
            <w:tcBorders>
              <w:left w:val="single" w:sz="8" w:color="auto"/>
              <w:bottom w:val="single" w:sz="8" w:color="auto"/>
              <w:right w:val="single" w:sz="8" w:color="auto"/>
            </w:tcBorders>
            <w:shd w:val="clear" w:color="auto" w:fill="D4DBEB"/>
          </w:tcPr>
          <w:p>
            <w:pPr>
              <w:ind w:left="160"/>
              <w:spacing w:after="0"/>
              <w:rPr>
                <w:sz w:val="20"/>
                <w:szCs w:val="20"/>
                <w:color w:val="auto"/>
              </w:rPr>
            </w:pPr>
            <w:r>
              <w:rPr>
                <w:rFonts w:ascii="Arial" w:cs="Arial" w:eastAsia="Arial" w:hAnsi="Arial"/>
                <w:sz w:val="13"/>
                <w:szCs w:val="13"/>
                <w:i w:val="1"/>
                <w:iCs w:val="1"/>
                <w:color w:val="auto"/>
              </w:rPr>
              <w:t>Company</w:t>
            </w:r>
          </w:p>
        </w:tc>
        <w:tc>
          <w:tcPr>
            <w:tcW w:w="580" w:type="dxa"/>
            <w:vAlign w:val="bottom"/>
            <w:tcBorders>
              <w:bottom w:val="single" w:sz="8" w:color="auto"/>
              <w:right w:val="single" w:sz="8" w:color="auto"/>
            </w:tcBorders>
            <w:shd w:val="clear" w:color="auto" w:fill="D4DBEB"/>
          </w:tcPr>
          <w:p>
            <w:pPr>
              <w:spacing w:after="0"/>
              <w:rPr>
                <w:sz w:val="14"/>
                <w:szCs w:val="14"/>
                <w:color w:val="auto"/>
              </w:rPr>
            </w:pPr>
          </w:p>
        </w:tc>
        <w:tc>
          <w:tcPr>
            <w:tcW w:w="880" w:type="dxa"/>
            <w:vAlign w:val="bottom"/>
            <w:tcBorders>
              <w:bottom w:val="single" w:sz="8" w:color="auto"/>
              <w:right w:val="single" w:sz="8" w:color="auto"/>
            </w:tcBorders>
            <w:shd w:val="clear" w:color="auto" w:fill="D4DBEB"/>
          </w:tcPr>
          <w:p>
            <w:pPr>
              <w:spacing w:after="0"/>
              <w:rPr>
                <w:sz w:val="14"/>
                <w:szCs w:val="14"/>
                <w:color w:val="auto"/>
              </w:rPr>
            </w:pPr>
          </w:p>
        </w:tc>
        <w:tc>
          <w:tcPr>
            <w:tcW w:w="860" w:type="dxa"/>
            <w:vAlign w:val="bottom"/>
            <w:tcBorders>
              <w:bottom w:val="single" w:sz="8" w:color="auto"/>
              <w:right w:val="single" w:sz="8" w:color="auto"/>
            </w:tcBorders>
            <w:shd w:val="clear" w:color="auto" w:fill="D4DBEB"/>
          </w:tcPr>
          <w:p>
            <w:pPr>
              <w:spacing w:after="0"/>
              <w:rPr>
                <w:sz w:val="14"/>
                <w:szCs w:val="14"/>
                <w:color w:val="auto"/>
              </w:rPr>
            </w:pPr>
          </w:p>
        </w:tc>
        <w:tc>
          <w:tcPr>
            <w:tcW w:w="940" w:type="dxa"/>
            <w:vAlign w:val="bottom"/>
            <w:tcBorders>
              <w:bottom w:val="single" w:sz="8" w:color="auto"/>
              <w:right w:val="single" w:sz="8" w:color="auto"/>
            </w:tcBorders>
            <w:shd w:val="clear" w:color="auto" w:fill="D4DBEB"/>
          </w:tcPr>
          <w:p>
            <w:pPr>
              <w:spacing w:after="0"/>
              <w:rPr>
                <w:sz w:val="14"/>
                <w:szCs w:val="14"/>
                <w:color w:val="auto"/>
              </w:rPr>
            </w:pPr>
          </w:p>
        </w:tc>
        <w:tc>
          <w:tcPr>
            <w:tcW w:w="460" w:type="dxa"/>
            <w:vAlign w:val="bottom"/>
            <w:tcBorders>
              <w:bottom w:val="single" w:sz="8" w:color="auto"/>
              <w:right w:val="single" w:sz="8" w:color="auto"/>
            </w:tcBorders>
            <w:shd w:val="clear" w:color="auto" w:fill="D4DBEB"/>
          </w:tcPr>
          <w:p>
            <w:pPr>
              <w:spacing w:after="0"/>
              <w:rPr>
                <w:sz w:val="14"/>
                <w:szCs w:val="14"/>
                <w:color w:val="auto"/>
              </w:rPr>
            </w:pPr>
          </w:p>
        </w:tc>
        <w:tc>
          <w:tcPr>
            <w:tcW w:w="580" w:type="dxa"/>
            <w:vAlign w:val="bottom"/>
            <w:tcBorders>
              <w:bottom w:val="single" w:sz="8" w:color="auto"/>
              <w:right w:val="single" w:sz="8" w:color="auto"/>
            </w:tcBorders>
            <w:shd w:val="clear" w:color="auto" w:fill="D4DBEB"/>
          </w:tcPr>
          <w:p>
            <w:pPr>
              <w:spacing w:after="0"/>
              <w:rPr>
                <w:sz w:val="14"/>
                <w:szCs w:val="14"/>
                <w:color w:val="auto"/>
              </w:rPr>
            </w:pPr>
          </w:p>
        </w:tc>
        <w:tc>
          <w:tcPr>
            <w:tcW w:w="860" w:type="dxa"/>
            <w:vAlign w:val="bottom"/>
            <w:tcBorders>
              <w:bottom w:val="single" w:sz="8" w:color="auto"/>
              <w:right w:val="single" w:sz="8" w:color="auto"/>
            </w:tcBorders>
            <w:shd w:val="clear" w:color="auto" w:fill="D4DBEB"/>
          </w:tcPr>
          <w:p>
            <w:pPr>
              <w:spacing w:after="0"/>
              <w:rPr>
                <w:sz w:val="14"/>
                <w:szCs w:val="14"/>
                <w:color w:val="auto"/>
              </w:rPr>
            </w:pPr>
          </w:p>
        </w:tc>
        <w:tc>
          <w:tcPr>
            <w:tcW w:w="760" w:type="dxa"/>
            <w:vAlign w:val="bottom"/>
            <w:tcBorders>
              <w:bottom w:val="single" w:sz="8" w:color="auto"/>
              <w:right w:val="single" w:sz="8" w:color="auto"/>
            </w:tcBorders>
            <w:shd w:val="clear" w:color="auto" w:fill="D4DBEB"/>
          </w:tcPr>
          <w:p>
            <w:pPr>
              <w:spacing w:after="0"/>
              <w:rPr>
                <w:sz w:val="14"/>
                <w:szCs w:val="14"/>
                <w:color w:val="auto"/>
              </w:rPr>
            </w:pPr>
          </w:p>
        </w:tc>
        <w:tc>
          <w:tcPr>
            <w:tcW w:w="920" w:type="dxa"/>
            <w:vAlign w:val="bottom"/>
            <w:tcBorders>
              <w:bottom w:val="single" w:sz="8" w:color="auto"/>
              <w:right w:val="single" w:sz="8" w:color="auto"/>
            </w:tcBorders>
            <w:shd w:val="clear" w:color="auto" w:fill="D4DBEB"/>
          </w:tcPr>
          <w:p>
            <w:pPr>
              <w:spacing w:after="0"/>
              <w:rPr>
                <w:sz w:val="14"/>
                <w:szCs w:val="14"/>
                <w:color w:val="auto"/>
              </w:rPr>
            </w:pPr>
          </w:p>
        </w:tc>
        <w:tc>
          <w:tcPr>
            <w:tcW w:w="0" w:type="dxa"/>
            <w:vAlign w:val="bottom"/>
          </w:tcPr>
          <w:p>
            <w:pPr>
              <w:spacing w:after="0"/>
              <w:rPr>
                <w:sz w:val="1"/>
                <w:szCs w:val="1"/>
                <w:color w:val="auto"/>
              </w:rPr>
            </w:pPr>
          </w:p>
        </w:tc>
      </w:tr>
    </w:tbl>
    <w:p>
      <w:pPr>
        <w:spacing w:after="0" w:line="108" w:lineRule="exact"/>
        <w:rPr>
          <w:sz w:val="20"/>
          <w:szCs w:val="20"/>
          <w:color w:val="auto"/>
        </w:rPr>
      </w:pPr>
    </w:p>
    <w:p>
      <w:pPr>
        <w:ind w:left="1140" w:right="280" w:hanging="288"/>
        <w:spacing w:after="0" w:line="291" w:lineRule="auto"/>
        <w:tabs>
          <w:tab w:leader="none" w:pos="1140" w:val="left"/>
        </w:tabs>
        <w:numPr>
          <w:ilvl w:val="0"/>
          <w:numId w:val="63"/>
        </w:numPr>
        <w:rPr>
          <w:rFonts w:ascii="Arial" w:cs="Arial" w:eastAsia="Arial" w:hAnsi="Arial"/>
          <w:sz w:val="14"/>
          <w:szCs w:val="14"/>
          <w:color w:val="auto"/>
        </w:rPr>
      </w:pPr>
      <w:r>
        <w:rPr>
          <w:rFonts w:ascii="Arial" w:cs="Arial" w:eastAsia="Arial" w:hAnsi="Arial"/>
          <w:sz w:val="14"/>
          <w:szCs w:val="14"/>
          <w:color w:val="auto"/>
        </w:rPr>
        <w:t>Mr. Woods was elected Chairman of the Board and CEO of ExxonMobil effective January 1, 2017. Mr. Woods was Senior Vice President in 2015 and elected President of ExxonMobil and member of the Board of Directors effective January 1, 2016.</w:t>
      </w:r>
    </w:p>
    <w:p>
      <w:pPr>
        <w:spacing w:after="0" w:line="138" w:lineRule="exact"/>
        <w:rPr>
          <w:sz w:val="20"/>
          <w:szCs w:val="20"/>
          <w:color w:val="auto"/>
        </w:rPr>
      </w:pPr>
    </w:p>
    <w:p>
      <w:pPr>
        <w:ind w:left="860"/>
        <w:spacing w:after="0"/>
        <w:rPr>
          <w:sz w:val="20"/>
          <w:szCs w:val="20"/>
          <w:color w:val="auto"/>
        </w:rPr>
      </w:pPr>
      <w:r>
        <w:rPr>
          <w:rFonts w:ascii="Arial" w:cs="Arial" w:eastAsia="Arial" w:hAnsi="Arial"/>
          <w:sz w:val="18"/>
          <w:szCs w:val="18"/>
          <w:b w:val="1"/>
          <w:bCs w:val="1"/>
          <w:color w:val="auto"/>
        </w:rPr>
        <w:t>Compensation Adjusted for Negative Change in Pension</w:t>
      </w:r>
    </w:p>
    <w:p>
      <w:pPr>
        <w:spacing w:after="0" w:line="119" w:lineRule="exact"/>
        <w:rPr>
          <w:sz w:val="20"/>
          <w:szCs w:val="20"/>
          <w:color w:val="auto"/>
        </w:rPr>
      </w:pPr>
    </w:p>
    <w:p>
      <w:pPr>
        <w:jc w:val="both"/>
        <w:ind w:left="1240" w:right="260" w:hanging="388"/>
        <w:spacing w:after="0" w:line="255" w:lineRule="auto"/>
        <w:tabs>
          <w:tab w:leader="none" w:pos="1240" w:val="left"/>
        </w:tabs>
        <w:numPr>
          <w:ilvl w:val="0"/>
          <w:numId w:val="64"/>
        </w:numPr>
        <w:rPr>
          <w:rFonts w:ascii="Times New Roman" w:cs="Times New Roman" w:eastAsia="Times New Roman" w:hAnsi="Times New Roman"/>
          <w:sz w:val="18"/>
          <w:szCs w:val="18"/>
          <w:color w:val="auto"/>
        </w:rPr>
      </w:pPr>
      <w:r>
        <w:rPr>
          <w:rFonts w:ascii="Arial" w:cs="Arial" w:eastAsia="Arial" w:hAnsi="Arial"/>
          <w:sz w:val="18"/>
          <w:szCs w:val="18"/>
          <w:color w:val="auto"/>
        </w:rPr>
        <w:t>In 2017, the annual change in pension value was negative for Messrs. Swiger, Albers, Dolan, and Duffin. However, SEC regulations do not allow for inclusion of negative pension amounts in the Summary Compensation Table. The following pro forma table reflects the impact of the negative pension value on 2017 compensation:</w:t>
      </w:r>
    </w:p>
    <w:p>
      <w:pPr>
        <w:spacing w:after="0" w:line="193" w:lineRule="exact"/>
        <w:rPr>
          <w:sz w:val="20"/>
          <w:szCs w:val="20"/>
          <w:color w:val="auto"/>
        </w:rPr>
      </w:pPr>
    </w:p>
    <w:tbl>
      <w:tblPr>
        <w:tblLayout w:type="fixed"/>
        <w:tblInd w:w="870" w:type="dxa"/>
        <w:tblCellMar>
          <w:top w:w="0" w:type="dxa"/>
          <w:left w:w="0" w:type="dxa"/>
          <w:bottom w:w="0" w:type="dxa"/>
          <w:right w:w="0" w:type="dxa"/>
        </w:tblCellMar>
      </w:tblPr>
      <w:tr>
        <w:trPr>
          <w:trHeight w:val="196"/>
        </w:trPr>
        <w:tc>
          <w:tcPr>
            <w:tcW w:w="1340" w:type="dxa"/>
            <w:vAlign w:val="bottom"/>
            <w:tcBorders>
              <w:top w:val="single" w:sz="8" w:color="auto"/>
              <w:left w:val="single" w:sz="8" w:color="auto"/>
              <w:right w:val="single" w:sz="8" w:color="auto"/>
            </w:tcBorders>
          </w:tcPr>
          <w:p>
            <w:pPr>
              <w:spacing w:after="0"/>
              <w:rPr>
                <w:sz w:val="17"/>
                <w:szCs w:val="17"/>
                <w:color w:val="auto"/>
              </w:rPr>
            </w:pPr>
          </w:p>
        </w:tc>
        <w:tc>
          <w:tcPr>
            <w:tcW w:w="2900" w:type="dxa"/>
            <w:vAlign w:val="bottom"/>
            <w:tcBorders>
              <w:top w:val="single" w:sz="8" w:color="auto"/>
              <w:bottom w:val="single" w:sz="8" w:color="auto"/>
              <w:right w:val="single" w:sz="8" w:color="auto"/>
            </w:tcBorders>
            <w:gridSpan w:val="2"/>
          </w:tcPr>
          <w:p>
            <w:pPr>
              <w:jc w:val="right"/>
              <w:ind w:right="377"/>
              <w:spacing w:after="0"/>
              <w:rPr>
                <w:sz w:val="20"/>
                <w:szCs w:val="20"/>
                <w:color w:val="auto"/>
              </w:rPr>
            </w:pPr>
            <w:r>
              <w:rPr>
                <w:rFonts w:ascii="Arial" w:cs="Arial" w:eastAsia="Arial" w:hAnsi="Arial"/>
                <w:sz w:val="13"/>
                <w:szCs w:val="13"/>
                <w:b w:val="1"/>
                <w:bCs w:val="1"/>
                <w:color w:val="auto"/>
              </w:rPr>
              <w:t>Reported Pay from Table Above ($)</w:t>
            </w:r>
          </w:p>
        </w:tc>
        <w:tc>
          <w:tcPr>
            <w:tcW w:w="1860" w:type="dxa"/>
            <w:vAlign w:val="bottom"/>
            <w:tcBorders>
              <w:top w:val="single" w:sz="8" w:color="auto"/>
              <w:bottom w:val="single" w:sz="8" w:color="auto"/>
              <w:right w:val="single" w:sz="8" w:color="auto"/>
            </w:tcBorders>
          </w:tcPr>
          <w:p>
            <w:pPr>
              <w:jc w:val="right"/>
              <w:ind w:right="197"/>
              <w:spacing w:after="0"/>
              <w:rPr>
                <w:sz w:val="20"/>
                <w:szCs w:val="20"/>
                <w:color w:val="auto"/>
              </w:rPr>
            </w:pPr>
            <w:r>
              <w:rPr>
                <w:rFonts w:ascii="Arial" w:cs="Arial" w:eastAsia="Arial" w:hAnsi="Arial"/>
                <w:sz w:val="13"/>
                <w:szCs w:val="13"/>
                <w:b w:val="1"/>
                <w:bCs w:val="1"/>
                <w:color w:val="auto"/>
              </w:rPr>
              <w:t>2017 Negative Pension</w:t>
            </w:r>
          </w:p>
        </w:tc>
        <w:tc>
          <w:tcPr>
            <w:tcW w:w="1480" w:type="dxa"/>
            <w:vAlign w:val="bottom"/>
            <w:tcBorders>
              <w:top w:val="single" w:sz="8" w:color="auto"/>
              <w:bottom w:val="single" w:sz="8" w:color="auto"/>
              <w:right w:val="single" w:sz="8" w:color="auto"/>
            </w:tcBorders>
          </w:tcPr>
          <w:p>
            <w:pPr>
              <w:jc w:val="right"/>
              <w:ind w:right="397"/>
              <w:spacing w:after="0"/>
              <w:rPr>
                <w:sz w:val="20"/>
                <w:szCs w:val="20"/>
                <w:color w:val="auto"/>
              </w:rPr>
            </w:pPr>
            <w:r>
              <w:rPr>
                <w:rFonts w:ascii="Arial" w:cs="Arial" w:eastAsia="Arial" w:hAnsi="Arial"/>
                <w:sz w:val="13"/>
                <w:szCs w:val="13"/>
                <w:b w:val="1"/>
                <w:bCs w:val="1"/>
                <w:color w:val="auto"/>
              </w:rPr>
              <w:t>2017 Total</w:t>
            </w:r>
          </w:p>
        </w:tc>
        <w:tc>
          <w:tcPr>
            <w:tcW w:w="2160" w:type="dxa"/>
            <w:vAlign w:val="bottom"/>
            <w:tcBorders>
              <w:top w:val="single" w:sz="8" w:color="auto"/>
              <w:bottom w:val="single" w:sz="8" w:color="auto"/>
              <w:right w:val="single" w:sz="8" w:color="auto"/>
            </w:tcBorders>
          </w:tcPr>
          <w:p>
            <w:pPr>
              <w:jc w:val="right"/>
              <w:ind w:right="217"/>
              <w:spacing w:after="0"/>
              <w:rPr>
                <w:sz w:val="20"/>
                <w:szCs w:val="20"/>
                <w:color w:val="auto"/>
              </w:rPr>
            </w:pPr>
            <w:r>
              <w:rPr>
                <w:rFonts w:ascii="Arial" w:cs="Arial" w:eastAsia="Arial" w:hAnsi="Arial"/>
                <w:sz w:val="13"/>
                <w:szCs w:val="13"/>
                <w:b w:val="1"/>
                <w:bCs w:val="1"/>
                <w:color w:val="auto"/>
              </w:rPr>
              <w:t>2017 Total Adjusted Pay vs.</w:t>
            </w:r>
          </w:p>
        </w:tc>
      </w:tr>
      <w:tr>
        <w:trPr>
          <w:trHeight w:val="199"/>
        </w:trPr>
        <w:tc>
          <w:tcPr>
            <w:tcW w:w="1340" w:type="dxa"/>
            <w:vAlign w:val="bottom"/>
            <w:tcBorders>
              <w:left w:val="single" w:sz="8" w:color="auto"/>
              <w:bottom w:val="single" w:sz="8" w:color="auto"/>
              <w:right w:val="single" w:sz="8" w:color="auto"/>
            </w:tcBorders>
          </w:tcPr>
          <w:p>
            <w:pPr>
              <w:ind w:left="140"/>
              <w:spacing w:after="0"/>
              <w:rPr>
                <w:sz w:val="20"/>
                <w:szCs w:val="20"/>
                <w:color w:val="auto"/>
              </w:rPr>
            </w:pPr>
            <w:r>
              <w:rPr>
                <w:rFonts w:ascii="Arial" w:cs="Arial" w:eastAsia="Arial" w:hAnsi="Arial"/>
                <w:sz w:val="13"/>
                <w:szCs w:val="13"/>
                <w:b w:val="1"/>
                <w:bCs w:val="1"/>
                <w:color w:val="auto"/>
              </w:rPr>
              <w:t>Name</w:t>
            </w:r>
          </w:p>
        </w:tc>
        <w:tc>
          <w:tcPr>
            <w:tcW w:w="1420" w:type="dxa"/>
            <w:vAlign w:val="bottom"/>
            <w:tcBorders>
              <w:bottom w:val="single" w:sz="8" w:color="auto"/>
              <w:right w:val="single" w:sz="8" w:color="auto"/>
            </w:tcBorders>
          </w:tcPr>
          <w:p>
            <w:pPr>
              <w:jc w:val="right"/>
              <w:ind w:right="537"/>
              <w:spacing w:after="0"/>
              <w:rPr>
                <w:sz w:val="20"/>
                <w:szCs w:val="20"/>
                <w:color w:val="auto"/>
              </w:rPr>
            </w:pPr>
            <w:r>
              <w:rPr>
                <w:rFonts w:ascii="Arial" w:cs="Arial" w:eastAsia="Arial" w:hAnsi="Arial"/>
                <w:sz w:val="13"/>
                <w:szCs w:val="13"/>
                <w:b w:val="1"/>
                <w:bCs w:val="1"/>
                <w:color w:val="auto"/>
              </w:rPr>
              <w:t>2016</w:t>
            </w:r>
          </w:p>
        </w:tc>
        <w:tc>
          <w:tcPr>
            <w:tcW w:w="1480" w:type="dxa"/>
            <w:vAlign w:val="bottom"/>
            <w:tcBorders>
              <w:bottom w:val="single" w:sz="8" w:color="auto"/>
              <w:right w:val="single" w:sz="8" w:color="auto"/>
            </w:tcBorders>
          </w:tcPr>
          <w:p>
            <w:pPr>
              <w:jc w:val="right"/>
              <w:ind w:right="577"/>
              <w:spacing w:after="0"/>
              <w:rPr>
                <w:sz w:val="20"/>
                <w:szCs w:val="20"/>
                <w:color w:val="auto"/>
              </w:rPr>
            </w:pPr>
            <w:r>
              <w:rPr>
                <w:rFonts w:ascii="Arial" w:cs="Arial" w:eastAsia="Arial" w:hAnsi="Arial"/>
                <w:sz w:val="13"/>
                <w:szCs w:val="13"/>
                <w:b w:val="1"/>
                <w:bCs w:val="1"/>
                <w:color w:val="auto"/>
              </w:rPr>
              <w:t>2017</w:t>
            </w:r>
          </w:p>
        </w:tc>
        <w:tc>
          <w:tcPr>
            <w:tcW w:w="1860" w:type="dxa"/>
            <w:vAlign w:val="bottom"/>
            <w:tcBorders>
              <w:bottom w:val="single" w:sz="8" w:color="auto"/>
              <w:right w:val="single" w:sz="8" w:color="auto"/>
            </w:tcBorders>
          </w:tcPr>
          <w:p>
            <w:pPr>
              <w:jc w:val="right"/>
              <w:ind w:right="437"/>
              <w:spacing w:after="0"/>
              <w:rPr>
                <w:sz w:val="20"/>
                <w:szCs w:val="20"/>
                <w:color w:val="auto"/>
              </w:rPr>
            </w:pPr>
            <w:r>
              <w:rPr>
                <w:rFonts w:ascii="Arial" w:cs="Arial" w:eastAsia="Arial" w:hAnsi="Arial"/>
                <w:sz w:val="13"/>
                <w:szCs w:val="13"/>
                <w:b w:val="1"/>
                <w:bCs w:val="1"/>
                <w:color w:val="auto"/>
              </w:rPr>
              <w:t>Adjustment ($)</w:t>
            </w:r>
          </w:p>
        </w:tc>
        <w:tc>
          <w:tcPr>
            <w:tcW w:w="1480" w:type="dxa"/>
            <w:vAlign w:val="bottom"/>
            <w:tcBorders>
              <w:bottom w:val="single" w:sz="8" w:color="auto"/>
              <w:right w:val="single" w:sz="8" w:color="auto"/>
            </w:tcBorders>
          </w:tcPr>
          <w:p>
            <w:pPr>
              <w:jc w:val="right"/>
              <w:ind w:right="197"/>
              <w:spacing w:after="0"/>
              <w:rPr>
                <w:sz w:val="20"/>
                <w:szCs w:val="20"/>
                <w:color w:val="auto"/>
              </w:rPr>
            </w:pPr>
            <w:r>
              <w:rPr>
                <w:rFonts w:ascii="Arial" w:cs="Arial" w:eastAsia="Arial" w:hAnsi="Arial"/>
                <w:sz w:val="13"/>
                <w:szCs w:val="13"/>
                <w:b w:val="1"/>
                <w:bCs w:val="1"/>
                <w:color w:val="auto"/>
              </w:rPr>
              <w:t>Adjusted Pay ($)</w:t>
            </w:r>
          </w:p>
        </w:tc>
        <w:tc>
          <w:tcPr>
            <w:tcW w:w="2160" w:type="dxa"/>
            <w:vAlign w:val="bottom"/>
            <w:tcBorders>
              <w:bottom w:val="single" w:sz="8" w:color="auto"/>
              <w:right w:val="single" w:sz="8" w:color="auto"/>
            </w:tcBorders>
          </w:tcPr>
          <w:p>
            <w:pPr>
              <w:jc w:val="right"/>
              <w:ind w:right="377"/>
              <w:spacing w:after="0"/>
              <w:rPr>
                <w:sz w:val="20"/>
                <w:szCs w:val="20"/>
                <w:color w:val="auto"/>
              </w:rPr>
            </w:pPr>
            <w:r>
              <w:rPr>
                <w:rFonts w:ascii="Arial" w:cs="Arial" w:eastAsia="Arial" w:hAnsi="Arial"/>
                <w:sz w:val="13"/>
                <w:szCs w:val="13"/>
                <w:b w:val="1"/>
                <w:bCs w:val="1"/>
                <w:color w:val="auto"/>
              </w:rPr>
              <w:t>2016 Reported Pay ($)</w:t>
            </w:r>
          </w:p>
        </w:tc>
      </w:tr>
      <w:tr>
        <w:trPr>
          <w:trHeight w:val="214"/>
        </w:trPr>
        <w:tc>
          <w:tcPr>
            <w:tcW w:w="1340" w:type="dxa"/>
            <w:vAlign w:val="bottom"/>
            <w:tcBorders>
              <w:left w:val="single" w:sz="8" w:color="auto"/>
              <w:right w:val="single" w:sz="8" w:color="auto"/>
            </w:tcBorders>
            <w:shd w:val="clear" w:color="auto" w:fill="D4DBEB"/>
          </w:tcPr>
          <w:p>
            <w:pPr>
              <w:ind w:left="160"/>
              <w:spacing w:after="0"/>
              <w:rPr>
                <w:sz w:val="20"/>
                <w:szCs w:val="20"/>
                <w:color w:val="auto"/>
              </w:rPr>
            </w:pPr>
            <w:r>
              <w:rPr>
                <w:rFonts w:ascii="Arial" w:cs="Arial" w:eastAsia="Arial" w:hAnsi="Arial"/>
                <w:sz w:val="13"/>
                <w:szCs w:val="13"/>
                <w:color w:val="auto"/>
              </w:rPr>
              <w:t>A.P. Swiger</w:t>
            </w:r>
          </w:p>
        </w:tc>
        <w:tc>
          <w:tcPr>
            <w:tcW w:w="1420" w:type="dxa"/>
            <w:vAlign w:val="bottom"/>
            <w:tcBorders>
              <w:right w:val="single" w:sz="8" w:color="auto"/>
            </w:tcBorders>
            <w:shd w:val="clear" w:color="auto" w:fill="D4DBEB"/>
          </w:tcPr>
          <w:p>
            <w:pPr>
              <w:jc w:val="right"/>
              <w:ind w:right="357"/>
              <w:spacing w:after="0"/>
              <w:rPr>
                <w:sz w:val="20"/>
                <w:szCs w:val="20"/>
                <w:color w:val="auto"/>
              </w:rPr>
            </w:pPr>
            <w:r>
              <w:rPr>
                <w:rFonts w:ascii="Arial" w:cs="Arial" w:eastAsia="Arial" w:hAnsi="Arial"/>
                <w:sz w:val="13"/>
                <w:szCs w:val="13"/>
                <w:color w:val="auto"/>
              </w:rPr>
              <w:t>15,556,747</w:t>
            </w:r>
          </w:p>
        </w:tc>
        <w:tc>
          <w:tcPr>
            <w:tcW w:w="1480" w:type="dxa"/>
            <w:vAlign w:val="bottom"/>
            <w:tcBorders>
              <w:right w:val="single" w:sz="8" w:color="auto"/>
            </w:tcBorders>
            <w:shd w:val="clear" w:color="auto" w:fill="D4DBEB"/>
          </w:tcPr>
          <w:p>
            <w:pPr>
              <w:jc w:val="right"/>
              <w:ind w:right="377"/>
              <w:spacing w:after="0"/>
              <w:rPr>
                <w:sz w:val="20"/>
                <w:szCs w:val="20"/>
                <w:color w:val="auto"/>
              </w:rPr>
            </w:pPr>
            <w:r>
              <w:rPr>
                <w:rFonts w:ascii="Arial" w:cs="Arial" w:eastAsia="Arial" w:hAnsi="Arial"/>
                <w:sz w:val="13"/>
                <w:szCs w:val="13"/>
                <w:color w:val="auto"/>
              </w:rPr>
              <w:t>11,215,974</w:t>
            </w:r>
          </w:p>
        </w:tc>
        <w:tc>
          <w:tcPr>
            <w:tcW w:w="1860" w:type="dxa"/>
            <w:vAlign w:val="bottom"/>
            <w:tcBorders>
              <w:right w:val="single" w:sz="8" w:color="auto"/>
            </w:tcBorders>
            <w:shd w:val="clear" w:color="auto" w:fill="D4DBEB"/>
          </w:tcPr>
          <w:p>
            <w:pPr>
              <w:jc w:val="right"/>
              <w:ind w:right="537"/>
              <w:spacing w:after="0"/>
              <w:rPr>
                <w:sz w:val="20"/>
                <w:szCs w:val="20"/>
                <w:color w:val="auto"/>
              </w:rPr>
            </w:pPr>
            <w:r>
              <w:rPr>
                <w:rFonts w:ascii="Arial" w:cs="Arial" w:eastAsia="Arial" w:hAnsi="Arial"/>
                <w:sz w:val="13"/>
                <w:szCs w:val="13"/>
                <w:color w:val="auto"/>
              </w:rPr>
              <w:t>-3,169,691</w:t>
            </w:r>
          </w:p>
        </w:tc>
        <w:tc>
          <w:tcPr>
            <w:tcW w:w="1480" w:type="dxa"/>
            <w:vAlign w:val="bottom"/>
            <w:tcBorders>
              <w:right w:val="single" w:sz="8" w:color="auto"/>
            </w:tcBorders>
            <w:shd w:val="clear" w:color="auto" w:fill="D4DBEB"/>
          </w:tcPr>
          <w:p>
            <w:pPr>
              <w:jc w:val="right"/>
              <w:ind w:right="357"/>
              <w:spacing w:after="0"/>
              <w:rPr>
                <w:sz w:val="20"/>
                <w:szCs w:val="20"/>
                <w:color w:val="auto"/>
              </w:rPr>
            </w:pPr>
            <w:r>
              <w:rPr>
                <w:rFonts w:ascii="Arial" w:cs="Arial" w:eastAsia="Arial" w:hAnsi="Arial"/>
                <w:sz w:val="13"/>
                <w:szCs w:val="13"/>
                <w:color w:val="auto"/>
              </w:rPr>
              <w:t>8,046,283</w:t>
            </w:r>
          </w:p>
        </w:tc>
        <w:tc>
          <w:tcPr>
            <w:tcW w:w="2160" w:type="dxa"/>
            <w:vAlign w:val="bottom"/>
            <w:tcBorders>
              <w:right w:val="single" w:sz="8" w:color="auto"/>
            </w:tcBorders>
            <w:shd w:val="clear" w:color="auto" w:fill="D4DBEB"/>
          </w:tcPr>
          <w:p>
            <w:pPr>
              <w:jc w:val="right"/>
              <w:ind w:right="737"/>
              <w:spacing w:after="0"/>
              <w:rPr>
                <w:sz w:val="20"/>
                <w:szCs w:val="20"/>
                <w:color w:val="auto"/>
              </w:rPr>
            </w:pPr>
            <w:r>
              <w:rPr>
                <w:rFonts w:ascii="Arial" w:cs="Arial" w:eastAsia="Arial" w:hAnsi="Arial"/>
                <w:sz w:val="13"/>
                <w:szCs w:val="13"/>
                <w:color w:val="auto"/>
              </w:rPr>
              <w:t>-7,510,464</w:t>
            </w:r>
          </w:p>
        </w:tc>
      </w:tr>
      <w:tr>
        <w:trPr>
          <w:trHeight w:val="223"/>
        </w:trPr>
        <w:tc>
          <w:tcPr>
            <w:tcW w:w="1340" w:type="dxa"/>
            <w:vAlign w:val="bottom"/>
            <w:tcBorders>
              <w:left w:val="single" w:sz="8" w:color="auto"/>
              <w:right w:val="single" w:sz="8" w:color="auto"/>
            </w:tcBorders>
          </w:tcPr>
          <w:p>
            <w:pPr>
              <w:ind w:left="160"/>
              <w:spacing w:after="0"/>
              <w:rPr>
                <w:sz w:val="20"/>
                <w:szCs w:val="20"/>
                <w:color w:val="auto"/>
              </w:rPr>
            </w:pPr>
            <w:r>
              <w:rPr>
                <w:rFonts w:ascii="Arial" w:cs="Arial" w:eastAsia="Arial" w:hAnsi="Arial"/>
                <w:sz w:val="13"/>
                <w:szCs w:val="13"/>
                <w:color w:val="auto"/>
              </w:rPr>
              <w:t>M.W. Albers</w:t>
            </w:r>
          </w:p>
        </w:tc>
        <w:tc>
          <w:tcPr>
            <w:tcW w:w="1420" w:type="dxa"/>
            <w:vAlign w:val="bottom"/>
            <w:tcBorders>
              <w:right w:val="single" w:sz="8" w:color="auto"/>
            </w:tcBorders>
          </w:tcPr>
          <w:p>
            <w:pPr>
              <w:jc w:val="right"/>
              <w:ind w:right="357"/>
              <w:spacing w:after="0"/>
              <w:rPr>
                <w:sz w:val="20"/>
                <w:szCs w:val="20"/>
                <w:color w:val="auto"/>
              </w:rPr>
            </w:pPr>
            <w:r>
              <w:rPr>
                <w:rFonts w:ascii="Arial" w:cs="Arial" w:eastAsia="Arial" w:hAnsi="Arial"/>
                <w:sz w:val="13"/>
                <w:szCs w:val="13"/>
                <w:color w:val="auto"/>
              </w:rPr>
              <w:t>15,832,507</w:t>
            </w:r>
          </w:p>
        </w:tc>
        <w:tc>
          <w:tcPr>
            <w:tcW w:w="1480" w:type="dxa"/>
            <w:vAlign w:val="bottom"/>
            <w:tcBorders>
              <w:right w:val="single" w:sz="8" w:color="auto"/>
            </w:tcBorders>
          </w:tcPr>
          <w:p>
            <w:pPr>
              <w:jc w:val="right"/>
              <w:ind w:right="377"/>
              <w:spacing w:after="0"/>
              <w:rPr>
                <w:sz w:val="20"/>
                <w:szCs w:val="20"/>
                <w:color w:val="auto"/>
              </w:rPr>
            </w:pPr>
            <w:r>
              <w:rPr>
                <w:rFonts w:ascii="Arial" w:cs="Arial" w:eastAsia="Arial" w:hAnsi="Arial"/>
                <w:sz w:val="13"/>
                <w:szCs w:val="13"/>
                <w:color w:val="auto"/>
              </w:rPr>
              <w:t>11,231,111</w:t>
            </w:r>
          </w:p>
        </w:tc>
        <w:tc>
          <w:tcPr>
            <w:tcW w:w="1860" w:type="dxa"/>
            <w:vAlign w:val="bottom"/>
            <w:tcBorders>
              <w:right w:val="single" w:sz="8" w:color="auto"/>
            </w:tcBorders>
          </w:tcPr>
          <w:p>
            <w:pPr>
              <w:jc w:val="right"/>
              <w:ind w:right="537"/>
              <w:spacing w:after="0"/>
              <w:rPr>
                <w:sz w:val="20"/>
                <w:szCs w:val="20"/>
                <w:color w:val="auto"/>
              </w:rPr>
            </w:pPr>
            <w:r>
              <w:rPr>
                <w:rFonts w:ascii="Arial" w:cs="Arial" w:eastAsia="Arial" w:hAnsi="Arial"/>
                <w:sz w:val="13"/>
                <w:szCs w:val="13"/>
                <w:color w:val="auto"/>
              </w:rPr>
              <w:t>-3,610,483</w:t>
            </w:r>
          </w:p>
        </w:tc>
        <w:tc>
          <w:tcPr>
            <w:tcW w:w="1480" w:type="dxa"/>
            <w:vAlign w:val="bottom"/>
            <w:tcBorders>
              <w:right w:val="single" w:sz="8" w:color="auto"/>
            </w:tcBorders>
          </w:tcPr>
          <w:p>
            <w:pPr>
              <w:jc w:val="right"/>
              <w:ind w:right="357"/>
              <w:spacing w:after="0"/>
              <w:rPr>
                <w:sz w:val="20"/>
                <w:szCs w:val="20"/>
                <w:color w:val="auto"/>
              </w:rPr>
            </w:pPr>
            <w:r>
              <w:rPr>
                <w:rFonts w:ascii="Arial" w:cs="Arial" w:eastAsia="Arial" w:hAnsi="Arial"/>
                <w:sz w:val="13"/>
                <w:szCs w:val="13"/>
                <w:color w:val="auto"/>
              </w:rPr>
              <w:t>7,620,628</w:t>
            </w:r>
          </w:p>
        </w:tc>
        <w:tc>
          <w:tcPr>
            <w:tcW w:w="2160" w:type="dxa"/>
            <w:vAlign w:val="bottom"/>
            <w:tcBorders>
              <w:right w:val="single" w:sz="8" w:color="auto"/>
            </w:tcBorders>
          </w:tcPr>
          <w:p>
            <w:pPr>
              <w:jc w:val="right"/>
              <w:ind w:right="737"/>
              <w:spacing w:after="0"/>
              <w:rPr>
                <w:sz w:val="20"/>
                <w:szCs w:val="20"/>
                <w:color w:val="auto"/>
              </w:rPr>
            </w:pPr>
            <w:r>
              <w:rPr>
                <w:rFonts w:ascii="Arial" w:cs="Arial" w:eastAsia="Arial" w:hAnsi="Arial"/>
                <w:sz w:val="13"/>
                <w:szCs w:val="13"/>
                <w:color w:val="auto"/>
              </w:rPr>
              <w:t>-8,211,879</w:t>
            </w:r>
          </w:p>
        </w:tc>
      </w:tr>
      <w:tr>
        <w:trPr>
          <w:trHeight w:val="237"/>
        </w:trPr>
        <w:tc>
          <w:tcPr>
            <w:tcW w:w="1340" w:type="dxa"/>
            <w:vAlign w:val="bottom"/>
            <w:tcBorders>
              <w:left w:val="single" w:sz="8" w:color="auto"/>
              <w:right w:val="single" w:sz="8" w:color="auto"/>
            </w:tcBorders>
            <w:shd w:val="clear" w:color="auto" w:fill="D4DBEB"/>
          </w:tcPr>
          <w:p>
            <w:pPr>
              <w:ind w:left="160"/>
              <w:spacing w:after="0"/>
              <w:rPr>
                <w:sz w:val="20"/>
                <w:szCs w:val="20"/>
                <w:color w:val="auto"/>
              </w:rPr>
            </w:pPr>
            <w:r>
              <w:rPr>
                <w:rFonts w:ascii="Arial" w:cs="Arial" w:eastAsia="Arial" w:hAnsi="Arial"/>
                <w:sz w:val="13"/>
                <w:szCs w:val="13"/>
                <w:color w:val="auto"/>
              </w:rPr>
              <w:t>M.J. Dolan</w:t>
            </w:r>
          </w:p>
        </w:tc>
        <w:tc>
          <w:tcPr>
            <w:tcW w:w="1420" w:type="dxa"/>
            <w:vAlign w:val="bottom"/>
            <w:tcBorders>
              <w:right w:val="single" w:sz="8" w:color="auto"/>
            </w:tcBorders>
            <w:shd w:val="clear" w:color="auto" w:fill="D4DBEB"/>
          </w:tcPr>
          <w:p>
            <w:pPr>
              <w:jc w:val="right"/>
              <w:ind w:right="357"/>
              <w:spacing w:after="0"/>
              <w:rPr>
                <w:sz w:val="20"/>
                <w:szCs w:val="20"/>
                <w:color w:val="auto"/>
              </w:rPr>
            </w:pPr>
            <w:r>
              <w:rPr>
                <w:rFonts w:ascii="Arial" w:cs="Arial" w:eastAsia="Arial" w:hAnsi="Arial"/>
                <w:sz w:val="13"/>
                <w:szCs w:val="13"/>
                <w:color w:val="auto"/>
              </w:rPr>
              <w:t>15,645,735</w:t>
            </w:r>
          </w:p>
        </w:tc>
        <w:tc>
          <w:tcPr>
            <w:tcW w:w="1480" w:type="dxa"/>
            <w:vAlign w:val="bottom"/>
            <w:tcBorders>
              <w:right w:val="single" w:sz="8" w:color="auto"/>
            </w:tcBorders>
            <w:shd w:val="clear" w:color="auto" w:fill="D4DBEB"/>
          </w:tcPr>
          <w:p>
            <w:pPr>
              <w:jc w:val="right"/>
              <w:ind w:right="377"/>
              <w:spacing w:after="0"/>
              <w:rPr>
                <w:sz w:val="20"/>
                <w:szCs w:val="20"/>
                <w:color w:val="auto"/>
              </w:rPr>
            </w:pPr>
            <w:r>
              <w:rPr>
                <w:rFonts w:ascii="Arial" w:cs="Arial" w:eastAsia="Arial" w:hAnsi="Arial"/>
                <w:sz w:val="13"/>
                <w:szCs w:val="13"/>
                <w:color w:val="auto"/>
              </w:rPr>
              <w:t>11,314,951</w:t>
            </w:r>
          </w:p>
        </w:tc>
        <w:tc>
          <w:tcPr>
            <w:tcW w:w="1860" w:type="dxa"/>
            <w:vAlign w:val="bottom"/>
            <w:tcBorders>
              <w:right w:val="single" w:sz="8" w:color="auto"/>
            </w:tcBorders>
            <w:shd w:val="clear" w:color="auto" w:fill="D4DBEB"/>
          </w:tcPr>
          <w:p>
            <w:pPr>
              <w:jc w:val="right"/>
              <w:ind w:right="537"/>
              <w:spacing w:after="0"/>
              <w:rPr>
                <w:sz w:val="20"/>
                <w:szCs w:val="20"/>
                <w:color w:val="auto"/>
              </w:rPr>
            </w:pPr>
            <w:r>
              <w:rPr>
                <w:rFonts w:ascii="Arial" w:cs="Arial" w:eastAsia="Arial" w:hAnsi="Arial"/>
                <w:sz w:val="13"/>
                <w:szCs w:val="13"/>
                <w:color w:val="auto"/>
              </w:rPr>
              <w:t>-3,871,569</w:t>
            </w:r>
          </w:p>
        </w:tc>
        <w:tc>
          <w:tcPr>
            <w:tcW w:w="1480" w:type="dxa"/>
            <w:vAlign w:val="bottom"/>
            <w:tcBorders>
              <w:right w:val="single" w:sz="8" w:color="auto"/>
            </w:tcBorders>
            <w:shd w:val="clear" w:color="auto" w:fill="D4DBEB"/>
          </w:tcPr>
          <w:p>
            <w:pPr>
              <w:jc w:val="right"/>
              <w:ind w:right="357"/>
              <w:spacing w:after="0"/>
              <w:rPr>
                <w:sz w:val="20"/>
                <w:szCs w:val="20"/>
                <w:color w:val="auto"/>
              </w:rPr>
            </w:pPr>
            <w:r>
              <w:rPr>
                <w:rFonts w:ascii="Arial" w:cs="Arial" w:eastAsia="Arial" w:hAnsi="Arial"/>
                <w:sz w:val="13"/>
                <w:szCs w:val="13"/>
                <w:color w:val="auto"/>
              </w:rPr>
              <w:t>7,443,382</w:t>
            </w:r>
          </w:p>
        </w:tc>
        <w:tc>
          <w:tcPr>
            <w:tcW w:w="2160" w:type="dxa"/>
            <w:vAlign w:val="bottom"/>
            <w:tcBorders>
              <w:right w:val="single" w:sz="8" w:color="auto"/>
            </w:tcBorders>
            <w:shd w:val="clear" w:color="auto" w:fill="D4DBEB"/>
          </w:tcPr>
          <w:p>
            <w:pPr>
              <w:jc w:val="right"/>
              <w:ind w:right="737"/>
              <w:spacing w:after="0"/>
              <w:rPr>
                <w:sz w:val="20"/>
                <w:szCs w:val="20"/>
                <w:color w:val="auto"/>
              </w:rPr>
            </w:pPr>
            <w:r>
              <w:rPr>
                <w:rFonts w:ascii="Arial" w:cs="Arial" w:eastAsia="Arial" w:hAnsi="Arial"/>
                <w:sz w:val="13"/>
                <w:szCs w:val="13"/>
                <w:color w:val="auto"/>
              </w:rPr>
              <w:t>-8,202,353</w:t>
            </w:r>
          </w:p>
        </w:tc>
      </w:tr>
      <w:tr>
        <w:trPr>
          <w:trHeight w:val="223"/>
        </w:trPr>
        <w:tc>
          <w:tcPr>
            <w:tcW w:w="1340" w:type="dxa"/>
            <w:vAlign w:val="bottom"/>
            <w:tcBorders>
              <w:left w:val="single" w:sz="8" w:color="auto"/>
              <w:bottom w:val="single" w:sz="8" w:color="auto"/>
              <w:right w:val="single" w:sz="8" w:color="auto"/>
            </w:tcBorders>
          </w:tcPr>
          <w:p>
            <w:pPr>
              <w:ind w:left="160"/>
              <w:spacing w:after="0"/>
              <w:rPr>
                <w:sz w:val="20"/>
                <w:szCs w:val="20"/>
                <w:color w:val="auto"/>
              </w:rPr>
            </w:pPr>
            <w:r>
              <w:rPr>
                <w:rFonts w:ascii="Arial" w:cs="Arial" w:eastAsia="Arial" w:hAnsi="Arial"/>
                <w:sz w:val="13"/>
                <w:szCs w:val="13"/>
                <w:color w:val="auto"/>
              </w:rPr>
              <w:t>N.W. Duffin</w:t>
            </w:r>
          </w:p>
        </w:tc>
        <w:tc>
          <w:tcPr>
            <w:tcW w:w="1420" w:type="dxa"/>
            <w:vAlign w:val="bottom"/>
            <w:tcBorders>
              <w:bottom w:val="single" w:sz="8" w:color="auto"/>
              <w:right w:val="single" w:sz="8" w:color="auto"/>
            </w:tcBorders>
          </w:tcPr>
          <w:p>
            <w:pPr>
              <w:jc w:val="right"/>
              <w:ind w:right="357"/>
              <w:spacing w:after="0"/>
              <w:rPr>
                <w:sz w:val="20"/>
                <w:szCs w:val="20"/>
                <w:color w:val="auto"/>
              </w:rPr>
            </w:pPr>
            <w:r>
              <w:rPr>
                <w:rFonts w:ascii="Arial" w:cs="Arial" w:eastAsia="Arial" w:hAnsi="Arial"/>
                <w:sz w:val="13"/>
                <w:szCs w:val="13"/>
                <w:color w:val="auto"/>
              </w:rPr>
              <w:t>—</w:t>
            </w:r>
          </w:p>
        </w:tc>
        <w:tc>
          <w:tcPr>
            <w:tcW w:w="1480" w:type="dxa"/>
            <w:vAlign w:val="bottom"/>
            <w:tcBorders>
              <w:bottom w:val="single" w:sz="8" w:color="auto"/>
              <w:right w:val="single" w:sz="8" w:color="auto"/>
            </w:tcBorders>
          </w:tcPr>
          <w:p>
            <w:pPr>
              <w:jc w:val="right"/>
              <w:ind w:right="377"/>
              <w:spacing w:after="0"/>
              <w:rPr>
                <w:sz w:val="20"/>
                <w:szCs w:val="20"/>
                <w:color w:val="auto"/>
              </w:rPr>
            </w:pPr>
            <w:r>
              <w:rPr>
                <w:rFonts w:ascii="Arial" w:cs="Arial" w:eastAsia="Arial" w:hAnsi="Arial"/>
                <w:sz w:val="13"/>
                <w:szCs w:val="13"/>
                <w:color w:val="auto"/>
              </w:rPr>
              <w:t>7,879,749</w:t>
            </w:r>
          </w:p>
        </w:tc>
        <w:tc>
          <w:tcPr>
            <w:tcW w:w="1860" w:type="dxa"/>
            <w:vAlign w:val="bottom"/>
            <w:tcBorders>
              <w:bottom w:val="single" w:sz="8" w:color="auto"/>
              <w:right w:val="single" w:sz="8" w:color="auto"/>
            </w:tcBorders>
          </w:tcPr>
          <w:p>
            <w:pPr>
              <w:jc w:val="right"/>
              <w:ind w:right="537"/>
              <w:spacing w:after="0"/>
              <w:rPr>
                <w:sz w:val="20"/>
                <w:szCs w:val="20"/>
                <w:color w:val="auto"/>
              </w:rPr>
            </w:pPr>
            <w:r>
              <w:rPr>
                <w:rFonts w:ascii="Arial" w:cs="Arial" w:eastAsia="Arial" w:hAnsi="Arial"/>
                <w:sz w:val="13"/>
                <w:szCs w:val="13"/>
                <w:color w:val="auto"/>
              </w:rPr>
              <w:t>-3,225,966</w:t>
            </w:r>
          </w:p>
        </w:tc>
        <w:tc>
          <w:tcPr>
            <w:tcW w:w="1480" w:type="dxa"/>
            <w:vAlign w:val="bottom"/>
            <w:tcBorders>
              <w:bottom w:val="single" w:sz="8" w:color="auto"/>
              <w:right w:val="single" w:sz="8" w:color="auto"/>
            </w:tcBorders>
          </w:tcPr>
          <w:p>
            <w:pPr>
              <w:jc w:val="right"/>
              <w:ind w:right="357"/>
              <w:spacing w:after="0"/>
              <w:rPr>
                <w:sz w:val="20"/>
                <w:szCs w:val="20"/>
                <w:color w:val="auto"/>
              </w:rPr>
            </w:pPr>
            <w:r>
              <w:rPr>
                <w:rFonts w:ascii="Arial" w:cs="Arial" w:eastAsia="Arial" w:hAnsi="Arial"/>
                <w:sz w:val="13"/>
                <w:szCs w:val="13"/>
                <w:color w:val="auto"/>
              </w:rPr>
              <w:t>4,653,783</w:t>
            </w:r>
          </w:p>
        </w:tc>
        <w:tc>
          <w:tcPr>
            <w:tcW w:w="2160" w:type="dxa"/>
            <w:vAlign w:val="bottom"/>
            <w:tcBorders>
              <w:bottom w:val="single" w:sz="8" w:color="auto"/>
              <w:right w:val="single" w:sz="8" w:color="auto"/>
            </w:tcBorders>
          </w:tcPr>
          <w:p>
            <w:pPr>
              <w:jc w:val="right"/>
              <w:ind w:right="737"/>
              <w:spacing w:after="0"/>
              <w:rPr>
                <w:sz w:val="20"/>
                <w:szCs w:val="20"/>
                <w:color w:val="auto"/>
              </w:rPr>
            </w:pPr>
            <w:r>
              <w:rPr>
                <w:rFonts w:ascii="Arial" w:cs="Arial" w:eastAsia="Arial" w:hAnsi="Arial"/>
                <w:sz w:val="13"/>
                <w:szCs w:val="13"/>
                <w:color w:val="auto"/>
              </w:rPr>
              <w:t>—</w:t>
            </w:r>
          </w:p>
        </w:tc>
      </w:tr>
    </w:tbl>
    <w:p>
      <w:pPr>
        <w:spacing w:after="0" w:line="191" w:lineRule="exact"/>
        <w:rPr>
          <w:sz w:val="20"/>
          <w:szCs w:val="20"/>
          <w:color w:val="auto"/>
        </w:rPr>
      </w:pPr>
    </w:p>
    <w:p>
      <w:pPr>
        <w:ind w:left="860"/>
        <w:spacing w:after="0"/>
        <w:rPr>
          <w:sz w:val="20"/>
          <w:szCs w:val="20"/>
          <w:color w:val="auto"/>
        </w:rPr>
      </w:pPr>
      <w:r>
        <w:rPr>
          <w:rFonts w:ascii="Arial" w:cs="Arial" w:eastAsia="Arial" w:hAnsi="Arial"/>
          <w:sz w:val="18"/>
          <w:szCs w:val="18"/>
          <w:b w:val="1"/>
          <w:bCs w:val="1"/>
          <w:color w:val="auto"/>
        </w:rPr>
        <w:t>Salary</w:t>
      </w:r>
    </w:p>
    <w:p>
      <w:pPr>
        <w:spacing w:after="0" w:line="119" w:lineRule="exact"/>
        <w:rPr>
          <w:sz w:val="20"/>
          <w:szCs w:val="20"/>
          <w:color w:val="auto"/>
        </w:rPr>
      </w:pPr>
    </w:p>
    <w:p>
      <w:pPr>
        <w:ind w:left="1240" w:right="160" w:hanging="388"/>
        <w:spacing w:after="0" w:line="306" w:lineRule="auto"/>
        <w:tabs>
          <w:tab w:leader="none" w:pos="1240" w:val="left"/>
        </w:tabs>
        <w:numPr>
          <w:ilvl w:val="0"/>
          <w:numId w:val="65"/>
        </w:numPr>
        <w:rPr>
          <w:rFonts w:ascii="Times New Roman" w:cs="Times New Roman" w:eastAsia="Times New Roman" w:hAnsi="Times New Roman"/>
          <w:sz w:val="17"/>
          <w:szCs w:val="17"/>
          <w:color w:val="auto"/>
        </w:rPr>
      </w:pPr>
      <w:r>
        <w:rPr>
          <w:rFonts w:ascii="Arial" w:cs="Arial" w:eastAsia="Arial" w:hAnsi="Arial"/>
          <w:sz w:val="17"/>
          <w:szCs w:val="17"/>
          <w:color w:val="auto"/>
        </w:rPr>
        <w:t>Effective January 1, 2018, the annual salary was increased for Mr. Woods to $1,400,000. Effective April 1, 2018, the annual salary was increased for Mr. Swiger to $1,411,000; Mr. Dolan to $1,505,000; and Mr. Duffin to $1,119,000.</w:t>
      </w:r>
    </w:p>
    <w:p>
      <w:pPr>
        <w:spacing w:after="0" w:line="27" w:lineRule="exact"/>
        <w:rPr>
          <w:rFonts w:ascii="Times New Roman" w:cs="Times New Roman" w:eastAsia="Times New Roman" w:hAnsi="Times New Roman"/>
          <w:sz w:val="17"/>
          <w:szCs w:val="17"/>
          <w:color w:val="auto"/>
        </w:rPr>
      </w:pPr>
    </w:p>
    <w:p>
      <w:pPr>
        <w:ind w:left="1240" w:right="180" w:hanging="388"/>
        <w:spacing w:after="0" w:line="275" w:lineRule="auto"/>
        <w:tabs>
          <w:tab w:leader="none" w:pos="1240" w:val="left"/>
        </w:tabs>
        <w:numPr>
          <w:ilvl w:val="0"/>
          <w:numId w:val="65"/>
        </w:numPr>
        <w:rPr>
          <w:rFonts w:ascii="Times New Roman" w:cs="Times New Roman" w:eastAsia="Times New Roman" w:hAnsi="Times New Roman"/>
          <w:sz w:val="18"/>
          <w:szCs w:val="18"/>
          <w:color w:val="auto"/>
        </w:rPr>
      </w:pPr>
      <w:r>
        <w:rPr>
          <w:rFonts w:ascii="Arial" w:cs="Arial" w:eastAsia="Arial" w:hAnsi="Arial"/>
          <w:sz w:val="18"/>
          <w:szCs w:val="18"/>
          <w:color w:val="auto"/>
        </w:rPr>
        <w:t>For more details on the design of the salary program and decisions made by the Compensation Committee in 2017, see page 38.</w:t>
      </w:r>
    </w:p>
    <w:p>
      <w:pPr>
        <w:spacing w:after="0" w:line="144" w:lineRule="exact"/>
        <w:rPr>
          <w:sz w:val="20"/>
          <w:szCs w:val="20"/>
          <w:color w:val="auto"/>
        </w:rPr>
      </w:pPr>
    </w:p>
    <w:p>
      <w:pPr>
        <w:ind w:left="860"/>
        <w:spacing w:after="0"/>
        <w:rPr>
          <w:sz w:val="20"/>
          <w:szCs w:val="20"/>
          <w:color w:val="auto"/>
        </w:rPr>
      </w:pPr>
      <w:r>
        <w:rPr>
          <w:rFonts w:ascii="Arial" w:cs="Arial" w:eastAsia="Arial" w:hAnsi="Arial"/>
          <w:sz w:val="18"/>
          <w:szCs w:val="18"/>
          <w:b w:val="1"/>
          <w:bCs w:val="1"/>
          <w:color w:val="auto"/>
        </w:rPr>
        <w:t>Bonus</w:t>
      </w:r>
    </w:p>
    <w:p>
      <w:pPr>
        <w:spacing w:after="0" w:line="119" w:lineRule="exact"/>
        <w:rPr>
          <w:sz w:val="20"/>
          <w:szCs w:val="20"/>
          <w:color w:val="auto"/>
        </w:rPr>
      </w:pPr>
    </w:p>
    <w:p>
      <w:pPr>
        <w:ind w:left="1240" w:right="340" w:hanging="388"/>
        <w:spacing w:after="0" w:line="275" w:lineRule="auto"/>
        <w:tabs>
          <w:tab w:leader="none" w:pos="1240" w:val="left"/>
        </w:tabs>
        <w:numPr>
          <w:ilvl w:val="0"/>
          <w:numId w:val="66"/>
        </w:numPr>
        <w:rPr>
          <w:rFonts w:ascii="Times New Roman" w:cs="Times New Roman" w:eastAsia="Times New Roman" w:hAnsi="Times New Roman"/>
          <w:sz w:val="18"/>
          <w:szCs w:val="18"/>
          <w:color w:val="auto"/>
        </w:rPr>
      </w:pPr>
      <w:r>
        <w:rPr>
          <w:rFonts w:ascii="Arial" w:cs="Arial" w:eastAsia="Arial" w:hAnsi="Arial"/>
          <w:sz w:val="18"/>
          <w:szCs w:val="18"/>
          <w:color w:val="auto"/>
        </w:rPr>
        <w:t>The 2017 bonus was paid one-half in cash at the time of grant. The Company delays payment of the balance until cumulative earnings reach $6.50 per share. Delayed bonus amounts do not earn interest.</w:t>
      </w:r>
    </w:p>
    <w:p>
      <w:pPr>
        <w:spacing w:after="0" w:line="78" w:lineRule="exact"/>
        <w:rPr>
          <w:sz w:val="20"/>
          <w:szCs w:val="20"/>
          <w:color w:val="auto"/>
        </w:rPr>
      </w:pPr>
    </w:p>
    <w:tbl>
      <w:tblPr>
        <w:tblLayout w:type="fixed"/>
        <w:tblInd w:w="6960" w:type="dxa"/>
        <w:tblCellMar>
          <w:top w:w="0" w:type="dxa"/>
          <w:left w:w="0" w:type="dxa"/>
          <w:bottom w:w="0" w:type="dxa"/>
          <w:right w:w="0" w:type="dxa"/>
        </w:tblCellMar>
      </w:tblPr>
      <w:tr>
        <w:trPr>
          <w:trHeight w:val="243"/>
        </w:trPr>
        <w:tc>
          <w:tcPr>
            <w:tcW w:w="2440" w:type="dxa"/>
            <w:vAlign w:val="bottom"/>
          </w:tcPr>
          <w:p>
            <w:pPr>
              <w:spacing w:after="0"/>
              <w:rPr>
                <w:sz w:val="20"/>
                <w:szCs w:val="20"/>
                <w:color w:val="auto"/>
              </w:rPr>
            </w:pPr>
            <w:r>
              <w:rPr>
                <w:rFonts w:ascii="Times New Roman" w:cs="Times New Roman" w:eastAsia="Times New Roman" w:hAnsi="Times New Roman"/>
                <w:sz w:val="18"/>
                <w:szCs w:val="18"/>
                <w:i w:val="1"/>
                <w:iCs w:val="1"/>
                <w:color w:val="auto"/>
              </w:rPr>
              <w:t>2018 Proxy Statement</w:t>
            </w:r>
          </w:p>
        </w:tc>
        <w:tc>
          <w:tcPr>
            <w:tcW w:w="1060" w:type="dxa"/>
            <w:vAlign w:val="bottom"/>
          </w:tcPr>
          <w:p>
            <w:pPr>
              <w:jc w:val="right"/>
              <w:spacing w:after="0"/>
              <w:rPr>
                <w:sz w:val="20"/>
                <w:szCs w:val="20"/>
                <w:color w:val="auto"/>
              </w:rPr>
            </w:pPr>
            <w:r>
              <w:rPr>
                <w:rFonts w:ascii="Arial" w:cs="Arial" w:eastAsia="Arial" w:hAnsi="Arial"/>
                <w:sz w:val="18"/>
                <w:szCs w:val="18"/>
                <w:color w:val="auto"/>
              </w:rPr>
              <w:t>45</w:t>
            </w:r>
          </w:p>
        </w:tc>
      </w:tr>
    </w:tbl>
    <w:p>
      <w:pPr>
        <w:sectPr>
          <w:pgSz w:w="11900" w:h="16838" w:orient="portrait"/>
          <w:cols w:equalWidth="0" w:num="1">
            <w:col w:w="10600"/>
          </w:cols>
          <w:pgMar w:left="240" w:top="455" w:right="1059" w:bottom="1440" w:gutter="0" w:footer="0" w:header="0"/>
        </w:sectPr>
      </w:pPr>
    </w:p>
    <w:bookmarkStart w:id="48" w:name="page49"/>
    <w:bookmarkEnd w:id="48"/>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04">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Times New Roman" w:cs="Times New Roman" w:eastAsia="Times New Roman" w:hAnsi="Times New Roman"/>
            <w:sz w:val="18"/>
            <w:szCs w:val="18"/>
            <w:b w:val="1"/>
            <w:bCs w:val="1"/>
            <w:u w:val="single" w:color="auto"/>
            <w:color w:val="0000EE"/>
          </w:rPr>
          <w:t>Table of Contents</w:t>
        </w:r>
      </w:hyperlink>
    </w:p>
    <w:p>
      <w:pPr>
        <w:spacing w:after="0" w:line="305" w:lineRule="exact"/>
        <w:rPr>
          <w:sz w:val="20"/>
          <w:szCs w:val="20"/>
          <w:color w:val="auto"/>
        </w:rPr>
      </w:pPr>
    </w:p>
    <w:p>
      <w:pPr>
        <w:ind w:left="1240" w:right="160" w:hanging="388"/>
        <w:spacing w:after="0" w:line="275" w:lineRule="auto"/>
        <w:tabs>
          <w:tab w:leader="none" w:pos="1240" w:val="left"/>
        </w:tabs>
        <w:numPr>
          <w:ilvl w:val="0"/>
          <w:numId w:val="67"/>
        </w:numPr>
        <w:rPr>
          <w:rFonts w:ascii="Times New Roman" w:cs="Times New Roman" w:eastAsia="Times New Roman" w:hAnsi="Times New Roman"/>
          <w:sz w:val="18"/>
          <w:szCs w:val="18"/>
          <w:color w:val="auto"/>
        </w:rPr>
      </w:pPr>
      <w:r>
        <w:rPr>
          <w:rFonts w:ascii="Arial" w:cs="Arial" w:eastAsia="Arial" w:hAnsi="Arial"/>
          <w:sz w:val="18"/>
          <w:szCs w:val="18"/>
          <w:color w:val="auto"/>
        </w:rPr>
        <w:t>For more details on the design of the bonus program and decisions made by the Compensation Committee in 2017, see page 38.</w:t>
      </w:r>
    </w:p>
    <w:p>
      <w:pPr>
        <w:spacing w:after="0" w:line="144" w:lineRule="exact"/>
        <w:rPr>
          <w:sz w:val="20"/>
          <w:szCs w:val="20"/>
          <w:color w:val="auto"/>
        </w:rPr>
      </w:pPr>
    </w:p>
    <w:p>
      <w:pPr>
        <w:ind w:left="860"/>
        <w:spacing w:after="0"/>
        <w:rPr>
          <w:sz w:val="20"/>
          <w:szCs w:val="20"/>
          <w:color w:val="auto"/>
        </w:rPr>
      </w:pPr>
      <w:r>
        <w:rPr>
          <w:rFonts w:ascii="Arial" w:cs="Arial" w:eastAsia="Arial" w:hAnsi="Arial"/>
          <w:sz w:val="18"/>
          <w:szCs w:val="18"/>
          <w:b w:val="1"/>
          <w:bCs w:val="1"/>
          <w:color w:val="auto"/>
        </w:rPr>
        <w:t>Stock Awards</w:t>
      </w:r>
    </w:p>
    <w:p>
      <w:pPr>
        <w:spacing w:after="0" w:line="119" w:lineRule="exact"/>
        <w:rPr>
          <w:sz w:val="20"/>
          <w:szCs w:val="20"/>
          <w:color w:val="auto"/>
        </w:rPr>
      </w:pPr>
    </w:p>
    <w:p>
      <w:pPr>
        <w:ind w:left="1240" w:right="200" w:hanging="388"/>
        <w:spacing w:after="0" w:line="245" w:lineRule="auto"/>
        <w:tabs>
          <w:tab w:leader="none" w:pos="1240" w:val="left"/>
        </w:tabs>
        <w:numPr>
          <w:ilvl w:val="0"/>
          <w:numId w:val="68"/>
        </w:numPr>
        <w:rPr>
          <w:rFonts w:ascii="Times New Roman" w:cs="Times New Roman" w:eastAsia="Times New Roman" w:hAnsi="Times New Roman"/>
          <w:sz w:val="18"/>
          <w:szCs w:val="18"/>
          <w:color w:val="auto"/>
        </w:rPr>
      </w:pPr>
      <w:r>
        <w:rPr>
          <w:rFonts w:ascii="Arial" w:cs="Arial" w:eastAsia="Arial" w:hAnsi="Arial"/>
          <w:sz w:val="18"/>
          <w:szCs w:val="18"/>
          <w:color w:val="auto"/>
        </w:rPr>
        <w:t>In accordance with disclosure regulations, the valuation of stock awards in this table represents the grant date fair value, which is equal to the number of performance shares awarded times the grant price. Grant price is deemed to be the average of the high and low sale prices on the NYSE on the grant date: $81.89 on November 29, 2017; $87.70 on November 30, 2016; $81.28 on November 24, 2015; and $76.03 on December 9, 2015 (with respect to a supplemental award made to Mr. Woods in connection with his election as President).</w:t>
      </w:r>
    </w:p>
    <w:p>
      <w:pPr>
        <w:spacing w:after="0" w:line="77" w:lineRule="exact"/>
        <w:rPr>
          <w:rFonts w:ascii="Times New Roman" w:cs="Times New Roman" w:eastAsia="Times New Roman" w:hAnsi="Times New Roman"/>
          <w:sz w:val="18"/>
          <w:szCs w:val="18"/>
          <w:color w:val="auto"/>
        </w:rPr>
      </w:pPr>
    </w:p>
    <w:p>
      <w:pPr>
        <w:ind w:left="1240" w:right="160" w:hanging="388"/>
        <w:spacing w:after="0" w:line="275" w:lineRule="auto"/>
        <w:tabs>
          <w:tab w:leader="none" w:pos="1240" w:val="left"/>
        </w:tabs>
        <w:numPr>
          <w:ilvl w:val="0"/>
          <w:numId w:val="68"/>
        </w:numPr>
        <w:rPr>
          <w:rFonts w:ascii="Times New Roman" w:cs="Times New Roman" w:eastAsia="Times New Roman" w:hAnsi="Times New Roman"/>
          <w:sz w:val="18"/>
          <w:szCs w:val="18"/>
          <w:color w:val="auto"/>
        </w:rPr>
      </w:pPr>
      <w:r>
        <w:rPr>
          <w:rFonts w:ascii="Arial" w:cs="Arial" w:eastAsia="Arial" w:hAnsi="Arial"/>
          <w:sz w:val="18"/>
          <w:szCs w:val="18"/>
          <w:color w:val="auto"/>
        </w:rPr>
        <w:t>Dividend equivalents paid on performance share awards are reflected in the grant date fair value and, therefore, are not shown in the table.</w:t>
      </w:r>
    </w:p>
    <w:p>
      <w:pPr>
        <w:spacing w:after="0" w:line="51" w:lineRule="exact"/>
        <w:rPr>
          <w:rFonts w:ascii="Times New Roman" w:cs="Times New Roman" w:eastAsia="Times New Roman" w:hAnsi="Times New Roman"/>
          <w:sz w:val="18"/>
          <w:szCs w:val="18"/>
          <w:color w:val="auto"/>
        </w:rPr>
      </w:pPr>
    </w:p>
    <w:p>
      <w:pPr>
        <w:ind w:left="1240" w:right="760" w:hanging="388"/>
        <w:spacing w:after="0" w:line="275" w:lineRule="auto"/>
        <w:tabs>
          <w:tab w:leader="none" w:pos="1240" w:val="left"/>
        </w:tabs>
        <w:numPr>
          <w:ilvl w:val="0"/>
          <w:numId w:val="68"/>
        </w:numPr>
        <w:rPr>
          <w:rFonts w:ascii="Times New Roman" w:cs="Times New Roman" w:eastAsia="Times New Roman" w:hAnsi="Times New Roman"/>
          <w:sz w:val="18"/>
          <w:szCs w:val="18"/>
          <w:color w:val="auto"/>
        </w:rPr>
      </w:pPr>
      <w:r>
        <w:rPr>
          <w:rFonts w:ascii="Arial" w:cs="Arial" w:eastAsia="Arial" w:hAnsi="Arial"/>
          <w:sz w:val="18"/>
          <w:szCs w:val="18"/>
          <w:color w:val="auto"/>
        </w:rPr>
        <w:t>For more details on the design of the performance share program and decisions made by the Compensation Committee in 2017, see pages 30 and 39.</w:t>
      </w:r>
    </w:p>
    <w:p>
      <w:pPr>
        <w:spacing w:after="0" w:line="144" w:lineRule="exact"/>
        <w:rPr>
          <w:sz w:val="20"/>
          <w:szCs w:val="20"/>
          <w:color w:val="auto"/>
        </w:rPr>
      </w:pPr>
    </w:p>
    <w:p>
      <w:pPr>
        <w:ind w:left="860"/>
        <w:spacing w:after="0"/>
        <w:rPr>
          <w:sz w:val="20"/>
          <w:szCs w:val="20"/>
          <w:color w:val="auto"/>
        </w:rPr>
      </w:pPr>
      <w:r>
        <w:rPr>
          <w:rFonts w:ascii="Arial" w:cs="Arial" w:eastAsia="Arial" w:hAnsi="Arial"/>
          <w:sz w:val="18"/>
          <w:szCs w:val="18"/>
          <w:b w:val="1"/>
          <w:bCs w:val="1"/>
          <w:color w:val="auto"/>
        </w:rPr>
        <w:t>Change in Pension Value and Nonqualified Deferred Compensation Earnings</w:t>
      </w:r>
    </w:p>
    <w:p>
      <w:pPr>
        <w:spacing w:after="0" w:line="119" w:lineRule="exact"/>
        <w:rPr>
          <w:sz w:val="20"/>
          <w:szCs w:val="20"/>
          <w:color w:val="auto"/>
        </w:rPr>
      </w:pPr>
    </w:p>
    <w:p>
      <w:pPr>
        <w:ind w:left="1240" w:right="320" w:hanging="388"/>
        <w:spacing w:after="0" w:line="255" w:lineRule="auto"/>
        <w:tabs>
          <w:tab w:leader="none" w:pos="1240" w:val="left"/>
        </w:tabs>
        <w:numPr>
          <w:ilvl w:val="0"/>
          <w:numId w:val="69"/>
        </w:numPr>
        <w:rPr>
          <w:rFonts w:ascii="Times New Roman" w:cs="Times New Roman" w:eastAsia="Times New Roman" w:hAnsi="Times New Roman"/>
          <w:sz w:val="18"/>
          <w:szCs w:val="18"/>
          <w:color w:val="auto"/>
        </w:rPr>
      </w:pPr>
      <w:r>
        <w:rPr>
          <w:rFonts w:ascii="Arial" w:cs="Arial" w:eastAsia="Arial" w:hAnsi="Arial"/>
          <w:sz w:val="18"/>
          <w:szCs w:val="18"/>
          <w:color w:val="auto"/>
        </w:rPr>
        <w:t>The amounts shown in this column in the Summary Compensation Table solely represent the positive change in pension value. The Corporation’s nonqualified deferred compensation plan (Supplemental Savings Plan) does not permit accrual of above-market or preferential earnings.</w:t>
      </w:r>
    </w:p>
    <w:p>
      <w:pPr>
        <w:spacing w:after="0" w:line="68" w:lineRule="exact"/>
        <w:rPr>
          <w:rFonts w:ascii="Times New Roman" w:cs="Times New Roman" w:eastAsia="Times New Roman" w:hAnsi="Times New Roman"/>
          <w:sz w:val="18"/>
          <w:szCs w:val="18"/>
          <w:color w:val="auto"/>
        </w:rPr>
      </w:pPr>
    </w:p>
    <w:p>
      <w:pPr>
        <w:jc w:val="both"/>
        <w:ind w:left="1240" w:right="120" w:hanging="388"/>
        <w:spacing w:after="0" w:line="255" w:lineRule="auto"/>
        <w:tabs>
          <w:tab w:leader="none" w:pos="1240" w:val="left"/>
        </w:tabs>
        <w:numPr>
          <w:ilvl w:val="0"/>
          <w:numId w:val="69"/>
        </w:numPr>
        <w:rPr>
          <w:rFonts w:ascii="Times New Roman" w:cs="Times New Roman" w:eastAsia="Times New Roman" w:hAnsi="Times New Roman"/>
          <w:sz w:val="18"/>
          <w:szCs w:val="18"/>
          <w:color w:val="auto"/>
        </w:rPr>
      </w:pPr>
      <w:r>
        <w:rPr>
          <w:rFonts w:ascii="Arial" w:cs="Arial" w:eastAsia="Arial" w:hAnsi="Arial"/>
          <w:sz w:val="18"/>
          <w:szCs w:val="18"/>
          <w:color w:val="auto"/>
        </w:rPr>
        <w:t>The change in pension value shown in the table for 2017 is the increase between year-end 2016 and year-end 2017 in the present value of each executive’s pension benefits under the plans. For a description of the pension plans and the present value calculation, see pages 50 to 52.</w:t>
      </w:r>
    </w:p>
    <w:p>
      <w:pPr>
        <w:spacing w:after="0" w:line="68" w:lineRule="exact"/>
        <w:rPr>
          <w:rFonts w:ascii="Times New Roman" w:cs="Times New Roman" w:eastAsia="Times New Roman" w:hAnsi="Times New Roman"/>
          <w:sz w:val="18"/>
          <w:szCs w:val="18"/>
          <w:color w:val="auto"/>
        </w:rPr>
      </w:pPr>
    </w:p>
    <w:p>
      <w:pPr>
        <w:ind w:left="1240" w:right="60" w:hanging="388"/>
        <w:spacing w:after="0" w:line="255" w:lineRule="auto"/>
        <w:tabs>
          <w:tab w:leader="none" w:pos="1240" w:val="left"/>
        </w:tabs>
        <w:numPr>
          <w:ilvl w:val="0"/>
          <w:numId w:val="69"/>
        </w:numPr>
        <w:rPr>
          <w:rFonts w:ascii="Times New Roman" w:cs="Times New Roman" w:eastAsia="Times New Roman" w:hAnsi="Times New Roman"/>
          <w:sz w:val="18"/>
          <w:szCs w:val="18"/>
          <w:color w:val="auto"/>
        </w:rPr>
      </w:pPr>
      <w:r>
        <w:rPr>
          <w:rFonts w:ascii="Arial" w:cs="Arial" w:eastAsia="Arial" w:hAnsi="Arial"/>
          <w:sz w:val="18"/>
          <w:szCs w:val="18"/>
          <w:color w:val="auto"/>
        </w:rPr>
        <w:t>For Mr. Woods, the change in pension value for 2017 represents a 38.4 percent increase in the present value of his pension benefits as shown in the Pension Benefits table on page 50. The following table provides a breakdown of the underlying factors.</w:t>
      </w:r>
    </w:p>
    <w:p>
      <w:pPr>
        <w:spacing w:after="0" w:line="193" w:lineRule="exact"/>
        <w:rPr>
          <w:sz w:val="20"/>
          <w:szCs w:val="20"/>
          <w:color w:val="auto"/>
        </w:rPr>
      </w:pPr>
    </w:p>
    <w:tbl>
      <w:tblPr>
        <w:tblLayout w:type="fixed"/>
        <w:tblInd w:w="1270" w:type="dxa"/>
        <w:tblCellMar>
          <w:top w:w="0" w:type="dxa"/>
          <w:left w:w="0" w:type="dxa"/>
          <w:bottom w:w="0" w:type="dxa"/>
          <w:right w:w="0" w:type="dxa"/>
        </w:tblCellMar>
      </w:tblPr>
      <w:tr>
        <w:trPr>
          <w:trHeight w:val="165"/>
        </w:trPr>
        <w:tc>
          <w:tcPr>
            <w:tcW w:w="4380" w:type="dxa"/>
            <w:vAlign w:val="bottom"/>
            <w:tcBorders>
              <w:top w:val="single" w:sz="8" w:color="auto"/>
              <w:left w:val="single" w:sz="8" w:color="auto"/>
              <w:right w:val="single" w:sz="8" w:color="auto"/>
            </w:tcBorders>
          </w:tcPr>
          <w:p>
            <w:pPr>
              <w:spacing w:after="0"/>
              <w:rPr>
                <w:sz w:val="14"/>
                <w:szCs w:val="14"/>
                <w:color w:val="auto"/>
              </w:rPr>
            </w:pPr>
          </w:p>
        </w:tc>
        <w:tc>
          <w:tcPr>
            <w:tcW w:w="2200" w:type="dxa"/>
            <w:vAlign w:val="bottom"/>
            <w:tcBorders>
              <w:top w:val="single" w:sz="8" w:color="auto"/>
              <w:right w:val="single" w:sz="8" w:color="auto"/>
            </w:tcBorders>
          </w:tcPr>
          <w:p>
            <w:pPr>
              <w:jc w:val="right"/>
              <w:ind w:right="237"/>
              <w:spacing w:after="0"/>
              <w:rPr>
                <w:sz w:val="20"/>
                <w:szCs w:val="20"/>
                <w:color w:val="auto"/>
              </w:rPr>
            </w:pPr>
            <w:r>
              <w:rPr>
                <w:rFonts w:ascii="Arial" w:cs="Arial" w:eastAsia="Arial" w:hAnsi="Arial"/>
                <w:sz w:val="13"/>
                <w:szCs w:val="13"/>
                <w:b w:val="1"/>
                <w:bCs w:val="1"/>
                <w:color w:val="auto"/>
              </w:rPr>
              <w:t>Change in Pension Value</w:t>
            </w:r>
          </w:p>
        </w:tc>
        <w:tc>
          <w:tcPr>
            <w:tcW w:w="1600" w:type="dxa"/>
            <w:vAlign w:val="bottom"/>
            <w:tcBorders>
              <w:top w:val="single" w:sz="8" w:color="auto"/>
              <w:right w:val="single" w:sz="8" w:color="auto"/>
            </w:tcBorders>
          </w:tcPr>
          <w:p>
            <w:pPr>
              <w:jc w:val="center"/>
              <w:ind w:left="117"/>
              <w:spacing w:after="0"/>
              <w:rPr>
                <w:sz w:val="20"/>
                <w:szCs w:val="20"/>
                <w:color w:val="auto"/>
              </w:rPr>
            </w:pPr>
            <w:r>
              <w:rPr>
                <w:rFonts w:ascii="Arial" w:cs="Arial" w:eastAsia="Arial" w:hAnsi="Arial"/>
                <w:sz w:val="13"/>
                <w:szCs w:val="13"/>
                <w:b w:val="1"/>
                <w:bCs w:val="1"/>
                <w:color w:val="auto"/>
                <w:w w:val="98"/>
              </w:rPr>
              <w:t>Change in</w:t>
            </w:r>
          </w:p>
        </w:tc>
      </w:tr>
      <w:tr>
        <w:trPr>
          <w:trHeight w:val="173"/>
        </w:trPr>
        <w:tc>
          <w:tcPr>
            <w:tcW w:w="4380" w:type="dxa"/>
            <w:vAlign w:val="bottom"/>
            <w:tcBorders>
              <w:left w:val="single" w:sz="8" w:color="auto"/>
              <w:bottom w:val="single" w:sz="8" w:color="auto"/>
              <w:right w:val="single" w:sz="8" w:color="auto"/>
            </w:tcBorders>
          </w:tcPr>
          <w:p>
            <w:pPr>
              <w:ind w:left="140"/>
              <w:spacing w:after="0"/>
              <w:rPr>
                <w:sz w:val="20"/>
                <w:szCs w:val="20"/>
                <w:color w:val="auto"/>
              </w:rPr>
            </w:pPr>
            <w:r>
              <w:rPr>
                <w:rFonts w:ascii="Arial" w:cs="Arial" w:eastAsia="Arial" w:hAnsi="Arial"/>
                <w:sz w:val="13"/>
                <w:szCs w:val="13"/>
                <w:b w:val="1"/>
                <w:bCs w:val="1"/>
                <w:color w:val="auto"/>
              </w:rPr>
              <w:t>Factors</w:t>
            </w:r>
          </w:p>
        </w:tc>
        <w:tc>
          <w:tcPr>
            <w:tcW w:w="2200" w:type="dxa"/>
            <w:vAlign w:val="bottom"/>
            <w:tcBorders>
              <w:bottom w:val="single" w:sz="8" w:color="auto"/>
              <w:right w:val="single" w:sz="8" w:color="auto"/>
            </w:tcBorders>
          </w:tcPr>
          <w:p>
            <w:pPr>
              <w:jc w:val="right"/>
              <w:ind w:right="377"/>
              <w:spacing w:after="0"/>
              <w:rPr>
                <w:sz w:val="20"/>
                <w:szCs w:val="20"/>
                <w:color w:val="auto"/>
              </w:rPr>
            </w:pPr>
            <w:r>
              <w:rPr>
                <w:rFonts w:ascii="Arial" w:cs="Arial" w:eastAsia="Arial" w:hAnsi="Arial"/>
                <w:sz w:val="13"/>
                <w:szCs w:val="13"/>
                <w:b w:val="1"/>
                <w:bCs w:val="1"/>
                <w:color w:val="auto"/>
              </w:rPr>
              <w:t>(Percent, Rounded)</w:t>
            </w:r>
          </w:p>
        </w:tc>
        <w:tc>
          <w:tcPr>
            <w:tcW w:w="1600" w:type="dxa"/>
            <w:vAlign w:val="bottom"/>
            <w:tcBorders>
              <w:bottom w:val="single" w:sz="8" w:color="auto"/>
              <w:right w:val="single" w:sz="8" w:color="auto"/>
            </w:tcBorders>
          </w:tcPr>
          <w:p>
            <w:pPr>
              <w:jc w:val="center"/>
              <w:ind w:left="117"/>
              <w:spacing w:after="0"/>
              <w:rPr>
                <w:sz w:val="20"/>
                <w:szCs w:val="20"/>
                <w:color w:val="auto"/>
              </w:rPr>
            </w:pPr>
            <w:r>
              <w:rPr>
                <w:rFonts w:ascii="Arial" w:cs="Arial" w:eastAsia="Arial" w:hAnsi="Arial"/>
                <w:sz w:val="13"/>
                <w:szCs w:val="13"/>
                <w:b w:val="1"/>
                <w:bCs w:val="1"/>
                <w:color w:val="auto"/>
                <w:w w:val="96"/>
              </w:rPr>
              <w:t>Present Value ($)</w:t>
            </w:r>
          </w:p>
        </w:tc>
      </w:tr>
      <w:tr>
        <w:trPr>
          <w:trHeight w:val="210"/>
        </w:trPr>
        <w:tc>
          <w:tcPr>
            <w:tcW w:w="4380" w:type="dxa"/>
            <w:vAlign w:val="bottom"/>
            <w:tcBorders>
              <w:left w:val="single" w:sz="8" w:color="auto"/>
              <w:right w:val="single" w:sz="8" w:color="auto"/>
            </w:tcBorders>
            <w:shd w:val="clear" w:color="auto" w:fill="D4DBEB"/>
          </w:tcPr>
          <w:p>
            <w:pPr>
              <w:ind w:left="160"/>
              <w:spacing w:after="0"/>
              <w:rPr>
                <w:sz w:val="20"/>
                <w:szCs w:val="20"/>
                <w:color w:val="auto"/>
              </w:rPr>
            </w:pPr>
            <w:r>
              <w:rPr>
                <w:rFonts w:ascii="Arial" w:cs="Arial" w:eastAsia="Arial" w:hAnsi="Arial"/>
                <w:sz w:val="13"/>
                <w:szCs w:val="13"/>
                <w:color w:val="auto"/>
              </w:rPr>
              <w:t>Lump Sum Interest Rate and Change in Mortality Tables</w:t>
            </w:r>
          </w:p>
        </w:tc>
        <w:tc>
          <w:tcPr>
            <w:tcW w:w="2200" w:type="dxa"/>
            <w:vAlign w:val="bottom"/>
            <w:tcBorders>
              <w:right w:val="single" w:sz="8" w:color="auto"/>
            </w:tcBorders>
            <w:shd w:val="clear" w:color="auto" w:fill="D4DBEB"/>
          </w:tcPr>
          <w:p>
            <w:pPr>
              <w:jc w:val="right"/>
              <w:ind w:right="837"/>
              <w:spacing w:after="0"/>
              <w:rPr>
                <w:sz w:val="20"/>
                <w:szCs w:val="20"/>
                <w:color w:val="auto"/>
              </w:rPr>
            </w:pPr>
            <w:r>
              <w:rPr>
                <w:rFonts w:ascii="Arial" w:cs="Arial" w:eastAsia="Arial" w:hAnsi="Arial"/>
                <w:sz w:val="13"/>
                <w:szCs w:val="13"/>
                <w:color w:val="auto"/>
              </w:rPr>
              <w:t>0.5</w:t>
            </w:r>
          </w:p>
        </w:tc>
        <w:tc>
          <w:tcPr>
            <w:tcW w:w="1600" w:type="dxa"/>
            <w:vAlign w:val="bottom"/>
            <w:tcBorders>
              <w:right w:val="single" w:sz="8" w:color="auto"/>
            </w:tcBorders>
            <w:shd w:val="clear" w:color="auto" w:fill="D4DBEB"/>
          </w:tcPr>
          <w:p>
            <w:pPr>
              <w:jc w:val="right"/>
              <w:ind w:right="397"/>
              <w:spacing w:after="0"/>
              <w:rPr>
                <w:sz w:val="20"/>
                <w:szCs w:val="20"/>
                <w:color w:val="auto"/>
              </w:rPr>
            </w:pPr>
            <w:r>
              <w:rPr>
                <w:rFonts w:ascii="Arial" w:cs="Arial" w:eastAsia="Arial" w:hAnsi="Arial"/>
                <w:sz w:val="13"/>
                <w:szCs w:val="13"/>
                <w:color w:val="auto"/>
              </w:rPr>
              <w:t>45,278</w:t>
            </w:r>
          </w:p>
        </w:tc>
      </w:tr>
      <w:tr>
        <w:trPr>
          <w:trHeight w:val="223"/>
        </w:trPr>
        <w:tc>
          <w:tcPr>
            <w:tcW w:w="4380" w:type="dxa"/>
            <w:vAlign w:val="bottom"/>
            <w:tcBorders>
              <w:left w:val="single" w:sz="8" w:color="auto"/>
              <w:right w:val="single" w:sz="8" w:color="auto"/>
            </w:tcBorders>
          </w:tcPr>
          <w:p>
            <w:pPr>
              <w:ind w:left="160"/>
              <w:spacing w:after="0"/>
              <w:rPr>
                <w:sz w:val="20"/>
                <w:szCs w:val="20"/>
                <w:color w:val="auto"/>
              </w:rPr>
            </w:pPr>
            <w:r>
              <w:rPr>
                <w:rFonts w:ascii="Arial" w:cs="Arial" w:eastAsia="Arial" w:hAnsi="Arial"/>
                <w:sz w:val="13"/>
                <w:szCs w:val="13"/>
                <w:color w:val="auto"/>
              </w:rPr>
              <w:t>Change in Final Average Bonus</w:t>
            </w:r>
          </w:p>
        </w:tc>
        <w:tc>
          <w:tcPr>
            <w:tcW w:w="2200" w:type="dxa"/>
            <w:vAlign w:val="bottom"/>
            <w:tcBorders>
              <w:right w:val="single" w:sz="8" w:color="auto"/>
            </w:tcBorders>
          </w:tcPr>
          <w:p>
            <w:pPr>
              <w:jc w:val="right"/>
              <w:ind w:right="837"/>
              <w:spacing w:after="0"/>
              <w:rPr>
                <w:sz w:val="20"/>
                <w:szCs w:val="20"/>
                <w:color w:val="auto"/>
              </w:rPr>
            </w:pPr>
            <w:r>
              <w:rPr>
                <w:rFonts w:ascii="Arial" w:cs="Arial" w:eastAsia="Arial" w:hAnsi="Arial"/>
                <w:sz w:val="13"/>
                <w:szCs w:val="13"/>
                <w:color w:val="auto"/>
              </w:rPr>
              <w:t>15.8</w:t>
            </w:r>
          </w:p>
        </w:tc>
        <w:tc>
          <w:tcPr>
            <w:tcW w:w="1600" w:type="dxa"/>
            <w:vAlign w:val="bottom"/>
            <w:tcBorders>
              <w:right w:val="single" w:sz="8" w:color="auto"/>
            </w:tcBorders>
          </w:tcPr>
          <w:p>
            <w:pPr>
              <w:jc w:val="center"/>
              <w:ind w:left="137"/>
              <w:spacing w:after="0"/>
              <w:rPr>
                <w:sz w:val="20"/>
                <w:szCs w:val="20"/>
                <w:color w:val="auto"/>
              </w:rPr>
            </w:pPr>
            <w:r>
              <w:rPr>
                <w:rFonts w:ascii="Arial" w:cs="Arial" w:eastAsia="Arial" w:hAnsi="Arial"/>
                <w:sz w:val="13"/>
                <w:szCs w:val="13"/>
                <w:color w:val="auto"/>
                <w:w w:val="96"/>
              </w:rPr>
              <w:t>1,370,371</w:t>
            </w:r>
          </w:p>
        </w:tc>
      </w:tr>
      <w:tr>
        <w:trPr>
          <w:trHeight w:val="237"/>
        </w:trPr>
        <w:tc>
          <w:tcPr>
            <w:tcW w:w="4380" w:type="dxa"/>
            <w:vAlign w:val="bottom"/>
            <w:tcBorders>
              <w:left w:val="single" w:sz="8" w:color="auto"/>
              <w:right w:val="single" w:sz="8" w:color="auto"/>
            </w:tcBorders>
            <w:shd w:val="clear" w:color="auto" w:fill="D4DBEB"/>
          </w:tcPr>
          <w:p>
            <w:pPr>
              <w:ind w:left="160"/>
              <w:spacing w:after="0"/>
              <w:rPr>
                <w:sz w:val="20"/>
                <w:szCs w:val="20"/>
                <w:color w:val="auto"/>
              </w:rPr>
            </w:pPr>
            <w:r>
              <w:rPr>
                <w:rFonts w:ascii="Arial" w:cs="Arial" w:eastAsia="Arial" w:hAnsi="Arial"/>
                <w:sz w:val="13"/>
                <w:szCs w:val="13"/>
                <w:color w:val="auto"/>
              </w:rPr>
              <w:t>Change in Final Average Salary</w:t>
            </w:r>
          </w:p>
        </w:tc>
        <w:tc>
          <w:tcPr>
            <w:tcW w:w="2200" w:type="dxa"/>
            <w:vAlign w:val="bottom"/>
            <w:tcBorders>
              <w:right w:val="single" w:sz="8" w:color="auto"/>
            </w:tcBorders>
            <w:shd w:val="clear" w:color="auto" w:fill="D4DBEB"/>
          </w:tcPr>
          <w:p>
            <w:pPr>
              <w:jc w:val="right"/>
              <w:ind w:right="837"/>
              <w:spacing w:after="0"/>
              <w:rPr>
                <w:sz w:val="20"/>
                <w:szCs w:val="20"/>
                <w:color w:val="auto"/>
              </w:rPr>
            </w:pPr>
            <w:r>
              <w:rPr>
                <w:rFonts w:ascii="Arial" w:cs="Arial" w:eastAsia="Arial" w:hAnsi="Arial"/>
                <w:sz w:val="13"/>
                <w:szCs w:val="13"/>
                <w:color w:val="auto"/>
              </w:rPr>
              <w:t>10.2</w:t>
            </w:r>
          </w:p>
        </w:tc>
        <w:tc>
          <w:tcPr>
            <w:tcW w:w="1600" w:type="dxa"/>
            <w:vAlign w:val="bottom"/>
            <w:tcBorders>
              <w:right w:val="single" w:sz="8" w:color="auto"/>
            </w:tcBorders>
            <w:shd w:val="clear" w:color="auto" w:fill="D4DBEB"/>
          </w:tcPr>
          <w:p>
            <w:pPr>
              <w:jc w:val="right"/>
              <w:ind w:right="377"/>
              <w:spacing w:after="0"/>
              <w:rPr>
                <w:sz w:val="20"/>
                <w:szCs w:val="20"/>
                <w:color w:val="auto"/>
              </w:rPr>
            </w:pPr>
            <w:r>
              <w:rPr>
                <w:rFonts w:ascii="Arial" w:cs="Arial" w:eastAsia="Arial" w:hAnsi="Arial"/>
                <w:sz w:val="13"/>
                <w:szCs w:val="13"/>
                <w:color w:val="auto"/>
              </w:rPr>
              <w:t>885,589</w:t>
            </w:r>
          </w:p>
        </w:tc>
      </w:tr>
      <w:tr>
        <w:trPr>
          <w:trHeight w:val="223"/>
        </w:trPr>
        <w:tc>
          <w:tcPr>
            <w:tcW w:w="4380" w:type="dxa"/>
            <w:vAlign w:val="bottom"/>
            <w:tcBorders>
              <w:left w:val="single" w:sz="8" w:color="auto"/>
              <w:right w:val="single" w:sz="8" w:color="auto"/>
            </w:tcBorders>
          </w:tcPr>
          <w:p>
            <w:pPr>
              <w:ind w:left="160"/>
              <w:spacing w:after="0"/>
              <w:rPr>
                <w:sz w:val="20"/>
                <w:szCs w:val="20"/>
                <w:color w:val="auto"/>
              </w:rPr>
            </w:pPr>
            <w:r>
              <w:rPr>
                <w:rFonts w:ascii="Arial" w:cs="Arial" w:eastAsia="Arial" w:hAnsi="Arial"/>
                <w:sz w:val="13"/>
                <w:szCs w:val="13"/>
                <w:color w:val="auto"/>
              </w:rPr>
              <w:t>Age and Service</w:t>
            </w:r>
          </w:p>
        </w:tc>
        <w:tc>
          <w:tcPr>
            <w:tcW w:w="2200" w:type="dxa"/>
            <w:vAlign w:val="bottom"/>
            <w:tcBorders>
              <w:right w:val="single" w:sz="8" w:color="auto"/>
            </w:tcBorders>
          </w:tcPr>
          <w:p>
            <w:pPr>
              <w:jc w:val="right"/>
              <w:ind w:right="837"/>
              <w:spacing w:after="0"/>
              <w:rPr>
                <w:sz w:val="20"/>
                <w:szCs w:val="20"/>
                <w:color w:val="auto"/>
              </w:rPr>
            </w:pPr>
            <w:r>
              <w:rPr>
                <w:rFonts w:ascii="Arial" w:cs="Arial" w:eastAsia="Arial" w:hAnsi="Arial"/>
                <w:sz w:val="13"/>
                <w:szCs w:val="13"/>
                <w:color w:val="auto"/>
              </w:rPr>
              <w:t>11.8</w:t>
            </w:r>
          </w:p>
        </w:tc>
        <w:tc>
          <w:tcPr>
            <w:tcW w:w="1600" w:type="dxa"/>
            <w:vAlign w:val="bottom"/>
            <w:tcBorders>
              <w:right w:val="single" w:sz="8" w:color="auto"/>
            </w:tcBorders>
          </w:tcPr>
          <w:p>
            <w:pPr>
              <w:jc w:val="center"/>
              <w:ind w:left="137"/>
              <w:spacing w:after="0"/>
              <w:rPr>
                <w:sz w:val="20"/>
                <w:szCs w:val="20"/>
                <w:color w:val="auto"/>
              </w:rPr>
            </w:pPr>
            <w:r>
              <w:rPr>
                <w:rFonts w:ascii="Arial" w:cs="Arial" w:eastAsia="Arial" w:hAnsi="Arial"/>
                <w:sz w:val="13"/>
                <w:szCs w:val="13"/>
                <w:color w:val="auto"/>
                <w:w w:val="96"/>
              </w:rPr>
              <w:t>1,024,541</w:t>
            </w:r>
          </w:p>
        </w:tc>
      </w:tr>
      <w:tr>
        <w:trPr>
          <w:trHeight w:val="233"/>
        </w:trPr>
        <w:tc>
          <w:tcPr>
            <w:tcW w:w="4380" w:type="dxa"/>
            <w:vAlign w:val="bottom"/>
            <w:tcBorders>
              <w:left w:val="single" w:sz="8" w:color="auto"/>
              <w:bottom w:val="single" w:sz="8" w:color="auto"/>
              <w:right w:val="single" w:sz="8" w:color="auto"/>
            </w:tcBorders>
            <w:shd w:val="clear" w:color="auto" w:fill="D4DBEB"/>
          </w:tcPr>
          <w:p>
            <w:pPr>
              <w:ind w:left="160"/>
              <w:spacing w:after="0"/>
              <w:rPr>
                <w:sz w:val="20"/>
                <w:szCs w:val="20"/>
                <w:color w:val="auto"/>
              </w:rPr>
            </w:pPr>
            <w:r>
              <w:rPr>
                <w:rFonts w:ascii="Arial" w:cs="Arial" w:eastAsia="Arial" w:hAnsi="Arial"/>
                <w:sz w:val="13"/>
                <w:szCs w:val="13"/>
                <w:b w:val="1"/>
                <w:bCs w:val="1"/>
                <w:color w:val="auto"/>
              </w:rPr>
              <w:t>Total</w:t>
            </w:r>
          </w:p>
        </w:tc>
        <w:tc>
          <w:tcPr>
            <w:tcW w:w="2200" w:type="dxa"/>
            <w:vAlign w:val="bottom"/>
            <w:tcBorders>
              <w:bottom w:val="single" w:sz="8" w:color="auto"/>
              <w:right w:val="single" w:sz="8" w:color="auto"/>
            </w:tcBorders>
            <w:shd w:val="clear" w:color="auto" w:fill="D4DBEB"/>
          </w:tcPr>
          <w:p>
            <w:pPr>
              <w:jc w:val="right"/>
              <w:ind w:right="837"/>
              <w:spacing w:after="0"/>
              <w:rPr>
                <w:sz w:val="20"/>
                <w:szCs w:val="20"/>
                <w:color w:val="auto"/>
              </w:rPr>
            </w:pPr>
            <w:r>
              <w:rPr>
                <w:rFonts w:ascii="Arial" w:cs="Arial" w:eastAsia="Arial" w:hAnsi="Arial"/>
                <w:sz w:val="13"/>
                <w:szCs w:val="13"/>
                <w:b w:val="1"/>
                <w:bCs w:val="1"/>
                <w:color w:val="auto"/>
              </w:rPr>
              <w:t>38.4</w:t>
            </w:r>
          </w:p>
        </w:tc>
        <w:tc>
          <w:tcPr>
            <w:tcW w:w="1600" w:type="dxa"/>
            <w:vAlign w:val="bottom"/>
            <w:tcBorders>
              <w:bottom w:val="single" w:sz="8" w:color="auto"/>
              <w:right w:val="single" w:sz="8" w:color="auto"/>
            </w:tcBorders>
            <w:shd w:val="clear" w:color="auto" w:fill="D4DBEB"/>
          </w:tcPr>
          <w:p>
            <w:pPr>
              <w:jc w:val="right"/>
              <w:ind w:right="377"/>
              <w:spacing w:after="0"/>
              <w:rPr>
                <w:sz w:val="20"/>
                <w:szCs w:val="20"/>
                <w:color w:val="auto"/>
              </w:rPr>
            </w:pPr>
            <w:r>
              <w:rPr>
                <w:rFonts w:ascii="Arial" w:cs="Arial" w:eastAsia="Arial" w:hAnsi="Arial"/>
                <w:sz w:val="13"/>
                <w:szCs w:val="13"/>
                <w:b w:val="1"/>
                <w:bCs w:val="1"/>
                <w:color w:val="auto"/>
              </w:rPr>
              <w:t>3,325,779</w:t>
            </w:r>
          </w:p>
        </w:tc>
      </w:tr>
    </w:tbl>
    <w:p>
      <w:pPr>
        <w:spacing w:after="0" w:line="191" w:lineRule="exact"/>
        <w:rPr>
          <w:sz w:val="20"/>
          <w:szCs w:val="20"/>
          <w:color w:val="auto"/>
        </w:rPr>
      </w:pPr>
    </w:p>
    <w:p>
      <w:pPr>
        <w:ind w:left="860"/>
        <w:spacing w:after="0"/>
        <w:rPr>
          <w:sz w:val="20"/>
          <w:szCs w:val="20"/>
          <w:color w:val="auto"/>
        </w:rPr>
      </w:pPr>
      <w:r>
        <w:rPr>
          <w:rFonts w:ascii="Arial" w:cs="Arial" w:eastAsia="Arial" w:hAnsi="Arial"/>
          <w:sz w:val="18"/>
          <w:szCs w:val="18"/>
          <w:b w:val="1"/>
          <w:bCs w:val="1"/>
          <w:color w:val="auto"/>
        </w:rPr>
        <w:t>All Other Compensation</w:t>
      </w:r>
    </w:p>
    <w:p>
      <w:pPr>
        <w:spacing w:after="0" w:line="106" w:lineRule="exact"/>
        <w:rPr>
          <w:sz w:val="20"/>
          <w:szCs w:val="20"/>
          <w:color w:val="auto"/>
        </w:rPr>
      </w:pPr>
    </w:p>
    <w:p>
      <w:pPr>
        <w:ind w:left="860" w:right="1020"/>
        <w:spacing w:after="0" w:line="276" w:lineRule="auto"/>
        <w:rPr>
          <w:sz w:val="20"/>
          <w:szCs w:val="20"/>
          <w:color w:val="auto"/>
        </w:rPr>
      </w:pPr>
      <w:r>
        <w:rPr>
          <w:rFonts w:ascii="Arial" w:cs="Arial" w:eastAsia="Arial" w:hAnsi="Arial"/>
          <w:sz w:val="18"/>
          <w:szCs w:val="18"/>
          <w:color w:val="auto"/>
        </w:rPr>
        <w:t>The following table breaks down the amounts included in the All Other Compensation column of the Summary Compensation Table for 2017.</w:t>
      </w:r>
    </w:p>
    <w:p>
      <w:pPr>
        <w:spacing w:after="0" w:line="175" w:lineRule="exact"/>
        <w:rPr>
          <w:sz w:val="20"/>
          <w:szCs w:val="20"/>
          <w:color w:val="auto"/>
        </w:rPr>
      </w:pPr>
    </w:p>
    <w:tbl>
      <w:tblPr>
        <w:tblLayout w:type="fixed"/>
        <w:tblInd w:w="870" w:type="dxa"/>
        <w:tblCellMar>
          <w:top w:w="0" w:type="dxa"/>
          <w:left w:w="0" w:type="dxa"/>
          <w:bottom w:w="0" w:type="dxa"/>
          <w:right w:w="0" w:type="dxa"/>
        </w:tblCellMar>
      </w:tblPr>
      <w:tr>
        <w:trPr>
          <w:trHeight w:val="203"/>
        </w:trPr>
        <w:tc>
          <w:tcPr>
            <w:tcW w:w="1400" w:type="dxa"/>
            <w:vAlign w:val="bottom"/>
            <w:tcBorders>
              <w:top w:val="single" w:sz="8" w:color="auto"/>
              <w:left w:val="single" w:sz="8" w:color="auto"/>
            </w:tcBorders>
          </w:tcPr>
          <w:p>
            <w:pPr>
              <w:spacing w:after="0"/>
              <w:rPr>
                <w:sz w:val="17"/>
                <w:szCs w:val="17"/>
                <w:color w:val="auto"/>
              </w:rPr>
            </w:pPr>
          </w:p>
        </w:tc>
        <w:tc>
          <w:tcPr>
            <w:tcW w:w="1000" w:type="dxa"/>
            <w:vAlign w:val="bottom"/>
            <w:tcBorders>
              <w:top w:val="single" w:sz="8" w:color="auto"/>
              <w:right w:val="single" w:sz="8" w:color="auto"/>
            </w:tcBorders>
          </w:tcPr>
          <w:p>
            <w:pPr>
              <w:spacing w:after="0"/>
              <w:rPr>
                <w:sz w:val="17"/>
                <w:szCs w:val="17"/>
                <w:color w:val="auto"/>
              </w:rPr>
            </w:pPr>
          </w:p>
        </w:tc>
        <w:tc>
          <w:tcPr>
            <w:tcW w:w="1180" w:type="dxa"/>
            <w:vAlign w:val="bottom"/>
            <w:tcBorders>
              <w:top w:val="single" w:sz="8" w:color="auto"/>
              <w:bottom w:val="single" w:sz="8" w:color="auto"/>
              <w:right w:val="single" w:sz="8" w:color="auto"/>
            </w:tcBorders>
          </w:tcPr>
          <w:p>
            <w:pPr>
              <w:jc w:val="right"/>
              <w:ind w:right="477"/>
              <w:spacing w:after="0"/>
              <w:rPr>
                <w:sz w:val="20"/>
                <w:szCs w:val="20"/>
                <w:color w:val="auto"/>
              </w:rPr>
            </w:pPr>
            <w:r>
              <w:rPr>
                <w:rFonts w:ascii="Arial" w:cs="Arial" w:eastAsia="Arial" w:hAnsi="Arial"/>
                <w:sz w:val="13"/>
                <w:szCs w:val="13"/>
                <w:b w:val="1"/>
                <w:bCs w:val="1"/>
                <w:color w:val="auto"/>
              </w:rPr>
              <w:t>Life</w:t>
            </w:r>
          </w:p>
        </w:tc>
        <w:tc>
          <w:tcPr>
            <w:tcW w:w="820" w:type="dxa"/>
            <w:vAlign w:val="bottom"/>
            <w:tcBorders>
              <w:top w:val="single" w:sz="8" w:color="auto"/>
              <w:bottom w:val="single" w:sz="8" w:color="auto"/>
              <w:right w:val="single" w:sz="8" w:color="auto"/>
            </w:tcBorders>
          </w:tcPr>
          <w:p>
            <w:pPr>
              <w:jc w:val="right"/>
              <w:ind w:right="137"/>
              <w:spacing w:after="0"/>
              <w:rPr>
                <w:sz w:val="20"/>
                <w:szCs w:val="20"/>
                <w:color w:val="auto"/>
              </w:rPr>
            </w:pPr>
            <w:r>
              <w:rPr>
                <w:rFonts w:ascii="Arial" w:cs="Arial" w:eastAsia="Arial" w:hAnsi="Arial"/>
                <w:sz w:val="13"/>
                <w:szCs w:val="13"/>
                <w:b w:val="1"/>
                <w:bCs w:val="1"/>
                <w:color w:val="auto"/>
              </w:rPr>
              <w:t>Savings</w:t>
            </w:r>
          </w:p>
        </w:tc>
        <w:tc>
          <w:tcPr>
            <w:tcW w:w="1020" w:type="dxa"/>
            <w:vAlign w:val="bottom"/>
            <w:tcBorders>
              <w:top w:val="single" w:sz="8" w:color="auto"/>
              <w:bottom w:val="single" w:sz="8" w:color="auto"/>
              <w:right w:val="single" w:sz="8" w:color="auto"/>
            </w:tcBorders>
          </w:tcPr>
          <w:p>
            <w:pPr>
              <w:jc w:val="right"/>
              <w:ind w:right="217"/>
              <w:spacing w:after="0"/>
              <w:rPr>
                <w:sz w:val="20"/>
                <w:szCs w:val="20"/>
                <w:color w:val="auto"/>
              </w:rPr>
            </w:pPr>
            <w:r>
              <w:rPr>
                <w:rFonts w:ascii="Arial" w:cs="Arial" w:eastAsia="Arial" w:hAnsi="Arial"/>
                <w:sz w:val="13"/>
                <w:szCs w:val="13"/>
                <w:b w:val="1"/>
                <w:bCs w:val="1"/>
                <w:color w:val="auto"/>
              </w:rPr>
              <w:t>Personal</w:t>
            </w:r>
          </w:p>
        </w:tc>
        <w:tc>
          <w:tcPr>
            <w:tcW w:w="2400" w:type="dxa"/>
            <w:vAlign w:val="bottom"/>
            <w:tcBorders>
              <w:top w:val="single" w:sz="8" w:color="auto"/>
              <w:bottom w:val="single" w:sz="8" w:color="auto"/>
              <w:right w:val="single" w:sz="8" w:color="auto"/>
            </w:tcBorders>
            <w:gridSpan w:val="2"/>
          </w:tcPr>
          <w:p>
            <w:pPr>
              <w:jc w:val="right"/>
              <w:ind w:right="397"/>
              <w:spacing w:after="0"/>
              <w:rPr>
                <w:sz w:val="20"/>
                <w:szCs w:val="20"/>
                <w:color w:val="auto"/>
              </w:rPr>
            </w:pPr>
            <w:r>
              <w:rPr>
                <w:rFonts w:ascii="Arial" w:cs="Arial" w:eastAsia="Arial" w:hAnsi="Arial"/>
                <w:sz w:val="13"/>
                <w:szCs w:val="13"/>
                <w:b w:val="1"/>
                <w:bCs w:val="1"/>
                <w:color w:val="auto"/>
              </w:rPr>
              <w:t>Personal Use of Company</w:t>
            </w:r>
          </w:p>
        </w:tc>
        <w:tc>
          <w:tcPr>
            <w:tcW w:w="1060" w:type="dxa"/>
            <w:vAlign w:val="bottom"/>
            <w:tcBorders>
              <w:top w:val="single" w:sz="8" w:color="auto"/>
              <w:bottom w:val="single" w:sz="8" w:color="auto"/>
              <w:right w:val="single" w:sz="8" w:color="auto"/>
            </w:tcBorders>
          </w:tcPr>
          <w:p>
            <w:pPr>
              <w:jc w:val="right"/>
              <w:ind w:right="237"/>
              <w:spacing w:after="0"/>
              <w:rPr>
                <w:sz w:val="20"/>
                <w:szCs w:val="20"/>
                <w:color w:val="auto"/>
              </w:rPr>
            </w:pPr>
            <w:r>
              <w:rPr>
                <w:rFonts w:ascii="Arial" w:cs="Arial" w:eastAsia="Arial" w:hAnsi="Arial"/>
                <w:sz w:val="13"/>
                <w:szCs w:val="13"/>
                <w:b w:val="1"/>
                <w:bCs w:val="1"/>
                <w:color w:val="auto"/>
              </w:rPr>
              <w:t>Financial</w:t>
            </w:r>
          </w:p>
        </w:tc>
        <w:tc>
          <w:tcPr>
            <w:tcW w:w="860" w:type="dxa"/>
            <w:vAlign w:val="bottom"/>
            <w:tcBorders>
              <w:top w:val="single" w:sz="8" w:color="auto"/>
              <w:right w:val="single" w:sz="8" w:color="auto"/>
            </w:tcBorders>
          </w:tcPr>
          <w:p>
            <w:pPr>
              <w:spacing w:after="0"/>
              <w:rPr>
                <w:sz w:val="17"/>
                <w:szCs w:val="17"/>
                <w:color w:val="auto"/>
              </w:rPr>
            </w:pPr>
          </w:p>
        </w:tc>
      </w:tr>
      <w:tr>
        <w:trPr>
          <w:trHeight w:val="192"/>
        </w:trPr>
        <w:tc>
          <w:tcPr>
            <w:tcW w:w="1400" w:type="dxa"/>
            <w:vAlign w:val="bottom"/>
            <w:tcBorders>
              <w:left w:val="single" w:sz="8" w:color="auto"/>
              <w:bottom w:val="single" w:sz="8" w:color="auto"/>
            </w:tcBorders>
          </w:tcPr>
          <w:p>
            <w:pPr>
              <w:ind w:left="140"/>
              <w:spacing w:after="0"/>
              <w:rPr>
                <w:sz w:val="20"/>
                <w:szCs w:val="20"/>
                <w:color w:val="auto"/>
              </w:rPr>
            </w:pPr>
            <w:r>
              <w:rPr>
                <w:rFonts w:ascii="Arial" w:cs="Arial" w:eastAsia="Arial" w:hAnsi="Arial"/>
                <w:sz w:val="13"/>
                <w:szCs w:val="13"/>
                <w:b w:val="1"/>
                <w:bCs w:val="1"/>
                <w:color w:val="auto"/>
              </w:rPr>
              <w:t>Name</w:t>
            </w:r>
          </w:p>
        </w:tc>
        <w:tc>
          <w:tcPr>
            <w:tcW w:w="1000" w:type="dxa"/>
            <w:vAlign w:val="bottom"/>
            <w:tcBorders>
              <w:bottom w:val="single" w:sz="8" w:color="auto"/>
              <w:right w:val="single" w:sz="8" w:color="auto"/>
            </w:tcBorders>
          </w:tcPr>
          <w:p>
            <w:pPr>
              <w:spacing w:after="0"/>
              <w:rPr>
                <w:sz w:val="16"/>
                <w:szCs w:val="16"/>
                <w:color w:val="auto"/>
              </w:rPr>
            </w:pPr>
          </w:p>
        </w:tc>
        <w:tc>
          <w:tcPr>
            <w:tcW w:w="1180" w:type="dxa"/>
            <w:vAlign w:val="bottom"/>
            <w:tcBorders>
              <w:bottom w:val="single" w:sz="8" w:color="auto"/>
              <w:right w:val="single" w:sz="8" w:color="auto"/>
            </w:tcBorders>
          </w:tcPr>
          <w:p>
            <w:pPr>
              <w:jc w:val="right"/>
              <w:ind w:right="157"/>
              <w:spacing w:after="0"/>
              <w:rPr>
                <w:sz w:val="20"/>
                <w:szCs w:val="20"/>
                <w:color w:val="auto"/>
              </w:rPr>
            </w:pPr>
            <w:r>
              <w:rPr>
                <w:rFonts w:ascii="Arial" w:cs="Arial" w:eastAsia="Arial" w:hAnsi="Arial"/>
                <w:sz w:val="13"/>
                <w:szCs w:val="13"/>
                <w:b w:val="1"/>
                <w:bCs w:val="1"/>
                <w:color w:val="auto"/>
              </w:rPr>
              <w:t>Insurance ($)</w:t>
            </w:r>
          </w:p>
        </w:tc>
        <w:tc>
          <w:tcPr>
            <w:tcW w:w="820" w:type="dxa"/>
            <w:vAlign w:val="bottom"/>
            <w:tcBorders>
              <w:bottom w:val="single" w:sz="8" w:color="auto"/>
              <w:right w:val="single" w:sz="8" w:color="auto"/>
            </w:tcBorders>
          </w:tcPr>
          <w:p>
            <w:pPr>
              <w:jc w:val="right"/>
              <w:ind w:right="157"/>
              <w:spacing w:after="0"/>
              <w:rPr>
                <w:sz w:val="20"/>
                <w:szCs w:val="20"/>
                <w:color w:val="auto"/>
              </w:rPr>
            </w:pPr>
            <w:r>
              <w:rPr>
                <w:rFonts w:ascii="Arial" w:cs="Arial" w:eastAsia="Arial" w:hAnsi="Arial"/>
                <w:sz w:val="13"/>
                <w:szCs w:val="13"/>
                <w:b w:val="1"/>
                <w:bCs w:val="1"/>
                <w:color w:val="auto"/>
              </w:rPr>
              <w:t>Plan ($)</w:t>
            </w:r>
          </w:p>
        </w:tc>
        <w:tc>
          <w:tcPr>
            <w:tcW w:w="1020" w:type="dxa"/>
            <w:vAlign w:val="bottom"/>
            <w:tcBorders>
              <w:bottom w:val="single" w:sz="8" w:color="auto"/>
              <w:right w:val="single" w:sz="8" w:color="auto"/>
            </w:tcBorders>
          </w:tcPr>
          <w:p>
            <w:pPr>
              <w:jc w:val="right"/>
              <w:ind w:right="137"/>
              <w:spacing w:after="0"/>
              <w:rPr>
                <w:sz w:val="20"/>
                <w:szCs w:val="20"/>
                <w:color w:val="auto"/>
              </w:rPr>
            </w:pPr>
            <w:r>
              <w:rPr>
                <w:rFonts w:ascii="Arial" w:cs="Arial" w:eastAsia="Arial" w:hAnsi="Arial"/>
                <w:sz w:val="13"/>
                <w:szCs w:val="13"/>
                <w:b w:val="1"/>
                <w:bCs w:val="1"/>
                <w:color w:val="auto"/>
              </w:rPr>
              <w:t>Security ($)</w:t>
            </w:r>
          </w:p>
        </w:tc>
        <w:tc>
          <w:tcPr>
            <w:tcW w:w="980" w:type="dxa"/>
            <w:vAlign w:val="bottom"/>
            <w:tcBorders>
              <w:bottom w:val="single" w:sz="8" w:color="auto"/>
              <w:right w:val="single" w:sz="8" w:color="auto"/>
            </w:tcBorders>
          </w:tcPr>
          <w:p>
            <w:pPr>
              <w:jc w:val="right"/>
              <w:ind w:right="137"/>
              <w:spacing w:after="0"/>
              <w:rPr>
                <w:sz w:val="20"/>
                <w:szCs w:val="20"/>
                <w:color w:val="auto"/>
              </w:rPr>
            </w:pPr>
            <w:r>
              <w:rPr>
                <w:rFonts w:ascii="Arial" w:cs="Arial" w:eastAsia="Arial" w:hAnsi="Arial"/>
                <w:sz w:val="13"/>
                <w:szCs w:val="13"/>
                <w:b w:val="1"/>
                <w:bCs w:val="1"/>
                <w:color w:val="auto"/>
              </w:rPr>
              <w:t>Aircraft ($)</w:t>
            </w:r>
          </w:p>
        </w:tc>
        <w:tc>
          <w:tcPr>
            <w:tcW w:w="1420" w:type="dxa"/>
            <w:vAlign w:val="bottom"/>
            <w:tcBorders>
              <w:bottom w:val="single" w:sz="8" w:color="auto"/>
              <w:right w:val="single" w:sz="8" w:color="auto"/>
            </w:tcBorders>
          </w:tcPr>
          <w:p>
            <w:pPr>
              <w:jc w:val="right"/>
              <w:ind w:right="157"/>
              <w:spacing w:after="0"/>
              <w:rPr>
                <w:sz w:val="20"/>
                <w:szCs w:val="20"/>
                <w:color w:val="auto"/>
              </w:rPr>
            </w:pPr>
            <w:r>
              <w:rPr>
                <w:rFonts w:ascii="Arial" w:cs="Arial" w:eastAsia="Arial" w:hAnsi="Arial"/>
                <w:sz w:val="13"/>
                <w:szCs w:val="13"/>
                <w:b w:val="1"/>
                <w:bCs w:val="1"/>
                <w:color w:val="auto"/>
              </w:rPr>
              <w:t>Properties/Car ($)</w:t>
            </w:r>
          </w:p>
        </w:tc>
        <w:tc>
          <w:tcPr>
            <w:tcW w:w="1060" w:type="dxa"/>
            <w:vAlign w:val="bottom"/>
            <w:tcBorders>
              <w:bottom w:val="single" w:sz="8" w:color="auto"/>
              <w:right w:val="single" w:sz="8" w:color="auto"/>
            </w:tcBorders>
          </w:tcPr>
          <w:p>
            <w:pPr>
              <w:jc w:val="right"/>
              <w:ind w:right="137"/>
              <w:spacing w:after="0"/>
              <w:rPr>
                <w:sz w:val="20"/>
                <w:szCs w:val="20"/>
                <w:color w:val="auto"/>
              </w:rPr>
            </w:pPr>
            <w:r>
              <w:rPr>
                <w:rFonts w:ascii="Arial" w:cs="Arial" w:eastAsia="Arial" w:hAnsi="Arial"/>
                <w:sz w:val="13"/>
                <w:szCs w:val="13"/>
                <w:b w:val="1"/>
                <w:bCs w:val="1"/>
                <w:color w:val="auto"/>
              </w:rPr>
              <w:t>Planning ($)</w:t>
            </w:r>
          </w:p>
        </w:tc>
        <w:tc>
          <w:tcPr>
            <w:tcW w:w="860" w:type="dxa"/>
            <w:vAlign w:val="bottom"/>
            <w:tcBorders>
              <w:bottom w:val="single" w:sz="8" w:color="auto"/>
              <w:right w:val="single" w:sz="8" w:color="auto"/>
            </w:tcBorders>
          </w:tcPr>
          <w:p>
            <w:pPr>
              <w:jc w:val="right"/>
              <w:ind w:right="177"/>
              <w:spacing w:after="0"/>
              <w:rPr>
                <w:sz w:val="20"/>
                <w:szCs w:val="20"/>
                <w:color w:val="auto"/>
              </w:rPr>
            </w:pPr>
            <w:r>
              <w:rPr>
                <w:rFonts w:ascii="Arial" w:cs="Arial" w:eastAsia="Arial" w:hAnsi="Arial"/>
                <w:sz w:val="13"/>
                <w:szCs w:val="13"/>
                <w:b w:val="1"/>
                <w:bCs w:val="1"/>
                <w:color w:val="auto"/>
              </w:rPr>
              <w:t>Total ($)</w:t>
            </w:r>
          </w:p>
        </w:tc>
      </w:tr>
      <w:tr>
        <w:trPr>
          <w:trHeight w:val="214"/>
        </w:trPr>
        <w:tc>
          <w:tcPr>
            <w:tcW w:w="1400" w:type="dxa"/>
            <w:vAlign w:val="bottom"/>
            <w:tcBorders>
              <w:left w:val="single" w:sz="8" w:color="auto"/>
            </w:tcBorders>
            <w:shd w:val="clear" w:color="auto" w:fill="D4DBEB"/>
          </w:tcPr>
          <w:p>
            <w:pPr>
              <w:ind w:left="160"/>
              <w:spacing w:after="0"/>
              <w:rPr>
                <w:sz w:val="20"/>
                <w:szCs w:val="20"/>
                <w:color w:val="auto"/>
              </w:rPr>
            </w:pPr>
            <w:r>
              <w:rPr>
                <w:rFonts w:ascii="Arial" w:cs="Arial" w:eastAsia="Arial" w:hAnsi="Arial"/>
                <w:sz w:val="13"/>
                <w:szCs w:val="13"/>
                <w:color w:val="auto"/>
              </w:rPr>
              <w:t>D.W. Woods</w:t>
            </w:r>
          </w:p>
        </w:tc>
        <w:tc>
          <w:tcPr>
            <w:tcW w:w="1000" w:type="dxa"/>
            <w:vAlign w:val="bottom"/>
            <w:tcBorders>
              <w:right w:val="single" w:sz="8" w:color="auto"/>
            </w:tcBorders>
            <w:shd w:val="clear" w:color="auto" w:fill="D4DBEB"/>
          </w:tcPr>
          <w:p>
            <w:pPr>
              <w:spacing w:after="0"/>
              <w:rPr>
                <w:sz w:val="18"/>
                <w:szCs w:val="18"/>
                <w:color w:val="auto"/>
              </w:rPr>
            </w:pPr>
          </w:p>
        </w:tc>
        <w:tc>
          <w:tcPr>
            <w:tcW w:w="1180" w:type="dxa"/>
            <w:vAlign w:val="bottom"/>
            <w:tcBorders>
              <w:right w:val="single" w:sz="8" w:color="auto"/>
            </w:tcBorders>
            <w:shd w:val="clear" w:color="auto" w:fill="D4DBEB"/>
          </w:tcPr>
          <w:p>
            <w:pPr>
              <w:jc w:val="right"/>
              <w:ind w:right="397"/>
              <w:spacing w:after="0"/>
              <w:rPr>
                <w:sz w:val="20"/>
                <w:szCs w:val="20"/>
                <w:color w:val="auto"/>
              </w:rPr>
            </w:pPr>
            <w:r>
              <w:rPr>
                <w:rFonts w:ascii="Arial" w:cs="Arial" w:eastAsia="Arial" w:hAnsi="Arial"/>
                <w:sz w:val="13"/>
                <w:szCs w:val="13"/>
                <w:color w:val="auto"/>
              </w:rPr>
              <w:t>0</w:t>
            </w:r>
          </w:p>
        </w:tc>
        <w:tc>
          <w:tcPr>
            <w:tcW w:w="820" w:type="dxa"/>
            <w:vAlign w:val="bottom"/>
            <w:tcBorders>
              <w:right w:val="single" w:sz="8" w:color="auto"/>
            </w:tcBorders>
            <w:shd w:val="clear" w:color="auto" w:fill="D4DBEB"/>
          </w:tcPr>
          <w:p>
            <w:pPr>
              <w:jc w:val="right"/>
              <w:ind w:right="157"/>
              <w:spacing w:after="0"/>
              <w:rPr>
                <w:sz w:val="20"/>
                <w:szCs w:val="20"/>
                <w:color w:val="auto"/>
              </w:rPr>
            </w:pPr>
            <w:r>
              <w:rPr>
                <w:rFonts w:ascii="Arial" w:cs="Arial" w:eastAsia="Arial" w:hAnsi="Arial"/>
                <w:sz w:val="13"/>
                <w:szCs w:val="13"/>
                <w:color w:val="auto"/>
              </w:rPr>
              <w:t>84,000</w:t>
            </w:r>
          </w:p>
        </w:tc>
        <w:tc>
          <w:tcPr>
            <w:tcW w:w="1020" w:type="dxa"/>
            <w:vAlign w:val="bottom"/>
            <w:tcBorders>
              <w:right w:val="single" w:sz="8" w:color="auto"/>
            </w:tcBorders>
            <w:shd w:val="clear" w:color="auto" w:fill="D4DBEB"/>
          </w:tcPr>
          <w:p>
            <w:pPr>
              <w:jc w:val="right"/>
              <w:ind w:right="257"/>
              <w:spacing w:after="0"/>
              <w:rPr>
                <w:sz w:val="20"/>
                <w:szCs w:val="20"/>
                <w:color w:val="auto"/>
              </w:rPr>
            </w:pPr>
            <w:r>
              <w:rPr>
                <w:rFonts w:ascii="Arial" w:cs="Arial" w:eastAsia="Arial" w:hAnsi="Arial"/>
                <w:sz w:val="13"/>
                <w:szCs w:val="13"/>
                <w:color w:val="auto"/>
              </w:rPr>
              <w:t>107,763</w:t>
            </w:r>
          </w:p>
        </w:tc>
        <w:tc>
          <w:tcPr>
            <w:tcW w:w="980" w:type="dxa"/>
            <w:vAlign w:val="bottom"/>
            <w:tcBorders>
              <w:right w:val="single" w:sz="8" w:color="auto"/>
            </w:tcBorders>
            <w:shd w:val="clear" w:color="auto" w:fill="D4DBEB"/>
          </w:tcPr>
          <w:p>
            <w:pPr>
              <w:jc w:val="right"/>
              <w:ind w:right="257"/>
              <w:spacing w:after="0"/>
              <w:rPr>
                <w:sz w:val="20"/>
                <w:szCs w:val="20"/>
                <w:color w:val="auto"/>
              </w:rPr>
            </w:pPr>
            <w:r>
              <w:rPr>
                <w:rFonts w:ascii="Arial" w:cs="Arial" w:eastAsia="Arial" w:hAnsi="Arial"/>
                <w:sz w:val="13"/>
                <w:szCs w:val="13"/>
                <w:color w:val="auto"/>
              </w:rPr>
              <w:t>80,691</w:t>
            </w:r>
          </w:p>
        </w:tc>
        <w:tc>
          <w:tcPr>
            <w:tcW w:w="1420" w:type="dxa"/>
            <w:vAlign w:val="bottom"/>
            <w:tcBorders>
              <w:right w:val="single" w:sz="8" w:color="auto"/>
            </w:tcBorders>
            <w:shd w:val="clear" w:color="auto" w:fill="D4DBEB"/>
          </w:tcPr>
          <w:p>
            <w:pPr>
              <w:jc w:val="right"/>
              <w:ind w:right="537"/>
              <w:spacing w:after="0"/>
              <w:rPr>
                <w:sz w:val="20"/>
                <w:szCs w:val="20"/>
                <w:color w:val="auto"/>
              </w:rPr>
            </w:pPr>
            <w:r>
              <w:rPr>
                <w:rFonts w:ascii="Arial" w:cs="Arial" w:eastAsia="Arial" w:hAnsi="Arial"/>
                <w:sz w:val="13"/>
                <w:szCs w:val="13"/>
                <w:color w:val="auto"/>
              </w:rPr>
              <w:t>453</w:t>
            </w:r>
          </w:p>
        </w:tc>
        <w:tc>
          <w:tcPr>
            <w:tcW w:w="1060" w:type="dxa"/>
            <w:vAlign w:val="bottom"/>
            <w:tcBorders>
              <w:right w:val="single" w:sz="8" w:color="auto"/>
            </w:tcBorders>
            <w:shd w:val="clear" w:color="auto" w:fill="D4DBEB"/>
          </w:tcPr>
          <w:p>
            <w:pPr>
              <w:jc w:val="right"/>
              <w:ind w:right="317"/>
              <w:spacing w:after="0"/>
              <w:rPr>
                <w:sz w:val="20"/>
                <w:szCs w:val="20"/>
                <w:color w:val="auto"/>
              </w:rPr>
            </w:pPr>
            <w:r>
              <w:rPr>
                <w:rFonts w:ascii="Arial" w:cs="Arial" w:eastAsia="Arial" w:hAnsi="Arial"/>
                <w:sz w:val="13"/>
                <w:szCs w:val="13"/>
                <w:color w:val="auto"/>
              </w:rPr>
              <w:t>9,637</w:t>
            </w:r>
          </w:p>
        </w:tc>
        <w:tc>
          <w:tcPr>
            <w:tcW w:w="860" w:type="dxa"/>
            <w:vAlign w:val="bottom"/>
            <w:tcBorders>
              <w:right w:val="single" w:sz="8" w:color="auto"/>
            </w:tcBorders>
            <w:shd w:val="clear" w:color="auto" w:fill="D4DBEB"/>
          </w:tcPr>
          <w:p>
            <w:pPr>
              <w:jc w:val="right"/>
              <w:ind w:right="177"/>
              <w:spacing w:after="0"/>
              <w:rPr>
                <w:sz w:val="20"/>
                <w:szCs w:val="20"/>
                <w:color w:val="auto"/>
              </w:rPr>
            </w:pPr>
            <w:r>
              <w:rPr>
                <w:rFonts w:ascii="Arial" w:cs="Arial" w:eastAsia="Arial" w:hAnsi="Arial"/>
                <w:sz w:val="13"/>
                <w:szCs w:val="13"/>
                <w:color w:val="auto"/>
              </w:rPr>
              <w:t>282,544</w:t>
            </w:r>
          </w:p>
        </w:tc>
      </w:tr>
      <w:tr>
        <w:trPr>
          <w:trHeight w:val="223"/>
        </w:trPr>
        <w:tc>
          <w:tcPr>
            <w:tcW w:w="1400" w:type="dxa"/>
            <w:vAlign w:val="bottom"/>
            <w:tcBorders>
              <w:left w:val="single" w:sz="8" w:color="auto"/>
            </w:tcBorders>
          </w:tcPr>
          <w:p>
            <w:pPr>
              <w:ind w:left="160"/>
              <w:spacing w:after="0"/>
              <w:rPr>
                <w:sz w:val="20"/>
                <w:szCs w:val="20"/>
                <w:color w:val="auto"/>
              </w:rPr>
            </w:pPr>
            <w:r>
              <w:rPr>
                <w:rFonts w:ascii="Arial" w:cs="Arial" w:eastAsia="Arial" w:hAnsi="Arial"/>
                <w:sz w:val="13"/>
                <w:szCs w:val="13"/>
                <w:color w:val="auto"/>
              </w:rPr>
              <w:t>A.P. Swiger</w:t>
            </w:r>
          </w:p>
        </w:tc>
        <w:tc>
          <w:tcPr>
            <w:tcW w:w="1000" w:type="dxa"/>
            <w:vAlign w:val="bottom"/>
            <w:tcBorders>
              <w:right w:val="single" w:sz="8" w:color="auto"/>
            </w:tcBorders>
          </w:tcPr>
          <w:p>
            <w:pPr>
              <w:spacing w:after="0"/>
              <w:rPr>
                <w:sz w:val="19"/>
                <w:szCs w:val="19"/>
                <w:color w:val="auto"/>
              </w:rPr>
            </w:pPr>
          </w:p>
        </w:tc>
        <w:tc>
          <w:tcPr>
            <w:tcW w:w="1180" w:type="dxa"/>
            <w:vAlign w:val="bottom"/>
            <w:tcBorders>
              <w:right w:val="single" w:sz="8" w:color="auto"/>
            </w:tcBorders>
          </w:tcPr>
          <w:p>
            <w:pPr>
              <w:jc w:val="right"/>
              <w:ind w:right="397"/>
              <w:spacing w:after="0"/>
              <w:rPr>
                <w:sz w:val="20"/>
                <w:szCs w:val="20"/>
                <w:color w:val="auto"/>
              </w:rPr>
            </w:pPr>
            <w:r>
              <w:rPr>
                <w:rFonts w:ascii="Arial" w:cs="Arial" w:eastAsia="Arial" w:hAnsi="Arial"/>
                <w:sz w:val="13"/>
                <w:szCs w:val="13"/>
                <w:color w:val="auto"/>
              </w:rPr>
              <w:t>42,240</w:t>
            </w:r>
          </w:p>
        </w:tc>
        <w:tc>
          <w:tcPr>
            <w:tcW w:w="820" w:type="dxa"/>
            <w:vAlign w:val="bottom"/>
            <w:tcBorders>
              <w:right w:val="single" w:sz="8" w:color="auto"/>
            </w:tcBorders>
          </w:tcPr>
          <w:p>
            <w:pPr>
              <w:jc w:val="right"/>
              <w:ind w:right="157"/>
              <w:spacing w:after="0"/>
              <w:rPr>
                <w:sz w:val="20"/>
                <w:szCs w:val="20"/>
                <w:color w:val="auto"/>
              </w:rPr>
            </w:pPr>
            <w:r>
              <w:rPr>
                <w:rFonts w:ascii="Arial" w:cs="Arial" w:eastAsia="Arial" w:hAnsi="Arial"/>
                <w:sz w:val="13"/>
                <w:szCs w:val="13"/>
                <w:color w:val="auto"/>
              </w:rPr>
              <w:t>93,625</w:t>
            </w:r>
          </w:p>
        </w:tc>
        <w:tc>
          <w:tcPr>
            <w:tcW w:w="1020" w:type="dxa"/>
            <w:vAlign w:val="bottom"/>
            <w:tcBorders>
              <w:right w:val="single" w:sz="8" w:color="auto"/>
            </w:tcBorders>
          </w:tcPr>
          <w:p>
            <w:pPr>
              <w:jc w:val="right"/>
              <w:ind w:right="237"/>
              <w:spacing w:after="0"/>
              <w:rPr>
                <w:sz w:val="20"/>
                <w:szCs w:val="20"/>
                <w:color w:val="auto"/>
              </w:rPr>
            </w:pPr>
            <w:r>
              <w:rPr>
                <w:rFonts w:ascii="Arial" w:cs="Arial" w:eastAsia="Arial" w:hAnsi="Arial"/>
                <w:sz w:val="13"/>
                <w:szCs w:val="13"/>
                <w:color w:val="auto"/>
              </w:rPr>
              <w:t>3,931</w:t>
            </w:r>
          </w:p>
        </w:tc>
        <w:tc>
          <w:tcPr>
            <w:tcW w:w="980" w:type="dxa"/>
            <w:vAlign w:val="bottom"/>
            <w:tcBorders>
              <w:right w:val="single" w:sz="8" w:color="auto"/>
            </w:tcBorders>
          </w:tcPr>
          <w:p>
            <w:pPr>
              <w:jc w:val="right"/>
              <w:ind w:right="257"/>
              <w:spacing w:after="0"/>
              <w:rPr>
                <w:sz w:val="20"/>
                <w:szCs w:val="20"/>
                <w:color w:val="auto"/>
              </w:rPr>
            </w:pPr>
            <w:r>
              <w:rPr>
                <w:rFonts w:ascii="Arial" w:cs="Arial" w:eastAsia="Arial" w:hAnsi="Arial"/>
                <w:sz w:val="13"/>
                <w:szCs w:val="13"/>
                <w:color w:val="auto"/>
              </w:rPr>
              <w:t>0</w:t>
            </w:r>
          </w:p>
        </w:tc>
        <w:tc>
          <w:tcPr>
            <w:tcW w:w="1420" w:type="dxa"/>
            <w:vAlign w:val="bottom"/>
            <w:tcBorders>
              <w:right w:val="single" w:sz="8" w:color="auto"/>
            </w:tcBorders>
          </w:tcPr>
          <w:p>
            <w:pPr>
              <w:jc w:val="right"/>
              <w:ind w:right="537"/>
              <w:spacing w:after="0"/>
              <w:rPr>
                <w:sz w:val="20"/>
                <w:szCs w:val="20"/>
                <w:color w:val="auto"/>
              </w:rPr>
            </w:pPr>
            <w:r>
              <w:rPr>
                <w:rFonts w:ascii="Arial" w:cs="Arial" w:eastAsia="Arial" w:hAnsi="Arial"/>
                <w:sz w:val="13"/>
                <w:szCs w:val="13"/>
                <w:color w:val="auto"/>
              </w:rPr>
              <w:t>805</w:t>
            </w:r>
          </w:p>
        </w:tc>
        <w:tc>
          <w:tcPr>
            <w:tcW w:w="1060" w:type="dxa"/>
            <w:vAlign w:val="bottom"/>
            <w:tcBorders>
              <w:right w:val="single" w:sz="8" w:color="auto"/>
            </w:tcBorders>
          </w:tcPr>
          <w:p>
            <w:pPr>
              <w:jc w:val="right"/>
              <w:ind w:right="317"/>
              <w:spacing w:after="0"/>
              <w:rPr>
                <w:sz w:val="20"/>
                <w:szCs w:val="20"/>
                <w:color w:val="auto"/>
              </w:rPr>
            </w:pPr>
            <w:r>
              <w:rPr>
                <w:rFonts w:ascii="Arial" w:cs="Arial" w:eastAsia="Arial" w:hAnsi="Arial"/>
                <w:sz w:val="13"/>
                <w:szCs w:val="13"/>
                <w:color w:val="auto"/>
              </w:rPr>
              <w:t>11,137</w:t>
            </w:r>
          </w:p>
        </w:tc>
        <w:tc>
          <w:tcPr>
            <w:tcW w:w="860" w:type="dxa"/>
            <w:vAlign w:val="bottom"/>
            <w:tcBorders>
              <w:right w:val="single" w:sz="8" w:color="auto"/>
            </w:tcBorders>
          </w:tcPr>
          <w:p>
            <w:pPr>
              <w:jc w:val="right"/>
              <w:ind w:right="177"/>
              <w:spacing w:after="0"/>
              <w:rPr>
                <w:sz w:val="20"/>
                <w:szCs w:val="20"/>
                <w:color w:val="auto"/>
              </w:rPr>
            </w:pPr>
            <w:r>
              <w:rPr>
                <w:rFonts w:ascii="Arial" w:cs="Arial" w:eastAsia="Arial" w:hAnsi="Arial"/>
                <w:sz w:val="13"/>
                <w:szCs w:val="13"/>
                <w:color w:val="auto"/>
              </w:rPr>
              <w:t>151,738</w:t>
            </w:r>
          </w:p>
        </w:tc>
      </w:tr>
      <w:tr>
        <w:trPr>
          <w:trHeight w:val="237"/>
        </w:trPr>
        <w:tc>
          <w:tcPr>
            <w:tcW w:w="1400" w:type="dxa"/>
            <w:vAlign w:val="bottom"/>
            <w:tcBorders>
              <w:left w:val="single" w:sz="8" w:color="auto"/>
            </w:tcBorders>
            <w:shd w:val="clear" w:color="auto" w:fill="D4DBEB"/>
          </w:tcPr>
          <w:p>
            <w:pPr>
              <w:ind w:left="160"/>
              <w:spacing w:after="0"/>
              <w:rPr>
                <w:sz w:val="20"/>
                <w:szCs w:val="20"/>
                <w:color w:val="auto"/>
              </w:rPr>
            </w:pPr>
            <w:r>
              <w:rPr>
                <w:rFonts w:ascii="Arial" w:cs="Arial" w:eastAsia="Arial" w:hAnsi="Arial"/>
                <w:sz w:val="13"/>
                <w:szCs w:val="13"/>
                <w:color w:val="auto"/>
              </w:rPr>
              <w:t>M.W. Albers</w:t>
            </w:r>
          </w:p>
        </w:tc>
        <w:tc>
          <w:tcPr>
            <w:tcW w:w="1000" w:type="dxa"/>
            <w:vAlign w:val="bottom"/>
            <w:tcBorders>
              <w:right w:val="single" w:sz="8" w:color="auto"/>
            </w:tcBorders>
            <w:shd w:val="clear" w:color="auto" w:fill="D4DBEB"/>
          </w:tcPr>
          <w:p>
            <w:pPr>
              <w:spacing w:after="0"/>
              <w:rPr>
                <w:sz w:val="20"/>
                <w:szCs w:val="20"/>
                <w:color w:val="auto"/>
              </w:rPr>
            </w:pPr>
          </w:p>
        </w:tc>
        <w:tc>
          <w:tcPr>
            <w:tcW w:w="1180" w:type="dxa"/>
            <w:vAlign w:val="bottom"/>
            <w:tcBorders>
              <w:right w:val="single" w:sz="8" w:color="auto"/>
            </w:tcBorders>
            <w:shd w:val="clear" w:color="auto" w:fill="D4DBEB"/>
          </w:tcPr>
          <w:p>
            <w:pPr>
              <w:jc w:val="right"/>
              <w:ind w:right="397"/>
              <w:spacing w:after="0"/>
              <w:rPr>
                <w:sz w:val="20"/>
                <w:szCs w:val="20"/>
                <w:color w:val="auto"/>
              </w:rPr>
            </w:pPr>
            <w:r>
              <w:rPr>
                <w:rFonts w:ascii="Arial" w:cs="Arial" w:eastAsia="Arial" w:hAnsi="Arial"/>
                <w:sz w:val="13"/>
                <w:szCs w:val="13"/>
                <w:color w:val="auto"/>
              </w:rPr>
              <w:t>42,240</w:t>
            </w:r>
          </w:p>
        </w:tc>
        <w:tc>
          <w:tcPr>
            <w:tcW w:w="820" w:type="dxa"/>
            <w:vAlign w:val="bottom"/>
            <w:tcBorders>
              <w:right w:val="single" w:sz="8" w:color="auto"/>
            </w:tcBorders>
            <w:shd w:val="clear" w:color="auto" w:fill="D4DBEB"/>
          </w:tcPr>
          <w:p>
            <w:pPr>
              <w:jc w:val="right"/>
              <w:ind w:right="157"/>
              <w:spacing w:after="0"/>
              <w:rPr>
                <w:sz w:val="20"/>
                <w:szCs w:val="20"/>
                <w:color w:val="auto"/>
              </w:rPr>
            </w:pPr>
            <w:r>
              <w:rPr>
                <w:rFonts w:ascii="Arial" w:cs="Arial" w:eastAsia="Arial" w:hAnsi="Arial"/>
                <w:sz w:val="13"/>
                <w:szCs w:val="13"/>
                <w:color w:val="auto"/>
              </w:rPr>
              <w:t>93,625</w:t>
            </w:r>
          </w:p>
        </w:tc>
        <w:tc>
          <w:tcPr>
            <w:tcW w:w="1020" w:type="dxa"/>
            <w:vAlign w:val="bottom"/>
            <w:tcBorders>
              <w:right w:val="single" w:sz="8" w:color="auto"/>
            </w:tcBorders>
            <w:shd w:val="clear" w:color="auto" w:fill="D4DBEB"/>
          </w:tcPr>
          <w:p>
            <w:pPr>
              <w:jc w:val="right"/>
              <w:ind w:right="257"/>
              <w:spacing w:after="0"/>
              <w:rPr>
                <w:sz w:val="20"/>
                <w:szCs w:val="20"/>
                <w:color w:val="auto"/>
              </w:rPr>
            </w:pPr>
            <w:r>
              <w:rPr>
                <w:rFonts w:ascii="Arial" w:cs="Arial" w:eastAsia="Arial" w:hAnsi="Arial"/>
                <w:sz w:val="13"/>
                <w:szCs w:val="13"/>
                <w:color w:val="auto"/>
              </w:rPr>
              <w:t>763</w:t>
            </w:r>
          </w:p>
        </w:tc>
        <w:tc>
          <w:tcPr>
            <w:tcW w:w="980" w:type="dxa"/>
            <w:vAlign w:val="bottom"/>
            <w:tcBorders>
              <w:right w:val="single" w:sz="8" w:color="auto"/>
            </w:tcBorders>
            <w:shd w:val="clear" w:color="auto" w:fill="D4DBEB"/>
          </w:tcPr>
          <w:p>
            <w:pPr>
              <w:jc w:val="right"/>
              <w:ind w:right="257"/>
              <w:spacing w:after="0"/>
              <w:rPr>
                <w:sz w:val="20"/>
                <w:szCs w:val="20"/>
                <w:color w:val="auto"/>
              </w:rPr>
            </w:pPr>
            <w:r>
              <w:rPr>
                <w:rFonts w:ascii="Arial" w:cs="Arial" w:eastAsia="Arial" w:hAnsi="Arial"/>
                <w:sz w:val="13"/>
                <w:szCs w:val="13"/>
                <w:color w:val="auto"/>
              </w:rPr>
              <w:t>0</w:t>
            </w:r>
          </w:p>
        </w:tc>
        <w:tc>
          <w:tcPr>
            <w:tcW w:w="1420" w:type="dxa"/>
            <w:vAlign w:val="bottom"/>
            <w:tcBorders>
              <w:right w:val="single" w:sz="8" w:color="auto"/>
            </w:tcBorders>
            <w:shd w:val="clear" w:color="auto" w:fill="D4DBEB"/>
          </w:tcPr>
          <w:p>
            <w:pPr>
              <w:jc w:val="right"/>
              <w:ind w:right="537"/>
              <w:spacing w:after="0"/>
              <w:rPr>
                <w:sz w:val="20"/>
                <w:szCs w:val="20"/>
                <w:color w:val="auto"/>
              </w:rPr>
            </w:pPr>
            <w:r>
              <w:rPr>
                <w:rFonts w:ascii="Arial" w:cs="Arial" w:eastAsia="Arial" w:hAnsi="Arial"/>
                <w:sz w:val="13"/>
                <w:szCs w:val="13"/>
                <w:color w:val="auto"/>
              </w:rPr>
              <w:t>19,110</w:t>
            </w:r>
          </w:p>
        </w:tc>
        <w:tc>
          <w:tcPr>
            <w:tcW w:w="1060" w:type="dxa"/>
            <w:vAlign w:val="bottom"/>
            <w:tcBorders>
              <w:right w:val="single" w:sz="8" w:color="auto"/>
            </w:tcBorders>
            <w:shd w:val="clear" w:color="auto" w:fill="D4DBEB"/>
          </w:tcPr>
          <w:p>
            <w:pPr>
              <w:jc w:val="right"/>
              <w:ind w:right="317"/>
              <w:spacing w:after="0"/>
              <w:rPr>
                <w:sz w:val="20"/>
                <w:szCs w:val="20"/>
                <w:color w:val="auto"/>
              </w:rPr>
            </w:pPr>
            <w:r>
              <w:rPr>
                <w:rFonts w:ascii="Arial" w:cs="Arial" w:eastAsia="Arial" w:hAnsi="Arial"/>
                <w:sz w:val="13"/>
                <w:szCs w:val="13"/>
                <w:color w:val="auto"/>
              </w:rPr>
              <w:t>11,137</w:t>
            </w:r>
          </w:p>
        </w:tc>
        <w:tc>
          <w:tcPr>
            <w:tcW w:w="860" w:type="dxa"/>
            <w:vAlign w:val="bottom"/>
            <w:tcBorders>
              <w:right w:val="single" w:sz="8" w:color="auto"/>
            </w:tcBorders>
            <w:shd w:val="clear" w:color="auto" w:fill="D4DBEB"/>
          </w:tcPr>
          <w:p>
            <w:pPr>
              <w:jc w:val="right"/>
              <w:ind w:right="177"/>
              <w:spacing w:after="0"/>
              <w:rPr>
                <w:sz w:val="20"/>
                <w:szCs w:val="20"/>
                <w:color w:val="auto"/>
              </w:rPr>
            </w:pPr>
            <w:r>
              <w:rPr>
                <w:rFonts w:ascii="Arial" w:cs="Arial" w:eastAsia="Arial" w:hAnsi="Arial"/>
                <w:sz w:val="13"/>
                <w:szCs w:val="13"/>
                <w:color w:val="auto"/>
              </w:rPr>
              <w:t>166,875</w:t>
            </w:r>
          </w:p>
        </w:tc>
      </w:tr>
      <w:tr>
        <w:trPr>
          <w:trHeight w:val="223"/>
        </w:trPr>
        <w:tc>
          <w:tcPr>
            <w:tcW w:w="1400" w:type="dxa"/>
            <w:vAlign w:val="bottom"/>
            <w:tcBorders>
              <w:left w:val="single" w:sz="8" w:color="auto"/>
            </w:tcBorders>
          </w:tcPr>
          <w:p>
            <w:pPr>
              <w:ind w:left="160"/>
              <w:spacing w:after="0"/>
              <w:rPr>
                <w:sz w:val="20"/>
                <w:szCs w:val="20"/>
                <w:color w:val="auto"/>
              </w:rPr>
            </w:pPr>
            <w:r>
              <w:rPr>
                <w:rFonts w:ascii="Arial" w:cs="Arial" w:eastAsia="Arial" w:hAnsi="Arial"/>
                <w:sz w:val="13"/>
                <w:szCs w:val="13"/>
                <w:color w:val="auto"/>
              </w:rPr>
              <w:t>M.J. Dolan</w:t>
            </w:r>
          </w:p>
        </w:tc>
        <w:tc>
          <w:tcPr>
            <w:tcW w:w="1000" w:type="dxa"/>
            <w:vAlign w:val="bottom"/>
            <w:tcBorders>
              <w:right w:val="single" w:sz="8" w:color="auto"/>
            </w:tcBorders>
          </w:tcPr>
          <w:p>
            <w:pPr>
              <w:spacing w:after="0"/>
              <w:rPr>
                <w:sz w:val="19"/>
                <w:szCs w:val="19"/>
                <w:color w:val="auto"/>
              </w:rPr>
            </w:pPr>
          </w:p>
        </w:tc>
        <w:tc>
          <w:tcPr>
            <w:tcW w:w="1180" w:type="dxa"/>
            <w:vAlign w:val="bottom"/>
            <w:tcBorders>
              <w:right w:val="single" w:sz="8" w:color="auto"/>
            </w:tcBorders>
          </w:tcPr>
          <w:p>
            <w:pPr>
              <w:jc w:val="right"/>
              <w:ind w:right="397"/>
              <w:spacing w:after="0"/>
              <w:rPr>
                <w:sz w:val="20"/>
                <w:szCs w:val="20"/>
                <w:color w:val="auto"/>
              </w:rPr>
            </w:pPr>
            <w:r>
              <w:rPr>
                <w:rFonts w:ascii="Arial" w:cs="Arial" w:eastAsia="Arial" w:hAnsi="Arial"/>
                <w:sz w:val="13"/>
                <w:szCs w:val="13"/>
                <w:color w:val="auto"/>
              </w:rPr>
              <w:t>45,197</w:t>
            </w:r>
          </w:p>
        </w:tc>
        <w:tc>
          <w:tcPr>
            <w:tcW w:w="820" w:type="dxa"/>
            <w:vAlign w:val="bottom"/>
            <w:tcBorders>
              <w:right w:val="single" w:sz="8" w:color="auto"/>
            </w:tcBorders>
          </w:tcPr>
          <w:p>
            <w:pPr>
              <w:jc w:val="right"/>
              <w:ind w:right="157"/>
              <w:spacing w:after="0"/>
              <w:rPr>
                <w:sz w:val="20"/>
                <w:szCs w:val="20"/>
                <w:color w:val="auto"/>
              </w:rPr>
            </w:pPr>
            <w:r>
              <w:rPr>
                <w:rFonts w:ascii="Arial" w:cs="Arial" w:eastAsia="Arial" w:hAnsi="Arial"/>
                <w:sz w:val="13"/>
                <w:szCs w:val="13"/>
                <w:color w:val="auto"/>
              </w:rPr>
              <w:t>100,100</w:t>
            </w:r>
          </w:p>
        </w:tc>
        <w:tc>
          <w:tcPr>
            <w:tcW w:w="1020" w:type="dxa"/>
            <w:vAlign w:val="bottom"/>
            <w:tcBorders>
              <w:right w:val="single" w:sz="8" w:color="auto"/>
            </w:tcBorders>
          </w:tcPr>
          <w:p>
            <w:pPr>
              <w:jc w:val="right"/>
              <w:ind w:right="237"/>
              <w:spacing w:after="0"/>
              <w:rPr>
                <w:sz w:val="20"/>
                <w:szCs w:val="20"/>
                <w:color w:val="auto"/>
              </w:rPr>
            </w:pPr>
            <w:r>
              <w:rPr>
                <w:rFonts w:ascii="Arial" w:cs="Arial" w:eastAsia="Arial" w:hAnsi="Arial"/>
                <w:sz w:val="13"/>
                <w:szCs w:val="13"/>
                <w:color w:val="auto"/>
              </w:rPr>
              <w:t>1,781</w:t>
            </w:r>
          </w:p>
        </w:tc>
        <w:tc>
          <w:tcPr>
            <w:tcW w:w="980" w:type="dxa"/>
            <w:vAlign w:val="bottom"/>
            <w:tcBorders>
              <w:right w:val="single" w:sz="8" w:color="auto"/>
            </w:tcBorders>
          </w:tcPr>
          <w:p>
            <w:pPr>
              <w:jc w:val="right"/>
              <w:ind w:right="257"/>
              <w:spacing w:after="0"/>
              <w:rPr>
                <w:sz w:val="20"/>
                <w:szCs w:val="20"/>
                <w:color w:val="auto"/>
              </w:rPr>
            </w:pPr>
            <w:r>
              <w:rPr>
                <w:rFonts w:ascii="Arial" w:cs="Arial" w:eastAsia="Arial" w:hAnsi="Arial"/>
                <w:sz w:val="13"/>
                <w:szCs w:val="13"/>
                <w:color w:val="auto"/>
              </w:rPr>
              <w:t>0</w:t>
            </w:r>
          </w:p>
        </w:tc>
        <w:tc>
          <w:tcPr>
            <w:tcW w:w="1420" w:type="dxa"/>
            <w:vAlign w:val="bottom"/>
            <w:tcBorders>
              <w:right w:val="single" w:sz="8" w:color="auto"/>
            </w:tcBorders>
          </w:tcPr>
          <w:p>
            <w:pPr>
              <w:jc w:val="right"/>
              <w:ind w:right="537"/>
              <w:spacing w:after="0"/>
              <w:rPr>
                <w:sz w:val="20"/>
                <w:szCs w:val="20"/>
                <w:color w:val="auto"/>
              </w:rPr>
            </w:pPr>
            <w:r>
              <w:rPr>
                <w:rFonts w:ascii="Arial" w:cs="Arial" w:eastAsia="Arial" w:hAnsi="Arial"/>
                <w:sz w:val="13"/>
                <w:szCs w:val="13"/>
                <w:color w:val="auto"/>
              </w:rPr>
              <w:t>0</w:t>
            </w:r>
          </w:p>
        </w:tc>
        <w:tc>
          <w:tcPr>
            <w:tcW w:w="1060" w:type="dxa"/>
            <w:vAlign w:val="bottom"/>
            <w:tcBorders>
              <w:right w:val="single" w:sz="8" w:color="auto"/>
            </w:tcBorders>
          </w:tcPr>
          <w:p>
            <w:pPr>
              <w:jc w:val="right"/>
              <w:ind w:right="317"/>
              <w:spacing w:after="0"/>
              <w:rPr>
                <w:sz w:val="20"/>
                <w:szCs w:val="20"/>
                <w:color w:val="auto"/>
              </w:rPr>
            </w:pPr>
            <w:r>
              <w:rPr>
                <w:rFonts w:ascii="Arial" w:cs="Arial" w:eastAsia="Arial" w:hAnsi="Arial"/>
                <w:sz w:val="13"/>
                <w:szCs w:val="13"/>
                <w:color w:val="auto"/>
              </w:rPr>
              <w:t>11,137</w:t>
            </w:r>
          </w:p>
        </w:tc>
        <w:tc>
          <w:tcPr>
            <w:tcW w:w="860" w:type="dxa"/>
            <w:vAlign w:val="bottom"/>
            <w:tcBorders>
              <w:right w:val="single" w:sz="8" w:color="auto"/>
            </w:tcBorders>
          </w:tcPr>
          <w:p>
            <w:pPr>
              <w:jc w:val="right"/>
              <w:ind w:right="177"/>
              <w:spacing w:after="0"/>
              <w:rPr>
                <w:sz w:val="20"/>
                <w:szCs w:val="20"/>
                <w:color w:val="auto"/>
              </w:rPr>
            </w:pPr>
            <w:r>
              <w:rPr>
                <w:rFonts w:ascii="Arial" w:cs="Arial" w:eastAsia="Arial" w:hAnsi="Arial"/>
                <w:sz w:val="13"/>
                <w:szCs w:val="13"/>
                <w:color w:val="auto"/>
              </w:rPr>
              <w:t>158,215</w:t>
            </w:r>
          </w:p>
        </w:tc>
      </w:tr>
      <w:tr>
        <w:trPr>
          <w:trHeight w:val="230"/>
        </w:trPr>
        <w:tc>
          <w:tcPr>
            <w:tcW w:w="1400" w:type="dxa"/>
            <w:vAlign w:val="bottom"/>
            <w:tcBorders>
              <w:left w:val="single" w:sz="8" w:color="auto"/>
              <w:bottom w:val="single" w:sz="8" w:color="auto"/>
            </w:tcBorders>
            <w:shd w:val="clear" w:color="auto" w:fill="D4DBEB"/>
          </w:tcPr>
          <w:p>
            <w:pPr>
              <w:ind w:left="160"/>
              <w:spacing w:after="0"/>
              <w:rPr>
                <w:sz w:val="20"/>
                <w:szCs w:val="20"/>
                <w:color w:val="auto"/>
              </w:rPr>
            </w:pPr>
            <w:r>
              <w:rPr>
                <w:rFonts w:ascii="Arial" w:cs="Arial" w:eastAsia="Arial" w:hAnsi="Arial"/>
                <w:sz w:val="13"/>
                <w:szCs w:val="13"/>
                <w:color w:val="auto"/>
              </w:rPr>
              <w:t>N.W. Duffin</w:t>
            </w:r>
          </w:p>
        </w:tc>
        <w:tc>
          <w:tcPr>
            <w:tcW w:w="1000" w:type="dxa"/>
            <w:vAlign w:val="bottom"/>
            <w:tcBorders>
              <w:bottom w:val="single" w:sz="8" w:color="auto"/>
              <w:right w:val="single" w:sz="8" w:color="auto"/>
            </w:tcBorders>
            <w:shd w:val="clear" w:color="auto" w:fill="D4DBEB"/>
          </w:tcPr>
          <w:p>
            <w:pPr>
              <w:spacing w:after="0"/>
              <w:rPr>
                <w:sz w:val="20"/>
                <w:szCs w:val="20"/>
                <w:color w:val="auto"/>
              </w:rPr>
            </w:pPr>
          </w:p>
        </w:tc>
        <w:tc>
          <w:tcPr>
            <w:tcW w:w="1180" w:type="dxa"/>
            <w:vAlign w:val="bottom"/>
            <w:tcBorders>
              <w:bottom w:val="single" w:sz="8" w:color="auto"/>
              <w:right w:val="single" w:sz="8" w:color="auto"/>
            </w:tcBorders>
            <w:shd w:val="clear" w:color="auto" w:fill="D4DBEB"/>
          </w:tcPr>
          <w:p>
            <w:pPr>
              <w:jc w:val="right"/>
              <w:ind w:right="397"/>
              <w:spacing w:after="0"/>
              <w:rPr>
                <w:sz w:val="20"/>
                <w:szCs w:val="20"/>
                <w:color w:val="auto"/>
              </w:rPr>
            </w:pPr>
            <w:r>
              <w:rPr>
                <w:rFonts w:ascii="Arial" w:cs="Arial" w:eastAsia="Arial" w:hAnsi="Arial"/>
                <w:sz w:val="13"/>
                <w:szCs w:val="13"/>
                <w:color w:val="auto"/>
              </w:rPr>
              <w:t>33,602</w:t>
            </w:r>
          </w:p>
        </w:tc>
        <w:tc>
          <w:tcPr>
            <w:tcW w:w="820" w:type="dxa"/>
            <w:vAlign w:val="bottom"/>
            <w:tcBorders>
              <w:bottom w:val="single" w:sz="8" w:color="auto"/>
              <w:right w:val="single" w:sz="8" w:color="auto"/>
            </w:tcBorders>
            <w:shd w:val="clear" w:color="auto" w:fill="D4DBEB"/>
          </w:tcPr>
          <w:p>
            <w:pPr>
              <w:jc w:val="right"/>
              <w:ind w:right="157"/>
              <w:spacing w:after="0"/>
              <w:rPr>
                <w:sz w:val="20"/>
                <w:szCs w:val="20"/>
                <w:color w:val="auto"/>
              </w:rPr>
            </w:pPr>
            <w:r>
              <w:rPr>
                <w:rFonts w:ascii="Arial" w:cs="Arial" w:eastAsia="Arial" w:hAnsi="Arial"/>
                <w:sz w:val="13"/>
                <w:szCs w:val="13"/>
                <w:color w:val="auto"/>
              </w:rPr>
              <w:t>74,428</w:t>
            </w:r>
          </w:p>
        </w:tc>
        <w:tc>
          <w:tcPr>
            <w:tcW w:w="1020" w:type="dxa"/>
            <w:vAlign w:val="bottom"/>
            <w:tcBorders>
              <w:bottom w:val="single" w:sz="8" w:color="auto"/>
              <w:right w:val="single" w:sz="8" w:color="auto"/>
            </w:tcBorders>
            <w:shd w:val="clear" w:color="auto" w:fill="D4DBEB"/>
          </w:tcPr>
          <w:p>
            <w:pPr>
              <w:jc w:val="right"/>
              <w:ind w:right="237"/>
              <w:spacing w:after="0"/>
              <w:rPr>
                <w:sz w:val="20"/>
                <w:szCs w:val="20"/>
                <w:color w:val="auto"/>
              </w:rPr>
            </w:pPr>
            <w:r>
              <w:rPr>
                <w:rFonts w:ascii="Arial" w:cs="Arial" w:eastAsia="Arial" w:hAnsi="Arial"/>
                <w:sz w:val="13"/>
                <w:szCs w:val="13"/>
                <w:color w:val="auto"/>
              </w:rPr>
              <w:t>1,118</w:t>
            </w:r>
          </w:p>
        </w:tc>
        <w:tc>
          <w:tcPr>
            <w:tcW w:w="980" w:type="dxa"/>
            <w:vAlign w:val="bottom"/>
            <w:tcBorders>
              <w:bottom w:val="single" w:sz="8" w:color="auto"/>
              <w:right w:val="single" w:sz="8" w:color="auto"/>
            </w:tcBorders>
            <w:shd w:val="clear" w:color="auto" w:fill="D4DBEB"/>
          </w:tcPr>
          <w:p>
            <w:pPr>
              <w:jc w:val="right"/>
              <w:ind w:right="257"/>
              <w:spacing w:after="0"/>
              <w:rPr>
                <w:sz w:val="20"/>
                <w:szCs w:val="20"/>
                <w:color w:val="auto"/>
              </w:rPr>
            </w:pPr>
            <w:r>
              <w:rPr>
                <w:rFonts w:ascii="Arial" w:cs="Arial" w:eastAsia="Arial" w:hAnsi="Arial"/>
                <w:sz w:val="13"/>
                <w:szCs w:val="13"/>
                <w:color w:val="auto"/>
              </w:rPr>
              <w:t>0</w:t>
            </w:r>
          </w:p>
        </w:tc>
        <w:tc>
          <w:tcPr>
            <w:tcW w:w="1420" w:type="dxa"/>
            <w:vAlign w:val="bottom"/>
            <w:tcBorders>
              <w:bottom w:val="single" w:sz="8" w:color="auto"/>
              <w:right w:val="single" w:sz="8" w:color="auto"/>
            </w:tcBorders>
            <w:shd w:val="clear" w:color="auto" w:fill="D4DBEB"/>
          </w:tcPr>
          <w:p>
            <w:pPr>
              <w:jc w:val="right"/>
              <w:ind w:right="537"/>
              <w:spacing w:after="0"/>
              <w:rPr>
                <w:sz w:val="20"/>
                <w:szCs w:val="20"/>
                <w:color w:val="auto"/>
              </w:rPr>
            </w:pPr>
            <w:r>
              <w:rPr>
                <w:rFonts w:ascii="Arial" w:cs="Arial" w:eastAsia="Arial" w:hAnsi="Arial"/>
                <w:sz w:val="13"/>
                <w:szCs w:val="13"/>
                <w:color w:val="auto"/>
              </w:rPr>
              <w:t>64</w:t>
            </w:r>
          </w:p>
        </w:tc>
        <w:tc>
          <w:tcPr>
            <w:tcW w:w="1060" w:type="dxa"/>
            <w:vAlign w:val="bottom"/>
            <w:tcBorders>
              <w:bottom w:val="single" w:sz="8" w:color="auto"/>
              <w:right w:val="single" w:sz="8" w:color="auto"/>
            </w:tcBorders>
            <w:shd w:val="clear" w:color="auto" w:fill="D4DBEB"/>
          </w:tcPr>
          <w:p>
            <w:pPr>
              <w:jc w:val="right"/>
              <w:ind w:right="317"/>
              <w:spacing w:after="0"/>
              <w:rPr>
                <w:sz w:val="20"/>
                <w:szCs w:val="20"/>
                <w:color w:val="auto"/>
              </w:rPr>
            </w:pPr>
            <w:r>
              <w:rPr>
                <w:rFonts w:ascii="Arial" w:cs="Arial" w:eastAsia="Arial" w:hAnsi="Arial"/>
                <w:sz w:val="13"/>
                <w:szCs w:val="13"/>
                <w:color w:val="auto"/>
              </w:rPr>
              <w:t>11,137</w:t>
            </w:r>
          </w:p>
        </w:tc>
        <w:tc>
          <w:tcPr>
            <w:tcW w:w="860" w:type="dxa"/>
            <w:vAlign w:val="bottom"/>
            <w:tcBorders>
              <w:bottom w:val="single" w:sz="8" w:color="auto"/>
              <w:right w:val="single" w:sz="8" w:color="auto"/>
            </w:tcBorders>
            <w:shd w:val="clear" w:color="auto" w:fill="D4DBEB"/>
          </w:tcPr>
          <w:p>
            <w:pPr>
              <w:jc w:val="right"/>
              <w:ind w:right="177"/>
              <w:spacing w:after="0"/>
              <w:rPr>
                <w:sz w:val="20"/>
                <w:szCs w:val="20"/>
                <w:color w:val="auto"/>
              </w:rPr>
            </w:pPr>
            <w:r>
              <w:rPr>
                <w:rFonts w:ascii="Arial" w:cs="Arial" w:eastAsia="Arial" w:hAnsi="Arial"/>
                <w:sz w:val="13"/>
                <w:szCs w:val="13"/>
                <w:color w:val="auto"/>
              </w:rPr>
              <w:t>120,349</w:t>
            </w:r>
          </w:p>
        </w:tc>
      </w:tr>
      <w:tr>
        <w:trPr>
          <w:trHeight w:val="369"/>
        </w:trPr>
        <w:tc>
          <w:tcPr>
            <w:tcW w:w="1400" w:type="dxa"/>
            <w:vAlign w:val="bottom"/>
          </w:tcPr>
          <w:p>
            <w:pPr>
              <w:ind w:left="20"/>
              <w:spacing w:after="0"/>
              <w:rPr>
                <w:sz w:val="20"/>
                <w:szCs w:val="20"/>
                <w:color w:val="auto"/>
              </w:rPr>
            </w:pPr>
            <w:r>
              <w:rPr>
                <w:rFonts w:ascii="Arial" w:cs="Arial" w:eastAsia="Arial" w:hAnsi="Arial"/>
                <w:sz w:val="18"/>
                <w:szCs w:val="18"/>
                <w:color w:val="auto"/>
              </w:rPr>
              <w:t>46</w:t>
            </w:r>
          </w:p>
        </w:tc>
        <w:tc>
          <w:tcPr>
            <w:tcW w:w="2180" w:type="dxa"/>
            <w:vAlign w:val="bottom"/>
            <w:gridSpan w:val="2"/>
          </w:tcPr>
          <w:p>
            <w:pPr>
              <w:jc w:val="right"/>
              <w:spacing w:after="0"/>
              <w:rPr>
                <w:sz w:val="20"/>
                <w:szCs w:val="20"/>
                <w:color w:val="auto"/>
              </w:rPr>
            </w:pPr>
            <w:r>
              <w:rPr>
                <w:rFonts w:ascii="Times New Roman" w:cs="Times New Roman" w:eastAsia="Times New Roman" w:hAnsi="Times New Roman"/>
                <w:sz w:val="18"/>
                <w:szCs w:val="18"/>
                <w:i w:val="1"/>
                <w:iCs w:val="1"/>
                <w:color w:val="auto"/>
              </w:rPr>
              <w:t>2018 Proxy Statement</w:t>
            </w:r>
          </w:p>
        </w:tc>
        <w:tc>
          <w:tcPr>
            <w:tcW w:w="82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142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860" w:type="dxa"/>
            <w:vAlign w:val="bottom"/>
          </w:tcPr>
          <w:p>
            <w:pPr>
              <w:spacing w:after="0"/>
              <w:rPr>
                <w:sz w:val="24"/>
                <w:szCs w:val="24"/>
                <w:color w:val="auto"/>
              </w:rPr>
            </w:pPr>
          </w:p>
        </w:tc>
      </w:tr>
    </w:tbl>
    <w:p>
      <w:pPr>
        <w:sectPr>
          <w:pgSz w:w="11900" w:h="16838" w:orient="portrait"/>
          <w:cols w:equalWidth="0" w:num="1">
            <w:col w:w="10600"/>
          </w:cols>
          <w:pgMar w:left="240" w:top="455" w:right="1059" w:bottom="1440" w:gutter="0" w:footer="0" w:header="0"/>
        </w:sectPr>
      </w:pPr>
    </w:p>
    <w:bookmarkStart w:id="49" w:name="page50"/>
    <w:bookmarkEnd w:id="49"/>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05">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Times New Roman" w:cs="Times New Roman" w:eastAsia="Times New Roman" w:hAnsi="Times New Roman"/>
            <w:sz w:val="18"/>
            <w:szCs w:val="18"/>
            <w:b w:val="1"/>
            <w:bCs w:val="1"/>
            <w:u w:val="single" w:color="auto"/>
            <w:color w:val="0000EE"/>
          </w:rPr>
          <w:t>Table of Contents</w:t>
        </w:r>
      </w:hyperlink>
    </w:p>
    <w:p>
      <w:pPr>
        <w:spacing w:after="0" w:line="305" w:lineRule="exact"/>
        <w:rPr>
          <w:sz w:val="20"/>
          <w:szCs w:val="20"/>
          <w:color w:val="auto"/>
        </w:rPr>
      </w:pPr>
    </w:p>
    <w:p>
      <w:pPr>
        <w:ind w:left="860"/>
        <w:spacing w:after="0"/>
        <w:rPr>
          <w:sz w:val="20"/>
          <w:szCs w:val="20"/>
          <w:color w:val="auto"/>
        </w:rPr>
      </w:pPr>
      <w:r>
        <w:rPr>
          <w:rFonts w:ascii="Arial" w:cs="Arial" w:eastAsia="Arial" w:hAnsi="Arial"/>
          <w:sz w:val="18"/>
          <w:szCs w:val="18"/>
          <w:u w:val="single" w:color="auto"/>
          <w:color w:val="auto"/>
        </w:rPr>
        <w:t>Life Insurance</w:t>
      </w:r>
    </w:p>
    <w:p>
      <w:pPr>
        <w:spacing w:after="0" w:line="117" w:lineRule="exact"/>
        <w:rPr>
          <w:sz w:val="20"/>
          <w:szCs w:val="20"/>
          <w:color w:val="auto"/>
        </w:rPr>
      </w:pPr>
    </w:p>
    <w:p>
      <w:pPr>
        <w:ind w:left="1240" w:right="120" w:hanging="388"/>
        <w:spacing w:after="0" w:line="275" w:lineRule="auto"/>
        <w:tabs>
          <w:tab w:leader="none" w:pos="1240" w:val="left"/>
        </w:tabs>
        <w:numPr>
          <w:ilvl w:val="0"/>
          <w:numId w:val="70"/>
        </w:numPr>
        <w:rPr>
          <w:rFonts w:ascii="Times New Roman" w:cs="Times New Roman" w:eastAsia="Times New Roman" w:hAnsi="Times New Roman"/>
          <w:sz w:val="18"/>
          <w:szCs w:val="18"/>
          <w:color w:val="auto"/>
        </w:rPr>
      </w:pPr>
      <w:r>
        <w:rPr>
          <w:rFonts w:ascii="Arial" w:cs="Arial" w:eastAsia="Arial" w:hAnsi="Arial"/>
          <w:sz w:val="18"/>
          <w:szCs w:val="18"/>
          <w:color w:val="auto"/>
        </w:rPr>
        <w:t>Mr. Woods participates in the Company’s broad-based employee life insurance program that provides coverage that equals 2 times base salary as an active employee.</w:t>
      </w:r>
    </w:p>
    <w:p>
      <w:pPr>
        <w:spacing w:after="0" w:line="51" w:lineRule="exact"/>
        <w:rPr>
          <w:rFonts w:ascii="Times New Roman" w:cs="Times New Roman" w:eastAsia="Times New Roman" w:hAnsi="Times New Roman"/>
          <w:sz w:val="18"/>
          <w:szCs w:val="18"/>
          <w:color w:val="auto"/>
        </w:rPr>
      </w:pPr>
    </w:p>
    <w:p>
      <w:pPr>
        <w:ind w:left="1240" w:right="20" w:hanging="388"/>
        <w:spacing w:after="0" w:line="248" w:lineRule="auto"/>
        <w:tabs>
          <w:tab w:leader="none" w:pos="1240" w:val="left"/>
        </w:tabs>
        <w:numPr>
          <w:ilvl w:val="0"/>
          <w:numId w:val="70"/>
        </w:numPr>
        <w:rPr>
          <w:rFonts w:ascii="Times New Roman" w:cs="Times New Roman" w:eastAsia="Times New Roman" w:hAnsi="Times New Roman"/>
          <w:sz w:val="18"/>
          <w:szCs w:val="18"/>
          <w:color w:val="auto"/>
        </w:rPr>
      </w:pPr>
      <w:r>
        <w:rPr>
          <w:rFonts w:ascii="Arial" w:cs="Arial" w:eastAsia="Arial" w:hAnsi="Arial"/>
          <w:sz w:val="18"/>
          <w:szCs w:val="18"/>
          <w:color w:val="auto"/>
        </w:rPr>
        <w:t>The other Named Executive Officers participate in the Company’s senior executive term life insurance program that provides coverage of 4 times base salary until age 65 and a declining multiple thereafter until age 75, at which point the multiple remains at 2.5 times salary. The Company eliminated this program for all newly eligible senior executives as of October 2007.</w:t>
      </w:r>
    </w:p>
    <w:p>
      <w:pPr>
        <w:spacing w:after="0" w:line="75" w:lineRule="exact"/>
        <w:rPr>
          <w:rFonts w:ascii="Times New Roman" w:cs="Times New Roman" w:eastAsia="Times New Roman" w:hAnsi="Times New Roman"/>
          <w:sz w:val="18"/>
          <w:szCs w:val="18"/>
          <w:color w:val="auto"/>
        </w:rPr>
      </w:pPr>
    </w:p>
    <w:p>
      <w:pPr>
        <w:ind w:left="1240" w:hanging="388"/>
        <w:spacing w:after="0" w:line="267" w:lineRule="auto"/>
        <w:tabs>
          <w:tab w:leader="none" w:pos="1240" w:val="left"/>
        </w:tabs>
        <w:numPr>
          <w:ilvl w:val="0"/>
          <w:numId w:val="70"/>
        </w:numPr>
        <w:rPr>
          <w:rFonts w:ascii="Times New Roman" w:cs="Times New Roman" w:eastAsia="Times New Roman" w:hAnsi="Times New Roman"/>
          <w:sz w:val="17"/>
          <w:szCs w:val="17"/>
          <w:color w:val="auto"/>
        </w:rPr>
      </w:pPr>
      <w:r>
        <w:rPr>
          <w:rFonts w:ascii="Arial" w:cs="Arial" w:eastAsia="Arial" w:hAnsi="Arial"/>
          <w:sz w:val="17"/>
          <w:szCs w:val="17"/>
          <w:color w:val="auto"/>
        </w:rPr>
        <w:t>For executives with senior executive term life insurance coverage, the premium cost in any year depends on overall financial and mortality experience under the group policy. The amounts shown are based on Internal Revenue Code tables used to value the term cost of such coverage. This valuation is applied since the actual life insurance premium is a single payment for a large group of executives that does not represent the cost of insuring one specific individual.</w:t>
      </w:r>
    </w:p>
    <w:p>
      <w:pPr>
        <w:spacing w:after="0" w:line="156" w:lineRule="exact"/>
        <w:rPr>
          <w:sz w:val="20"/>
          <w:szCs w:val="20"/>
          <w:color w:val="auto"/>
        </w:rPr>
      </w:pPr>
    </w:p>
    <w:p>
      <w:pPr>
        <w:ind w:left="860"/>
        <w:spacing w:after="0"/>
        <w:rPr>
          <w:sz w:val="20"/>
          <w:szCs w:val="20"/>
          <w:color w:val="auto"/>
        </w:rPr>
      </w:pPr>
      <w:r>
        <w:rPr>
          <w:rFonts w:ascii="Arial" w:cs="Arial" w:eastAsia="Arial" w:hAnsi="Arial"/>
          <w:sz w:val="18"/>
          <w:szCs w:val="18"/>
          <w:u w:val="single" w:color="auto"/>
          <w:color w:val="auto"/>
        </w:rPr>
        <w:t>Savings Plan</w:t>
      </w:r>
    </w:p>
    <w:p>
      <w:pPr>
        <w:spacing w:after="0" w:line="117" w:lineRule="exact"/>
        <w:rPr>
          <w:sz w:val="20"/>
          <w:szCs w:val="20"/>
          <w:color w:val="auto"/>
        </w:rPr>
      </w:pPr>
    </w:p>
    <w:p>
      <w:pPr>
        <w:jc w:val="both"/>
        <w:ind w:left="1240" w:right="260" w:hanging="388"/>
        <w:spacing w:after="0" w:line="255" w:lineRule="auto"/>
        <w:tabs>
          <w:tab w:leader="none" w:pos="1240" w:val="left"/>
        </w:tabs>
        <w:numPr>
          <w:ilvl w:val="0"/>
          <w:numId w:val="71"/>
        </w:numPr>
        <w:rPr>
          <w:rFonts w:ascii="Times New Roman" w:cs="Times New Roman" w:eastAsia="Times New Roman" w:hAnsi="Times New Roman"/>
          <w:sz w:val="18"/>
          <w:szCs w:val="18"/>
          <w:color w:val="auto"/>
        </w:rPr>
      </w:pPr>
      <w:r>
        <w:rPr>
          <w:rFonts w:ascii="Arial" w:cs="Arial" w:eastAsia="Arial" w:hAnsi="Arial"/>
          <w:sz w:val="18"/>
          <w:szCs w:val="18"/>
          <w:color w:val="auto"/>
        </w:rPr>
        <w:t>The amount shown is the value of Company-matching contributions under ExxonMobil’s tax-qualified savings plan and Company credits under the related nonqualified supplemental plan. For a description of the savings plan, see page 40.</w:t>
      </w:r>
    </w:p>
    <w:p>
      <w:pPr>
        <w:spacing w:after="0" w:line="68" w:lineRule="exact"/>
        <w:rPr>
          <w:rFonts w:ascii="Times New Roman" w:cs="Times New Roman" w:eastAsia="Times New Roman" w:hAnsi="Times New Roman"/>
          <w:sz w:val="18"/>
          <w:szCs w:val="18"/>
          <w:color w:val="auto"/>
        </w:rPr>
      </w:pPr>
    </w:p>
    <w:p>
      <w:pPr>
        <w:ind w:left="1240" w:right="780" w:hanging="388"/>
        <w:spacing w:after="0" w:line="275" w:lineRule="auto"/>
        <w:tabs>
          <w:tab w:leader="none" w:pos="1240" w:val="left"/>
        </w:tabs>
        <w:numPr>
          <w:ilvl w:val="0"/>
          <w:numId w:val="71"/>
        </w:numPr>
        <w:rPr>
          <w:rFonts w:ascii="Times New Roman" w:cs="Times New Roman" w:eastAsia="Times New Roman" w:hAnsi="Times New Roman"/>
          <w:sz w:val="18"/>
          <w:szCs w:val="18"/>
          <w:color w:val="auto"/>
        </w:rPr>
      </w:pPr>
      <w:r>
        <w:rPr>
          <w:rFonts w:ascii="Arial" w:cs="Arial" w:eastAsia="Arial" w:hAnsi="Arial"/>
          <w:sz w:val="18"/>
          <w:szCs w:val="18"/>
          <w:color w:val="auto"/>
        </w:rPr>
        <w:t>The value of the credits to the nonqualified supplemental plan is also disclosed in the Nonqualified Deferred Compensation table on page 52.</w:t>
      </w:r>
    </w:p>
    <w:p>
      <w:pPr>
        <w:spacing w:after="0" w:line="146" w:lineRule="exact"/>
        <w:rPr>
          <w:sz w:val="20"/>
          <w:szCs w:val="20"/>
          <w:color w:val="auto"/>
        </w:rPr>
      </w:pPr>
    </w:p>
    <w:p>
      <w:pPr>
        <w:ind w:left="860"/>
        <w:spacing w:after="0"/>
        <w:rPr>
          <w:sz w:val="20"/>
          <w:szCs w:val="20"/>
          <w:color w:val="auto"/>
        </w:rPr>
      </w:pPr>
      <w:r>
        <w:rPr>
          <w:rFonts w:ascii="Arial" w:cs="Arial" w:eastAsia="Arial" w:hAnsi="Arial"/>
          <w:sz w:val="18"/>
          <w:szCs w:val="18"/>
          <w:u w:val="single" w:color="auto"/>
          <w:color w:val="auto"/>
        </w:rPr>
        <w:t>Personal Security</w:t>
      </w:r>
    </w:p>
    <w:p>
      <w:pPr>
        <w:spacing w:after="0" w:line="117" w:lineRule="exact"/>
        <w:rPr>
          <w:sz w:val="20"/>
          <w:szCs w:val="20"/>
          <w:color w:val="auto"/>
        </w:rPr>
      </w:pPr>
    </w:p>
    <w:p>
      <w:pPr>
        <w:ind w:left="1240" w:right="340" w:hanging="388"/>
        <w:spacing w:after="0" w:line="275" w:lineRule="auto"/>
        <w:tabs>
          <w:tab w:leader="none" w:pos="1240" w:val="left"/>
        </w:tabs>
        <w:numPr>
          <w:ilvl w:val="0"/>
          <w:numId w:val="72"/>
        </w:numPr>
        <w:rPr>
          <w:rFonts w:ascii="Times New Roman" w:cs="Times New Roman" w:eastAsia="Times New Roman" w:hAnsi="Times New Roman"/>
          <w:sz w:val="18"/>
          <w:szCs w:val="18"/>
          <w:color w:val="auto"/>
        </w:rPr>
      </w:pPr>
      <w:r>
        <w:rPr>
          <w:rFonts w:ascii="Arial" w:cs="Arial" w:eastAsia="Arial" w:hAnsi="Arial"/>
          <w:sz w:val="18"/>
          <w:szCs w:val="18"/>
          <w:color w:val="auto"/>
        </w:rPr>
        <w:t>The Company provides security for its employees as appropriate based on an assessment of risk, which includes consideration of the employee’s position and work location.</w:t>
      </w:r>
    </w:p>
    <w:p>
      <w:pPr>
        <w:spacing w:after="0" w:line="51" w:lineRule="exact"/>
        <w:rPr>
          <w:rFonts w:ascii="Times New Roman" w:cs="Times New Roman" w:eastAsia="Times New Roman" w:hAnsi="Times New Roman"/>
          <w:sz w:val="18"/>
          <w:szCs w:val="18"/>
          <w:color w:val="auto"/>
        </w:rPr>
      </w:pPr>
    </w:p>
    <w:p>
      <w:pPr>
        <w:ind w:left="1240" w:right="180" w:hanging="388"/>
        <w:spacing w:after="0" w:line="255" w:lineRule="auto"/>
        <w:tabs>
          <w:tab w:leader="none" w:pos="1240" w:val="left"/>
        </w:tabs>
        <w:numPr>
          <w:ilvl w:val="0"/>
          <w:numId w:val="72"/>
        </w:numPr>
        <w:rPr>
          <w:rFonts w:ascii="Times New Roman" w:cs="Times New Roman" w:eastAsia="Times New Roman" w:hAnsi="Times New Roman"/>
          <w:sz w:val="18"/>
          <w:szCs w:val="18"/>
          <w:color w:val="auto"/>
        </w:rPr>
      </w:pPr>
      <w:r>
        <w:rPr>
          <w:rFonts w:ascii="Arial" w:cs="Arial" w:eastAsia="Arial" w:hAnsi="Arial"/>
          <w:sz w:val="18"/>
          <w:szCs w:val="18"/>
          <w:color w:val="auto"/>
        </w:rPr>
        <w:t>The Company does not consider any such security costs to be personal benefits since these costs arise from the nature of the employee’s employment by the Company. However, the disclosure regulations require certain security costs to be reported as personal benefits.</w:t>
      </w:r>
    </w:p>
    <w:p>
      <w:pPr>
        <w:spacing w:after="0" w:line="68" w:lineRule="exact"/>
        <w:rPr>
          <w:rFonts w:ascii="Times New Roman" w:cs="Times New Roman" w:eastAsia="Times New Roman" w:hAnsi="Times New Roman"/>
          <w:sz w:val="18"/>
          <w:szCs w:val="18"/>
          <w:color w:val="auto"/>
        </w:rPr>
      </w:pPr>
    </w:p>
    <w:p>
      <w:pPr>
        <w:ind w:left="1240" w:right="140" w:hanging="388"/>
        <w:spacing w:after="0" w:line="248" w:lineRule="auto"/>
        <w:tabs>
          <w:tab w:leader="none" w:pos="1240" w:val="left"/>
        </w:tabs>
        <w:numPr>
          <w:ilvl w:val="0"/>
          <w:numId w:val="72"/>
        </w:numPr>
        <w:rPr>
          <w:rFonts w:ascii="Times New Roman" w:cs="Times New Roman" w:eastAsia="Times New Roman" w:hAnsi="Times New Roman"/>
          <w:sz w:val="18"/>
          <w:szCs w:val="18"/>
          <w:color w:val="auto"/>
        </w:rPr>
      </w:pPr>
      <w:r>
        <w:rPr>
          <w:rFonts w:ascii="Arial" w:cs="Arial" w:eastAsia="Arial" w:hAnsi="Arial"/>
          <w:sz w:val="18"/>
          <w:szCs w:val="18"/>
          <w:color w:val="auto"/>
        </w:rPr>
        <w:t>The amounts shown in the table include the following types of security-related costs: security systems at executive residences; security services and personnel (at residences and/or during personal travel); car and personal security driver; and Company communications equipment. Costs of security related to travel for business purposes are not included.</w:t>
      </w:r>
    </w:p>
    <w:p>
      <w:pPr>
        <w:spacing w:after="0" w:line="75" w:lineRule="exact"/>
        <w:rPr>
          <w:rFonts w:ascii="Times New Roman" w:cs="Times New Roman" w:eastAsia="Times New Roman" w:hAnsi="Times New Roman"/>
          <w:sz w:val="18"/>
          <w:szCs w:val="18"/>
          <w:color w:val="auto"/>
        </w:rPr>
      </w:pPr>
    </w:p>
    <w:p>
      <w:pPr>
        <w:jc w:val="both"/>
        <w:ind w:left="1240" w:hanging="388"/>
        <w:spacing w:after="0" w:line="255" w:lineRule="auto"/>
        <w:tabs>
          <w:tab w:leader="none" w:pos="1240" w:val="left"/>
        </w:tabs>
        <w:numPr>
          <w:ilvl w:val="0"/>
          <w:numId w:val="72"/>
        </w:numPr>
        <w:rPr>
          <w:rFonts w:ascii="Times New Roman" w:cs="Times New Roman" w:eastAsia="Times New Roman" w:hAnsi="Times New Roman"/>
          <w:sz w:val="18"/>
          <w:szCs w:val="18"/>
          <w:color w:val="auto"/>
        </w:rPr>
      </w:pPr>
      <w:r>
        <w:rPr>
          <w:rFonts w:ascii="Arial" w:cs="Arial" w:eastAsia="Arial" w:hAnsi="Arial"/>
          <w:sz w:val="18"/>
          <w:szCs w:val="18"/>
          <w:color w:val="auto"/>
        </w:rPr>
        <w:t>The car provided for security reasons and used primarily for commuting is valued based on the annualized cost of the car plus maintenance and fuel. Reported costs for rental cars utilized for security concerns during personal travel are the actual incremental costs.</w:t>
      </w:r>
    </w:p>
    <w:p>
      <w:pPr>
        <w:spacing w:after="0" w:line="68" w:lineRule="exact"/>
        <w:rPr>
          <w:rFonts w:ascii="Times New Roman" w:cs="Times New Roman" w:eastAsia="Times New Roman" w:hAnsi="Times New Roman"/>
          <w:sz w:val="18"/>
          <w:szCs w:val="18"/>
          <w:color w:val="auto"/>
        </w:rPr>
      </w:pPr>
    </w:p>
    <w:p>
      <w:pPr>
        <w:ind w:left="1240" w:hanging="388"/>
        <w:spacing w:after="0" w:line="255" w:lineRule="auto"/>
        <w:tabs>
          <w:tab w:leader="none" w:pos="1240" w:val="left"/>
        </w:tabs>
        <w:numPr>
          <w:ilvl w:val="0"/>
          <w:numId w:val="72"/>
        </w:numPr>
        <w:rPr>
          <w:rFonts w:ascii="Times New Roman" w:cs="Times New Roman" w:eastAsia="Times New Roman" w:hAnsi="Times New Roman"/>
          <w:sz w:val="18"/>
          <w:szCs w:val="18"/>
          <w:color w:val="auto"/>
        </w:rPr>
      </w:pPr>
      <w:r>
        <w:rPr>
          <w:rFonts w:ascii="Arial" w:cs="Arial" w:eastAsia="Arial" w:hAnsi="Arial"/>
          <w:sz w:val="18"/>
          <w:szCs w:val="18"/>
          <w:color w:val="auto"/>
        </w:rPr>
        <w:t>For security personnel employed by the Company, the cost is the actual incremental cost of expenses incurred by the security personnel. Total salary, wages, and benefits are not allocated because the Company already incurs these costs for business purposes.</w:t>
      </w:r>
    </w:p>
    <w:p>
      <w:pPr>
        <w:spacing w:after="0" w:line="68" w:lineRule="exact"/>
        <w:rPr>
          <w:rFonts w:ascii="Times New Roman" w:cs="Times New Roman" w:eastAsia="Times New Roman" w:hAnsi="Times New Roman"/>
          <w:sz w:val="18"/>
          <w:szCs w:val="18"/>
          <w:color w:val="auto"/>
        </w:rPr>
      </w:pPr>
    </w:p>
    <w:p>
      <w:pPr>
        <w:ind w:left="1240" w:right="260" w:hanging="388"/>
        <w:spacing w:after="0" w:line="275" w:lineRule="auto"/>
        <w:tabs>
          <w:tab w:leader="none" w:pos="1240" w:val="left"/>
        </w:tabs>
        <w:numPr>
          <w:ilvl w:val="0"/>
          <w:numId w:val="72"/>
        </w:numPr>
        <w:rPr>
          <w:rFonts w:ascii="Times New Roman" w:cs="Times New Roman" w:eastAsia="Times New Roman" w:hAnsi="Times New Roman"/>
          <w:sz w:val="18"/>
          <w:szCs w:val="18"/>
          <w:color w:val="auto"/>
        </w:rPr>
      </w:pPr>
      <w:r>
        <w:rPr>
          <w:rFonts w:ascii="Arial" w:cs="Arial" w:eastAsia="Arial" w:hAnsi="Arial"/>
          <w:sz w:val="18"/>
          <w:szCs w:val="18"/>
          <w:color w:val="auto"/>
        </w:rPr>
        <w:t>For security contractors, the cost is the actual incremental cost of such contractors associated with the executive’s personal time.</w:t>
      </w:r>
    </w:p>
    <w:p>
      <w:pPr>
        <w:spacing w:after="0" w:line="51" w:lineRule="exact"/>
        <w:rPr>
          <w:rFonts w:ascii="Times New Roman" w:cs="Times New Roman" w:eastAsia="Times New Roman" w:hAnsi="Times New Roman"/>
          <w:sz w:val="18"/>
          <w:szCs w:val="18"/>
          <w:color w:val="auto"/>
        </w:rPr>
      </w:pPr>
    </w:p>
    <w:p>
      <w:pPr>
        <w:ind w:left="1240" w:right="180" w:hanging="388"/>
        <w:spacing w:after="0" w:line="255" w:lineRule="auto"/>
        <w:tabs>
          <w:tab w:leader="none" w:pos="1240" w:val="left"/>
        </w:tabs>
        <w:numPr>
          <w:ilvl w:val="0"/>
          <w:numId w:val="72"/>
        </w:numPr>
        <w:rPr>
          <w:rFonts w:ascii="Times New Roman" w:cs="Times New Roman" w:eastAsia="Times New Roman" w:hAnsi="Times New Roman"/>
          <w:sz w:val="18"/>
          <w:szCs w:val="18"/>
          <w:color w:val="auto"/>
        </w:rPr>
      </w:pPr>
      <w:r>
        <w:rPr>
          <w:rFonts w:ascii="Arial" w:cs="Arial" w:eastAsia="Arial" w:hAnsi="Arial"/>
          <w:sz w:val="18"/>
          <w:szCs w:val="18"/>
          <w:color w:val="auto"/>
        </w:rPr>
        <w:t>For Mr. Woods, the amount shown includes $50,467 for residential security and $40,774 for the cost of his car provided for security reasons as described above; the remainder is for other communications equipment to conduct business in a secure manner.</w:t>
      </w:r>
    </w:p>
    <w:p>
      <w:pPr>
        <w:spacing w:after="0" w:line="163" w:lineRule="exact"/>
        <w:rPr>
          <w:sz w:val="20"/>
          <w:szCs w:val="20"/>
          <w:color w:val="auto"/>
        </w:rPr>
      </w:pPr>
    </w:p>
    <w:p>
      <w:pPr>
        <w:ind w:left="860"/>
        <w:spacing w:after="0"/>
        <w:rPr>
          <w:sz w:val="20"/>
          <w:szCs w:val="20"/>
          <w:color w:val="auto"/>
        </w:rPr>
      </w:pPr>
      <w:r>
        <w:rPr>
          <w:rFonts w:ascii="Arial" w:cs="Arial" w:eastAsia="Arial" w:hAnsi="Arial"/>
          <w:sz w:val="18"/>
          <w:szCs w:val="18"/>
          <w:u w:val="single" w:color="auto"/>
          <w:color w:val="auto"/>
        </w:rPr>
        <w:t>Aircraft</w:t>
      </w:r>
    </w:p>
    <w:p>
      <w:pPr>
        <w:spacing w:after="0" w:line="117" w:lineRule="exact"/>
        <w:rPr>
          <w:sz w:val="20"/>
          <w:szCs w:val="20"/>
          <w:color w:val="auto"/>
        </w:rPr>
      </w:pPr>
    </w:p>
    <w:p>
      <w:pPr>
        <w:ind w:left="1240" w:right="460" w:hanging="388"/>
        <w:spacing w:after="0" w:line="248" w:lineRule="auto"/>
        <w:tabs>
          <w:tab w:leader="none" w:pos="1240" w:val="left"/>
        </w:tabs>
        <w:numPr>
          <w:ilvl w:val="0"/>
          <w:numId w:val="73"/>
        </w:numPr>
        <w:rPr>
          <w:rFonts w:ascii="Times New Roman" w:cs="Times New Roman" w:eastAsia="Times New Roman" w:hAnsi="Times New Roman"/>
          <w:sz w:val="18"/>
          <w:szCs w:val="18"/>
          <w:color w:val="auto"/>
        </w:rPr>
      </w:pPr>
      <w:r>
        <w:rPr>
          <w:rFonts w:ascii="Arial" w:cs="Arial" w:eastAsia="Arial" w:hAnsi="Arial"/>
          <w:sz w:val="18"/>
          <w:szCs w:val="18"/>
          <w:color w:val="auto"/>
        </w:rPr>
        <w:t>For security reasons, the Board requires the Chairman and CEO to use Company aircraft for both business and personal travel. The Compensation Committee considers these costs to be necessary security-related business expenses rather than perquisites, but per the disclosure regulations, the incremental cost of aircraft usage for personal travel is reported.</w:t>
      </w:r>
    </w:p>
    <w:p>
      <w:pPr>
        <w:spacing w:after="0" w:line="103" w:lineRule="exact"/>
        <w:rPr>
          <w:sz w:val="20"/>
          <w:szCs w:val="20"/>
          <w:color w:val="auto"/>
        </w:rPr>
      </w:pPr>
    </w:p>
    <w:tbl>
      <w:tblPr>
        <w:tblLayout w:type="fixed"/>
        <w:tblInd w:w="6960" w:type="dxa"/>
        <w:tblCellMar>
          <w:top w:w="0" w:type="dxa"/>
          <w:left w:w="0" w:type="dxa"/>
          <w:bottom w:w="0" w:type="dxa"/>
          <w:right w:w="0" w:type="dxa"/>
        </w:tblCellMar>
      </w:tblPr>
      <w:tr>
        <w:trPr>
          <w:trHeight w:val="243"/>
        </w:trPr>
        <w:tc>
          <w:tcPr>
            <w:tcW w:w="2440" w:type="dxa"/>
            <w:vAlign w:val="bottom"/>
          </w:tcPr>
          <w:p>
            <w:pPr>
              <w:spacing w:after="0"/>
              <w:rPr>
                <w:sz w:val="20"/>
                <w:szCs w:val="20"/>
                <w:color w:val="auto"/>
              </w:rPr>
            </w:pPr>
            <w:r>
              <w:rPr>
                <w:rFonts w:ascii="Times New Roman" w:cs="Times New Roman" w:eastAsia="Times New Roman" w:hAnsi="Times New Roman"/>
                <w:sz w:val="18"/>
                <w:szCs w:val="18"/>
                <w:i w:val="1"/>
                <w:iCs w:val="1"/>
                <w:color w:val="auto"/>
              </w:rPr>
              <w:t>2018 Proxy Statement</w:t>
            </w:r>
          </w:p>
        </w:tc>
        <w:tc>
          <w:tcPr>
            <w:tcW w:w="1060" w:type="dxa"/>
            <w:vAlign w:val="bottom"/>
          </w:tcPr>
          <w:p>
            <w:pPr>
              <w:jc w:val="right"/>
              <w:spacing w:after="0"/>
              <w:rPr>
                <w:sz w:val="20"/>
                <w:szCs w:val="20"/>
                <w:color w:val="auto"/>
              </w:rPr>
            </w:pPr>
            <w:r>
              <w:rPr>
                <w:rFonts w:ascii="Arial" w:cs="Arial" w:eastAsia="Arial" w:hAnsi="Arial"/>
                <w:sz w:val="18"/>
                <w:szCs w:val="18"/>
                <w:color w:val="auto"/>
              </w:rPr>
              <w:t>47</w:t>
            </w:r>
          </w:p>
        </w:tc>
      </w:tr>
    </w:tbl>
    <w:p>
      <w:pPr>
        <w:sectPr>
          <w:pgSz w:w="11900" w:h="16838" w:orient="portrait"/>
          <w:cols w:equalWidth="0" w:num="1">
            <w:col w:w="10560"/>
          </w:cols>
          <w:pgMar w:left="240" w:top="455" w:right="1099" w:bottom="1440" w:gutter="0" w:footer="0" w:header="0"/>
        </w:sectPr>
      </w:pPr>
    </w:p>
    <w:bookmarkStart w:id="50" w:name="page51"/>
    <w:bookmarkEnd w:id="50"/>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06">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Times New Roman" w:cs="Times New Roman" w:eastAsia="Times New Roman" w:hAnsi="Times New Roman"/>
            <w:sz w:val="18"/>
            <w:szCs w:val="18"/>
            <w:b w:val="1"/>
            <w:bCs w:val="1"/>
            <w:u w:val="single" w:color="auto"/>
            <w:color w:val="0000EE"/>
          </w:rPr>
          <w:t>Table of Contents</w:t>
        </w:r>
      </w:hyperlink>
    </w:p>
    <w:p>
      <w:pPr>
        <w:spacing w:after="0" w:line="305" w:lineRule="exact"/>
        <w:rPr>
          <w:sz w:val="20"/>
          <w:szCs w:val="20"/>
          <w:color w:val="auto"/>
        </w:rPr>
      </w:pPr>
    </w:p>
    <w:p>
      <w:pPr>
        <w:ind w:left="1240" w:right="60" w:hanging="388"/>
        <w:spacing w:after="0" w:line="255" w:lineRule="auto"/>
        <w:tabs>
          <w:tab w:leader="none" w:pos="1240" w:val="left"/>
        </w:tabs>
        <w:numPr>
          <w:ilvl w:val="0"/>
          <w:numId w:val="74"/>
        </w:numPr>
        <w:rPr>
          <w:rFonts w:ascii="Times New Roman" w:cs="Times New Roman" w:eastAsia="Times New Roman" w:hAnsi="Times New Roman"/>
          <w:sz w:val="18"/>
          <w:szCs w:val="18"/>
          <w:color w:val="auto"/>
        </w:rPr>
      </w:pPr>
      <w:r>
        <w:rPr>
          <w:rFonts w:ascii="Arial" w:cs="Arial" w:eastAsia="Arial" w:hAnsi="Arial"/>
          <w:sz w:val="18"/>
          <w:szCs w:val="18"/>
          <w:color w:val="auto"/>
        </w:rPr>
        <w:t>Incremental cost for personal use of the aircraft is based on direct operating costs (fuel, airport fees, incremental pilot costs, etc.) and does not include capital costs of the aircraft since the Company already incurs these costs for business purposes.</w:t>
      </w:r>
    </w:p>
    <w:p>
      <w:pPr>
        <w:spacing w:after="0" w:line="163" w:lineRule="exact"/>
        <w:rPr>
          <w:sz w:val="20"/>
          <w:szCs w:val="20"/>
          <w:color w:val="auto"/>
        </w:rPr>
      </w:pPr>
    </w:p>
    <w:p>
      <w:pPr>
        <w:ind w:left="860"/>
        <w:spacing w:after="0"/>
        <w:rPr>
          <w:sz w:val="20"/>
          <w:szCs w:val="20"/>
          <w:color w:val="auto"/>
        </w:rPr>
      </w:pPr>
      <w:r>
        <w:rPr>
          <w:rFonts w:ascii="Arial" w:cs="Arial" w:eastAsia="Arial" w:hAnsi="Arial"/>
          <w:sz w:val="18"/>
          <w:szCs w:val="18"/>
          <w:u w:val="single" w:color="auto"/>
          <w:color w:val="auto"/>
        </w:rPr>
        <w:t>Properties/Car</w:t>
      </w:r>
    </w:p>
    <w:p>
      <w:pPr>
        <w:spacing w:after="0" w:line="117" w:lineRule="exact"/>
        <w:rPr>
          <w:sz w:val="20"/>
          <w:szCs w:val="20"/>
          <w:color w:val="auto"/>
        </w:rPr>
      </w:pPr>
    </w:p>
    <w:p>
      <w:pPr>
        <w:ind w:left="1240" w:right="40" w:hanging="388"/>
        <w:spacing w:after="0" w:line="255" w:lineRule="auto"/>
        <w:tabs>
          <w:tab w:leader="none" w:pos="1240" w:val="left"/>
        </w:tabs>
        <w:numPr>
          <w:ilvl w:val="0"/>
          <w:numId w:val="75"/>
        </w:numPr>
        <w:rPr>
          <w:rFonts w:ascii="Times New Roman" w:cs="Times New Roman" w:eastAsia="Times New Roman" w:hAnsi="Times New Roman"/>
          <w:sz w:val="18"/>
          <w:szCs w:val="18"/>
          <w:color w:val="auto"/>
        </w:rPr>
      </w:pPr>
      <w:r>
        <w:rPr>
          <w:rFonts w:ascii="Arial" w:cs="Arial" w:eastAsia="Arial" w:hAnsi="Arial"/>
          <w:sz w:val="18"/>
          <w:szCs w:val="18"/>
          <w:color w:val="auto"/>
        </w:rPr>
        <w:t>The Company owns or leases various venues for the purpose of business entertainment, including boxes and season tickets to sporting events, and recreation and conference retreat properties. When these venues are not in use for business entertainment, they may be available to executives and other personnel.</w:t>
      </w:r>
    </w:p>
    <w:p>
      <w:pPr>
        <w:spacing w:after="0" w:line="68" w:lineRule="exact"/>
        <w:rPr>
          <w:rFonts w:ascii="Times New Roman" w:cs="Times New Roman" w:eastAsia="Times New Roman" w:hAnsi="Times New Roman"/>
          <w:sz w:val="18"/>
          <w:szCs w:val="18"/>
          <w:color w:val="auto"/>
        </w:rPr>
      </w:pPr>
    </w:p>
    <w:p>
      <w:pPr>
        <w:ind w:left="1240" w:right="140" w:hanging="388"/>
        <w:spacing w:after="0" w:line="248" w:lineRule="auto"/>
        <w:tabs>
          <w:tab w:leader="none" w:pos="1240" w:val="left"/>
        </w:tabs>
        <w:numPr>
          <w:ilvl w:val="0"/>
          <w:numId w:val="75"/>
        </w:numPr>
        <w:rPr>
          <w:rFonts w:ascii="Times New Roman" w:cs="Times New Roman" w:eastAsia="Times New Roman" w:hAnsi="Times New Roman"/>
          <w:sz w:val="18"/>
          <w:szCs w:val="18"/>
          <w:color w:val="auto"/>
        </w:rPr>
      </w:pPr>
      <w:r>
        <w:rPr>
          <w:rFonts w:ascii="Arial" w:cs="Arial" w:eastAsia="Arial" w:hAnsi="Arial"/>
          <w:sz w:val="18"/>
          <w:szCs w:val="18"/>
          <w:color w:val="auto"/>
        </w:rPr>
        <w:t>The table shows the incremental cost incurred for any personal use of these venues by the Named Executive Officers. Cost for this purpose is based solely on incremental operating costs (catering, transportation, incremental employee or contractor costs, etc.) and does not include annual or capital costs of these venues since the Company already incurs these costs for business purposes.</w:t>
      </w:r>
    </w:p>
    <w:p>
      <w:pPr>
        <w:spacing w:after="0" w:line="75" w:lineRule="exact"/>
        <w:rPr>
          <w:rFonts w:ascii="Times New Roman" w:cs="Times New Roman" w:eastAsia="Times New Roman" w:hAnsi="Times New Roman"/>
          <w:sz w:val="18"/>
          <w:szCs w:val="18"/>
          <w:color w:val="auto"/>
        </w:rPr>
      </w:pPr>
    </w:p>
    <w:p>
      <w:pPr>
        <w:jc w:val="both"/>
        <w:ind w:left="1240" w:right="480" w:hanging="388"/>
        <w:spacing w:after="0" w:line="255" w:lineRule="auto"/>
        <w:tabs>
          <w:tab w:leader="none" w:pos="1240" w:val="left"/>
        </w:tabs>
        <w:numPr>
          <w:ilvl w:val="0"/>
          <w:numId w:val="75"/>
        </w:numPr>
        <w:rPr>
          <w:rFonts w:ascii="Times New Roman" w:cs="Times New Roman" w:eastAsia="Times New Roman" w:hAnsi="Times New Roman"/>
          <w:sz w:val="18"/>
          <w:szCs w:val="18"/>
          <w:color w:val="auto"/>
        </w:rPr>
      </w:pPr>
      <w:r>
        <w:rPr>
          <w:rFonts w:ascii="Arial" w:cs="Arial" w:eastAsia="Arial" w:hAnsi="Arial"/>
          <w:sz w:val="18"/>
          <w:szCs w:val="18"/>
          <w:color w:val="auto"/>
        </w:rPr>
        <w:t>The amount shown also includes the incremental cost for personal use of a Company car, which is based on an assumed cost of $0.535 per mile. Driver personnel costs are not allocated because the Company already incurs these costs for business purposes.</w:t>
      </w:r>
    </w:p>
    <w:p>
      <w:pPr>
        <w:spacing w:after="0" w:line="163" w:lineRule="exact"/>
        <w:rPr>
          <w:sz w:val="20"/>
          <w:szCs w:val="20"/>
          <w:color w:val="auto"/>
        </w:rPr>
      </w:pPr>
    </w:p>
    <w:p>
      <w:pPr>
        <w:ind w:left="860"/>
        <w:spacing w:after="0"/>
        <w:rPr>
          <w:sz w:val="20"/>
          <w:szCs w:val="20"/>
          <w:color w:val="auto"/>
        </w:rPr>
      </w:pPr>
      <w:r>
        <w:rPr>
          <w:rFonts w:ascii="Arial" w:cs="Arial" w:eastAsia="Arial" w:hAnsi="Arial"/>
          <w:sz w:val="18"/>
          <w:szCs w:val="18"/>
          <w:u w:val="single" w:color="auto"/>
          <w:color w:val="auto"/>
        </w:rPr>
        <w:t>Financial Planning</w:t>
      </w:r>
    </w:p>
    <w:p>
      <w:pPr>
        <w:spacing w:after="0" w:line="117" w:lineRule="exact"/>
        <w:rPr>
          <w:sz w:val="20"/>
          <w:szCs w:val="20"/>
          <w:color w:val="auto"/>
        </w:rPr>
      </w:pPr>
    </w:p>
    <w:p>
      <w:pPr>
        <w:ind w:left="1240" w:right="160" w:hanging="388"/>
        <w:spacing w:after="0" w:line="275" w:lineRule="auto"/>
        <w:tabs>
          <w:tab w:leader="none" w:pos="1240" w:val="left"/>
        </w:tabs>
        <w:numPr>
          <w:ilvl w:val="0"/>
          <w:numId w:val="76"/>
        </w:numPr>
        <w:rPr>
          <w:rFonts w:ascii="Times New Roman" w:cs="Times New Roman" w:eastAsia="Times New Roman" w:hAnsi="Times New Roman"/>
          <w:sz w:val="18"/>
          <w:szCs w:val="18"/>
          <w:color w:val="auto"/>
        </w:rPr>
      </w:pPr>
      <w:r>
        <w:rPr>
          <w:rFonts w:ascii="Arial" w:cs="Arial" w:eastAsia="Arial" w:hAnsi="Arial"/>
          <w:sz w:val="18"/>
          <w:szCs w:val="18"/>
          <w:color w:val="auto"/>
        </w:rPr>
        <w:t>The Company provides financial planning services to senior executives, which includes tax preparation. This benefit is valued based on the actual charge for the services.</w:t>
      </w:r>
    </w:p>
    <w:p>
      <w:pPr>
        <w:spacing w:after="0" w:line="144" w:lineRule="exact"/>
        <w:rPr>
          <w:sz w:val="20"/>
          <w:szCs w:val="20"/>
          <w:color w:val="auto"/>
        </w:rPr>
      </w:pPr>
    </w:p>
    <w:p>
      <w:pPr>
        <w:ind w:left="860"/>
        <w:spacing w:after="0"/>
        <w:rPr>
          <w:sz w:val="20"/>
          <w:szCs w:val="20"/>
          <w:color w:val="auto"/>
        </w:rPr>
      </w:pPr>
      <w:r>
        <w:rPr>
          <w:rFonts w:ascii="Arial" w:cs="Arial" w:eastAsia="Arial" w:hAnsi="Arial"/>
          <w:sz w:val="18"/>
          <w:szCs w:val="18"/>
          <w:b w:val="1"/>
          <w:bCs w:val="1"/>
          <w:color w:val="auto"/>
        </w:rPr>
        <w:t>Grants of Plan-Based Awards for 2017</w:t>
      </w:r>
    </w:p>
    <w:p>
      <w:pPr>
        <w:spacing w:after="0" w:line="244" w:lineRule="exact"/>
        <w:rPr>
          <w:sz w:val="20"/>
          <w:szCs w:val="20"/>
          <w:color w:val="auto"/>
        </w:rPr>
      </w:pPr>
    </w:p>
    <w:tbl>
      <w:tblPr>
        <w:tblLayout w:type="fixed"/>
        <w:tblInd w:w="870" w:type="dxa"/>
        <w:tblCellMar>
          <w:top w:w="0" w:type="dxa"/>
          <w:left w:w="0" w:type="dxa"/>
          <w:bottom w:w="0" w:type="dxa"/>
          <w:right w:w="0" w:type="dxa"/>
        </w:tblCellMar>
      </w:tblPr>
      <w:tr>
        <w:trPr>
          <w:trHeight w:val="138"/>
        </w:trPr>
        <w:tc>
          <w:tcPr>
            <w:tcW w:w="1420" w:type="dxa"/>
            <w:vAlign w:val="bottom"/>
            <w:tcBorders>
              <w:top w:val="single" w:sz="8" w:color="auto"/>
              <w:left w:val="single" w:sz="8" w:color="auto"/>
              <w:right w:val="single" w:sz="8" w:color="auto"/>
            </w:tcBorders>
          </w:tcPr>
          <w:p>
            <w:pPr>
              <w:spacing w:after="0"/>
              <w:rPr>
                <w:sz w:val="12"/>
                <w:szCs w:val="12"/>
                <w:color w:val="auto"/>
              </w:rPr>
            </w:pPr>
          </w:p>
        </w:tc>
        <w:tc>
          <w:tcPr>
            <w:tcW w:w="1000" w:type="dxa"/>
            <w:vAlign w:val="bottom"/>
            <w:tcBorders>
              <w:top w:val="single" w:sz="8" w:color="auto"/>
              <w:right w:val="single" w:sz="8" w:color="auto"/>
            </w:tcBorders>
          </w:tcPr>
          <w:p>
            <w:pPr>
              <w:spacing w:after="0"/>
              <w:rPr>
                <w:sz w:val="12"/>
                <w:szCs w:val="12"/>
                <w:color w:val="auto"/>
              </w:rPr>
            </w:pPr>
          </w:p>
        </w:tc>
        <w:tc>
          <w:tcPr>
            <w:tcW w:w="720" w:type="dxa"/>
            <w:vAlign w:val="bottom"/>
            <w:tcBorders>
              <w:top w:val="single" w:sz="8" w:color="auto"/>
            </w:tcBorders>
          </w:tcPr>
          <w:p>
            <w:pPr>
              <w:spacing w:after="0"/>
              <w:rPr>
                <w:sz w:val="12"/>
                <w:szCs w:val="12"/>
                <w:color w:val="auto"/>
              </w:rPr>
            </w:pPr>
          </w:p>
        </w:tc>
        <w:tc>
          <w:tcPr>
            <w:tcW w:w="100" w:type="dxa"/>
            <w:vAlign w:val="bottom"/>
            <w:tcBorders>
              <w:top w:val="single" w:sz="8" w:color="auto"/>
            </w:tcBorders>
          </w:tcPr>
          <w:p>
            <w:pPr>
              <w:spacing w:after="0"/>
              <w:rPr>
                <w:sz w:val="12"/>
                <w:szCs w:val="12"/>
                <w:color w:val="auto"/>
              </w:rPr>
            </w:pPr>
          </w:p>
        </w:tc>
        <w:tc>
          <w:tcPr>
            <w:tcW w:w="600" w:type="dxa"/>
            <w:vAlign w:val="bottom"/>
            <w:tcBorders>
              <w:top w:val="single" w:sz="8" w:color="auto"/>
            </w:tcBorders>
          </w:tcPr>
          <w:p>
            <w:pPr>
              <w:spacing w:after="0"/>
              <w:rPr>
                <w:sz w:val="12"/>
                <w:szCs w:val="12"/>
                <w:color w:val="auto"/>
              </w:rPr>
            </w:pPr>
          </w:p>
        </w:tc>
        <w:tc>
          <w:tcPr>
            <w:tcW w:w="800" w:type="dxa"/>
            <w:vAlign w:val="bottom"/>
            <w:tcBorders>
              <w:top w:val="single" w:sz="8" w:color="auto"/>
              <w:right w:val="single" w:sz="8" w:color="auto"/>
            </w:tcBorders>
          </w:tcPr>
          <w:p>
            <w:pPr>
              <w:spacing w:after="0"/>
              <w:rPr>
                <w:sz w:val="12"/>
                <w:szCs w:val="12"/>
                <w:color w:val="auto"/>
              </w:rPr>
            </w:pPr>
          </w:p>
        </w:tc>
        <w:tc>
          <w:tcPr>
            <w:tcW w:w="720" w:type="dxa"/>
            <w:vAlign w:val="bottom"/>
            <w:tcBorders>
              <w:top w:val="single" w:sz="8" w:color="auto"/>
            </w:tcBorders>
          </w:tcPr>
          <w:p>
            <w:pPr>
              <w:spacing w:after="0"/>
              <w:rPr>
                <w:sz w:val="12"/>
                <w:szCs w:val="12"/>
                <w:color w:val="auto"/>
              </w:rPr>
            </w:pPr>
          </w:p>
        </w:tc>
        <w:tc>
          <w:tcPr>
            <w:tcW w:w="100" w:type="dxa"/>
            <w:vAlign w:val="bottom"/>
            <w:tcBorders>
              <w:top w:val="single" w:sz="8" w:color="auto"/>
            </w:tcBorders>
          </w:tcPr>
          <w:p>
            <w:pPr>
              <w:spacing w:after="0"/>
              <w:rPr>
                <w:sz w:val="12"/>
                <w:szCs w:val="12"/>
                <w:color w:val="auto"/>
              </w:rPr>
            </w:pPr>
          </w:p>
        </w:tc>
        <w:tc>
          <w:tcPr>
            <w:tcW w:w="600" w:type="dxa"/>
            <w:vAlign w:val="bottom"/>
            <w:tcBorders>
              <w:top w:val="single" w:sz="8" w:color="auto"/>
            </w:tcBorders>
          </w:tcPr>
          <w:p>
            <w:pPr>
              <w:spacing w:after="0"/>
              <w:rPr>
                <w:sz w:val="12"/>
                <w:szCs w:val="12"/>
                <w:color w:val="auto"/>
              </w:rPr>
            </w:pPr>
          </w:p>
        </w:tc>
        <w:tc>
          <w:tcPr>
            <w:tcW w:w="800" w:type="dxa"/>
            <w:vAlign w:val="bottom"/>
            <w:tcBorders>
              <w:top w:val="single" w:sz="8" w:color="auto"/>
              <w:right w:val="single" w:sz="8" w:color="auto"/>
            </w:tcBorders>
          </w:tcPr>
          <w:p>
            <w:pPr>
              <w:spacing w:after="0"/>
              <w:rPr>
                <w:sz w:val="12"/>
                <w:szCs w:val="12"/>
                <w:color w:val="auto"/>
              </w:rPr>
            </w:pPr>
          </w:p>
        </w:tc>
        <w:tc>
          <w:tcPr>
            <w:tcW w:w="640" w:type="dxa"/>
            <w:vAlign w:val="bottom"/>
            <w:tcBorders>
              <w:top w:val="single" w:sz="8" w:color="auto"/>
              <w:right w:val="single" w:sz="8" w:color="auto"/>
            </w:tcBorders>
          </w:tcPr>
          <w:p>
            <w:pPr>
              <w:jc w:val="center"/>
              <w:spacing w:after="0" w:line="138" w:lineRule="exact"/>
              <w:rPr>
                <w:sz w:val="20"/>
                <w:szCs w:val="20"/>
                <w:color w:val="auto"/>
              </w:rPr>
            </w:pPr>
            <w:r>
              <w:rPr>
                <w:rFonts w:ascii="Arial" w:cs="Arial" w:eastAsia="Arial" w:hAnsi="Arial"/>
                <w:sz w:val="13"/>
                <w:szCs w:val="13"/>
                <w:b w:val="1"/>
                <w:bCs w:val="1"/>
                <w:color w:val="auto"/>
                <w:w w:val="96"/>
              </w:rPr>
              <w:t>All</w:t>
            </w:r>
          </w:p>
        </w:tc>
        <w:tc>
          <w:tcPr>
            <w:tcW w:w="760" w:type="dxa"/>
            <w:vAlign w:val="bottom"/>
            <w:tcBorders>
              <w:top w:val="single" w:sz="8" w:color="auto"/>
              <w:right w:val="single" w:sz="8" w:color="auto"/>
            </w:tcBorders>
            <w:vMerge w:val="restart"/>
          </w:tcPr>
          <w:p>
            <w:pPr>
              <w:jc w:val="center"/>
              <w:spacing w:after="0"/>
              <w:rPr>
                <w:sz w:val="20"/>
                <w:szCs w:val="20"/>
                <w:color w:val="auto"/>
              </w:rPr>
            </w:pPr>
            <w:r>
              <w:rPr>
                <w:rFonts w:ascii="Arial" w:cs="Arial" w:eastAsia="Arial" w:hAnsi="Arial"/>
                <w:sz w:val="13"/>
                <w:szCs w:val="13"/>
                <w:b w:val="1"/>
                <w:bCs w:val="1"/>
                <w:color w:val="auto"/>
                <w:w w:val="98"/>
              </w:rPr>
              <w:t>All Other</w:t>
            </w:r>
          </w:p>
        </w:tc>
        <w:tc>
          <w:tcPr>
            <w:tcW w:w="660" w:type="dxa"/>
            <w:vAlign w:val="bottom"/>
            <w:tcBorders>
              <w:top w:val="single" w:sz="8" w:color="auto"/>
              <w:right w:val="single" w:sz="8" w:color="auto"/>
            </w:tcBorders>
          </w:tcPr>
          <w:p>
            <w:pPr>
              <w:spacing w:after="0"/>
              <w:rPr>
                <w:sz w:val="12"/>
                <w:szCs w:val="12"/>
                <w:color w:val="auto"/>
              </w:rPr>
            </w:pPr>
          </w:p>
        </w:tc>
        <w:tc>
          <w:tcPr>
            <w:tcW w:w="820" w:type="dxa"/>
            <w:vAlign w:val="bottom"/>
            <w:tcBorders>
              <w:top w:val="single" w:sz="8" w:color="auto"/>
              <w:right w:val="single" w:sz="8" w:color="auto"/>
            </w:tcBorders>
          </w:tcPr>
          <w:p>
            <w:pPr>
              <w:spacing w:after="0"/>
              <w:rPr>
                <w:sz w:val="12"/>
                <w:szCs w:val="12"/>
                <w:color w:val="auto"/>
              </w:rPr>
            </w:pPr>
          </w:p>
        </w:tc>
        <w:tc>
          <w:tcPr>
            <w:tcW w:w="0" w:type="dxa"/>
            <w:vAlign w:val="bottom"/>
          </w:tcPr>
          <w:p>
            <w:pPr>
              <w:spacing w:after="0"/>
              <w:rPr>
                <w:sz w:val="1"/>
                <w:szCs w:val="1"/>
                <w:color w:val="auto"/>
              </w:rPr>
            </w:pPr>
          </w:p>
        </w:tc>
      </w:tr>
      <w:tr>
        <w:trPr>
          <w:trHeight w:val="135"/>
        </w:trPr>
        <w:tc>
          <w:tcPr>
            <w:tcW w:w="1420" w:type="dxa"/>
            <w:vAlign w:val="bottom"/>
            <w:tcBorders>
              <w:left w:val="single" w:sz="8" w:color="auto"/>
              <w:right w:val="single" w:sz="8" w:color="auto"/>
            </w:tcBorders>
          </w:tcPr>
          <w:p>
            <w:pPr>
              <w:spacing w:after="0"/>
              <w:rPr>
                <w:sz w:val="11"/>
                <w:szCs w:val="11"/>
                <w:color w:val="auto"/>
              </w:rPr>
            </w:pPr>
          </w:p>
        </w:tc>
        <w:tc>
          <w:tcPr>
            <w:tcW w:w="1000" w:type="dxa"/>
            <w:vAlign w:val="bottom"/>
            <w:tcBorders>
              <w:right w:val="single" w:sz="8" w:color="auto"/>
            </w:tcBorders>
          </w:tcPr>
          <w:p>
            <w:pPr>
              <w:spacing w:after="0"/>
              <w:rPr>
                <w:sz w:val="11"/>
                <w:szCs w:val="11"/>
                <w:color w:val="auto"/>
              </w:rPr>
            </w:pPr>
          </w:p>
        </w:tc>
        <w:tc>
          <w:tcPr>
            <w:tcW w:w="7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800" w:type="dxa"/>
            <w:vAlign w:val="bottom"/>
            <w:tcBorders>
              <w:right w:val="single" w:sz="8" w:color="auto"/>
            </w:tcBorders>
          </w:tcPr>
          <w:p>
            <w:pPr>
              <w:spacing w:after="0"/>
              <w:rPr>
                <w:sz w:val="11"/>
                <w:szCs w:val="11"/>
                <w:color w:val="auto"/>
              </w:rPr>
            </w:pPr>
          </w:p>
        </w:tc>
        <w:tc>
          <w:tcPr>
            <w:tcW w:w="7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800" w:type="dxa"/>
            <w:vAlign w:val="bottom"/>
            <w:tcBorders>
              <w:right w:val="single" w:sz="8" w:color="auto"/>
            </w:tcBorders>
          </w:tcPr>
          <w:p>
            <w:pPr>
              <w:spacing w:after="0"/>
              <w:rPr>
                <w:sz w:val="11"/>
                <w:szCs w:val="11"/>
                <w:color w:val="auto"/>
              </w:rPr>
            </w:pPr>
          </w:p>
        </w:tc>
        <w:tc>
          <w:tcPr>
            <w:tcW w:w="640" w:type="dxa"/>
            <w:vAlign w:val="bottom"/>
            <w:tcBorders>
              <w:right w:val="single" w:sz="8" w:color="auto"/>
            </w:tcBorders>
          </w:tcPr>
          <w:p>
            <w:pPr>
              <w:jc w:val="center"/>
              <w:spacing w:after="0" w:line="135" w:lineRule="exact"/>
              <w:rPr>
                <w:sz w:val="20"/>
                <w:szCs w:val="20"/>
                <w:color w:val="auto"/>
              </w:rPr>
            </w:pPr>
            <w:r>
              <w:rPr>
                <w:rFonts w:ascii="Arial" w:cs="Arial" w:eastAsia="Arial" w:hAnsi="Arial"/>
                <w:sz w:val="13"/>
                <w:szCs w:val="13"/>
                <w:b w:val="1"/>
                <w:bCs w:val="1"/>
                <w:color w:val="auto"/>
                <w:w w:val="97"/>
              </w:rPr>
              <w:t>Other</w:t>
            </w:r>
          </w:p>
        </w:tc>
        <w:tc>
          <w:tcPr>
            <w:tcW w:w="760" w:type="dxa"/>
            <w:vAlign w:val="bottom"/>
            <w:tcBorders>
              <w:right w:val="single" w:sz="8" w:color="auto"/>
            </w:tcBorders>
            <w:vMerge w:val="continue"/>
          </w:tcPr>
          <w:p>
            <w:pPr>
              <w:spacing w:after="0"/>
              <w:rPr>
                <w:sz w:val="11"/>
                <w:szCs w:val="11"/>
                <w:color w:val="auto"/>
              </w:rPr>
            </w:pPr>
          </w:p>
        </w:tc>
        <w:tc>
          <w:tcPr>
            <w:tcW w:w="660" w:type="dxa"/>
            <w:vAlign w:val="bottom"/>
            <w:tcBorders>
              <w:right w:val="single" w:sz="8" w:color="auto"/>
            </w:tcBorders>
          </w:tcPr>
          <w:p>
            <w:pPr>
              <w:spacing w:after="0"/>
              <w:rPr>
                <w:sz w:val="11"/>
                <w:szCs w:val="11"/>
                <w:color w:val="auto"/>
              </w:rPr>
            </w:pPr>
          </w:p>
        </w:tc>
        <w:tc>
          <w:tcPr>
            <w:tcW w:w="820" w:type="dxa"/>
            <w:vAlign w:val="bottom"/>
            <w:tcBorders>
              <w:right w:val="single" w:sz="8" w:color="auto"/>
            </w:tcBorders>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1420" w:type="dxa"/>
            <w:vAlign w:val="bottom"/>
            <w:tcBorders>
              <w:left w:val="single" w:sz="8" w:color="auto"/>
              <w:right w:val="single" w:sz="8" w:color="auto"/>
            </w:tcBorders>
          </w:tcPr>
          <w:p>
            <w:pPr>
              <w:spacing w:after="0"/>
              <w:rPr>
                <w:sz w:val="11"/>
                <w:szCs w:val="11"/>
                <w:color w:val="auto"/>
              </w:rPr>
            </w:pPr>
          </w:p>
        </w:tc>
        <w:tc>
          <w:tcPr>
            <w:tcW w:w="1000" w:type="dxa"/>
            <w:vAlign w:val="bottom"/>
            <w:tcBorders>
              <w:right w:val="single" w:sz="8" w:color="auto"/>
            </w:tcBorders>
          </w:tcPr>
          <w:p>
            <w:pPr>
              <w:spacing w:after="0"/>
              <w:rPr>
                <w:sz w:val="11"/>
                <w:szCs w:val="11"/>
                <w:color w:val="auto"/>
              </w:rPr>
            </w:pPr>
          </w:p>
        </w:tc>
        <w:tc>
          <w:tcPr>
            <w:tcW w:w="7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800" w:type="dxa"/>
            <w:vAlign w:val="bottom"/>
            <w:tcBorders>
              <w:right w:val="single" w:sz="8" w:color="auto"/>
            </w:tcBorders>
          </w:tcPr>
          <w:p>
            <w:pPr>
              <w:spacing w:after="0"/>
              <w:rPr>
                <w:sz w:val="11"/>
                <w:szCs w:val="11"/>
                <w:color w:val="auto"/>
              </w:rPr>
            </w:pPr>
          </w:p>
        </w:tc>
        <w:tc>
          <w:tcPr>
            <w:tcW w:w="7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800" w:type="dxa"/>
            <w:vAlign w:val="bottom"/>
            <w:tcBorders>
              <w:right w:val="single" w:sz="8" w:color="auto"/>
            </w:tcBorders>
          </w:tcPr>
          <w:p>
            <w:pPr>
              <w:spacing w:after="0"/>
              <w:rPr>
                <w:sz w:val="11"/>
                <w:szCs w:val="11"/>
                <w:color w:val="auto"/>
              </w:rPr>
            </w:pPr>
          </w:p>
        </w:tc>
        <w:tc>
          <w:tcPr>
            <w:tcW w:w="640" w:type="dxa"/>
            <w:vAlign w:val="bottom"/>
            <w:tcBorders>
              <w:right w:val="single" w:sz="8" w:color="auto"/>
            </w:tcBorders>
          </w:tcPr>
          <w:p>
            <w:pPr>
              <w:jc w:val="center"/>
              <w:spacing w:after="0" w:line="135" w:lineRule="exact"/>
              <w:rPr>
                <w:sz w:val="20"/>
                <w:szCs w:val="20"/>
                <w:color w:val="auto"/>
              </w:rPr>
            </w:pPr>
            <w:r>
              <w:rPr>
                <w:rFonts w:ascii="Arial" w:cs="Arial" w:eastAsia="Arial" w:hAnsi="Arial"/>
                <w:sz w:val="13"/>
                <w:szCs w:val="13"/>
                <w:b w:val="1"/>
                <w:bCs w:val="1"/>
                <w:color w:val="auto"/>
                <w:w w:val="95"/>
              </w:rPr>
              <w:t>Stock</w:t>
            </w:r>
          </w:p>
        </w:tc>
        <w:tc>
          <w:tcPr>
            <w:tcW w:w="760" w:type="dxa"/>
            <w:vAlign w:val="bottom"/>
            <w:tcBorders>
              <w:right w:val="single" w:sz="8" w:color="auto"/>
            </w:tcBorders>
          </w:tcPr>
          <w:p>
            <w:pPr>
              <w:jc w:val="center"/>
              <w:spacing w:after="0" w:line="135" w:lineRule="exact"/>
              <w:rPr>
                <w:sz w:val="20"/>
                <w:szCs w:val="20"/>
                <w:color w:val="auto"/>
              </w:rPr>
            </w:pPr>
            <w:r>
              <w:rPr>
                <w:rFonts w:ascii="Arial" w:cs="Arial" w:eastAsia="Arial" w:hAnsi="Arial"/>
                <w:sz w:val="13"/>
                <w:szCs w:val="13"/>
                <w:b w:val="1"/>
                <w:bCs w:val="1"/>
                <w:color w:val="auto"/>
              </w:rPr>
              <w:t>Option</w:t>
            </w:r>
          </w:p>
        </w:tc>
        <w:tc>
          <w:tcPr>
            <w:tcW w:w="660" w:type="dxa"/>
            <w:vAlign w:val="bottom"/>
            <w:tcBorders>
              <w:right w:val="single" w:sz="8" w:color="auto"/>
            </w:tcBorders>
          </w:tcPr>
          <w:p>
            <w:pPr>
              <w:spacing w:after="0"/>
              <w:rPr>
                <w:sz w:val="11"/>
                <w:szCs w:val="11"/>
                <w:color w:val="auto"/>
              </w:rPr>
            </w:pPr>
          </w:p>
        </w:tc>
        <w:tc>
          <w:tcPr>
            <w:tcW w:w="820" w:type="dxa"/>
            <w:vAlign w:val="bottom"/>
            <w:tcBorders>
              <w:right w:val="single" w:sz="8" w:color="auto"/>
            </w:tcBorders>
          </w:tcPr>
          <w:p>
            <w:pPr>
              <w:spacing w:after="0"/>
              <w:rPr>
                <w:sz w:val="11"/>
                <w:szCs w:val="11"/>
                <w:color w:val="auto"/>
              </w:rPr>
            </w:pPr>
          </w:p>
        </w:tc>
        <w:tc>
          <w:tcPr>
            <w:tcW w:w="0" w:type="dxa"/>
            <w:vAlign w:val="bottom"/>
          </w:tcPr>
          <w:p>
            <w:pPr>
              <w:spacing w:after="0"/>
              <w:rPr>
                <w:sz w:val="1"/>
                <w:szCs w:val="1"/>
                <w:color w:val="auto"/>
              </w:rPr>
            </w:pPr>
          </w:p>
        </w:tc>
      </w:tr>
      <w:tr>
        <w:trPr>
          <w:trHeight w:val="173"/>
        </w:trPr>
        <w:tc>
          <w:tcPr>
            <w:tcW w:w="1420" w:type="dxa"/>
            <w:vAlign w:val="bottom"/>
            <w:tcBorders>
              <w:left w:val="single" w:sz="8" w:color="auto"/>
              <w:right w:val="single" w:sz="8" w:color="auto"/>
            </w:tcBorders>
          </w:tcPr>
          <w:p>
            <w:pPr>
              <w:spacing w:after="0"/>
              <w:rPr>
                <w:sz w:val="15"/>
                <w:szCs w:val="15"/>
                <w:color w:val="auto"/>
              </w:rPr>
            </w:pPr>
          </w:p>
        </w:tc>
        <w:tc>
          <w:tcPr>
            <w:tcW w:w="1000" w:type="dxa"/>
            <w:vAlign w:val="bottom"/>
            <w:tcBorders>
              <w:right w:val="single" w:sz="8" w:color="auto"/>
            </w:tcBorders>
          </w:tcPr>
          <w:p>
            <w:pPr>
              <w:spacing w:after="0"/>
              <w:rPr>
                <w:sz w:val="15"/>
                <w:szCs w:val="15"/>
                <w:color w:val="auto"/>
              </w:rPr>
            </w:pPr>
          </w:p>
        </w:tc>
        <w:tc>
          <w:tcPr>
            <w:tcW w:w="2220" w:type="dxa"/>
            <w:vAlign w:val="bottom"/>
            <w:tcBorders>
              <w:right w:val="single" w:sz="8" w:color="auto"/>
            </w:tcBorders>
            <w:gridSpan w:val="4"/>
          </w:tcPr>
          <w:p>
            <w:pPr>
              <w:jc w:val="center"/>
              <w:spacing w:after="0"/>
              <w:rPr>
                <w:sz w:val="20"/>
                <w:szCs w:val="20"/>
                <w:color w:val="auto"/>
              </w:rPr>
            </w:pPr>
            <w:r>
              <w:rPr>
                <w:rFonts w:ascii="Arial" w:cs="Arial" w:eastAsia="Arial" w:hAnsi="Arial"/>
                <w:sz w:val="13"/>
                <w:szCs w:val="13"/>
                <w:b w:val="1"/>
                <w:bCs w:val="1"/>
                <w:color w:val="auto"/>
                <w:w w:val="97"/>
              </w:rPr>
              <w:t>Estimated Future Payouts</w:t>
            </w:r>
          </w:p>
        </w:tc>
        <w:tc>
          <w:tcPr>
            <w:tcW w:w="2220" w:type="dxa"/>
            <w:vAlign w:val="bottom"/>
            <w:tcBorders>
              <w:right w:val="single" w:sz="8" w:color="auto"/>
            </w:tcBorders>
            <w:gridSpan w:val="4"/>
          </w:tcPr>
          <w:p>
            <w:pPr>
              <w:jc w:val="center"/>
              <w:spacing w:after="0"/>
              <w:rPr>
                <w:sz w:val="20"/>
                <w:szCs w:val="20"/>
                <w:color w:val="auto"/>
              </w:rPr>
            </w:pPr>
            <w:r>
              <w:rPr>
                <w:rFonts w:ascii="Arial" w:cs="Arial" w:eastAsia="Arial" w:hAnsi="Arial"/>
                <w:sz w:val="13"/>
                <w:szCs w:val="13"/>
                <w:b w:val="1"/>
                <w:bCs w:val="1"/>
                <w:color w:val="auto"/>
                <w:w w:val="96"/>
              </w:rPr>
              <w:t>Estimated Future Payouts</w:t>
            </w:r>
          </w:p>
        </w:tc>
        <w:tc>
          <w:tcPr>
            <w:tcW w:w="640" w:type="dxa"/>
            <w:vAlign w:val="bottom"/>
            <w:tcBorders>
              <w:right w:val="single" w:sz="8" w:color="auto"/>
            </w:tcBorders>
          </w:tcPr>
          <w:p>
            <w:pPr>
              <w:jc w:val="center"/>
              <w:spacing w:after="0"/>
              <w:rPr>
                <w:sz w:val="20"/>
                <w:szCs w:val="20"/>
                <w:color w:val="auto"/>
              </w:rPr>
            </w:pPr>
            <w:r>
              <w:rPr>
                <w:rFonts w:ascii="Arial" w:cs="Arial" w:eastAsia="Arial" w:hAnsi="Arial"/>
                <w:sz w:val="13"/>
                <w:szCs w:val="13"/>
                <w:b w:val="1"/>
                <w:bCs w:val="1"/>
                <w:color w:val="auto"/>
                <w:w w:val="97"/>
              </w:rPr>
              <w:t>Awards:</w:t>
            </w:r>
          </w:p>
        </w:tc>
        <w:tc>
          <w:tcPr>
            <w:tcW w:w="760" w:type="dxa"/>
            <w:vAlign w:val="bottom"/>
            <w:tcBorders>
              <w:right w:val="single" w:sz="8" w:color="auto"/>
            </w:tcBorders>
          </w:tcPr>
          <w:p>
            <w:pPr>
              <w:jc w:val="center"/>
              <w:spacing w:after="0"/>
              <w:rPr>
                <w:sz w:val="20"/>
                <w:szCs w:val="20"/>
                <w:color w:val="auto"/>
              </w:rPr>
            </w:pPr>
            <w:r>
              <w:rPr>
                <w:rFonts w:ascii="Arial" w:cs="Arial" w:eastAsia="Arial" w:hAnsi="Arial"/>
                <w:sz w:val="13"/>
                <w:szCs w:val="13"/>
                <w:b w:val="1"/>
                <w:bCs w:val="1"/>
                <w:color w:val="auto"/>
                <w:w w:val="97"/>
              </w:rPr>
              <w:t>Awards:</w:t>
            </w:r>
          </w:p>
        </w:tc>
        <w:tc>
          <w:tcPr>
            <w:tcW w:w="660" w:type="dxa"/>
            <w:vAlign w:val="bottom"/>
            <w:tcBorders>
              <w:right w:val="single" w:sz="8" w:color="auto"/>
            </w:tcBorders>
          </w:tcPr>
          <w:p>
            <w:pPr>
              <w:jc w:val="center"/>
              <w:spacing w:after="0"/>
              <w:rPr>
                <w:sz w:val="20"/>
                <w:szCs w:val="20"/>
                <w:color w:val="auto"/>
              </w:rPr>
            </w:pPr>
            <w:r>
              <w:rPr>
                <w:rFonts w:ascii="Arial" w:cs="Arial" w:eastAsia="Arial" w:hAnsi="Arial"/>
                <w:sz w:val="13"/>
                <w:szCs w:val="13"/>
                <w:b w:val="1"/>
                <w:bCs w:val="1"/>
                <w:color w:val="auto"/>
                <w:w w:val="97"/>
              </w:rPr>
              <w:t>Exercise</w:t>
            </w:r>
          </w:p>
        </w:tc>
        <w:tc>
          <w:tcPr>
            <w:tcW w:w="820" w:type="dxa"/>
            <w:vAlign w:val="bottom"/>
            <w:tcBorders>
              <w:right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135"/>
        </w:trPr>
        <w:tc>
          <w:tcPr>
            <w:tcW w:w="1420" w:type="dxa"/>
            <w:vAlign w:val="bottom"/>
            <w:tcBorders>
              <w:left w:val="single" w:sz="8" w:color="auto"/>
              <w:right w:val="single" w:sz="8" w:color="auto"/>
            </w:tcBorders>
          </w:tcPr>
          <w:p>
            <w:pPr>
              <w:spacing w:after="0"/>
              <w:rPr>
                <w:sz w:val="11"/>
                <w:szCs w:val="11"/>
                <w:color w:val="auto"/>
              </w:rPr>
            </w:pPr>
          </w:p>
        </w:tc>
        <w:tc>
          <w:tcPr>
            <w:tcW w:w="1000" w:type="dxa"/>
            <w:vAlign w:val="bottom"/>
            <w:tcBorders>
              <w:right w:val="single" w:sz="8" w:color="auto"/>
            </w:tcBorders>
          </w:tcPr>
          <w:p>
            <w:pPr>
              <w:spacing w:after="0"/>
              <w:rPr>
                <w:sz w:val="11"/>
                <w:szCs w:val="11"/>
                <w:color w:val="auto"/>
              </w:rPr>
            </w:pPr>
          </w:p>
        </w:tc>
        <w:tc>
          <w:tcPr>
            <w:tcW w:w="2220" w:type="dxa"/>
            <w:vAlign w:val="bottom"/>
            <w:tcBorders>
              <w:right w:val="single" w:sz="8" w:color="auto"/>
            </w:tcBorders>
            <w:gridSpan w:val="4"/>
          </w:tcPr>
          <w:p>
            <w:pPr>
              <w:jc w:val="center"/>
              <w:spacing w:after="0" w:line="135" w:lineRule="exact"/>
              <w:rPr>
                <w:sz w:val="20"/>
                <w:szCs w:val="20"/>
                <w:color w:val="auto"/>
              </w:rPr>
            </w:pPr>
            <w:r>
              <w:rPr>
                <w:rFonts w:ascii="Arial" w:cs="Arial" w:eastAsia="Arial" w:hAnsi="Arial"/>
                <w:sz w:val="13"/>
                <w:szCs w:val="13"/>
                <w:b w:val="1"/>
                <w:bCs w:val="1"/>
                <w:color w:val="auto"/>
                <w:w w:val="96"/>
              </w:rPr>
              <w:t>Under Non-Equity Incentive</w:t>
            </w:r>
          </w:p>
        </w:tc>
        <w:tc>
          <w:tcPr>
            <w:tcW w:w="2220" w:type="dxa"/>
            <w:vAlign w:val="bottom"/>
            <w:tcBorders>
              <w:right w:val="single" w:sz="8" w:color="auto"/>
            </w:tcBorders>
            <w:gridSpan w:val="4"/>
          </w:tcPr>
          <w:p>
            <w:pPr>
              <w:jc w:val="center"/>
              <w:spacing w:after="0" w:line="135" w:lineRule="exact"/>
              <w:rPr>
                <w:sz w:val="20"/>
                <w:szCs w:val="20"/>
                <w:color w:val="auto"/>
              </w:rPr>
            </w:pPr>
            <w:r>
              <w:rPr>
                <w:rFonts w:ascii="Arial" w:cs="Arial" w:eastAsia="Arial" w:hAnsi="Arial"/>
                <w:sz w:val="13"/>
                <w:szCs w:val="13"/>
                <w:b w:val="1"/>
                <w:bCs w:val="1"/>
                <w:color w:val="auto"/>
                <w:w w:val="96"/>
              </w:rPr>
              <w:t>Under Equity Incentive</w:t>
            </w:r>
          </w:p>
        </w:tc>
        <w:tc>
          <w:tcPr>
            <w:tcW w:w="640" w:type="dxa"/>
            <w:vAlign w:val="bottom"/>
            <w:tcBorders>
              <w:right w:val="single" w:sz="8" w:color="auto"/>
            </w:tcBorders>
          </w:tcPr>
          <w:p>
            <w:pPr>
              <w:jc w:val="center"/>
              <w:spacing w:after="0" w:line="135" w:lineRule="exact"/>
              <w:rPr>
                <w:sz w:val="20"/>
                <w:szCs w:val="20"/>
                <w:color w:val="auto"/>
              </w:rPr>
            </w:pPr>
            <w:r>
              <w:rPr>
                <w:rFonts w:ascii="Arial" w:cs="Arial" w:eastAsia="Arial" w:hAnsi="Arial"/>
                <w:sz w:val="13"/>
                <w:szCs w:val="13"/>
                <w:b w:val="1"/>
                <w:bCs w:val="1"/>
                <w:color w:val="auto"/>
                <w:w w:val="97"/>
              </w:rPr>
              <w:t>Number</w:t>
            </w:r>
          </w:p>
        </w:tc>
        <w:tc>
          <w:tcPr>
            <w:tcW w:w="760" w:type="dxa"/>
            <w:vAlign w:val="bottom"/>
            <w:tcBorders>
              <w:right w:val="single" w:sz="8" w:color="auto"/>
            </w:tcBorders>
          </w:tcPr>
          <w:p>
            <w:pPr>
              <w:jc w:val="center"/>
              <w:spacing w:after="0" w:line="135" w:lineRule="exact"/>
              <w:rPr>
                <w:sz w:val="20"/>
                <w:szCs w:val="20"/>
                <w:color w:val="auto"/>
              </w:rPr>
            </w:pPr>
            <w:r>
              <w:rPr>
                <w:rFonts w:ascii="Arial" w:cs="Arial" w:eastAsia="Arial" w:hAnsi="Arial"/>
                <w:sz w:val="13"/>
                <w:szCs w:val="13"/>
                <w:b w:val="1"/>
                <w:bCs w:val="1"/>
                <w:color w:val="auto"/>
                <w:w w:val="93"/>
              </w:rPr>
              <w:t>Number</w:t>
            </w:r>
          </w:p>
        </w:tc>
        <w:tc>
          <w:tcPr>
            <w:tcW w:w="660" w:type="dxa"/>
            <w:vAlign w:val="bottom"/>
            <w:tcBorders>
              <w:right w:val="single" w:sz="8" w:color="auto"/>
            </w:tcBorders>
          </w:tcPr>
          <w:p>
            <w:pPr>
              <w:jc w:val="center"/>
              <w:spacing w:after="0" w:line="135" w:lineRule="exact"/>
              <w:rPr>
                <w:sz w:val="20"/>
                <w:szCs w:val="20"/>
                <w:color w:val="auto"/>
              </w:rPr>
            </w:pPr>
            <w:r>
              <w:rPr>
                <w:rFonts w:ascii="Arial" w:cs="Arial" w:eastAsia="Arial" w:hAnsi="Arial"/>
                <w:sz w:val="13"/>
                <w:szCs w:val="13"/>
                <w:b w:val="1"/>
                <w:bCs w:val="1"/>
                <w:color w:val="auto"/>
                <w:w w:val="91"/>
              </w:rPr>
              <w:t>or</w:t>
            </w:r>
          </w:p>
        </w:tc>
        <w:tc>
          <w:tcPr>
            <w:tcW w:w="820" w:type="dxa"/>
            <w:vAlign w:val="bottom"/>
            <w:tcBorders>
              <w:right w:val="single" w:sz="8" w:color="auto"/>
            </w:tcBorders>
            <w:vMerge w:val="restart"/>
          </w:tcPr>
          <w:p>
            <w:pPr>
              <w:jc w:val="center"/>
              <w:spacing w:after="0"/>
              <w:rPr>
                <w:sz w:val="20"/>
                <w:szCs w:val="20"/>
                <w:color w:val="auto"/>
              </w:rPr>
            </w:pPr>
            <w:r>
              <w:rPr>
                <w:rFonts w:ascii="Arial" w:cs="Arial" w:eastAsia="Arial" w:hAnsi="Arial"/>
                <w:sz w:val="13"/>
                <w:szCs w:val="13"/>
                <w:b w:val="1"/>
                <w:bCs w:val="1"/>
                <w:color w:val="auto"/>
                <w:w w:val="96"/>
              </w:rPr>
              <w:t>Grant Date</w:t>
            </w:r>
          </w:p>
        </w:tc>
        <w:tc>
          <w:tcPr>
            <w:tcW w:w="0" w:type="dxa"/>
            <w:vAlign w:val="bottom"/>
          </w:tcPr>
          <w:p>
            <w:pPr>
              <w:spacing w:after="0"/>
              <w:rPr>
                <w:sz w:val="1"/>
                <w:szCs w:val="1"/>
                <w:color w:val="auto"/>
              </w:rPr>
            </w:pPr>
          </w:p>
        </w:tc>
      </w:tr>
      <w:tr>
        <w:trPr>
          <w:trHeight w:val="135"/>
        </w:trPr>
        <w:tc>
          <w:tcPr>
            <w:tcW w:w="1420" w:type="dxa"/>
            <w:vAlign w:val="bottom"/>
            <w:tcBorders>
              <w:left w:val="single" w:sz="8" w:color="auto"/>
              <w:right w:val="single" w:sz="8" w:color="auto"/>
            </w:tcBorders>
          </w:tcPr>
          <w:p>
            <w:pPr>
              <w:spacing w:after="0"/>
              <w:rPr>
                <w:sz w:val="11"/>
                <w:szCs w:val="11"/>
                <w:color w:val="auto"/>
              </w:rPr>
            </w:pPr>
          </w:p>
        </w:tc>
        <w:tc>
          <w:tcPr>
            <w:tcW w:w="1000" w:type="dxa"/>
            <w:vAlign w:val="bottom"/>
            <w:tcBorders>
              <w:right w:val="single" w:sz="8" w:color="auto"/>
            </w:tcBorders>
          </w:tcPr>
          <w:p>
            <w:pPr>
              <w:spacing w:after="0"/>
              <w:rPr>
                <w:sz w:val="11"/>
                <w:szCs w:val="11"/>
                <w:color w:val="auto"/>
              </w:rPr>
            </w:pPr>
          </w:p>
        </w:tc>
        <w:tc>
          <w:tcPr>
            <w:tcW w:w="720" w:type="dxa"/>
            <w:vAlign w:val="bottom"/>
          </w:tcPr>
          <w:p>
            <w:pPr>
              <w:spacing w:after="0"/>
              <w:rPr>
                <w:sz w:val="11"/>
                <w:szCs w:val="11"/>
                <w:color w:val="auto"/>
              </w:rPr>
            </w:pPr>
          </w:p>
        </w:tc>
        <w:tc>
          <w:tcPr>
            <w:tcW w:w="1500" w:type="dxa"/>
            <w:vAlign w:val="bottom"/>
            <w:tcBorders>
              <w:right w:val="single" w:sz="8" w:color="auto"/>
            </w:tcBorders>
            <w:gridSpan w:val="3"/>
          </w:tcPr>
          <w:p>
            <w:pPr>
              <w:jc w:val="center"/>
              <w:ind w:right="597"/>
              <w:spacing w:after="0" w:line="135" w:lineRule="exact"/>
              <w:rPr>
                <w:sz w:val="20"/>
                <w:szCs w:val="20"/>
                <w:color w:val="auto"/>
              </w:rPr>
            </w:pPr>
            <w:r>
              <w:rPr>
                <w:rFonts w:ascii="Arial" w:cs="Arial" w:eastAsia="Arial" w:hAnsi="Arial"/>
                <w:sz w:val="13"/>
                <w:szCs w:val="13"/>
                <w:b w:val="1"/>
                <w:bCs w:val="1"/>
                <w:color w:val="auto"/>
                <w:w w:val="97"/>
              </w:rPr>
              <w:t>Plan Awards</w:t>
            </w:r>
          </w:p>
        </w:tc>
        <w:tc>
          <w:tcPr>
            <w:tcW w:w="720" w:type="dxa"/>
            <w:vAlign w:val="bottom"/>
          </w:tcPr>
          <w:p>
            <w:pPr>
              <w:spacing w:after="0"/>
              <w:rPr>
                <w:sz w:val="11"/>
                <w:szCs w:val="11"/>
                <w:color w:val="auto"/>
              </w:rPr>
            </w:pPr>
          </w:p>
        </w:tc>
        <w:tc>
          <w:tcPr>
            <w:tcW w:w="1500" w:type="dxa"/>
            <w:vAlign w:val="bottom"/>
            <w:tcBorders>
              <w:right w:val="single" w:sz="8" w:color="auto"/>
            </w:tcBorders>
            <w:gridSpan w:val="3"/>
          </w:tcPr>
          <w:p>
            <w:pPr>
              <w:jc w:val="center"/>
              <w:ind w:right="617"/>
              <w:spacing w:after="0" w:line="135" w:lineRule="exact"/>
              <w:rPr>
                <w:sz w:val="20"/>
                <w:szCs w:val="20"/>
                <w:color w:val="auto"/>
              </w:rPr>
            </w:pPr>
            <w:r>
              <w:rPr>
                <w:rFonts w:ascii="Arial" w:cs="Arial" w:eastAsia="Arial" w:hAnsi="Arial"/>
                <w:sz w:val="13"/>
                <w:szCs w:val="13"/>
                <w:b w:val="1"/>
                <w:bCs w:val="1"/>
                <w:color w:val="auto"/>
                <w:w w:val="94"/>
              </w:rPr>
              <w:t>Plan Awards</w:t>
            </w:r>
          </w:p>
        </w:tc>
        <w:tc>
          <w:tcPr>
            <w:tcW w:w="640" w:type="dxa"/>
            <w:vAlign w:val="bottom"/>
            <w:tcBorders>
              <w:right w:val="single" w:sz="8" w:color="auto"/>
            </w:tcBorders>
          </w:tcPr>
          <w:p>
            <w:pPr>
              <w:jc w:val="center"/>
              <w:spacing w:after="0" w:line="135" w:lineRule="exact"/>
              <w:rPr>
                <w:sz w:val="20"/>
                <w:szCs w:val="20"/>
                <w:color w:val="auto"/>
              </w:rPr>
            </w:pPr>
            <w:r>
              <w:rPr>
                <w:rFonts w:ascii="Arial" w:cs="Arial" w:eastAsia="Arial" w:hAnsi="Arial"/>
                <w:sz w:val="13"/>
                <w:szCs w:val="13"/>
                <w:b w:val="1"/>
                <w:bCs w:val="1"/>
                <w:color w:val="auto"/>
                <w:w w:val="97"/>
              </w:rPr>
              <w:t>of</w:t>
            </w:r>
          </w:p>
        </w:tc>
        <w:tc>
          <w:tcPr>
            <w:tcW w:w="760" w:type="dxa"/>
            <w:vAlign w:val="bottom"/>
            <w:tcBorders>
              <w:right w:val="single" w:sz="8" w:color="auto"/>
            </w:tcBorders>
          </w:tcPr>
          <w:p>
            <w:pPr>
              <w:jc w:val="center"/>
              <w:spacing w:after="0" w:line="135" w:lineRule="exact"/>
              <w:rPr>
                <w:sz w:val="20"/>
                <w:szCs w:val="20"/>
                <w:color w:val="auto"/>
              </w:rPr>
            </w:pPr>
            <w:r>
              <w:rPr>
                <w:rFonts w:ascii="Arial" w:cs="Arial" w:eastAsia="Arial" w:hAnsi="Arial"/>
                <w:sz w:val="13"/>
                <w:szCs w:val="13"/>
                <w:b w:val="1"/>
                <w:bCs w:val="1"/>
                <w:color w:val="auto"/>
                <w:w w:val="97"/>
              </w:rPr>
              <w:t>of</w:t>
            </w:r>
          </w:p>
        </w:tc>
        <w:tc>
          <w:tcPr>
            <w:tcW w:w="660" w:type="dxa"/>
            <w:vAlign w:val="bottom"/>
            <w:tcBorders>
              <w:right w:val="single" w:sz="8" w:color="auto"/>
            </w:tcBorders>
          </w:tcPr>
          <w:p>
            <w:pPr>
              <w:jc w:val="center"/>
              <w:spacing w:after="0" w:line="135" w:lineRule="exact"/>
              <w:rPr>
                <w:sz w:val="20"/>
                <w:szCs w:val="20"/>
                <w:color w:val="auto"/>
              </w:rPr>
            </w:pPr>
            <w:r>
              <w:rPr>
                <w:rFonts w:ascii="Arial" w:cs="Arial" w:eastAsia="Arial" w:hAnsi="Arial"/>
                <w:sz w:val="13"/>
                <w:szCs w:val="13"/>
                <w:b w:val="1"/>
                <w:bCs w:val="1"/>
                <w:color w:val="auto"/>
                <w:w w:val="96"/>
              </w:rPr>
              <w:t>Base</w:t>
            </w:r>
          </w:p>
        </w:tc>
        <w:tc>
          <w:tcPr>
            <w:tcW w:w="820" w:type="dxa"/>
            <w:vAlign w:val="bottom"/>
            <w:tcBorders>
              <w:right w:val="single" w:sz="8" w:color="auto"/>
            </w:tcBorders>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78"/>
        </w:trPr>
        <w:tc>
          <w:tcPr>
            <w:tcW w:w="1420" w:type="dxa"/>
            <w:vAlign w:val="bottom"/>
            <w:tcBorders>
              <w:left w:val="single" w:sz="8" w:color="auto"/>
              <w:right w:val="single" w:sz="8" w:color="auto"/>
            </w:tcBorders>
          </w:tcPr>
          <w:p>
            <w:pPr>
              <w:spacing w:after="0"/>
              <w:rPr>
                <w:sz w:val="6"/>
                <w:szCs w:val="6"/>
                <w:color w:val="auto"/>
              </w:rPr>
            </w:pPr>
          </w:p>
        </w:tc>
        <w:tc>
          <w:tcPr>
            <w:tcW w:w="1000" w:type="dxa"/>
            <w:vAlign w:val="bottom"/>
            <w:tcBorders>
              <w:right w:val="single" w:sz="8" w:color="auto"/>
            </w:tcBorders>
          </w:tcPr>
          <w:p>
            <w:pPr>
              <w:spacing w:after="0"/>
              <w:rPr>
                <w:sz w:val="6"/>
                <w:szCs w:val="6"/>
                <w:color w:val="auto"/>
              </w:rPr>
            </w:pPr>
          </w:p>
        </w:tc>
        <w:tc>
          <w:tcPr>
            <w:tcW w:w="720" w:type="dxa"/>
            <w:vAlign w:val="bottom"/>
            <w:tcBorders>
              <w:bottom w:val="single" w:sz="8" w:color="auto"/>
            </w:tcBorders>
          </w:tcPr>
          <w:p>
            <w:pPr>
              <w:spacing w:after="0"/>
              <w:rPr>
                <w:sz w:val="6"/>
                <w:szCs w:val="6"/>
                <w:color w:val="auto"/>
              </w:rPr>
            </w:pPr>
          </w:p>
        </w:tc>
        <w:tc>
          <w:tcPr>
            <w:tcW w:w="100" w:type="dxa"/>
            <w:vAlign w:val="bottom"/>
            <w:tcBorders>
              <w:bottom w:val="single" w:sz="8" w:color="auto"/>
            </w:tcBorders>
          </w:tcPr>
          <w:p>
            <w:pPr>
              <w:spacing w:after="0"/>
              <w:rPr>
                <w:sz w:val="6"/>
                <w:szCs w:val="6"/>
                <w:color w:val="auto"/>
              </w:rPr>
            </w:pPr>
          </w:p>
        </w:tc>
        <w:tc>
          <w:tcPr>
            <w:tcW w:w="600" w:type="dxa"/>
            <w:vAlign w:val="bottom"/>
            <w:tcBorders>
              <w:bottom w:val="single" w:sz="8" w:color="auto"/>
            </w:tcBorders>
          </w:tcPr>
          <w:p>
            <w:pPr>
              <w:spacing w:after="0"/>
              <w:rPr>
                <w:sz w:val="6"/>
                <w:szCs w:val="6"/>
                <w:color w:val="auto"/>
              </w:rPr>
            </w:pPr>
          </w:p>
        </w:tc>
        <w:tc>
          <w:tcPr>
            <w:tcW w:w="800" w:type="dxa"/>
            <w:vAlign w:val="bottom"/>
            <w:tcBorders>
              <w:bottom w:val="single" w:sz="8" w:color="auto"/>
              <w:right w:val="single" w:sz="8" w:color="auto"/>
            </w:tcBorders>
          </w:tcPr>
          <w:p>
            <w:pPr>
              <w:spacing w:after="0"/>
              <w:rPr>
                <w:sz w:val="6"/>
                <w:szCs w:val="6"/>
                <w:color w:val="auto"/>
              </w:rPr>
            </w:pPr>
          </w:p>
        </w:tc>
        <w:tc>
          <w:tcPr>
            <w:tcW w:w="720" w:type="dxa"/>
            <w:vAlign w:val="bottom"/>
            <w:tcBorders>
              <w:bottom w:val="single" w:sz="8" w:color="auto"/>
            </w:tcBorders>
          </w:tcPr>
          <w:p>
            <w:pPr>
              <w:spacing w:after="0"/>
              <w:rPr>
                <w:sz w:val="6"/>
                <w:szCs w:val="6"/>
                <w:color w:val="auto"/>
              </w:rPr>
            </w:pPr>
          </w:p>
        </w:tc>
        <w:tc>
          <w:tcPr>
            <w:tcW w:w="100" w:type="dxa"/>
            <w:vAlign w:val="bottom"/>
            <w:tcBorders>
              <w:bottom w:val="single" w:sz="8" w:color="auto"/>
            </w:tcBorders>
          </w:tcPr>
          <w:p>
            <w:pPr>
              <w:spacing w:after="0"/>
              <w:rPr>
                <w:sz w:val="6"/>
                <w:szCs w:val="6"/>
                <w:color w:val="auto"/>
              </w:rPr>
            </w:pPr>
          </w:p>
        </w:tc>
        <w:tc>
          <w:tcPr>
            <w:tcW w:w="600" w:type="dxa"/>
            <w:vAlign w:val="bottom"/>
            <w:tcBorders>
              <w:bottom w:val="single" w:sz="8" w:color="auto"/>
            </w:tcBorders>
          </w:tcPr>
          <w:p>
            <w:pPr>
              <w:spacing w:after="0"/>
              <w:rPr>
                <w:sz w:val="6"/>
                <w:szCs w:val="6"/>
                <w:color w:val="auto"/>
              </w:rPr>
            </w:pPr>
          </w:p>
        </w:tc>
        <w:tc>
          <w:tcPr>
            <w:tcW w:w="800" w:type="dxa"/>
            <w:vAlign w:val="bottom"/>
            <w:tcBorders>
              <w:bottom w:val="single" w:sz="8" w:color="auto"/>
              <w:right w:val="single" w:sz="8" w:color="auto"/>
            </w:tcBorders>
          </w:tcPr>
          <w:p>
            <w:pPr>
              <w:spacing w:after="0"/>
              <w:rPr>
                <w:sz w:val="6"/>
                <w:szCs w:val="6"/>
                <w:color w:val="auto"/>
              </w:rPr>
            </w:pPr>
          </w:p>
        </w:tc>
        <w:tc>
          <w:tcPr>
            <w:tcW w:w="640" w:type="dxa"/>
            <w:vAlign w:val="bottom"/>
            <w:tcBorders>
              <w:right w:val="single" w:sz="8" w:color="auto"/>
            </w:tcBorders>
          </w:tcPr>
          <w:p>
            <w:pPr>
              <w:jc w:val="center"/>
              <w:spacing w:after="0" w:line="78" w:lineRule="exact"/>
              <w:rPr>
                <w:sz w:val="20"/>
                <w:szCs w:val="20"/>
                <w:color w:val="auto"/>
              </w:rPr>
            </w:pPr>
            <w:r>
              <w:rPr>
                <w:rFonts w:ascii="Arial" w:cs="Arial" w:eastAsia="Arial" w:hAnsi="Arial"/>
                <w:sz w:val="8"/>
                <w:szCs w:val="8"/>
                <w:b w:val="1"/>
                <w:bCs w:val="1"/>
                <w:color w:val="auto"/>
              </w:rPr>
              <w:t>Shares</w:t>
            </w:r>
          </w:p>
        </w:tc>
        <w:tc>
          <w:tcPr>
            <w:tcW w:w="760" w:type="dxa"/>
            <w:vAlign w:val="bottom"/>
            <w:tcBorders>
              <w:right w:val="single" w:sz="8" w:color="auto"/>
            </w:tcBorders>
          </w:tcPr>
          <w:p>
            <w:pPr>
              <w:jc w:val="center"/>
              <w:spacing w:after="0" w:line="78" w:lineRule="exact"/>
              <w:rPr>
                <w:sz w:val="20"/>
                <w:szCs w:val="20"/>
                <w:color w:val="auto"/>
              </w:rPr>
            </w:pPr>
            <w:r>
              <w:rPr>
                <w:rFonts w:ascii="Arial" w:cs="Arial" w:eastAsia="Arial" w:hAnsi="Arial"/>
                <w:sz w:val="8"/>
                <w:szCs w:val="8"/>
                <w:b w:val="1"/>
                <w:bCs w:val="1"/>
                <w:color w:val="auto"/>
              </w:rPr>
              <w:t>Securities</w:t>
            </w:r>
          </w:p>
        </w:tc>
        <w:tc>
          <w:tcPr>
            <w:tcW w:w="660" w:type="dxa"/>
            <w:vAlign w:val="bottom"/>
            <w:tcBorders>
              <w:right w:val="single" w:sz="8" w:color="auto"/>
            </w:tcBorders>
          </w:tcPr>
          <w:p>
            <w:pPr>
              <w:jc w:val="center"/>
              <w:spacing w:after="0" w:line="78" w:lineRule="exact"/>
              <w:rPr>
                <w:sz w:val="20"/>
                <w:szCs w:val="20"/>
                <w:color w:val="auto"/>
              </w:rPr>
            </w:pPr>
            <w:r>
              <w:rPr>
                <w:rFonts w:ascii="Arial" w:cs="Arial" w:eastAsia="Arial" w:hAnsi="Arial"/>
                <w:sz w:val="8"/>
                <w:szCs w:val="8"/>
                <w:b w:val="1"/>
                <w:bCs w:val="1"/>
                <w:color w:val="auto"/>
              </w:rPr>
              <w:t>Price</w:t>
            </w:r>
          </w:p>
        </w:tc>
        <w:tc>
          <w:tcPr>
            <w:tcW w:w="820" w:type="dxa"/>
            <w:vAlign w:val="bottom"/>
            <w:tcBorders>
              <w:right w:val="single" w:sz="8" w:color="auto"/>
            </w:tcBorders>
          </w:tcPr>
          <w:p>
            <w:pPr>
              <w:jc w:val="center"/>
              <w:spacing w:after="0" w:line="78" w:lineRule="exact"/>
              <w:rPr>
                <w:sz w:val="20"/>
                <w:szCs w:val="20"/>
                <w:color w:val="auto"/>
              </w:rPr>
            </w:pPr>
            <w:r>
              <w:rPr>
                <w:rFonts w:ascii="Arial" w:cs="Arial" w:eastAsia="Arial" w:hAnsi="Arial"/>
                <w:sz w:val="8"/>
                <w:szCs w:val="8"/>
                <w:b w:val="1"/>
                <w:bCs w:val="1"/>
                <w:color w:val="auto"/>
              </w:rPr>
              <w:t>Fair Value</w:t>
            </w:r>
          </w:p>
        </w:tc>
        <w:tc>
          <w:tcPr>
            <w:tcW w:w="0" w:type="dxa"/>
            <w:vAlign w:val="bottom"/>
          </w:tcPr>
          <w:p>
            <w:pPr>
              <w:spacing w:after="0"/>
              <w:rPr>
                <w:sz w:val="1"/>
                <w:szCs w:val="1"/>
                <w:color w:val="auto"/>
              </w:rPr>
            </w:pPr>
          </w:p>
        </w:tc>
      </w:tr>
      <w:tr>
        <w:trPr>
          <w:trHeight w:val="135"/>
        </w:trPr>
        <w:tc>
          <w:tcPr>
            <w:tcW w:w="1420" w:type="dxa"/>
            <w:vAlign w:val="bottom"/>
            <w:tcBorders>
              <w:left w:val="single" w:sz="8" w:color="auto"/>
              <w:right w:val="single" w:sz="8" w:color="auto"/>
            </w:tcBorders>
          </w:tcPr>
          <w:p>
            <w:pPr>
              <w:spacing w:after="0"/>
              <w:rPr>
                <w:sz w:val="11"/>
                <w:szCs w:val="11"/>
                <w:color w:val="auto"/>
              </w:rPr>
            </w:pPr>
          </w:p>
        </w:tc>
        <w:tc>
          <w:tcPr>
            <w:tcW w:w="1000" w:type="dxa"/>
            <w:vAlign w:val="bottom"/>
            <w:tcBorders>
              <w:right w:val="single" w:sz="8" w:color="auto"/>
            </w:tcBorders>
          </w:tcPr>
          <w:p>
            <w:pPr>
              <w:spacing w:after="0"/>
              <w:rPr>
                <w:sz w:val="11"/>
                <w:szCs w:val="11"/>
                <w:color w:val="auto"/>
              </w:rPr>
            </w:pPr>
          </w:p>
        </w:tc>
        <w:tc>
          <w:tcPr>
            <w:tcW w:w="720" w:type="dxa"/>
            <w:vAlign w:val="bottom"/>
          </w:tcPr>
          <w:p>
            <w:pPr>
              <w:spacing w:after="0"/>
              <w:rPr>
                <w:sz w:val="11"/>
                <w:szCs w:val="11"/>
                <w:color w:val="auto"/>
              </w:rPr>
            </w:pPr>
          </w:p>
        </w:tc>
        <w:tc>
          <w:tcPr>
            <w:tcW w:w="100" w:type="dxa"/>
            <w:vAlign w:val="bottom"/>
            <w:tcBorders>
              <w:right w:val="single" w:sz="8" w:color="auto"/>
            </w:tcBorders>
          </w:tcPr>
          <w:p>
            <w:pPr>
              <w:spacing w:after="0"/>
              <w:rPr>
                <w:sz w:val="11"/>
                <w:szCs w:val="11"/>
                <w:color w:val="auto"/>
              </w:rPr>
            </w:pPr>
          </w:p>
        </w:tc>
        <w:tc>
          <w:tcPr>
            <w:tcW w:w="600" w:type="dxa"/>
            <w:vAlign w:val="bottom"/>
            <w:tcBorders>
              <w:right w:val="single" w:sz="8" w:color="auto"/>
            </w:tcBorders>
          </w:tcPr>
          <w:p>
            <w:pPr>
              <w:spacing w:after="0"/>
              <w:rPr>
                <w:sz w:val="11"/>
                <w:szCs w:val="11"/>
                <w:color w:val="auto"/>
              </w:rPr>
            </w:pPr>
          </w:p>
        </w:tc>
        <w:tc>
          <w:tcPr>
            <w:tcW w:w="800" w:type="dxa"/>
            <w:vAlign w:val="bottom"/>
            <w:tcBorders>
              <w:right w:val="single" w:sz="8" w:color="auto"/>
            </w:tcBorders>
          </w:tcPr>
          <w:p>
            <w:pPr>
              <w:spacing w:after="0"/>
              <w:rPr>
                <w:sz w:val="11"/>
                <w:szCs w:val="11"/>
                <w:color w:val="auto"/>
              </w:rPr>
            </w:pPr>
          </w:p>
        </w:tc>
        <w:tc>
          <w:tcPr>
            <w:tcW w:w="720" w:type="dxa"/>
            <w:vAlign w:val="bottom"/>
          </w:tcPr>
          <w:p>
            <w:pPr>
              <w:spacing w:after="0"/>
              <w:rPr>
                <w:sz w:val="11"/>
                <w:szCs w:val="11"/>
                <w:color w:val="auto"/>
              </w:rPr>
            </w:pPr>
          </w:p>
        </w:tc>
        <w:tc>
          <w:tcPr>
            <w:tcW w:w="100" w:type="dxa"/>
            <w:vAlign w:val="bottom"/>
            <w:tcBorders>
              <w:right w:val="single" w:sz="8" w:color="auto"/>
            </w:tcBorders>
          </w:tcPr>
          <w:p>
            <w:pPr>
              <w:spacing w:after="0"/>
              <w:rPr>
                <w:sz w:val="11"/>
                <w:szCs w:val="11"/>
                <w:color w:val="auto"/>
              </w:rPr>
            </w:pPr>
          </w:p>
        </w:tc>
        <w:tc>
          <w:tcPr>
            <w:tcW w:w="600" w:type="dxa"/>
            <w:vAlign w:val="bottom"/>
            <w:tcBorders>
              <w:right w:val="single" w:sz="8" w:color="auto"/>
            </w:tcBorders>
          </w:tcPr>
          <w:p>
            <w:pPr>
              <w:spacing w:after="0"/>
              <w:rPr>
                <w:sz w:val="11"/>
                <w:szCs w:val="11"/>
                <w:color w:val="auto"/>
              </w:rPr>
            </w:pPr>
          </w:p>
        </w:tc>
        <w:tc>
          <w:tcPr>
            <w:tcW w:w="800" w:type="dxa"/>
            <w:vAlign w:val="bottom"/>
            <w:tcBorders>
              <w:right w:val="single" w:sz="8" w:color="auto"/>
            </w:tcBorders>
          </w:tcPr>
          <w:p>
            <w:pPr>
              <w:spacing w:after="0"/>
              <w:rPr>
                <w:sz w:val="11"/>
                <w:szCs w:val="11"/>
                <w:color w:val="auto"/>
              </w:rPr>
            </w:pPr>
          </w:p>
        </w:tc>
        <w:tc>
          <w:tcPr>
            <w:tcW w:w="640" w:type="dxa"/>
            <w:vAlign w:val="bottom"/>
            <w:tcBorders>
              <w:right w:val="single" w:sz="8" w:color="auto"/>
            </w:tcBorders>
          </w:tcPr>
          <w:p>
            <w:pPr>
              <w:jc w:val="center"/>
              <w:spacing w:after="0" w:line="135" w:lineRule="exact"/>
              <w:rPr>
                <w:sz w:val="20"/>
                <w:szCs w:val="20"/>
                <w:color w:val="auto"/>
              </w:rPr>
            </w:pPr>
            <w:r>
              <w:rPr>
                <w:rFonts w:ascii="Arial" w:cs="Arial" w:eastAsia="Arial" w:hAnsi="Arial"/>
                <w:sz w:val="13"/>
                <w:szCs w:val="13"/>
                <w:b w:val="1"/>
                <w:bCs w:val="1"/>
                <w:color w:val="auto"/>
                <w:w w:val="97"/>
              </w:rPr>
              <w:t>of</w:t>
            </w:r>
          </w:p>
        </w:tc>
        <w:tc>
          <w:tcPr>
            <w:tcW w:w="760" w:type="dxa"/>
            <w:vAlign w:val="bottom"/>
            <w:tcBorders>
              <w:right w:val="single" w:sz="8" w:color="auto"/>
            </w:tcBorders>
          </w:tcPr>
          <w:p>
            <w:pPr>
              <w:jc w:val="center"/>
              <w:spacing w:after="0" w:line="135" w:lineRule="exact"/>
              <w:rPr>
                <w:sz w:val="20"/>
                <w:szCs w:val="20"/>
                <w:color w:val="auto"/>
              </w:rPr>
            </w:pPr>
            <w:r>
              <w:rPr>
                <w:rFonts w:ascii="Arial" w:cs="Arial" w:eastAsia="Arial" w:hAnsi="Arial"/>
                <w:sz w:val="13"/>
                <w:szCs w:val="13"/>
                <w:b w:val="1"/>
                <w:bCs w:val="1"/>
                <w:color w:val="auto"/>
              </w:rPr>
              <w:t>Under-</w:t>
            </w:r>
          </w:p>
        </w:tc>
        <w:tc>
          <w:tcPr>
            <w:tcW w:w="660" w:type="dxa"/>
            <w:vAlign w:val="bottom"/>
            <w:tcBorders>
              <w:right w:val="single" w:sz="8" w:color="auto"/>
            </w:tcBorders>
          </w:tcPr>
          <w:p>
            <w:pPr>
              <w:jc w:val="center"/>
              <w:spacing w:after="0" w:line="135" w:lineRule="exact"/>
              <w:rPr>
                <w:sz w:val="20"/>
                <w:szCs w:val="20"/>
                <w:color w:val="auto"/>
              </w:rPr>
            </w:pPr>
            <w:r>
              <w:rPr>
                <w:rFonts w:ascii="Arial" w:cs="Arial" w:eastAsia="Arial" w:hAnsi="Arial"/>
                <w:sz w:val="13"/>
                <w:szCs w:val="13"/>
                <w:b w:val="1"/>
                <w:bCs w:val="1"/>
                <w:color w:val="auto"/>
                <w:w w:val="97"/>
              </w:rPr>
              <w:t>of</w:t>
            </w:r>
          </w:p>
        </w:tc>
        <w:tc>
          <w:tcPr>
            <w:tcW w:w="820" w:type="dxa"/>
            <w:vAlign w:val="bottom"/>
            <w:tcBorders>
              <w:right w:val="single" w:sz="8" w:color="auto"/>
            </w:tcBorders>
          </w:tcPr>
          <w:p>
            <w:pPr>
              <w:jc w:val="center"/>
              <w:spacing w:after="0" w:line="135" w:lineRule="exact"/>
              <w:rPr>
                <w:sz w:val="20"/>
                <w:szCs w:val="20"/>
                <w:color w:val="auto"/>
              </w:rPr>
            </w:pPr>
            <w:r>
              <w:rPr>
                <w:rFonts w:ascii="Arial" w:cs="Arial" w:eastAsia="Arial" w:hAnsi="Arial"/>
                <w:sz w:val="13"/>
                <w:szCs w:val="13"/>
                <w:b w:val="1"/>
                <w:bCs w:val="1"/>
                <w:color w:val="auto"/>
                <w:w w:val="97"/>
              </w:rPr>
              <w:t>of Stock</w:t>
            </w:r>
          </w:p>
        </w:tc>
        <w:tc>
          <w:tcPr>
            <w:tcW w:w="0" w:type="dxa"/>
            <w:vAlign w:val="bottom"/>
          </w:tcPr>
          <w:p>
            <w:pPr>
              <w:spacing w:after="0"/>
              <w:rPr>
                <w:sz w:val="1"/>
                <w:szCs w:val="1"/>
                <w:color w:val="auto"/>
              </w:rPr>
            </w:pPr>
          </w:p>
        </w:tc>
      </w:tr>
      <w:tr>
        <w:trPr>
          <w:trHeight w:val="135"/>
        </w:trPr>
        <w:tc>
          <w:tcPr>
            <w:tcW w:w="1420" w:type="dxa"/>
            <w:vAlign w:val="bottom"/>
            <w:tcBorders>
              <w:left w:val="single" w:sz="8" w:color="auto"/>
              <w:right w:val="single" w:sz="8" w:color="auto"/>
            </w:tcBorders>
          </w:tcPr>
          <w:p>
            <w:pPr>
              <w:spacing w:after="0"/>
              <w:rPr>
                <w:sz w:val="11"/>
                <w:szCs w:val="11"/>
                <w:color w:val="auto"/>
              </w:rPr>
            </w:pPr>
          </w:p>
        </w:tc>
        <w:tc>
          <w:tcPr>
            <w:tcW w:w="1000" w:type="dxa"/>
            <w:vAlign w:val="bottom"/>
            <w:tcBorders>
              <w:right w:val="single" w:sz="8" w:color="auto"/>
            </w:tcBorders>
          </w:tcPr>
          <w:p>
            <w:pPr>
              <w:spacing w:after="0"/>
              <w:rPr>
                <w:sz w:val="11"/>
                <w:szCs w:val="11"/>
                <w:color w:val="auto"/>
              </w:rPr>
            </w:pPr>
          </w:p>
        </w:tc>
        <w:tc>
          <w:tcPr>
            <w:tcW w:w="720" w:type="dxa"/>
            <w:vAlign w:val="bottom"/>
            <w:vMerge w:val="restart"/>
          </w:tcPr>
          <w:p>
            <w:pPr>
              <w:jc w:val="right"/>
              <w:spacing w:after="0"/>
              <w:rPr>
                <w:sz w:val="20"/>
                <w:szCs w:val="20"/>
                <w:color w:val="auto"/>
              </w:rPr>
            </w:pPr>
            <w:r>
              <w:rPr>
                <w:rFonts w:ascii="Arial" w:cs="Arial" w:eastAsia="Arial" w:hAnsi="Arial"/>
                <w:sz w:val="13"/>
                <w:szCs w:val="13"/>
                <w:b w:val="1"/>
                <w:bCs w:val="1"/>
                <w:color w:val="auto"/>
              </w:rPr>
              <w:t>Threshold</w:t>
            </w:r>
          </w:p>
        </w:tc>
        <w:tc>
          <w:tcPr>
            <w:tcW w:w="100" w:type="dxa"/>
            <w:vAlign w:val="bottom"/>
            <w:tcBorders>
              <w:right w:val="single" w:sz="8" w:color="auto"/>
            </w:tcBorders>
          </w:tcPr>
          <w:p>
            <w:pPr>
              <w:spacing w:after="0"/>
              <w:rPr>
                <w:sz w:val="11"/>
                <w:szCs w:val="11"/>
                <w:color w:val="auto"/>
              </w:rPr>
            </w:pPr>
          </w:p>
        </w:tc>
        <w:tc>
          <w:tcPr>
            <w:tcW w:w="600" w:type="dxa"/>
            <w:vAlign w:val="bottom"/>
            <w:tcBorders>
              <w:right w:val="single" w:sz="8" w:color="auto"/>
            </w:tcBorders>
            <w:vMerge w:val="restart"/>
          </w:tcPr>
          <w:p>
            <w:pPr>
              <w:jc w:val="center"/>
              <w:spacing w:after="0"/>
              <w:rPr>
                <w:sz w:val="20"/>
                <w:szCs w:val="20"/>
                <w:color w:val="auto"/>
              </w:rPr>
            </w:pPr>
            <w:r>
              <w:rPr>
                <w:rFonts w:ascii="Arial" w:cs="Arial" w:eastAsia="Arial" w:hAnsi="Arial"/>
                <w:sz w:val="13"/>
                <w:szCs w:val="13"/>
                <w:b w:val="1"/>
                <w:bCs w:val="1"/>
                <w:color w:val="auto"/>
                <w:w w:val="90"/>
              </w:rPr>
              <w:t>Target</w:t>
            </w:r>
          </w:p>
        </w:tc>
        <w:tc>
          <w:tcPr>
            <w:tcW w:w="800" w:type="dxa"/>
            <w:vAlign w:val="bottom"/>
            <w:tcBorders>
              <w:right w:val="single" w:sz="8" w:color="auto"/>
            </w:tcBorders>
            <w:vMerge w:val="restart"/>
          </w:tcPr>
          <w:p>
            <w:pPr>
              <w:jc w:val="right"/>
              <w:ind w:right="77"/>
              <w:spacing w:after="0"/>
              <w:rPr>
                <w:sz w:val="20"/>
                <w:szCs w:val="20"/>
                <w:color w:val="auto"/>
              </w:rPr>
            </w:pPr>
            <w:r>
              <w:rPr>
                <w:rFonts w:ascii="Arial" w:cs="Arial" w:eastAsia="Arial" w:hAnsi="Arial"/>
                <w:sz w:val="13"/>
                <w:szCs w:val="13"/>
                <w:b w:val="1"/>
                <w:bCs w:val="1"/>
                <w:color w:val="auto"/>
              </w:rPr>
              <w:t>Maximum</w:t>
            </w:r>
          </w:p>
        </w:tc>
        <w:tc>
          <w:tcPr>
            <w:tcW w:w="720" w:type="dxa"/>
            <w:vAlign w:val="bottom"/>
            <w:vMerge w:val="restart"/>
          </w:tcPr>
          <w:p>
            <w:pPr>
              <w:jc w:val="right"/>
              <w:spacing w:after="0"/>
              <w:rPr>
                <w:sz w:val="20"/>
                <w:szCs w:val="20"/>
                <w:color w:val="auto"/>
              </w:rPr>
            </w:pPr>
            <w:r>
              <w:rPr>
                <w:rFonts w:ascii="Arial" w:cs="Arial" w:eastAsia="Arial" w:hAnsi="Arial"/>
                <w:sz w:val="13"/>
                <w:szCs w:val="13"/>
                <w:b w:val="1"/>
                <w:bCs w:val="1"/>
                <w:color w:val="auto"/>
              </w:rPr>
              <w:t>Threshold</w:t>
            </w:r>
          </w:p>
        </w:tc>
        <w:tc>
          <w:tcPr>
            <w:tcW w:w="100" w:type="dxa"/>
            <w:vAlign w:val="bottom"/>
            <w:tcBorders>
              <w:right w:val="single" w:sz="8" w:color="auto"/>
            </w:tcBorders>
          </w:tcPr>
          <w:p>
            <w:pPr>
              <w:spacing w:after="0"/>
              <w:rPr>
                <w:sz w:val="11"/>
                <w:szCs w:val="11"/>
                <w:color w:val="auto"/>
              </w:rPr>
            </w:pPr>
          </w:p>
        </w:tc>
        <w:tc>
          <w:tcPr>
            <w:tcW w:w="600" w:type="dxa"/>
            <w:vAlign w:val="bottom"/>
            <w:tcBorders>
              <w:right w:val="single" w:sz="8" w:color="auto"/>
            </w:tcBorders>
            <w:vMerge w:val="restart"/>
          </w:tcPr>
          <w:p>
            <w:pPr>
              <w:jc w:val="center"/>
              <w:spacing w:after="0"/>
              <w:rPr>
                <w:sz w:val="20"/>
                <w:szCs w:val="20"/>
                <w:color w:val="auto"/>
              </w:rPr>
            </w:pPr>
            <w:r>
              <w:rPr>
                <w:rFonts w:ascii="Arial" w:cs="Arial" w:eastAsia="Arial" w:hAnsi="Arial"/>
                <w:sz w:val="13"/>
                <w:szCs w:val="13"/>
                <w:b w:val="1"/>
                <w:bCs w:val="1"/>
                <w:color w:val="auto"/>
                <w:w w:val="95"/>
              </w:rPr>
              <w:t>Target</w:t>
            </w:r>
          </w:p>
        </w:tc>
        <w:tc>
          <w:tcPr>
            <w:tcW w:w="800" w:type="dxa"/>
            <w:vAlign w:val="bottom"/>
            <w:tcBorders>
              <w:right w:val="single" w:sz="8" w:color="auto"/>
            </w:tcBorders>
            <w:vMerge w:val="restart"/>
          </w:tcPr>
          <w:p>
            <w:pPr>
              <w:jc w:val="right"/>
              <w:ind w:right="77"/>
              <w:spacing w:after="0"/>
              <w:rPr>
                <w:sz w:val="20"/>
                <w:szCs w:val="20"/>
                <w:color w:val="auto"/>
              </w:rPr>
            </w:pPr>
            <w:r>
              <w:rPr>
                <w:rFonts w:ascii="Arial" w:cs="Arial" w:eastAsia="Arial" w:hAnsi="Arial"/>
                <w:sz w:val="13"/>
                <w:szCs w:val="13"/>
                <w:b w:val="1"/>
                <w:bCs w:val="1"/>
                <w:color w:val="auto"/>
              </w:rPr>
              <w:t>Maximum</w:t>
            </w:r>
          </w:p>
        </w:tc>
        <w:tc>
          <w:tcPr>
            <w:tcW w:w="640" w:type="dxa"/>
            <w:vAlign w:val="bottom"/>
            <w:tcBorders>
              <w:right w:val="single" w:sz="8" w:color="auto"/>
            </w:tcBorders>
          </w:tcPr>
          <w:p>
            <w:pPr>
              <w:jc w:val="center"/>
              <w:spacing w:after="0" w:line="135" w:lineRule="exact"/>
              <w:rPr>
                <w:sz w:val="20"/>
                <w:szCs w:val="20"/>
                <w:color w:val="auto"/>
              </w:rPr>
            </w:pPr>
            <w:r>
              <w:rPr>
                <w:rFonts w:ascii="Arial" w:cs="Arial" w:eastAsia="Arial" w:hAnsi="Arial"/>
                <w:sz w:val="13"/>
                <w:szCs w:val="13"/>
                <w:b w:val="1"/>
                <w:bCs w:val="1"/>
                <w:color w:val="auto"/>
                <w:w w:val="95"/>
              </w:rPr>
              <w:t>Stock</w:t>
            </w:r>
          </w:p>
        </w:tc>
        <w:tc>
          <w:tcPr>
            <w:tcW w:w="760" w:type="dxa"/>
            <w:vAlign w:val="bottom"/>
            <w:tcBorders>
              <w:right w:val="single" w:sz="8" w:color="auto"/>
            </w:tcBorders>
          </w:tcPr>
          <w:p>
            <w:pPr>
              <w:jc w:val="center"/>
              <w:spacing w:after="0" w:line="135" w:lineRule="exact"/>
              <w:rPr>
                <w:sz w:val="20"/>
                <w:szCs w:val="20"/>
                <w:color w:val="auto"/>
              </w:rPr>
            </w:pPr>
            <w:r>
              <w:rPr>
                <w:rFonts w:ascii="Arial" w:cs="Arial" w:eastAsia="Arial" w:hAnsi="Arial"/>
                <w:sz w:val="13"/>
                <w:szCs w:val="13"/>
                <w:b w:val="1"/>
                <w:bCs w:val="1"/>
                <w:color w:val="auto"/>
                <w:w w:val="98"/>
              </w:rPr>
              <w:t>lying</w:t>
            </w:r>
          </w:p>
        </w:tc>
        <w:tc>
          <w:tcPr>
            <w:tcW w:w="660" w:type="dxa"/>
            <w:vAlign w:val="bottom"/>
            <w:tcBorders>
              <w:right w:val="single" w:sz="8" w:color="auto"/>
            </w:tcBorders>
          </w:tcPr>
          <w:p>
            <w:pPr>
              <w:jc w:val="center"/>
              <w:spacing w:after="0" w:line="135" w:lineRule="exact"/>
              <w:rPr>
                <w:sz w:val="20"/>
                <w:szCs w:val="20"/>
                <w:color w:val="auto"/>
              </w:rPr>
            </w:pPr>
            <w:r>
              <w:rPr>
                <w:rFonts w:ascii="Arial" w:cs="Arial" w:eastAsia="Arial" w:hAnsi="Arial"/>
                <w:sz w:val="13"/>
                <w:szCs w:val="13"/>
                <w:b w:val="1"/>
                <w:bCs w:val="1"/>
                <w:color w:val="auto"/>
                <w:w w:val="95"/>
              </w:rPr>
              <w:t>Option</w:t>
            </w:r>
          </w:p>
        </w:tc>
        <w:tc>
          <w:tcPr>
            <w:tcW w:w="820" w:type="dxa"/>
            <w:vAlign w:val="bottom"/>
            <w:tcBorders>
              <w:right w:val="single" w:sz="8" w:color="auto"/>
            </w:tcBorders>
          </w:tcPr>
          <w:p>
            <w:pPr>
              <w:jc w:val="center"/>
              <w:spacing w:after="0" w:line="135" w:lineRule="exact"/>
              <w:rPr>
                <w:sz w:val="20"/>
                <w:szCs w:val="20"/>
                <w:color w:val="auto"/>
              </w:rPr>
            </w:pPr>
            <w:r>
              <w:rPr>
                <w:rFonts w:ascii="Arial" w:cs="Arial" w:eastAsia="Arial" w:hAnsi="Arial"/>
                <w:sz w:val="13"/>
                <w:szCs w:val="13"/>
                <w:b w:val="1"/>
                <w:bCs w:val="1"/>
                <w:color w:val="auto"/>
                <w:w w:val="94"/>
              </w:rPr>
              <w:t>and</w:t>
            </w:r>
          </w:p>
        </w:tc>
        <w:tc>
          <w:tcPr>
            <w:tcW w:w="0" w:type="dxa"/>
            <w:vAlign w:val="bottom"/>
          </w:tcPr>
          <w:p>
            <w:pPr>
              <w:spacing w:after="0"/>
              <w:rPr>
                <w:sz w:val="1"/>
                <w:szCs w:val="1"/>
                <w:color w:val="auto"/>
              </w:rPr>
            </w:pPr>
          </w:p>
        </w:tc>
      </w:tr>
      <w:tr>
        <w:trPr>
          <w:trHeight w:val="135"/>
        </w:trPr>
        <w:tc>
          <w:tcPr>
            <w:tcW w:w="1420" w:type="dxa"/>
            <w:vAlign w:val="bottom"/>
            <w:tcBorders>
              <w:left w:val="single" w:sz="8" w:color="auto"/>
              <w:right w:val="single" w:sz="8" w:color="auto"/>
            </w:tcBorders>
            <w:vMerge w:val="restart"/>
          </w:tcPr>
          <w:p>
            <w:pPr>
              <w:ind w:left="140"/>
              <w:spacing w:after="0"/>
              <w:rPr>
                <w:sz w:val="20"/>
                <w:szCs w:val="20"/>
                <w:color w:val="auto"/>
              </w:rPr>
            </w:pPr>
            <w:r>
              <w:rPr>
                <w:rFonts w:ascii="Arial" w:cs="Arial" w:eastAsia="Arial" w:hAnsi="Arial"/>
                <w:sz w:val="13"/>
                <w:szCs w:val="13"/>
                <w:b w:val="1"/>
                <w:bCs w:val="1"/>
                <w:color w:val="auto"/>
              </w:rPr>
              <w:t>Name</w:t>
            </w:r>
          </w:p>
        </w:tc>
        <w:tc>
          <w:tcPr>
            <w:tcW w:w="1000" w:type="dxa"/>
            <w:vAlign w:val="bottom"/>
            <w:tcBorders>
              <w:right w:val="single" w:sz="8" w:color="auto"/>
            </w:tcBorders>
            <w:vMerge w:val="restart"/>
          </w:tcPr>
          <w:p>
            <w:pPr>
              <w:jc w:val="right"/>
              <w:ind w:right="137"/>
              <w:spacing w:after="0"/>
              <w:rPr>
                <w:sz w:val="20"/>
                <w:szCs w:val="20"/>
                <w:color w:val="auto"/>
              </w:rPr>
            </w:pPr>
            <w:r>
              <w:rPr>
                <w:rFonts w:ascii="Arial" w:cs="Arial" w:eastAsia="Arial" w:hAnsi="Arial"/>
                <w:sz w:val="13"/>
                <w:szCs w:val="13"/>
                <w:b w:val="1"/>
                <w:bCs w:val="1"/>
                <w:color w:val="auto"/>
              </w:rPr>
              <w:t>Grant Date</w:t>
            </w:r>
          </w:p>
        </w:tc>
        <w:tc>
          <w:tcPr>
            <w:tcW w:w="720" w:type="dxa"/>
            <w:vAlign w:val="bottom"/>
            <w:vMerge w:val="continue"/>
          </w:tcPr>
          <w:p>
            <w:pPr>
              <w:spacing w:after="0"/>
              <w:rPr>
                <w:sz w:val="11"/>
                <w:szCs w:val="11"/>
                <w:color w:val="auto"/>
              </w:rPr>
            </w:pPr>
          </w:p>
        </w:tc>
        <w:tc>
          <w:tcPr>
            <w:tcW w:w="100" w:type="dxa"/>
            <w:vAlign w:val="bottom"/>
            <w:tcBorders>
              <w:right w:val="single" w:sz="8" w:color="auto"/>
            </w:tcBorders>
          </w:tcPr>
          <w:p>
            <w:pPr>
              <w:spacing w:after="0"/>
              <w:rPr>
                <w:sz w:val="11"/>
                <w:szCs w:val="11"/>
                <w:color w:val="auto"/>
              </w:rPr>
            </w:pPr>
          </w:p>
        </w:tc>
        <w:tc>
          <w:tcPr>
            <w:tcW w:w="600" w:type="dxa"/>
            <w:vAlign w:val="bottom"/>
            <w:tcBorders>
              <w:right w:val="single" w:sz="8" w:color="auto"/>
            </w:tcBorders>
            <w:vMerge w:val="continue"/>
          </w:tcPr>
          <w:p>
            <w:pPr>
              <w:spacing w:after="0"/>
              <w:rPr>
                <w:sz w:val="11"/>
                <w:szCs w:val="11"/>
                <w:color w:val="auto"/>
              </w:rPr>
            </w:pPr>
          </w:p>
        </w:tc>
        <w:tc>
          <w:tcPr>
            <w:tcW w:w="800" w:type="dxa"/>
            <w:vAlign w:val="bottom"/>
            <w:tcBorders>
              <w:right w:val="single" w:sz="8" w:color="auto"/>
            </w:tcBorders>
            <w:vMerge w:val="continue"/>
          </w:tcPr>
          <w:p>
            <w:pPr>
              <w:spacing w:after="0"/>
              <w:rPr>
                <w:sz w:val="11"/>
                <w:szCs w:val="11"/>
                <w:color w:val="auto"/>
              </w:rPr>
            </w:pPr>
          </w:p>
        </w:tc>
        <w:tc>
          <w:tcPr>
            <w:tcW w:w="720" w:type="dxa"/>
            <w:vAlign w:val="bottom"/>
            <w:vMerge w:val="continue"/>
          </w:tcPr>
          <w:p>
            <w:pPr>
              <w:spacing w:after="0"/>
              <w:rPr>
                <w:sz w:val="11"/>
                <w:szCs w:val="11"/>
                <w:color w:val="auto"/>
              </w:rPr>
            </w:pPr>
          </w:p>
        </w:tc>
        <w:tc>
          <w:tcPr>
            <w:tcW w:w="100" w:type="dxa"/>
            <w:vAlign w:val="bottom"/>
            <w:tcBorders>
              <w:right w:val="single" w:sz="8" w:color="auto"/>
            </w:tcBorders>
          </w:tcPr>
          <w:p>
            <w:pPr>
              <w:spacing w:after="0"/>
              <w:rPr>
                <w:sz w:val="11"/>
                <w:szCs w:val="11"/>
                <w:color w:val="auto"/>
              </w:rPr>
            </w:pPr>
          </w:p>
        </w:tc>
        <w:tc>
          <w:tcPr>
            <w:tcW w:w="600" w:type="dxa"/>
            <w:vAlign w:val="bottom"/>
            <w:tcBorders>
              <w:right w:val="single" w:sz="8" w:color="auto"/>
            </w:tcBorders>
            <w:vMerge w:val="continue"/>
          </w:tcPr>
          <w:p>
            <w:pPr>
              <w:spacing w:after="0"/>
              <w:rPr>
                <w:sz w:val="11"/>
                <w:szCs w:val="11"/>
                <w:color w:val="auto"/>
              </w:rPr>
            </w:pPr>
          </w:p>
        </w:tc>
        <w:tc>
          <w:tcPr>
            <w:tcW w:w="800" w:type="dxa"/>
            <w:vAlign w:val="bottom"/>
            <w:tcBorders>
              <w:right w:val="single" w:sz="8" w:color="auto"/>
            </w:tcBorders>
            <w:vMerge w:val="continue"/>
          </w:tcPr>
          <w:p>
            <w:pPr>
              <w:spacing w:after="0"/>
              <w:rPr>
                <w:sz w:val="11"/>
                <w:szCs w:val="11"/>
                <w:color w:val="auto"/>
              </w:rPr>
            </w:pPr>
          </w:p>
        </w:tc>
        <w:tc>
          <w:tcPr>
            <w:tcW w:w="640" w:type="dxa"/>
            <w:vAlign w:val="bottom"/>
            <w:tcBorders>
              <w:right w:val="single" w:sz="8" w:color="auto"/>
            </w:tcBorders>
          </w:tcPr>
          <w:p>
            <w:pPr>
              <w:jc w:val="center"/>
              <w:spacing w:after="0" w:line="135" w:lineRule="exact"/>
              <w:rPr>
                <w:sz w:val="20"/>
                <w:szCs w:val="20"/>
                <w:color w:val="auto"/>
              </w:rPr>
            </w:pPr>
            <w:r>
              <w:rPr>
                <w:rFonts w:ascii="Arial" w:cs="Arial" w:eastAsia="Arial" w:hAnsi="Arial"/>
                <w:sz w:val="13"/>
                <w:szCs w:val="13"/>
                <w:b w:val="1"/>
                <w:bCs w:val="1"/>
                <w:color w:val="auto"/>
                <w:w w:val="97"/>
              </w:rPr>
              <w:t>or Units</w:t>
            </w:r>
          </w:p>
        </w:tc>
        <w:tc>
          <w:tcPr>
            <w:tcW w:w="760" w:type="dxa"/>
            <w:vAlign w:val="bottom"/>
            <w:tcBorders>
              <w:right w:val="single" w:sz="8" w:color="auto"/>
            </w:tcBorders>
          </w:tcPr>
          <w:p>
            <w:pPr>
              <w:jc w:val="center"/>
              <w:spacing w:after="0" w:line="135" w:lineRule="exact"/>
              <w:rPr>
                <w:sz w:val="20"/>
                <w:szCs w:val="20"/>
                <w:color w:val="auto"/>
              </w:rPr>
            </w:pPr>
            <w:r>
              <w:rPr>
                <w:rFonts w:ascii="Arial" w:cs="Arial" w:eastAsia="Arial" w:hAnsi="Arial"/>
                <w:sz w:val="13"/>
                <w:szCs w:val="13"/>
                <w:b w:val="1"/>
                <w:bCs w:val="1"/>
                <w:color w:val="auto"/>
                <w:w w:val="93"/>
              </w:rPr>
              <w:t>Options</w:t>
            </w:r>
          </w:p>
        </w:tc>
        <w:tc>
          <w:tcPr>
            <w:tcW w:w="660" w:type="dxa"/>
            <w:vAlign w:val="bottom"/>
            <w:tcBorders>
              <w:right w:val="single" w:sz="8" w:color="auto"/>
            </w:tcBorders>
          </w:tcPr>
          <w:p>
            <w:pPr>
              <w:jc w:val="center"/>
              <w:spacing w:after="0" w:line="135" w:lineRule="exact"/>
              <w:rPr>
                <w:sz w:val="20"/>
                <w:szCs w:val="20"/>
                <w:color w:val="auto"/>
              </w:rPr>
            </w:pPr>
            <w:r>
              <w:rPr>
                <w:rFonts w:ascii="Arial" w:cs="Arial" w:eastAsia="Arial" w:hAnsi="Arial"/>
                <w:sz w:val="13"/>
                <w:szCs w:val="13"/>
                <w:b w:val="1"/>
                <w:bCs w:val="1"/>
                <w:color w:val="auto"/>
                <w:w w:val="93"/>
              </w:rPr>
              <w:t>Awards</w:t>
            </w:r>
          </w:p>
        </w:tc>
        <w:tc>
          <w:tcPr>
            <w:tcW w:w="820" w:type="dxa"/>
            <w:vAlign w:val="bottom"/>
            <w:tcBorders>
              <w:right w:val="single" w:sz="8" w:color="auto"/>
            </w:tcBorders>
          </w:tcPr>
          <w:p>
            <w:pPr>
              <w:jc w:val="center"/>
              <w:spacing w:after="0" w:line="135" w:lineRule="exact"/>
              <w:rPr>
                <w:sz w:val="20"/>
                <w:szCs w:val="20"/>
                <w:color w:val="auto"/>
              </w:rPr>
            </w:pPr>
            <w:r>
              <w:rPr>
                <w:rFonts w:ascii="Arial" w:cs="Arial" w:eastAsia="Arial" w:hAnsi="Arial"/>
                <w:sz w:val="13"/>
                <w:szCs w:val="13"/>
                <w:b w:val="1"/>
                <w:bCs w:val="1"/>
                <w:color w:val="auto"/>
                <w:w w:val="95"/>
              </w:rPr>
              <w:t>Option</w:t>
            </w:r>
          </w:p>
        </w:tc>
        <w:tc>
          <w:tcPr>
            <w:tcW w:w="0" w:type="dxa"/>
            <w:vAlign w:val="bottom"/>
          </w:tcPr>
          <w:p>
            <w:pPr>
              <w:spacing w:after="0"/>
              <w:rPr>
                <w:sz w:val="1"/>
                <w:szCs w:val="1"/>
                <w:color w:val="auto"/>
              </w:rPr>
            </w:pPr>
          </w:p>
        </w:tc>
      </w:tr>
      <w:tr>
        <w:trPr>
          <w:trHeight w:val="182"/>
        </w:trPr>
        <w:tc>
          <w:tcPr>
            <w:tcW w:w="1420" w:type="dxa"/>
            <w:vAlign w:val="bottom"/>
            <w:tcBorders>
              <w:left w:val="single" w:sz="8" w:color="auto"/>
              <w:bottom w:val="single" w:sz="8" w:color="auto"/>
              <w:right w:val="single" w:sz="8" w:color="auto"/>
            </w:tcBorders>
            <w:vMerge w:val="continue"/>
          </w:tcPr>
          <w:p>
            <w:pPr>
              <w:spacing w:after="0"/>
              <w:rPr>
                <w:sz w:val="15"/>
                <w:szCs w:val="15"/>
                <w:color w:val="auto"/>
              </w:rPr>
            </w:pPr>
          </w:p>
        </w:tc>
        <w:tc>
          <w:tcPr>
            <w:tcW w:w="1000" w:type="dxa"/>
            <w:vAlign w:val="bottom"/>
            <w:tcBorders>
              <w:bottom w:val="single" w:sz="8" w:color="auto"/>
              <w:right w:val="single" w:sz="8" w:color="auto"/>
            </w:tcBorders>
            <w:vMerge w:val="continue"/>
          </w:tcPr>
          <w:p>
            <w:pPr>
              <w:spacing w:after="0"/>
              <w:rPr>
                <w:sz w:val="15"/>
                <w:szCs w:val="15"/>
                <w:color w:val="auto"/>
              </w:rPr>
            </w:pPr>
          </w:p>
        </w:tc>
        <w:tc>
          <w:tcPr>
            <w:tcW w:w="720" w:type="dxa"/>
            <w:vAlign w:val="bottom"/>
            <w:tcBorders>
              <w:bottom w:val="single" w:sz="8" w:color="auto"/>
            </w:tcBorders>
          </w:tcPr>
          <w:p>
            <w:pPr>
              <w:jc w:val="right"/>
              <w:ind w:right="197"/>
              <w:spacing w:after="0"/>
              <w:rPr>
                <w:sz w:val="20"/>
                <w:szCs w:val="20"/>
                <w:color w:val="auto"/>
              </w:rPr>
            </w:pPr>
            <w:r>
              <w:rPr>
                <w:rFonts w:ascii="Arial" w:cs="Arial" w:eastAsia="Arial" w:hAnsi="Arial"/>
                <w:sz w:val="13"/>
                <w:szCs w:val="13"/>
                <w:b w:val="1"/>
                <w:bCs w:val="1"/>
                <w:color w:val="auto"/>
              </w:rPr>
              <w:t>($)</w:t>
            </w:r>
          </w:p>
        </w:tc>
        <w:tc>
          <w:tcPr>
            <w:tcW w:w="100" w:type="dxa"/>
            <w:vAlign w:val="bottom"/>
            <w:tcBorders>
              <w:bottom w:val="single" w:sz="8" w:color="auto"/>
              <w:right w:val="single" w:sz="8" w:color="auto"/>
            </w:tcBorders>
          </w:tcPr>
          <w:p>
            <w:pPr>
              <w:spacing w:after="0"/>
              <w:rPr>
                <w:sz w:val="15"/>
                <w:szCs w:val="15"/>
                <w:color w:val="auto"/>
              </w:rPr>
            </w:pPr>
          </w:p>
        </w:tc>
        <w:tc>
          <w:tcPr>
            <w:tcW w:w="600" w:type="dxa"/>
            <w:vAlign w:val="bottom"/>
            <w:tcBorders>
              <w:bottom w:val="single" w:sz="8" w:color="auto"/>
              <w:right w:val="single" w:sz="8" w:color="auto"/>
            </w:tcBorders>
          </w:tcPr>
          <w:p>
            <w:pPr>
              <w:jc w:val="right"/>
              <w:ind w:right="177"/>
              <w:spacing w:after="0"/>
              <w:rPr>
                <w:sz w:val="20"/>
                <w:szCs w:val="20"/>
                <w:color w:val="auto"/>
              </w:rPr>
            </w:pPr>
            <w:r>
              <w:rPr>
                <w:rFonts w:ascii="Arial" w:cs="Arial" w:eastAsia="Arial" w:hAnsi="Arial"/>
                <w:sz w:val="13"/>
                <w:szCs w:val="13"/>
                <w:b w:val="1"/>
                <w:bCs w:val="1"/>
                <w:color w:val="auto"/>
              </w:rPr>
              <w:t>($)</w:t>
            </w:r>
          </w:p>
        </w:tc>
        <w:tc>
          <w:tcPr>
            <w:tcW w:w="800" w:type="dxa"/>
            <w:vAlign w:val="bottom"/>
            <w:tcBorders>
              <w:bottom w:val="single" w:sz="8" w:color="auto"/>
              <w:right w:val="single" w:sz="8" w:color="auto"/>
            </w:tcBorders>
          </w:tcPr>
          <w:p>
            <w:pPr>
              <w:jc w:val="right"/>
              <w:ind w:right="277"/>
              <w:spacing w:after="0"/>
              <w:rPr>
                <w:sz w:val="20"/>
                <w:szCs w:val="20"/>
                <w:color w:val="auto"/>
              </w:rPr>
            </w:pPr>
            <w:r>
              <w:rPr>
                <w:rFonts w:ascii="Arial" w:cs="Arial" w:eastAsia="Arial" w:hAnsi="Arial"/>
                <w:sz w:val="13"/>
                <w:szCs w:val="13"/>
                <w:b w:val="1"/>
                <w:bCs w:val="1"/>
                <w:color w:val="auto"/>
              </w:rPr>
              <w:t>($)</w:t>
            </w:r>
          </w:p>
        </w:tc>
        <w:tc>
          <w:tcPr>
            <w:tcW w:w="720" w:type="dxa"/>
            <w:vAlign w:val="bottom"/>
            <w:tcBorders>
              <w:bottom w:val="single" w:sz="8" w:color="auto"/>
            </w:tcBorders>
          </w:tcPr>
          <w:p>
            <w:pPr>
              <w:jc w:val="right"/>
              <w:ind w:right="197"/>
              <w:spacing w:after="0"/>
              <w:rPr>
                <w:sz w:val="20"/>
                <w:szCs w:val="20"/>
                <w:color w:val="auto"/>
              </w:rPr>
            </w:pPr>
            <w:r>
              <w:rPr>
                <w:rFonts w:ascii="Arial" w:cs="Arial" w:eastAsia="Arial" w:hAnsi="Arial"/>
                <w:sz w:val="13"/>
                <w:szCs w:val="13"/>
                <w:b w:val="1"/>
                <w:bCs w:val="1"/>
                <w:color w:val="auto"/>
              </w:rPr>
              <w:t>(#)</w:t>
            </w:r>
          </w:p>
        </w:tc>
        <w:tc>
          <w:tcPr>
            <w:tcW w:w="100" w:type="dxa"/>
            <w:vAlign w:val="bottom"/>
            <w:tcBorders>
              <w:bottom w:val="single" w:sz="8" w:color="auto"/>
              <w:right w:val="single" w:sz="8" w:color="auto"/>
            </w:tcBorders>
          </w:tcPr>
          <w:p>
            <w:pPr>
              <w:spacing w:after="0"/>
              <w:rPr>
                <w:sz w:val="15"/>
                <w:szCs w:val="15"/>
                <w:color w:val="auto"/>
              </w:rPr>
            </w:pPr>
          </w:p>
        </w:tc>
        <w:tc>
          <w:tcPr>
            <w:tcW w:w="600" w:type="dxa"/>
            <w:vAlign w:val="bottom"/>
            <w:tcBorders>
              <w:bottom w:val="single" w:sz="8" w:color="auto"/>
              <w:right w:val="single" w:sz="8" w:color="auto"/>
            </w:tcBorders>
          </w:tcPr>
          <w:p>
            <w:pPr>
              <w:jc w:val="right"/>
              <w:ind w:right="177"/>
              <w:spacing w:after="0"/>
              <w:rPr>
                <w:sz w:val="20"/>
                <w:szCs w:val="20"/>
                <w:color w:val="auto"/>
              </w:rPr>
            </w:pPr>
            <w:r>
              <w:rPr>
                <w:rFonts w:ascii="Arial" w:cs="Arial" w:eastAsia="Arial" w:hAnsi="Arial"/>
                <w:sz w:val="13"/>
                <w:szCs w:val="13"/>
                <w:b w:val="1"/>
                <w:bCs w:val="1"/>
                <w:color w:val="auto"/>
              </w:rPr>
              <w:t>(#)</w:t>
            </w:r>
          </w:p>
        </w:tc>
        <w:tc>
          <w:tcPr>
            <w:tcW w:w="800" w:type="dxa"/>
            <w:vAlign w:val="bottom"/>
            <w:tcBorders>
              <w:bottom w:val="single" w:sz="8" w:color="auto"/>
              <w:right w:val="single" w:sz="8" w:color="auto"/>
            </w:tcBorders>
          </w:tcPr>
          <w:p>
            <w:pPr>
              <w:jc w:val="right"/>
              <w:ind w:right="297"/>
              <w:spacing w:after="0"/>
              <w:rPr>
                <w:sz w:val="20"/>
                <w:szCs w:val="20"/>
                <w:color w:val="auto"/>
              </w:rPr>
            </w:pPr>
            <w:r>
              <w:rPr>
                <w:rFonts w:ascii="Arial" w:cs="Arial" w:eastAsia="Arial" w:hAnsi="Arial"/>
                <w:sz w:val="13"/>
                <w:szCs w:val="13"/>
                <w:b w:val="1"/>
                <w:bCs w:val="1"/>
                <w:color w:val="auto"/>
              </w:rPr>
              <w:t>(#)</w:t>
            </w:r>
          </w:p>
        </w:tc>
        <w:tc>
          <w:tcPr>
            <w:tcW w:w="64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3"/>
                <w:szCs w:val="13"/>
                <w:b w:val="1"/>
                <w:bCs w:val="1"/>
                <w:color w:val="auto"/>
              </w:rPr>
              <w:t>(#)</w:t>
            </w:r>
          </w:p>
        </w:tc>
        <w:tc>
          <w:tcPr>
            <w:tcW w:w="76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3"/>
                <w:szCs w:val="13"/>
                <w:b w:val="1"/>
                <w:bCs w:val="1"/>
                <w:color w:val="auto"/>
                <w:w w:val="87"/>
              </w:rPr>
              <w:t>(#)</w:t>
            </w:r>
          </w:p>
        </w:tc>
        <w:tc>
          <w:tcPr>
            <w:tcW w:w="66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3"/>
                <w:szCs w:val="13"/>
                <w:b w:val="1"/>
                <w:bCs w:val="1"/>
                <w:color w:val="auto"/>
                <w:w w:val="99"/>
              </w:rPr>
              <w:t>($/Sh)</w:t>
            </w:r>
          </w:p>
        </w:tc>
        <w:tc>
          <w:tcPr>
            <w:tcW w:w="82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3"/>
                <w:szCs w:val="13"/>
                <w:b w:val="1"/>
                <w:bCs w:val="1"/>
                <w:color w:val="auto"/>
                <w:w w:val="96"/>
              </w:rPr>
              <w:t>Awards ($)</w:t>
            </w:r>
          </w:p>
        </w:tc>
        <w:tc>
          <w:tcPr>
            <w:tcW w:w="0" w:type="dxa"/>
            <w:vAlign w:val="bottom"/>
          </w:tcPr>
          <w:p>
            <w:pPr>
              <w:spacing w:after="0"/>
              <w:rPr>
                <w:sz w:val="1"/>
                <w:szCs w:val="1"/>
                <w:color w:val="auto"/>
              </w:rPr>
            </w:pPr>
          </w:p>
        </w:tc>
      </w:tr>
      <w:tr>
        <w:trPr>
          <w:trHeight w:val="214"/>
        </w:trPr>
        <w:tc>
          <w:tcPr>
            <w:tcW w:w="1420" w:type="dxa"/>
            <w:vAlign w:val="bottom"/>
            <w:tcBorders>
              <w:left w:val="single" w:sz="8" w:color="auto"/>
              <w:right w:val="single" w:sz="8" w:color="auto"/>
            </w:tcBorders>
            <w:shd w:val="clear" w:color="auto" w:fill="D4DBEB"/>
          </w:tcPr>
          <w:p>
            <w:pPr>
              <w:ind w:left="160"/>
              <w:spacing w:after="0"/>
              <w:rPr>
                <w:sz w:val="20"/>
                <w:szCs w:val="20"/>
                <w:color w:val="auto"/>
              </w:rPr>
            </w:pPr>
            <w:r>
              <w:rPr>
                <w:rFonts w:ascii="Arial" w:cs="Arial" w:eastAsia="Arial" w:hAnsi="Arial"/>
                <w:sz w:val="13"/>
                <w:szCs w:val="13"/>
                <w:color w:val="auto"/>
              </w:rPr>
              <w:t>D.W. Woods</w:t>
            </w:r>
          </w:p>
        </w:tc>
        <w:tc>
          <w:tcPr>
            <w:tcW w:w="1000" w:type="dxa"/>
            <w:vAlign w:val="bottom"/>
            <w:tcBorders>
              <w:right w:val="single" w:sz="8" w:color="auto"/>
            </w:tcBorders>
            <w:shd w:val="clear" w:color="auto" w:fill="D4DBEB"/>
          </w:tcPr>
          <w:p>
            <w:pPr>
              <w:jc w:val="right"/>
              <w:ind w:right="117"/>
              <w:spacing w:after="0"/>
              <w:rPr>
                <w:sz w:val="20"/>
                <w:szCs w:val="20"/>
                <w:color w:val="auto"/>
              </w:rPr>
            </w:pPr>
            <w:r>
              <w:rPr>
                <w:rFonts w:ascii="Arial" w:cs="Arial" w:eastAsia="Arial" w:hAnsi="Arial"/>
                <w:sz w:val="13"/>
                <w:szCs w:val="13"/>
                <w:color w:val="auto"/>
              </w:rPr>
              <w:t>11/29/2017</w:t>
            </w:r>
          </w:p>
        </w:tc>
        <w:tc>
          <w:tcPr>
            <w:tcW w:w="720" w:type="dxa"/>
            <w:vAlign w:val="bottom"/>
            <w:shd w:val="clear" w:color="auto" w:fill="D4DBEB"/>
          </w:tcPr>
          <w:p>
            <w:pPr>
              <w:jc w:val="right"/>
              <w:ind w:right="177"/>
              <w:spacing w:after="0"/>
              <w:rPr>
                <w:sz w:val="20"/>
                <w:szCs w:val="20"/>
                <w:color w:val="auto"/>
              </w:rPr>
            </w:pPr>
            <w:r>
              <w:rPr>
                <w:rFonts w:ascii="Arial" w:cs="Arial" w:eastAsia="Arial" w:hAnsi="Arial"/>
                <w:sz w:val="13"/>
                <w:szCs w:val="13"/>
                <w:color w:val="auto"/>
              </w:rPr>
              <w:t>0</w:t>
            </w:r>
          </w:p>
        </w:tc>
        <w:tc>
          <w:tcPr>
            <w:tcW w:w="100" w:type="dxa"/>
            <w:vAlign w:val="bottom"/>
            <w:tcBorders>
              <w:right w:val="single" w:sz="8" w:color="auto"/>
            </w:tcBorders>
            <w:shd w:val="clear" w:color="auto" w:fill="D4DBEB"/>
          </w:tcPr>
          <w:p>
            <w:pPr>
              <w:spacing w:after="0"/>
              <w:rPr>
                <w:sz w:val="18"/>
                <w:szCs w:val="18"/>
                <w:color w:val="auto"/>
              </w:rPr>
            </w:pPr>
          </w:p>
        </w:tc>
        <w:tc>
          <w:tcPr>
            <w:tcW w:w="600" w:type="dxa"/>
            <w:vAlign w:val="bottom"/>
            <w:tcBorders>
              <w:right w:val="single" w:sz="8" w:color="auto"/>
            </w:tcBorders>
            <w:shd w:val="clear" w:color="auto" w:fill="D4DBEB"/>
          </w:tcPr>
          <w:p>
            <w:pPr>
              <w:jc w:val="center"/>
              <w:spacing w:after="0"/>
              <w:rPr>
                <w:sz w:val="20"/>
                <w:szCs w:val="20"/>
                <w:color w:val="auto"/>
              </w:rPr>
            </w:pPr>
            <w:r>
              <w:rPr>
                <w:rFonts w:ascii="Arial" w:cs="Arial" w:eastAsia="Arial" w:hAnsi="Arial"/>
                <w:sz w:val="13"/>
                <w:szCs w:val="13"/>
                <w:color w:val="auto"/>
                <w:w w:val="82"/>
              </w:rPr>
              <w:t>0</w:t>
            </w:r>
          </w:p>
        </w:tc>
        <w:tc>
          <w:tcPr>
            <w:tcW w:w="800" w:type="dxa"/>
            <w:vAlign w:val="bottom"/>
            <w:tcBorders>
              <w:right w:val="single" w:sz="8" w:color="auto"/>
            </w:tcBorders>
            <w:shd w:val="clear" w:color="auto" w:fill="D4DBEB"/>
          </w:tcPr>
          <w:p>
            <w:pPr>
              <w:jc w:val="right"/>
              <w:ind w:right="277"/>
              <w:spacing w:after="0"/>
              <w:rPr>
                <w:sz w:val="20"/>
                <w:szCs w:val="20"/>
                <w:color w:val="auto"/>
              </w:rPr>
            </w:pPr>
            <w:r>
              <w:rPr>
                <w:rFonts w:ascii="Arial" w:cs="Arial" w:eastAsia="Arial" w:hAnsi="Arial"/>
                <w:sz w:val="13"/>
                <w:szCs w:val="13"/>
                <w:color w:val="auto"/>
              </w:rPr>
              <w:t>0</w:t>
            </w:r>
          </w:p>
        </w:tc>
        <w:tc>
          <w:tcPr>
            <w:tcW w:w="720" w:type="dxa"/>
            <w:vAlign w:val="bottom"/>
            <w:shd w:val="clear" w:color="auto" w:fill="D4DBEB"/>
          </w:tcPr>
          <w:p>
            <w:pPr>
              <w:jc w:val="right"/>
              <w:ind w:right="177"/>
              <w:spacing w:after="0"/>
              <w:rPr>
                <w:sz w:val="20"/>
                <w:szCs w:val="20"/>
                <w:color w:val="auto"/>
              </w:rPr>
            </w:pPr>
            <w:r>
              <w:rPr>
                <w:rFonts w:ascii="Arial" w:cs="Arial" w:eastAsia="Arial" w:hAnsi="Arial"/>
                <w:sz w:val="13"/>
                <w:szCs w:val="13"/>
                <w:color w:val="auto"/>
              </w:rPr>
              <w:t>0</w:t>
            </w:r>
          </w:p>
        </w:tc>
        <w:tc>
          <w:tcPr>
            <w:tcW w:w="100" w:type="dxa"/>
            <w:vAlign w:val="bottom"/>
            <w:tcBorders>
              <w:right w:val="single" w:sz="8" w:color="auto"/>
            </w:tcBorders>
            <w:shd w:val="clear" w:color="auto" w:fill="D4DBEB"/>
          </w:tcPr>
          <w:p>
            <w:pPr>
              <w:spacing w:after="0"/>
              <w:rPr>
                <w:sz w:val="18"/>
                <w:szCs w:val="18"/>
                <w:color w:val="auto"/>
              </w:rPr>
            </w:pPr>
          </w:p>
        </w:tc>
        <w:tc>
          <w:tcPr>
            <w:tcW w:w="600" w:type="dxa"/>
            <w:vAlign w:val="bottom"/>
            <w:tcBorders>
              <w:right w:val="single" w:sz="8" w:color="auto"/>
            </w:tcBorders>
            <w:shd w:val="clear" w:color="auto" w:fill="D4DBEB"/>
          </w:tcPr>
          <w:p>
            <w:pPr>
              <w:jc w:val="center"/>
              <w:spacing w:after="0"/>
              <w:rPr>
                <w:sz w:val="20"/>
                <w:szCs w:val="20"/>
                <w:color w:val="auto"/>
              </w:rPr>
            </w:pPr>
            <w:r>
              <w:rPr>
                <w:rFonts w:ascii="Arial" w:cs="Arial" w:eastAsia="Arial" w:hAnsi="Arial"/>
                <w:sz w:val="13"/>
                <w:szCs w:val="13"/>
                <w:color w:val="auto"/>
                <w:w w:val="82"/>
              </w:rPr>
              <w:t>0</w:t>
            </w:r>
          </w:p>
        </w:tc>
        <w:tc>
          <w:tcPr>
            <w:tcW w:w="800" w:type="dxa"/>
            <w:vAlign w:val="bottom"/>
            <w:tcBorders>
              <w:right w:val="single" w:sz="8" w:color="auto"/>
            </w:tcBorders>
            <w:shd w:val="clear" w:color="auto" w:fill="D4DBEB"/>
          </w:tcPr>
          <w:p>
            <w:pPr>
              <w:jc w:val="right"/>
              <w:ind w:right="277"/>
              <w:spacing w:after="0"/>
              <w:rPr>
                <w:sz w:val="20"/>
                <w:szCs w:val="20"/>
                <w:color w:val="auto"/>
              </w:rPr>
            </w:pPr>
            <w:r>
              <w:rPr>
                <w:rFonts w:ascii="Arial" w:cs="Arial" w:eastAsia="Arial" w:hAnsi="Arial"/>
                <w:sz w:val="13"/>
                <w:szCs w:val="13"/>
                <w:color w:val="auto"/>
              </w:rPr>
              <w:t>0</w:t>
            </w:r>
          </w:p>
        </w:tc>
        <w:tc>
          <w:tcPr>
            <w:tcW w:w="640" w:type="dxa"/>
            <w:vAlign w:val="bottom"/>
            <w:tcBorders>
              <w:right w:val="single" w:sz="8" w:color="auto"/>
            </w:tcBorders>
            <w:shd w:val="clear" w:color="auto" w:fill="D4DBEB"/>
          </w:tcPr>
          <w:p>
            <w:pPr>
              <w:jc w:val="right"/>
              <w:spacing w:after="0"/>
              <w:rPr>
                <w:sz w:val="20"/>
                <w:szCs w:val="20"/>
                <w:color w:val="auto"/>
              </w:rPr>
            </w:pPr>
            <w:r>
              <w:rPr>
                <w:rFonts w:ascii="Arial" w:cs="Arial" w:eastAsia="Arial" w:hAnsi="Arial"/>
                <w:sz w:val="13"/>
                <w:szCs w:val="13"/>
                <w:color w:val="auto"/>
              </w:rPr>
              <w:t>132,000</w:t>
            </w:r>
          </w:p>
        </w:tc>
        <w:tc>
          <w:tcPr>
            <w:tcW w:w="760" w:type="dxa"/>
            <w:vAlign w:val="bottom"/>
            <w:tcBorders>
              <w:right w:val="single" w:sz="8" w:color="auto"/>
            </w:tcBorders>
            <w:shd w:val="clear" w:color="auto" w:fill="D4DBEB"/>
          </w:tcPr>
          <w:p>
            <w:pPr>
              <w:jc w:val="center"/>
              <w:spacing w:after="0"/>
              <w:rPr>
                <w:sz w:val="20"/>
                <w:szCs w:val="20"/>
                <w:color w:val="auto"/>
              </w:rPr>
            </w:pPr>
            <w:r>
              <w:rPr>
                <w:rFonts w:ascii="Arial" w:cs="Arial" w:eastAsia="Arial" w:hAnsi="Arial"/>
                <w:sz w:val="13"/>
                <w:szCs w:val="13"/>
                <w:color w:val="auto"/>
                <w:w w:val="82"/>
              </w:rPr>
              <w:t>0</w:t>
            </w:r>
          </w:p>
        </w:tc>
        <w:tc>
          <w:tcPr>
            <w:tcW w:w="660" w:type="dxa"/>
            <w:vAlign w:val="bottom"/>
            <w:tcBorders>
              <w:right w:val="single" w:sz="8" w:color="auto"/>
            </w:tcBorders>
            <w:shd w:val="clear" w:color="auto" w:fill="D4DBEB"/>
          </w:tcPr>
          <w:p>
            <w:pPr>
              <w:jc w:val="center"/>
              <w:spacing w:after="0"/>
              <w:rPr>
                <w:sz w:val="20"/>
                <w:szCs w:val="20"/>
                <w:color w:val="auto"/>
              </w:rPr>
            </w:pPr>
            <w:r>
              <w:rPr>
                <w:rFonts w:ascii="Arial" w:cs="Arial" w:eastAsia="Arial" w:hAnsi="Arial"/>
                <w:sz w:val="13"/>
                <w:szCs w:val="13"/>
                <w:color w:val="auto"/>
              </w:rPr>
              <w:t>0</w:t>
            </w:r>
          </w:p>
        </w:tc>
        <w:tc>
          <w:tcPr>
            <w:tcW w:w="820" w:type="dxa"/>
            <w:vAlign w:val="bottom"/>
            <w:tcBorders>
              <w:right w:val="single" w:sz="8" w:color="auto"/>
            </w:tcBorders>
            <w:shd w:val="clear" w:color="auto" w:fill="D4DBEB"/>
          </w:tcPr>
          <w:p>
            <w:pPr>
              <w:jc w:val="right"/>
              <w:spacing w:after="0"/>
              <w:rPr>
                <w:sz w:val="20"/>
                <w:szCs w:val="20"/>
                <w:color w:val="auto"/>
              </w:rPr>
            </w:pPr>
            <w:r>
              <w:rPr>
                <w:rFonts w:ascii="Arial" w:cs="Arial" w:eastAsia="Arial" w:hAnsi="Arial"/>
                <w:sz w:val="13"/>
                <w:szCs w:val="13"/>
                <w:color w:val="auto"/>
              </w:rPr>
              <w:t>10,809,810</w:t>
            </w:r>
          </w:p>
        </w:tc>
        <w:tc>
          <w:tcPr>
            <w:tcW w:w="0" w:type="dxa"/>
            <w:vAlign w:val="bottom"/>
          </w:tcPr>
          <w:p>
            <w:pPr>
              <w:spacing w:after="0"/>
              <w:rPr>
                <w:sz w:val="1"/>
                <w:szCs w:val="1"/>
                <w:color w:val="auto"/>
              </w:rPr>
            </w:pPr>
          </w:p>
        </w:tc>
      </w:tr>
      <w:tr>
        <w:trPr>
          <w:trHeight w:val="223"/>
        </w:trPr>
        <w:tc>
          <w:tcPr>
            <w:tcW w:w="1420" w:type="dxa"/>
            <w:vAlign w:val="bottom"/>
            <w:tcBorders>
              <w:left w:val="single" w:sz="8" w:color="auto"/>
              <w:right w:val="single" w:sz="8" w:color="auto"/>
            </w:tcBorders>
          </w:tcPr>
          <w:p>
            <w:pPr>
              <w:ind w:left="160"/>
              <w:spacing w:after="0"/>
              <w:rPr>
                <w:sz w:val="20"/>
                <w:szCs w:val="20"/>
                <w:color w:val="auto"/>
              </w:rPr>
            </w:pPr>
            <w:r>
              <w:rPr>
                <w:rFonts w:ascii="Arial" w:cs="Arial" w:eastAsia="Arial" w:hAnsi="Arial"/>
                <w:sz w:val="13"/>
                <w:szCs w:val="13"/>
                <w:color w:val="auto"/>
              </w:rPr>
              <w:t>A.P. Swiger</w:t>
            </w:r>
          </w:p>
        </w:tc>
        <w:tc>
          <w:tcPr>
            <w:tcW w:w="1000" w:type="dxa"/>
            <w:vAlign w:val="bottom"/>
            <w:tcBorders>
              <w:right w:val="single" w:sz="8" w:color="auto"/>
            </w:tcBorders>
          </w:tcPr>
          <w:p>
            <w:pPr>
              <w:jc w:val="right"/>
              <w:ind w:right="117"/>
              <w:spacing w:after="0"/>
              <w:rPr>
                <w:sz w:val="20"/>
                <w:szCs w:val="20"/>
                <w:color w:val="auto"/>
              </w:rPr>
            </w:pPr>
            <w:r>
              <w:rPr>
                <w:rFonts w:ascii="Arial" w:cs="Arial" w:eastAsia="Arial" w:hAnsi="Arial"/>
                <w:sz w:val="13"/>
                <w:szCs w:val="13"/>
                <w:color w:val="auto"/>
              </w:rPr>
              <w:t>11/29/2017</w:t>
            </w:r>
          </w:p>
        </w:tc>
        <w:tc>
          <w:tcPr>
            <w:tcW w:w="720" w:type="dxa"/>
            <w:vAlign w:val="bottom"/>
          </w:tcPr>
          <w:p>
            <w:pPr>
              <w:jc w:val="right"/>
              <w:ind w:right="177"/>
              <w:spacing w:after="0"/>
              <w:rPr>
                <w:sz w:val="20"/>
                <w:szCs w:val="20"/>
                <w:color w:val="auto"/>
              </w:rPr>
            </w:pPr>
            <w:r>
              <w:rPr>
                <w:rFonts w:ascii="Arial" w:cs="Arial" w:eastAsia="Arial" w:hAnsi="Arial"/>
                <w:sz w:val="13"/>
                <w:szCs w:val="13"/>
                <w:color w:val="auto"/>
              </w:rPr>
              <w:t>0</w:t>
            </w:r>
          </w:p>
        </w:tc>
        <w:tc>
          <w:tcPr>
            <w:tcW w:w="100" w:type="dxa"/>
            <w:vAlign w:val="bottom"/>
            <w:tcBorders>
              <w:right w:val="single" w:sz="8" w:color="auto"/>
            </w:tcBorders>
          </w:tcPr>
          <w:p>
            <w:pPr>
              <w:spacing w:after="0"/>
              <w:rPr>
                <w:sz w:val="19"/>
                <w:szCs w:val="19"/>
                <w:color w:val="auto"/>
              </w:rPr>
            </w:pPr>
          </w:p>
        </w:tc>
        <w:tc>
          <w:tcPr>
            <w:tcW w:w="600" w:type="dxa"/>
            <w:vAlign w:val="bottom"/>
            <w:tcBorders>
              <w:right w:val="single" w:sz="8" w:color="auto"/>
            </w:tcBorders>
          </w:tcPr>
          <w:p>
            <w:pPr>
              <w:jc w:val="center"/>
              <w:spacing w:after="0"/>
              <w:rPr>
                <w:sz w:val="20"/>
                <w:szCs w:val="20"/>
                <w:color w:val="auto"/>
              </w:rPr>
            </w:pPr>
            <w:r>
              <w:rPr>
                <w:rFonts w:ascii="Arial" w:cs="Arial" w:eastAsia="Arial" w:hAnsi="Arial"/>
                <w:sz w:val="13"/>
                <w:szCs w:val="13"/>
                <w:color w:val="auto"/>
                <w:w w:val="82"/>
              </w:rPr>
              <w:t>0</w:t>
            </w:r>
          </w:p>
        </w:tc>
        <w:tc>
          <w:tcPr>
            <w:tcW w:w="800" w:type="dxa"/>
            <w:vAlign w:val="bottom"/>
            <w:tcBorders>
              <w:right w:val="single" w:sz="8" w:color="auto"/>
            </w:tcBorders>
          </w:tcPr>
          <w:p>
            <w:pPr>
              <w:jc w:val="right"/>
              <w:ind w:right="277"/>
              <w:spacing w:after="0"/>
              <w:rPr>
                <w:sz w:val="20"/>
                <w:szCs w:val="20"/>
                <w:color w:val="auto"/>
              </w:rPr>
            </w:pPr>
            <w:r>
              <w:rPr>
                <w:rFonts w:ascii="Arial" w:cs="Arial" w:eastAsia="Arial" w:hAnsi="Arial"/>
                <w:sz w:val="13"/>
                <w:szCs w:val="13"/>
                <w:color w:val="auto"/>
              </w:rPr>
              <w:t>0</w:t>
            </w:r>
          </w:p>
        </w:tc>
        <w:tc>
          <w:tcPr>
            <w:tcW w:w="720" w:type="dxa"/>
            <w:vAlign w:val="bottom"/>
          </w:tcPr>
          <w:p>
            <w:pPr>
              <w:jc w:val="right"/>
              <w:ind w:right="177"/>
              <w:spacing w:after="0"/>
              <w:rPr>
                <w:sz w:val="20"/>
                <w:szCs w:val="20"/>
                <w:color w:val="auto"/>
              </w:rPr>
            </w:pPr>
            <w:r>
              <w:rPr>
                <w:rFonts w:ascii="Arial" w:cs="Arial" w:eastAsia="Arial" w:hAnsi="Arial"/>
                <w:sz w:val="13"/>
                <w:szCs w:val="13"/>
                <w:color w:val="auto"/>
              </w:rPr>
              <w:t>0</w:t>
            </w:r>
          </w:p>
        </w:tc>
        <w:tc>
          <w:tcPr>
            <w:tcW w:w="100" w:type="dxa"/>
            <w:vAlign w:val="bottom"/>
            <w:tcBorders>
              <w:right w:val="single" w:sz="8" w:color="auto"/>
            </w:tcBorders>
          </w:tcPr>
          <w:p>
            <w:pPr>
              <w:spacing w:after="0"/>
              <w:rPr>
                <w:sz w:val="19"/>
                <w:szCs w:val="19"/>
                <w:color w:val="auto"/>
              </w:rPr>
            </w:pPr>
          </w:p>
        </w:tc>
        <w:tc>
          <w:tcPr>
            <w:tcW w:w="600" w:type="dxa"/>
            <w:vAlign w:val="bottom"/>
            <w:tcBorders>
              <w:right w:val="single" w:sz="8" w:color="auto"/>
            </w:tcBorders>
          </w:tcPr>
          <w:p>
            <w:pPr>
              <w:jc w:val="center"/>
              <w:spacing w:after="0"/>
              <w:rPr>
                <w:sz w:val="20"/>
                <w:szCs w:val="20"/>
                <w:color w:val="auto"/>
              </w:rPr>
            </w:pPr>
            <w:r>
              <w:rPr>
                <w:rFonts w:ascii="Arial" w:cs="Arial" w:eastAsia="Arial" w:hAnsi="Arial"/>
                <w:sz w:val="13"/>
                <w:szCs w:val="13"/>
                <w:color w:val="auto"/>
                <w:w w:val="82"/>
              </w:rPr>
              <w:t>0</w:t>
            </w:r>
          </w:p>
        </w:tc>
        <w:tc>
          <w:tcPr>
            <w:tcW w:w="800" w:type="dxa"/>
            <w:vAlign w:val="bottom"/>
            <w:tcBorders>
              <w:right w:val="single" w:sz="8" w:color="auto"/>
            </w:tcBorders>
          </w:tcPr>
          <w:p>
            <w:pPr>
              <w:jc w:val="right"/>
              <w:ind w:right="277"/>
              <w:spacing w:after="0"/>
              <w:rPr>
                <w:sz w:val="20"/>
                <w:szCs w:val="20"/>
                <w:color w:val="auto"/>
              </w:rPr>
            </w:pPr>
            <w:r>
              <w:rPr>
                <w:rFonts w:ascii="Arial" w:cs="Arial" w:eastAsia="Arial" w:hAnsi="Arial"/>
                <w:sz w:val="13"/>
                <w:szCs w:val="13"/>
                <w:color w:val="auto"/>
              </w:rPr>
              <w:t>0</w:t>
            </w:r>
          </w:p>
        </w:tc>
        <w:tc>
          <w:tcPr>
            <w:tcW w:w="640" w:type="dxa"/>
            <w:vAlign w:val="bottom"/>
            <w:tcBorders>
              <w:right w:val="single" w:sz="8" w:color="auto"/>
            </w:tcBorders>
          </w:tcPr>
          <w:p>
            <w:pPr>
              <w:jc w:val="right"/>
              <w:spacing w:after="0"/>
              <w:rPr>
                <w:sz w:val="20"/>
                <w:szCs w:val="20"/>
                <w:color w:val="auto"/>
              </w:rPr>
            </w:pPr>
            <w:r>
              <w:rPr>
                <w:rFonts w:ascii="Arial" w:cs="Arial" w:eastAsia="Arial" w:hAnsi="Arial"/>
                <w:sz w:val="13"/>
                <w:szCs w:val="13"/>
                <w:color w:val="auto"/>
              </w:rPr>
              <w:t>99,200</w:t>
            </w:r>
          </w:p>
        </w:tc>
        <w:tc>
          <w:tcPr>
            <w:tcW w:w="760" w:type="dxa"/>
            <w:vAlign w:val="bottom"/>
            <w:tcBorders>
              <w:right w:val="single" w:sz="8" w:color="auto"/>
            </w:tcBorders>
          </w:tcPr>
          <w:p>
            <w:pPr>
              <w:jc w:val="center"/>
              <w:spacing w:after="0"/>
              <w:rPr>
                <w:sz w:val="20"/>
                <w:szCs w:val="20"/>
                <w:color w:val="auto"/>
              </w:rPr>
            </w:pPr>
            <w:r>
              <w:rPr>
                <w:rFonts w:ascii="Arial" w:cs="Arial" w:eastAsia="Arial" w:hAnsi="Arial"/>
                <w:sz w:val="13"/>
                <w:szCs w:val="13"/>
                <w:color w:val="auto"/>
                <w:w w:val="82"/>
              </w:rPr>
              <w:t>0</w:t>
            </w:r>
          </w:p>
        </w:tc>
        <w:tc>
          <w:tcPr>
            <w:tcW w:w="660" w:type="dxa"/>
            <w:vAlign w:val="bottom"/>
            <w:tcBorders>
              <w:right w:val="single" w:sz="8" w:color="auto"/>
            </w:tcBorders>
          </w:tcPr>
          <w:p>
            <w:pPr>
              <w:jc w:val="center"/>
              <w:spacing w:after="0"/>
              <w:rPr>
                <w:sz w:val="20"/>
                <w:szCs w:val="20"/>
                <w:color w:val="auto"/>
              </w:rPr>
            </w:pPr>
            <w:r>
              <w:rPr>
                <w:rFonts w:ascii="Arial" w:cs="Arial" w:eastAsia="Arial" w:hAnsi="Arial"/>
                <w:sz w:val="13"/>
                <w:szCs w:val="13"/>
                <w:color w:val="auto"/>
              </w:rPr>
              <w:t>0</w:t>
            </w:r>
          </w:p>
        </w:tc>
        <w:tc>
          <w:tcPr>
            <w:tcW w:w="820" w:type="dxa"/>
            <w:vAlign w:val="bottom"/>
            <w:tcBorders>
              <w:right w:val="single" w:sz="8" w:color="auto"/>
            </w:tcBorders>
          </w:tcPr>
          <w:p>
            <w:pPr>
              <w:jc w:val="right"/>
              <w:spacing w:after="0"/>
              <w:rPr>
                <w:sz w:val="20"/>
                <w:szCs w:val="20"/>
                <w:color w:val="auto"/>
              </w:rPr>
            </w:pPr>
            <w:r>
              <w:rPr>
                <w:rFonts w:ascii="Arial" w:cs="Arial" w:eastAsia="Arial" w:hAnsi="Arial"/>
                <w:sz w:val="13"/>
                <w:szCs w:val="13"/>
                <w:color w:val="auto"/>
              </w:rPr>
              <w:t>8,123,736</w:t>
            </w:r>
          </w:p>
        </w:tc>
        <w:tc>
          <w:tcPr>
            <w:tcW w:w="0" w:type="dxa"/>
            <w:vAlign w:val="bottom"/>
          </w:tcPr>
          <w:p>
            <w:pPr>
              <w:spacing w:after="0"/>
              <w:rPr>
                <w:sz w:val="1"/>
                <w:szCs w:val="1"/>
                <w:color w:val="auto"/>
              </w:rPr>
            </w:pPr>
          </w:p>
        </w:tc>
      </w:tr>
      <w:tr>
        <w:trPr>
          <w:trHeight w:val="237"/>
        </w:trPr>
        <w:tc>
          <w:tcPr>
            <w:tcW w:w="1420" w:type="dxa"/>
            <w:vAlign w:val="bottom"/>
            <w:tcBorders>
              <w:left w:val="single" w:sz="8" w:color="auto"/>
              <w:right w:val="single" w:sz="8" w:color="auto"/>
            </w:tcBorders>
            <w:shd w:val="clear" w:color="auto" w:fill="D4DBEB"/>
          </w:tcPr>
          <w:p>
            <w:pPr>
              <w:ind w:left="160"/>
              <w:spacing w:after="0"/>
              <w:rPr>
                <w:sz w:val="20"/>
                <w:szCs w:val="20"/>
                <w:color w:val="auto"/>
              </w:rPr>
            </w:pPr>
            <w:r>
              <w:rPr>
                <w:rFonts w:ascii="Arial" w:cs="Arial" w:eastAsia="Arial" w:hAnsi="Arial"/>
                <w:sz w:val="13"/>
                <w:szCs w:val="13"/>
                <w:color w:val="auto"/>
              </w:rPr>
              <w:t>M.W. Albers</w:t>
            </w:r>
          </w:p>
        </w:tc>
        <w:tc>
          <w:tcPr>
            <w:tcW w:w="1000" w:type="dxa"/>
            <w:vAlign w:val="bottom"/>
            <w:tcBorders>
              <w:right w:val="single" w:sz="8" w:color="auto"/>
            </w:tcBorders>
            <w:shd w:val="clear" w:color="auto" w:fill="D4DBEB"/>
          </w:tcPr>
          <w:p>
            <w:pPr>
              <w:jc w:val="right"/>
              <w:ind w:right="117"/>
              <w:spacing w:after="0"/>
              <w:rPr>
                <w:sz w:val="20"/>
                <w:szCs w:val="20"/>
                <w:color w:val="auto"/>
              </w:rPr>
            </w:pPr>
            <w:r>
              <w:rPr>
                <w:rFonts w:ascii="Arial" w:cs="Arial" w:eastAsia="Arial" w:hAnsi="Arial"/>
                <w:sz w:val="13"/>
                <w:szCs w:val="13"/>
                <w:color w:val="auto"/>
              </w:rPr>
              <w:t>11/29/2017</w:t>
            </w:r>
          </w:p>
        </w:tc>
        <w:tc>
          <w:tcPr>
            <w:tcW w:w="720" w:type="dxa"/>
            <w:vAlign w:val="bottom"/>
            <w:shd w:val="clear" w:color="auto" w:fill="D4DBEB"/>
          </w:tcPr>
          <w:p>
            <w:pPr>
              <w:jc w:val="right"/>
              <w:ind w:right="177"/>
              <w:spacing w:after="0"/>
              <w:rPr>
                <w:sz w:val="20"/>
                <w:szCs w:val="20"/>
                <w:color w:val="auto"/>
              </w:rPr>
            </w:pPr>
            <w:r>
              <w:rPr>
                <w:rFonts w:ascii="Arial" w:cs="Arial" w:eastAsia="Arial" w:hAnsi="Arial"/>
                <w:sz w:val="13"/>
                <w:szCs w:val="13"/>
                <w:color w:val="auto"/>
              </w:rPr>
              <w:t>0</w:t>
            </w:r>
          </w:p>
        </w:tc>
        <w:tc>
          <w:tcPr>
            <w:tcW w:w="100" w:type="dxa"/>
            <w:vAlign w:val="bottom"/>
            <w:tcBorders>
              <w:right w:val="single" w:sz="8" w:color="auto"/>
            </w:tcBorders>
            <w:shd w:val="clear" w:color="auto" w:fill="D4DBEB"/>
          </w:tcPr>
          <w:p>
            <w:pPr>
              <w:spacing w:after="0"/>
              <w:rPr>
                <w:sz w:val="20"/>
                <w:szCs w:val="20"/>
                <w:color w:val="auto"/>
              </w:rPr>
            </w:pPr>
          </w:p>
        </w:tc>
        <w:tc>
          <w:tcPr>
            <w:tcW w:w="600" w:type="dxa"/>
            <w:vAlign w:val="bottom"/>
            <w:tcBorders>
              <w:right w:val="single" w:sz="8" w:color="auto"/>
            </w:tcBorders>
            <w:shd w:val="clear" w:color="auto" w:fill="D4DBEB"/>
          </w:tcPr>
          <w:p>
            <w:pPr>
              <w:jc w:val="center"/>
              <w:spacing w:after="0"/>
              <w:rPr>
                <w:sz w:val="20"/>
                <w:szCs w:val="20"/>
                <w:color w:val="auto"/>
              </w:rPr>
            </w:pPr>
            <w:r>
              <w:rPr>
                <w:rFonts w:ascii="Arial" w:cs="Arial" w:eastAsia="Arial" w:hAnsi="Arial"/>
                <w:sz w:val="13"/>
                <w:szCs w:val="13"/>
                <w:color w:val="auto"/>
                <w:w w:val="82"/>
              </w:rPr>
              <w:t>0</w:t>
            </w:r>
          </w:p>
        </w:tc>
        <w:tc>
          <w:tcPr>
            <w:tcW w:w="800" w:type="dxa"/>
            <w:vAlign w:val="bottom"/>
            <w:tcBorders>
              <w:right w:val="single" w:sz="8" w:color="auto"/>
            </w:tcBorders>
            <w:shd w:val="clear" w:color="auto" w:fill="D4DBEB"/>
          </w:tcPr>
          <w:p>
            <w:pPr>
              <w:jc w:val="right"/>
              <w:ind w:right="277"/>
              <w:spacing w:after="0"/>
              <w:rPr>
                <w:sz w:val="20"/>
                <w:szCs w:val="20"/>
                <w:color w:val="auto"/>
              </w:rPr>
            </w:pPr>
            <w:r>
              <w:rPr>
                <w:rFonts w:ascii="Arial" w:cs="Arial" w:eastAsia="Arial" w:hAnsi="Arial"/>
                <w:sz w:val="13"/>
                <w:szCs w:val="13"/>
                <w:color w:val="auto"/>
              </w:rPr>
              <w:t>0</w:t>
            </w:r>
          </w:p>
        </w:tc>
        <w:tc>
          <w:tcPr>
            <w:tcW w:w="720" w:type="dxa"/>
            <w:vAlign w:val="bottom"/>
            <w:shd w:val="clear" w:color="auto" w:fill="D4DBEB"/>
          </w:tcPr>
          <w:p>
            <w:pPr>
              <w:jc w:val="right"/>
              <w:ind w:right="177"/>
              <w:spacing w:after="0"/>
              <w:rPr>
                <w:sz w:val="20"/>
                <w:szCs w:val="20"/>
                <w:color w:val="auto"/>
              </w:rPr>
            </w:pPr>
            <w:r>
              <w:rPr>
                <w:rFonts w:ascii="Arial" w:cs="Arial" w:eastAsia="Arial" w:hAnsi="Arial"/>
                <w:sz w:val="13"/>
                <w:szCs w:val="13"/>
                <w:color w:val="auto"/>
              </w:rPr>
              <w:t>0</w:t>
            </w:r>
          </w:p>
        </w:tc>
        <w:tc>
          <w:tcPr>
            <w:tcW w:w="100" w:type="dxa"/>
            <w:vAlign w:val="bottom"/>
            <w:tcBorders>
              <w:right w:val="single" w:sz="8" w:color="auto"/>
            </w:tcBorders>
            <w:shd w:val="clear" w:color="auto" w:fill="D4DBEB"/>
          </w:tcPr>
          <w:p>
            <w:pPr>
              <w:spacing w:after="0"/>
              <w:rPr>
                <w:sz w:val="20"/>
                <w:szCs w:val="20"/>
                <w:color w:val="auto"/>
              </w:rPr>
            </w:pPr>
          </w:p>
        </w:tc>
        <w:tc>
          <w:tcPr>
            <w:tcW w:w="600" w:type="dxa"/>
            <w:vAlign w:val="bottom"/>
            <w:tcBorders>
              <w:right w:val="single" w:sz="8" w:color="auto"/>
            </w:tcBorders>
            <w:shd w:val="clear" w:color="auto" w:fill="D4DBEB"/>
          </w:tcPr>
          <w:p>
            <w:pPr>
              <w:jc w:val="center"/>
              <w:spacing w:after="0"/>
              <w:rPr>
                <w:sz w:val="20"/>
                <w:szCs w:val="20"/>
                <w:color w:val="auto"/>
              </w:rPr>
            </w:pPr>
            <w:r>
              <w:rPr>
                <w:rFonts w:ascii="Arial" w:cs="Arial" w:eastAsia="Arial" w:hAnsi="Arial"/>
                <w:sz w:val="13"/>
                <w:szCs w:val="13"/>
                <w:color w:val="auto"/>
                <w:w w:val="82"/>
              </w:rPr>
              <w:t>0</w:t>
            </w:r>
          </w:p>
        </w:tc>
        <w:tc>
          <w:tcPr>
            <w:tcW w:w="800" w:type="dxa"/>
            <w:vAlign w:val="bottom"/>
            <w:tcBorders>
              <w:right w:val="single" w:sz="8" w:color="auto"/>
            </w:tcBorders>
            <w:shd w:val="clear" w:color="auto" w:fill="D4DBEB"/>
          </w:tcPr>
          <w:p>
            <w:pPr>
              <w:jc w:val="right"/>
              <w:ind w:right="277"/>
              <w:spacing w:after="0"/>
              <w:rPr>
                <w:sz w:val="20"/>
                <w:szCs w:val="20"/>
                <w:color w:val="auto"/>
              </w:rPr>
            </w:pPr>
            <w:r>
              <w:rPr>
                <w:rFonts w:ascii="Arial" w:cs="Arial" w:eastAsia="Arial" w:hAnsi="Arial"/>
                <w:sz w:val="13"/>
                <w:szCs w:val="13"/>
                <w:color w:val="auto"/>
              </w:rPr>
              <w:t>0</w:t>
            </w:r>
          </w:p>
        </w:tc>
        <w:tc>
          <w:tcPr>
            <w:tcW w:w="640" w:type="dxa"/>
            <w:vAlign w:val="bottom"/>
            <w:tcBorders>
              <w:right w:val="single" w:sz="8" w:color="auto"/>
            </w:tcBorders>
            <w:shd w:val="clear" w:color="auto" w:fill="D4DBEB"/>
          </w:tcPr>
          <w:p>
            <w:pPr>
              <w:jc w:val="right"/>
              <w:spacing w:after="0"/>
              <w:rPr>
                <w:sz w:val="20"/>
                <w:szCs w:val="20"/>
                <w:color w:val="auto"/>
              </w:rPr>
            </w:pPr>
            <w:r>
              <w:rPr>
                <w:rFonts w:ascii="Arial" w:cs="Arial" w:eastAsia="Arial" w:hAnsi="Arial"/>
                <w:sz w:val="13"/>
                <w:szCs w:val="13"/>
                <w:color w:val="auto"/>
              </w:rPr>
              <w:t>99,200</w:t>
            </w:r>
          </w:p>
        </w:tc>
        <w:tc>
          <w:tcPr>
            <w:tcW w:w="760" w:type="dxa"/>
            <w:vAlign w:val="bottom"/>
            <w:tcBorders>
              <w:right w:val="single" w:sz="8" w:color="auto"/>
            </w:tcBorders>
            <w:shd w:val="clear" w:color="auto" w:fill="D4DBEB"/>
          </w:tcPr>
          <w:p>
            <w:pPr>
              <w:jc w:val="center"/>
              <w:spacing w:after="0"/>
              <w:rPr>
                <w:sz w:val="20"/>
                <w:szCs w:val="20"/>
                <w:color w:val="auto"/>
              </w:rPr>
            </w:pPr>
            <w:r>
              <w:rPr>
                <w:rFonts w:ascii="Arial" w:cs="Arial" w:eastAsia="Arial" w:hAnsi="Arial"/>
                <w:sz w:val="13"/>
                <w:szCs w:val="13"/>
                <w:color w:val="auto"/>
                <w:w w:val="82"/>
              </w:rPr>
              <w:t>0</w:t>
            </w:r>
          </w:p>
        </w:tc>
        <w:tc>
          <w:tcPr>
            <w:tcW w:w="660" w:type="dxa"/>
            <w:vAlign w:val="bottom"/>
            <w:tcBorders>
              <w:right w:val="single" w:sz="8" w:color="auto"/>
            </w:tcBorders>
            <w:shd w:val="clear" w:color="auto" w:fill="D4DBEB"/>
          </w:tcPr>
          <w:p>
            <w:pPr>
              <w:jc w:val="center"/>
              <w:spacing w:after="0"/>
              <w:rPr>
                <w:sz w:val="20"/>
                <w:szCs w:val="20"/>
                <w:color w:val="auto"/>
              </w:rPr>
            </w:pPr>
            <w:r>
              <w:rPr>
                <w:rFonts w:ascii="Arial" w:cs="Arial" w:eastAsia="Arial" w:hAnsi="Arial"/>
                <w:sz w:val="13"/>
                <w:szCs w:val="13"/>
                <w:color w:val="auto"/>
              </w:rPr>
              <w:t>0</w:t>
            </w:r>
          </w:p>
        </w:tc>
        <w:tc>
          <w:tcPr>
            <w:tcW w:w="820" w:type="dxa"/>
            <w:vAlign w:val="bottom"/>
            <w:tcBorders>
              <w:right w:val="single" w:sz="8" w:color="auto"/>
            </w:tcBorders>
            <w:shd w:val="clear" w:color="auto" w:fill="D4DBEB"/>
          </w:tcPr>
          <w:p>
            <w:pPr>
              <w:jc w:val="right"/>
              <w:spacing w:after="0"/>
              <w:rPr>
                <w:sz w:val="20"/>
                <w:szCs w:val="20"/>
                <w:color w:val="auto"/>
              </w:rPr>
            </w:pPr>
            <w:r>
              <w:rPr>
                <w:rFonts w:ascii="Arial" w:cs="Arial" w:eastAsia="Arial" w:hAnsi="Arial"/>
                <w:sz w:val="13"/>
                <w:szCs w:val="13"/>
                <w:color w:val="auto"/>
              </w:rPr>
              <w:t>8,123,736</w:t>
            </w:r>
          </w:p>
        </w:tc>
        <w:tc>
          <w:tcPr>
            <w:tcW w:w="0" w:type="dxa"/>
            <w:vAlign w:val="bottom"/>
          </w:tcPr>
          <w:p>
            <w:pPr>
              <w:spacing w:after="0"/>
              <w:rPr>
                <w:sz w:val="1"/>
                <w:szCs w:val="1"/>
                <w:color w:val="auto"/>
              </w:rPr>
            </w:pPr>
          </w:p>
        </w:tc>
      </w:tr>
      <w:tr>
        <w:trPr>
          <w:trHeight w:val="223"/>
        </w:trPr>
        <w:tc>
          <w:tcPr>
            <w:tcW w:w="1420" w:type="dxa"/>
            <w:vAlign w:val="bottom"/>
            <w:tcBorders>
              <w:left w:val="single" w:sz="8" w:color="auto"/>
              <w:right w:val="single" w:sz="8" w:color="auto"/>
            </w:tcBorders>
          </w:tcPr>
          <w:p>
            <w:pPr>
              <w:ind w:left="160"/>
              <w:spacing w:after="0"/>
              <w:rPr>
                <w:sz w:val="20"/>
                <w:szCs w:val="20"/>
                <w:color w:val="auto"/>
              </w:rPr>
            </w:pPr>
            <w:r>
              <w:rPr>
                <w:rFonts w:ascii="Arial" w:cs="Arial" w:eastAsia="Arial" w:hAnsi="Arial"/>
                <w:sz w:val="13"/>
                <w:szCs w:val="13"/>
                <w:color w:val="auto"/>
              </w:rPr>
              <w:t>M.J. Dolan</w:t>
            </w:r>
          </w:p>
        </w:tc>
        <w:tc>
          <w:tcPr>
            <w:tcW w:w="1000" w:type="dxa"/>
            <w:vAlign w:val="bottom"/>
            <w:tcBorders>
              <w:right w:val="single" w:sz="8" w:color="auto"/>
            </w:tcBorders>
          </w:tcPr>
          <w:p>
            <w:pPr>
              <w:jc w:val="right"/>
              <w:ind w:right="117"/>
              <w:spacing w:after="0"/>
              <w:rPr>
                <w:sz w:val="20"/>
                <w:szCs w:val="20"/>
                <w:color w:val="auto"/>
              </w:rPr>
            </w:pPr>
            <w:r>
              <w:rPr>
                <w:rFonts w:ascii="Arial" w:cs="Arial" w:eastAsia="Arial" w:hAnsi="Arial"/>
                <w:sz w:val="13"/>
                <w:szCs w:val="13"/>
                <w:color w:val="auto"/>
              </w:rPr>
              <w:t>11/29/2017</w:t>
            </w:r>
          </w:p>
        </w:tc>
        <w:tc>
          <w:tcPr>
            <w:tcW w:w="720" w:type="dxa"/>
            <w:vAlign w:val="bottom"/>
          </w:tcPr>
          <w:p>
            <w:pPr>
              <w:jc w:val="right"/>
              <w:ind w:right="177"/>
              <w:spacing w:after="0"/>
              <w:rPr>
                <w:sz w:val="20"/>
                <w:szCs w:val="20"/>
                <w:color w:val="auto"/>
              </w:rPr>
            </w:pPr>
            <w:r>
              <w:rPr>
                <w:rFonts w:ascii="Arial" w:cs="Arial" w:eastAsia="Arial" w:hAnsi="Arial"/>
                <w:sz w:val="13"/>
                <w:szCs w:val="13"/>
                <w:color w:val="auto"/>
              </w:rPr>
              <w:t>0</w:t>
            </w:r>
          </w:p>
        </w:tc>
        <w:tc>
          <w:tcPr>
            <w:tcW w:w="100" w:type="dxa"/>
            <w:vAlign w:val="bottom"/>
            <w:tcBorders>
              <w:right w:val="single" w:sz="8" w:color="auto"/>
            </w:tcBorders>
          </w:tcPr>
          <w:p>
            <w:pPr>
              <w:spacing w:after="0"/>
              <w:rPr>
                <w:sz w:val="19"/>
                <w:szCs w:val="19"/>
                <w:color w:val="auto"/>
              </w:rPr>
            </w:pPr>
          </w:p>
        </w:tc>
        <w:tc>
          <w:tcPr>
            <w:tcW w:w="600" w:type="dxa"/>
            <w:vAlign w:val="bottom"/>
            <w:tcBorders>
              <w:right w:val="single" w:sz="8" w:color="auto"/>
            </w:tcBorders>
          </w:tcPr>
          <w:p>
            <w:pPr>
              <w:jc w:val="center"/>
              <w:spacing w:after="0"/>
              <w:rPr>
                <w:sz w:val="20"/>
                <w:szCs w:val="20"/>
                <w:color w:val="auto"/>
              </w:rPr>
            </w:pPr>
            <w:r>
              <w:rPr>
                <w:rFonts w:ascii="Arial" w:cs="Arial" w:eastAsia="Arial" w:hAnsi="Arial"/>
                <w:sz w:val="13"/>
                <w:szCs w:val="13"/>
                <w:color w:val="auto"/>
                <w:w w:val="82"/>
              </w:rPr>
              <w:t>0</w:t>
            </w:r>
          </w:p>
        </w:tc>
        <w:tc>
          <w:tcPr>
            <w:tcW w:w="800" w:type="dxa"/>
            <w:vAlign w:val="bottom"/>
            <w:tcBorders>
              <w:right w:val="single" w:sz="8" w:color="auto"/>
            </w:tcBorders>
          </w:tcPr>
          <w:p>
            <w:pPr>
              <w:jc w:val="right"/>
              <w:ind w:right="277"/>
              <w:spacing w:after="0"/>
              <w:rPr>
                <w:sz w:val="20"/>
                <w:szCs w:val="20"/>
                <w:color w:val="auto"/>
              </w:rPr>
            </w:pPr>
            <w:r>
              <w:rPr>
                <w:rFonts w:ascii="Arial" w:cs="Arial" w:eastAsia="Arial" w:hAnsi="Arial"/>
                <w:sz w:val="13"/>
                <w:szCs w:val="13"/>
                <w:color w:val="auto"/>
              </w:rPr>
              <w:t>0</w:t>
            </w:r>
          </w:p>
        </w:tc>
        <w:tc>
          <w:tcPr>
            <w:tcW w:w="720" w:type="dxa"/>
            <w:vAlign w:val="bottom"/>
          </w:tcPr>
          <w:p>
            <w:pPr>
              <w:jc w:val="right"/>
              <w:ind w:right="177"/>
              <w:spacing w:after="0"/>
              <w:rPr>
                <w:sz w:val="20"/>
                <w:szCs w:val="20"/>
                <w:color w:val="auto"/>
              </w:rPr>
            </w:pPr>
            <w:r>
              <w:rPr>
                <w:rFonts w:ascii="Arial" w:cs="Arial" w:eastAsia="Arial" w:hAnsi="Arial"/>
                <w:sz w:val="13"/>
                <w:szCs w:val="13"/>
                <w:color w:val="auto"/>
              </w:rPr>
              <w:t>0</w:t>
            </w:r>
          </w:p>
        </w:tc>
        <w:tc>
          <w:tcPr>
            <w:tcW w:w="100" w:type="dxa"/>
            <w:vAlign w:val="bottom"/>
            <w:tcBorders>
              <w:right w:val="single" w:sz="8" w:color="auto"/>
            </w:tcBorders>
          </w:tcPr>
          <w:p>
            <w:pPr>
              <w:spacing w:after="0"/>
              <w:rPr>
                <w:sz w:val="19"/>
                <w:szCs w:val="19"/>
                <w:color w:val="auto"/>
              </w:rPr>
            </w:pPr>
          </w:p>
        </w:tc>
        <w:tc>
          <w:tcPr>
            <w:tcW w:w="600" w:type="dxa"/>
            <w:vAlign w:val="bottom"/>
            <w:tcBorders>
              <w:right w:val="single" w:sz="8" w:color="auto"/>
            </w:tcBorders>
          </w:tcPr>
          <w:p>
            <w:pPr>
              <w:jc w:val="center"/>
              <w:spacing w:after="0"/>
              <w:rPr>
                <w:sz w:val="20"/>
                <w:szCs w:val="20"/>
                <w:color w:val="auto"/>
              </w:rPr>
            </w:pPr>
            <w:r>
              <w:rPr>
                <w:rFonts w:ascii="Arial" w:cs="Arial" w:eastAsia="Arial" w:hAnsi="Arial"/>
                <w:sz w:val="13"/>
                <w:szCs w:val="13"/>
                <w:color w:val="auto"/>
                <w:w w:val="82"/>
              </w:rPr>
              <w:t>0</w:t>
            </w:r>
          </w:p>
        </w:tc>
        <w:tc>
          <w:tcPr>
            <w:tcW w:w="800" w:type="dxa"/>
            <w:vAlign w:val="bottom"/>
            <w:tcBorders>
              <w:right w:val="single" w:sz="8" w:color="auto"/>
            </w:tcBorders>
          </w:tcPr>
          <w:p>
            <w:pPr>
              <w:jc w:val="right"/>
              <w:ind w:right="277"/>
              <w:spacing w:after="0"/>
              <w:rPr>
                <w:sz w:val="20"/>
                <w:szCs w:val="20"/>
                <w:color w:val="auto"/>
              </w:rPr>
            </w:pPr>
            <w:r>
              <w:rPr>
                <w:rFonts w:ascii="Arial" w:cs="Arial" w:eastAsia="Arial" w:hAnsi="Arial"/>
                <w:sz w:val="13"/>
                <w:szCs w:val="13"/>
                <w:color w:val="auto"/>
              </w:rPr>
              <w:t>0</w:t>
            </w:r>
          </w:p>
        </w:tc>
        <w:tc>
          <w:tcPr>
            <w:tcW w:w="640" w:type="dxa"/>
            <w:vAlign w:val="bottom"/>
            <w:tcBorders>
              <w:right w:val="single" w:sz="8" w:color="auto"/>
            </w:tcBorders>
          </w:tcPr>
          <w:p>
            <w:pPr>
              <w:jc w:val="right"/>
              <w:spacing w:after="0"/>
              <w:rPr>
                <w:sz w:val="20"/>
                <w:szCs w:val="20"/>
                <w:color w:val="auto"/>
              </w:rPr>
            </w:pPr>
            <w:r>
              <w:rPr>
                <w:rFonts w:ascii="Arial" w:cs="Arial" w:eastAsia="Arial" w:hAnsi="Arial"/>
                <w:sz w:val="13"/>
                <w:szCs w:val="13"/>
                <w:color w:val="auto"/>
              </w:rPr>
              <w:t>99,200</w:t>
            </w:r>
          </w:p>
        </w:tc>
        <w:tc>
          <w:tcPr>
            <w:tcW w:w="760" w:type="dxa"/>
            <w:vAlign w:val="bottom"/>
            <w:tcBorders>
              <w:right w:val="single" w:sz="8" w:color="auto"/>
            </w:tcBorders>
          </w:tcPr>
          <w:p>
            <w:pPr>
              <w:jc w:val="center"/>
              <w:spacing w:after="0"/>
              <w:rPr>
                <w:sz w:val="20"/>
                <w:szCs w:val="20"/>
                <w:color w:val="auto"/>
              </w:rPr>
            </w:pPr>
            <w:r>
              <w:rPr>
                <w:rFonts w:ascii="Arial" w:cs="Arial" w:eastAsia="Arial" w:hAnsi="Arial"/>
                <w:sz w:val="13"/>
                <w:szCs w:val="13"/>
                <w:color w:val="auto"/>
                <w:w w:val="82"/>
              </w:rPr>
              <w:t>0</w:t>
            </w:r>
          </w:p>
        </w:tc>
        <w:tc>
          <w:tcPr>
            <w:tcW w:w="660" w:type="dxa"/>
            <w:vAlign w:val="bottom"/>
            <w:tcBorders>
              <w:right w:val="single" w:sz="8" w:color="auto"/>
            </w:tcBorders>
          </w:tcPr>
          <w:p>
            <w:pPr>
              <w:jc w:val="center"/>
              <w:spacing w:after="0"/>
              <w:rPr>
                <w:sz w:val="20"/>
                <w:szCs w:val="20"/>
                <w:color w:val="auto"/>
              </w:rPr>
            </w:pPr>
            <w:r>
              <w:rPr>
                <w:rFonts w:ascii="Arial" w:cs="Arial" w:eastAsia="Arial" w:hAnsi="Arial"/>
                <w:sz w:val="13"/>
                <w:szCs w:val="13"/>
                <w:color w:val="auto"/>
              </w:rPr>
              <w:t>0</w:t>
            </w:r>
          </w:p>
        </w:tc>
        <w:tc>
          <w:tcPr>
            <w:tcW w:w="820" w:type="dxa"/>
            <w:vAlign w:val="bottom"/>
            <w:tcBorders>
              <w:right w:val="single" w:sz="8" w:color="auto"/>
            </w:tcBorders>
          </w:tcPr>
          <w:p>
            <w:pPr>
              <w:jc w:val="right"/>
              <w:spacing w:after="0"/>
              <w:rPr>
                <w:sz w:val="20"/>
                <w:szCs w:val="20"/>
                <w:color w:val="auto"/>
              </w:rPr>
            </w:pPr>
            <w:r>
              <w:rPr>
                <w:rFonts w:ascii="Arial" w:cs="Arial" w:eastAsia="Arial" w:hAnsi="Arial"/>
                <w:sz w:val="13"/>
                <w:szCs w:val="13"/>
                <w:color w:val="auto"/>
              </w:rPr>
              <w:t>8,123,736</w:t>
            </w:r>
          </w:p>
        </w:tc>
        <w:tc>
          <w:tcPr>
            <w:tcW w:w="0" w:type="dxa"/>
            <w:vAlign w:val="bottom"/>
          </w:tcPr>
          <w:p>
            <w:pPr>
              <w:spacing w:after="0"/>
              <w:rPr>
                <w:sz w:val="1"/>
                <w:szCs w:val="1"/>
                <w:color w:val="auto"/>
              </w:rPr>
            </w:pPr>
          </w:p>
        </w:tc>
      </w:tr>
      <w:tr>
        <w:trPr>
          <w:trHeight w:val="230"/>
        </w:trPr>
        <w:tc>
          <w:tcPr>
            <w:tcW w:w="1420" w:type="dxa"/>
            <w:vAlign w:val="bottom"/>
            <w:tcBorders>
              <w:left w:val="single" w:sz="8" w:color="auto"/>
              <w:bottom w:val="single" w:sz="8" w:color="auto"/>
              <w:right w:val="single" w:sz="8" w:color="auto"/>
            </w:tcBorders>
            <w:shd w:val="clear" w:color="auto" w:fill="D4DBEB"/>
          </w:tcPr>
          <w:p>
            <w:pPr>
              <w:ind w:left="160"/>
              <w:spacing w:after="0"/>
              <w:rPr>
                <w:sz w:val="20"/>
                <w:szCs w:val="20"/>
                <w:color w:val="auto"/>
              </w:rPr>
            </w:pPr>
            <w:r>
              <w:rPr>
                <w:rFonts w:ascii="Arial" w:cs="Arial" w:eastAsia="Arial" w:hAnsi="Arial"/>
                <w:sz w:val="13"/>
                <w:szCs w:val="13"/>
                <w:color w:val="auto"/>
              </w:rPr>
              <w:t>N.W. Duffin</w:t>
            </w:r>
          </w:p>
        </w:tc>
        <w:tc>
          <w:tcPr>
            <w:tcW w:w="1000" w:type="dxa"/>
            <w:vAlign w:val="bottom"/>
            <w:tcBorders>
              <w:bottom w:val="single" w:sz="8" w:color="auto"/>
              <w:right w:val="single" w:sz="8" w:color="auto"/>
            </w:tcBorders>
            <w:shd w:val="clear" w:color="auto" w:fill="D4DBEB"/>
          </w:tcPr>
          <w:p>
            <w:pPr>
              <w:jc w:val="right"/>
              <w:ind w:right="117"/>
              <w:spacing w:after="0"/>
              <w:rPr>
                <w:sz w:val="20"/>
                <w:szCs w:val="20"/>
                <w:color w:val="auto"/>
              </w:rPr>
            </w:pPr>
            <w:r>
              <w:rPr>
                <w:rFonts w:ascii="Arial" w:cs="Arial" w:eastAsia="Arial" w:hAnsi="Arial"/>
                <w:sz w:val="13"/>
                <w:szCs w:val="13"/>
                <w:color w:val="auto"/>
              </w:rPr>
              <w:t>11/29/2017</w:t>
            </w:r>
          </w:p>
        </w:tc>
        <w:tc>
          <w:tcPr>
            <w:tcW w:w="720" w:type="dxa"/>
            <w:vAlign w:val="bottom"/>
            <w:tcBorders>
              <w:bottom w:val="single" w:sz="8" w:color="auto"/>
            </w:tcBorders>
            <w:shd w:val="clear" w:color="auto" w:fill="D4DBEB"/>
          </w:tcPr>
          <w:p>
            <w:pPr>
              <w:jc w:val="right"/>
              <w:ind w:right="177"/>
              <w:spacing w:after="0"/>
              <w:rPr>
                <w:sz w:val="20"/>
                <w:szCs w:val="20"/>
                <w:color w:val="auto"/>
              </w:rPr>
            </w:pPr>
            <w:r>
              <w:rPr>
                <w:rFonts w:ascii="Arial" w:cs="Arial" w:eastAsia="Arial" w:hAnsi="Arial"/>
                <w:sz w:val="13"/>
                <w:szCs w:val="13"/>
                <w:color w:val="auto"/>
              </w:rPr>
              <w:t>0</w:t>
            </w:r>
          </w:p>
        </w:tc>
        <w:tc>
          <w:tcPr>
            <w:tcW w:w="100" w:type="dxa"/>
            <w:vAlign w:val="bottom"/>
            <w:tcBorders>
              <w:bottom w:val="single" w:sz="8" w:color="auto"/>
              <w:right w:val="single" w:sz="8" w:color="auto"/>
            </w:tcBorders>
            <w:shd w:val="clear" w:color="auto" w:fill="D4DBEB"/>
          </w:tcPr>
          <w:p>
            <w:pPr>
              <w:spacing w:after="0"/>
              <w:rPr>
                <w:sz w:val="20"/>
                <w:szCs w:val="20"/>
                <w:color w:val="auto"/>
              </w:rPr>
            </w:pPr>
          </w:p>
        </w:tc>
        <w:tc>
          <w:tcPr>
            <w:tcW w:w="600" w:type="dxa"/>
            <w:vAlign w:val="bottom"/>
            <w:tcBorders>
              <w:bottom w:val="single" w:sz="8" w:color="auto"/>
              <w:right w:val="single" w:sz="8" w:color="auto"/>
            </w:tcBorders>
            <w:shd w:val="clear" w:color="auto" w:fill="D4DBEB"/>
          </w:tcPr>
          <w:p>
            <w:pPr>
              <w:jc w:val="center"/>
              <w:spacing w:after="0"/>
              <w:rPr>
                <w:sz w:val="20"/>
                <w:szCs w:val="20"/>
                <w:color w:val="auto"/>
              </w:rPr>
            </w:pPr>
            <w:r>
              <w:rPr>
                <w:rFonts w:ascii="Arial" w:cs="Arial" w:eastAsia="Arial" w:hAnsi="Arial"/>
                <w:sz w:val="13"/>
                <w:szCs w:val="13"/>
                <w:color w:val="auto"/>
                <w:w w:val="82"/>
              </w:rPr>
              <w:t>0</w:t>
            </w:r>
          </w:p>
        </w:tc>
        <w:tc>
          <w:tcPr>
            <w:tcW w:w="800" w:type="dxa"/>
            <w:vAlign w:val="bottom"/>
            <w:tcBorders>
              <w:bottom w:val="single" w:sz="8" w:color="auto"/>
              <w:right w:val="single" w:sz="8" w:color="auto"/>
            </w:tcBorders>
            <w:shd w:val="clear" w:color="auto" w:fill="D4DBEB"/>
          </w:tcPr>
          <w:p>
            <w:pPr>
              <w:jc w:val="right"/>
              <w:ind w:right="277"/>
              <w:spacing w:after="0"/>
              <w:rPr>
                <w:sz w:val="20"/>
                <w:szCs w:val="20"/>
                <w:color w:val="auto"/>
              </w:rPr>
            </w:pPr>
            <w:r>
              <w:rPr>
                <w:rFonts w:ascii="Arial" w:cs="Arial" w:eastAsia="Arial" w:hAnsi="Arial"/>
                <w:sz w:val="13"/>
                <w:szCs w:val="13"/>
                <w:color w:val="auto"/>
              </w:rPr>
              <w:t>0</w:t>
            </w:r>
          </w:p>
        </w:tc>
        <w:tc>
          <w:tcPr>
            <w:tcW w:w="720" w:type="dxa"/>
            <w:vAlign w:val="bottom"/>
            <w:tcBorders>
              <w:bottom w:val="single" w:sz="8" w:color="auto"/>
            </w:tcBorders>
            <w:shd w:val="clear" w:color="auto" w:fill="D4DBEB"/>
          </w:tcPr>
          <w:p>
            <w:pPr>
              <w:jc w:val="right"/>
              <w:ind w:right="177"/>
              <w:spacing w:after="0"/>
              <w:rPr>
                <w:sz w:val="20"/>
                <w:szCs w:val="20"/>
                <w:color w:val="auto"/>
              </w:rPr>
            </w:pPr>
            <w:r>
              <w:rPr>
                <w:rFonts w:ascii="Arial" w:cs="Arial" w:eastAsia="Arial" w:hAnsi="Arial"/>
                <w:sz w:val="13"/>
                <w:szCs w:val="13"/>
                <w:color w:val="auto"/>
              </w:rPr>
              <w:t>0</w:t>
            </w:r>
          </w:p>
        </w:tc>
        <w:tc>
          <w:tcPr>
            <w:tcW w:w="100" w:type="dxa"/>
            <w:vAlign w:val="bottom"/>
            <w:tcBorders>
              <w:bottom w:val="single" w:sz="8" w:color="auto"/>
              <w:right w:val="single" w:sz="8" w:color="auto"/>
            </w:tcBorders>
            <w:shd w:val="clear" w:color="auto" w:fill="D4DBEB"/>
          </w:tcPr>
          <w:p>
            <w:pPr>
              <w:spacing w:after="0"/>
              <w:rPr>
                <w:sz w:val="20"/>
                <w:szCs w:val="20"/>
                <w:color w:val="auto"/>
              </w:rPr>
            </w:pPr>
          </w:p>
        </w:tc>
        <w:tc>
          <w:tcPr>
            <w:tcW w:w="600" w:type="dxa"/>
            <w:vAlign w:val="bottom"/>
            <w:tcBorders>
              <w:bottom w:val="single" w:sz="8" w:color="auto"/>
              <w:right w:val="single" w:sz="8" w:color="auto"/>
            </w:tcBorders>
            <w:shd w:val="clear" w:color="auto" w:fill="D4DBEB"/>
          </w:tcPr>
          <w:p>
            <w:pPr>
              <w:jc w:val="center"/>
              <w:spacing w:after="0"/>
              <w:rPr>
                <w:sz w:val="20"/>
                <w:szCs w:val="20"/>
                <w:color w:val="auto"/>
              </w:rPr>
            </w:pPr>
            <w:r>
              <w:rPr>
                <w:rFonts w:ascii="Arial" w:cs="Arial" w:eastAsia="Arial" w:hAnsi="Arial"/>
                <w:sz w:val="13"/>
                <w:szCs w:val="13"/>
                <w:color w:val="auto"/>
                <w:w w:val="82"/>
              </w:rPr>
              <w:t>0</w:t>
            </w:r>
          </w:p>
        </w:tc>
        <w:tc>
          <w:tcPr>
            <w:tcW w:w="800" w:type="dxa"/>
            <w:vAlign w:val="bottom"/>
            <w:tcBorders>
              <w:bottom w:val="single" w:sz="8" w:color="auto"/>
              <w:right w:val="single" w:sz="8" w:color="auto"/>
            </w:tcBorders>
            <w:shd w:val="clear" w:color="auto" w:fill="D4DBEB"/>
          </w:tcPr>
          <w:p>
            <w:pPr>
              <w:jc w:val="right"/>
              <w:ind w:right="277"/>
              <w:spacing w:after="0"/>
              <w:rPr>
                <w:sz w:val="20"/>
                <w:szCs w:val="20"/>
                <w:color w:val="auto"/>
              </w:rPr>
            </w:pPr>
            <w:r>
              <w:rPr>
                <w:rFonts w:ascii="Arial" w:cs="Arial" w:eastAsia="Arial" w:hAnsi="Arial"/>
                <w:sz w:val="13"/>
                <w:szCs w:val="13"/>
                <w:color w:val="auto"/>
              </w:rPr>
              <w:t>0</w:t>
            </w:r>
          </w:p>
        </w:tc>
        <w:tc>
          <w:tcPr>
            <w:tcW w:w="640" w:type="dxa"/>
            <w:vAlign w:val="bottom"/>
            <w:tcBorders>
              <w:bottom w:val="single" w:sz="8" w:color="auto"/>
              <w:right w:val="single" w:sz="8" w:color="auto"/>
            </w:tcBorders>
            <w:shd w:val="clear" w:color="auto" w:fill="D4DBEB"/>
          </w:tcPr>
          <w:p>
            <w:pPr>
              <w:jc w:val="right"/>
              <w:spacing w:after="0"/>
              <w:rPr>
                <w:sz w:val="20"/>
                <w:szCs w:val="20"/>
                <w:color w:val="auto"/>
              </w:rPr>
            </w:pPr>
            <w:r>
              <w:rPr>
                <w:rFonts w:ascii="Arial" w:cs="Arial" w:eastAsia="Arial" w:hAnsi="Arial"/>
                <w:sz w:val="13"/>
                <w:szCs w:val="13"/>
                <w:color w:val="auto"/>
              </w:rPr>
              <w:t>69,300</w:t>
            </w:r>
          </w:p>
        </w:tc>
        <w:tc>
          <w:tcPr>
            <w:tcW w:w="760" w:type="dxa"/>
            <w:vAlign w:val="bottom"/>
            <w:tcBorders>
              <w:bottom w:val="single" w:sz="8" w:color="auto"/>
              <w:right w:val="single" w:sz="8" w:color="auto"/>
            </w:tcBorders>
            <w:shd w:val="clear" w:color="auto" w:fill="D4DBEB"/>
          </w:tcPr>
          <w:p>
            <w:pPr>
              <w:jc w:val="center"/>
              <w:spacing w:after="0"/>
              <w:rPr>
                <w:sz w:val="20"/>
                <w:szCs w:val="20"/>
                <w:color w:val="auto"/>
              </w:rPr>
            </w:pPr>
            <w:r>
              <w:rPr>
                <w:rFonts w:ascii="Arial" w:cs="Arial" w:eastAsia="Arial" w:hAnsi="Arial"/>
                <w:sz w:val="13"/>
                <w:szCs w:val="13"/>
                <w:color w:val="auto"/>
                <w:w w:val="82"/>
              </w:rPr>
              <w:t>0</w:t>
            </w:r>
          </w:p>
        </w:tc>
        <w:tc>
          <w:tcPr>
            <w:tcW w:w="660" w:type="dxa"/>
            <w:vAlign w:val="bottom"/>
            <w:tcBorders>
              <w:bottom w:val="single" w:sz="8" w:color="auto"/>
              <w:right w:val="single" w:sz="8" w:color="auto"/>
            </w:tcBorders>
            <w:shd w:val="clear" w:color="auto" w:fill="D4DBEB"/>
          </w:tcPr>
          <w:p>
            <w:pPr>
              <w:jc w:val="center"/>
              <w:spacing w:after="0"/>
              <w:rPr>
                <w:sz w:val="20"/>
                <w:szCs w:val="20"/>
                <w:color w:val="auto"/>
              </w:rPr>
            </w:pPr>
            <w:r>
              <w:rPr>
                <w:rFonts w:ascii="Arial" w:cs="Arial" w:eastAsia="Arial" w:hAnsi="Arial"/>
                <w:sz w:val="13"/>
                <w:szCs w:val="13"/>
                <w:color w:val="auto"/>
              </w:rPr>
              <w:t>0</w:t>
            </w:r>
          </w:p>
        </w:tc>
        <w:tc>
          <w:tcPr>
            <w:tcW w:w="820" w:type="dxa"/>
            <w:vAlign w:val="bottom"/>
            <w:tcBorders>
              <w:bottom w:val="single" w:sz="8" w:color="auto"/>
              <w:right w:val="single" w:sz="8" w:color="auto"/>
            </w:tcBorders>
            <w:shd w:val="clear" w:color="auto" w:fill="D4DBEB"/>
          </w:tcPr>
          <w:p>
            <w:pPr>
              <w:jc w:val="right"/>
              <w:spacing w:after="0"/>
              <w:rPr>
                <w:sz w:val="20"/>
                <w:szCs w:val="20"/>
                <w:color w:val="auto"/>
              </w:rPr>
            </w:pPr>
            <w:r>
              <w:rPr>
                <w:rFonts w:ascii="Arial" w:cs="Arial" w:eastAsia="Arial" w:hAnsi="Arial"/>
                <w:sz w:val="13"/>
                <w:szCs w:val="13"/>
                <w:color w:val="auto"/>
              </w:rPr>
              <w:t>5,675,150</w:t>
            </w:r>
          </w:p>
        </w:tc>
        <w:tc>
          <w:tcPr>
            <w:tcW w:w="0" w:type="dxa"/>
            <w:vAlign w:val="bottom"/>
          </w:tcPr>
          <w:p>
            <w:pPr>
              <w:spacing w:after="0"/>
              <w:rPr>
                <w:sz w:val="1"/>
                <w:szCs w:val="1"/>
                <w:color w:val="auto"/>
              </w:rPr>
            </w:pPr>
          </w:p>
        </w:tc>
      </w:tr>
    </w:tbl>
    <w:p>
      <w:pPr>
        <w:spacing w:after="0" w:line="193" w:lineRule="exact"/>
        <w:rPr>
          <w:sz w:val="20"/>
          <w:szCs w:val="20"/>
          <w:color w:val="auto"/>
        </w:rPr>
      </w:pPr>
    </w:p>
    <w:p>
      <w:pPr>
        <w:ind w:left="860" w:right="180"/>
        <w:spacing w:after="0" w:line="245" w:lineRule="auto"/>
        <w:rPr>
          <w:sz w:val="20"/>
          <w:szCs w:val="20"/>
          <w:color w:val="auto"/>
        </w:rPr>
      </w:pPr>
      <w:r>
        <w:rPr>
          <w:rFonts w:ascii="Arial" w:cs="Arial" w:eastAsia="Arial" w:hAnsi="Arial"/>
          <w:sz w:val="18"/>
          <w:szCs w:val="18"/>
          <w:color w:val="auto"/>
        </w:rPr>
        <w:t>In 2017, performance share grants were made in the form of stock units. Each stock unit represents one share of ExxonMobil common stock. Performance shares granted to the Named Executive Officers may be settled only in stock. During the restricted period, the executive receives a cash payment on each performance share corresponding to the cash dividends paid on an outstanding share of ExxonMobil stock. Unlike common stock, performance shares granted in stock units do not carry voting rights prior to settlement.</w:t>
      </w:r>
    </w:p>
    <w:p>
      <w:pPr>
        <w:spacing w:after="0" w:line="172" w:lineRule="exact"/>
        <w:rPr>
          <w:sz w:val="20"/>
          <w:szCs w:val="20"/>
          <w:color w:val="auto"/>
        </w:rPr>
      </w:pPr>
    </w:p>
    <w:p>
      <w:pPr>
        <w:ind w:left="860"/>
        <w:spacing w:after="0"/>
        <w:rPr>
          <w:sz w:val="20"/>
          <w:szCs w:val="20"/>
          <w:color w:val="auto"/>
        </w:rPr>
      </w:pPr>
      <w:r>
        <w:rPr>
          <w:rFonts w:ascii="Arial" w:cs="Arial" w:eastAsia="Arial" w:hAnsi="Arial"/>
          <w:sz w:val="18"/>
          <w:szCs w:val="18"/>
          <w:u w:val="single" w:color="auto"/>
          <w:color w:val="auto"/>
        </w:rPr>
        <w:t>Restrictions and Forfeiture Risk</w:t>
      </w:r>
    </w:p>
    <w:p>
      <w:pPr>
        <w:spacing w:after="0" w:line="117" w:lineRule="exact"/>
        <w:rPr>
          <w:sz w:val="20"/>
          <w:szCs w:val="20"/>
          <w:color w:val="auto"/>
        </w:rPr>
      </w:pPr>
    </w:p>
    <w:p>
      <w:pPr>
        <w:ind w:left="1240" w:hanging="388"/>
        <w:spacing w:after="0"/>
        <w:tabs>
          <w:tab w:leader="none" w:pos="1240" w:val="left"/>
        </w:tabs>
        <w:numPr>
          <w:ilvl w:val="0"/>
          <w:numId w:val="77"/>
        </w:numPr>
        <w:rPr>
          <w:rFonts w:ascii="Times New Roman" w:cs="Times New Roman" w:eastAsia="Times New Roman" w:hAnsi="Times New Roman"/>
          <w:sz w:val="18"/>
          <w:szCs w:val="18"/>
          <w:color w:val="auto"/>
        </w:rPr>
      </w:pPr>
      <w:r>
        <w:rPr>
          <w:rFonts w:ascii="Arial" w:cs="Arial" w:eastAsia="Arial" w:hAnsi="Arial"/>
          <w:sz w:val="18"/>
          <w:szCs w:val="18"/>
          <w:color w:val="auto"/>
        </w:rPr>
        <w:t>For details regarding ExxonMobil’s restrictions and forfeiture provisions, see pages 39 and 43.</w:t>
      </w:r>
    </w:p>
    <w:p>
      <w:pPr>
        <w:spacing w:after="0" w:line="224" w:lineRule="exact"/>
        <w:rPr>
          <w:sz w:val="20"/>
          <w:szCs w:val="20"/>
          <w:color w:val="auto"/>
        </w:rPr>
      </w:pPr>
    </w:p>
    <w:p>
      <w:pPr>
        <w:ind w:left="860"/>
        <w:spacing w:after="0"/>
        <w:rPr>
          <w:sz w:val="20"/>
          <w:szCs w:val="20"/>
          <w:color w:val="auto"/>
        </w:rPr>
      </w:pPr>
      <w:r>
        <w:rPr>
          <w:rFonts w:ascii="Arial" w:cs="Arial" w:eastAsia="Arial" w:hAnsi="Arial"/>
          <w:sz w:val="18"/>
          <w:szCs w:val="18"/>
          <w:u w:val="single" w:color="auto"/>
          <w:color w:val="auto"/>
        </w:rPr>
        <w:t>Grant Date</w:t>
      </w:r>
    </w:p>
    <w:p>
      <w:pPr>
        <w:spacing w:after="0" w:line="117" w:lineRule="exact"/>
        <w:rPr>
          <w:sz w:val="20"/>
          <w:szCs w:val="20"/>
          <w:color w:val="auto"/>
        </w:rPr>
      </w:pPr>
    </w:p>
    <w:p>
      <w:pPr>
        <w:ind w:left="1240" w:right="520" w:hanging="388"/>
        <w:spacing w:after="0" w:line="275" w:lineRule="auto"/>
        <w:tabs>
          <w:tab w:leader="none" w:pos="1240" w:val="left"/>
        </w:tabs>
        <w:numPr>
          <w:ilvl w:val="0"/>
          <w:numId w:val="78"/>
        </w:numPr>
        <w:rPr>
          <w:rFonts w:ascii="Times New Roman" w:cs="Times New Roman" w:eastAsia="Times New Roman" w:hAnsi="Times New Roman"/>
          <w:sz w:val="18"/>
          <w:szCs w:val="18"/>
          <w:color w:val="auto"/>
        </w:rPr>
      </w:pPr>
      <w:r>
        <w:rPr>
          <w:rFonts w:ascii="Arial" w:cs="Arial" w:eastAsia="Arial" w:hAnsi="Arial"/>
          <w:sz w:val="18"/>
          <w:szCs w:val="18"/>
          <w:color w:val="auto"/>
        </w:rPr>
        <w:t>The grant date is the same as the date on which the Compensation Committee of the Board met to approve the awards. For details of grant date fair value, see page 46.</w:t>
      </w:r>
    </w:p>
    <w:p>
      <w:pPr>
        <w:spacing w:after="0" w:line="78" w:lineRule="exact"/>
        <w:rPr>
          <w:sz w:val="20"/>
          <w:szCs w:val="20"/>
          <w:color w:val="auto"/>
        </w:rPr>
      </w:pPr>
    </w:p>
    <w:p>
      <w:pPr>
        <w:ind w:left="880"/>
        <w:spacing w:after="0"/>
        <w:tabs>
          <w:tab w:leader="none" w:pos="2780" w:val="left"/>
        </w:tabs>
        <w:rPr>
          <w:sz w:val="20"/>
          <w:szCs w:val="20"/>
          <w:color w:val="auto"/>
        </w:rPr>
      </w:pPr>
      <w:r>
        <w:rPr>
          <w:rFonts w:ascii="Arial" w:cs="Arial" w:eastAsia="Arial" w:hAnsi="Arial"/>
          <w:sz w:val="18"/>
          <w:szCs w:val="18"/>
          <w:color w:val="auto"/>
        </w:rPr>
        <w:t>48</w:t>
      </w:r>
      <w:r>
        <w:rPr>
          <w:sz w:val="20"/>
          <w:szCs w:val="20"/>
          <w:color w:val="auto"/>
        </w:rPr>
        <w:tab/>
      </w:r>
      <w:r>
        <w:rPr>
          <w:rFonts w:ascii="Times New Roman" w:cs="Times New Roman" w:eastAsia="Times New Roman" w:hAnsi="Times New Roman"/>
          <w:sz w:val="18"/>
          <w:szCs w:val="18"/>
          <w:i w:val="1"/>
          <w:iCs w:val="1"/>
          <w:color w:val="auto"/>
        </w:rPr>
        <w:t>2018 Proxy Statement</w:t>
      </w:r>
    </w:p>
    <w:p>
      <w:pPr>
        <w:sectPr>
          <w:pgSz w:w="11900" w:h="16838" w:orient="portrait"/>
          <w:cols w:equalWidth="0" w:num="1">
            <w:col w:w="10600"/>
          </w:cols>
          <w:pgMar w:left="240" w:top="455" w:right="1059" w:bottom="1440" w:gutter="0" w:footer="0" w:header="0"/>
        </w:sectPr>
      </w:pPr>
    </w:p>
    <w:bookmarkStart w:id="51" w:name="page52"/>
    <w:bookmarkEnd w:id="51"/>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07">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Times New Roman" w:cs="Times New Roman" w:eastAsia="Times New Roman" w:hAnsi="Times New Roman"/>
            <w:sz w:val="18"/>
            <w:szCs w:val="18"/>
            <w:b w:val="1"/>
            <w:bCs w:val="1"/>
            <w:u w:val="single" w:color="auto"/>
            <w:color w:val="0000EE"/>
          </w:rPr>
          <w:t>Table of Contents</w:t>
        </w:r>
      </w:hyperlink>
    </w:p>
    <w:p>
      <w:pPr>
        <w:spacing w:after="0" w:line="303" w:lineRule="exact"/>
        <w:rPr>
          <w:sz w:val="20"/>
          <w:szCs w:val="20"/>
          <w:color w:val="auto"/>
        </w:rPr>
      </w:pPr>
    </w:p>
    <w:p>
      <w:pPr>
        <w:ind w:left="860"/>
        <w:spacing w:after="0"/>
        <w:rPr>
          <w:sz w:val="20"/>
          <w:szCs w:val="20"/>
          <w:color w:val="auto"/>
        </w:rPr>
      </w:pPr>
      <w:r>
        <w:rPr>
          <w:rFonts w:ascii="Arial" w:cs="Arial" w:eastAsia="Arial" w:hAnsi="Arial"/>
          <w:sz w:val="18"/>
          <w:szCs w:val="18"/>
          <w:b w:val="1"/>
          <w:bCs w:val="1"/>
          <w:color w:val="auto"/>
        </w:rPr>
        <w:t>Outstanding Equity Awards at Fiscal Year-End for 2017</w:t>
      </w:r>
    </w:p>
    <w:p>
      <w:pPr>
        <w:spacing w:after="0" w:line="244" w:lineRule="exact"/>
        <w:rPr>
          <w:sz w:val="20"/>
          <w:szCs w:val="20"/>
          <w:color w:val="auto"/>
        </w:rPr>
      </w:pPr>
    </w:p>
    <w:tbl>
      <w:tblPr>
        <w:tblLayout w:type="fixed"/>
        <w:tblInd w:w="870" w:type="dxa"/>
        <w:tblCellMar>
          <w:top w:w="0" w:type="dxa"/>
          <w:left w:w="0" w:type="dxa"/>
          <w:bottom w:w="0" w:type="dxa"/>
          <w:right w:w="0" w:type="dxa"/>
        </w:tblCellMar>
      </w:tblPr>
      <w:tr>
        <w:trPr>
          <w:trHeight w:val="226"/>
        </w:trPr>
        <w:tc>
          <w:tcPr>
            <w:tcW w:w="2000" w:type="dxa"/>
            <w:vAlign w:val="bottom"/>
            <w:tcBorders>
              <w:top w:val="single" w:sz="8" w:color="auto"/>
              <w:left w:val="single" w:sz="8" w:color="auto"/>
              <w:right w:val="single" w:sz="8" w:color="auto"/>
            </w:tcBorders>
          </w:tcPr>
          <w:p>
            <w:pPr>
              <w:spacing w:after="0"/>
              <w:rPr>
                <w:sz w:val="19"/>
                <w:szCs w:val="19"/>
                <w:color w:val="auto"/>
              </w:rPr>
            </w:pPr>
          </w:p>
        </w:tc>
        <w:tc>
          <w:tcPr>
            <w:tcW w:w="920" w:type="dxa"/>
            <w:vAlign w:val="bottom"/>
            <w:tcBorders>
              <w:top w:val="single" w:sz="8" w:color="auto"/>
              <w:bottom w:val="single" w:sz="8" w:color="auto"/>
            </w:tcBorders>
          </w:tcPr>
          <w:p>
            <w:pPr>
              <w:spacing w:after="0"/>
              <w:rPr>
                <w:sz w:val="19"/>
                <w:szCs w:val="19"/>
                <w:color w:val="auto"/>
              </w:rPr>
            </w:pPr>
          </w:p>
        </w:tc>
        <w:tc>
          <w:tcPr>
            <w:tcW w:w="1940" w:type="dxa"/>
            <w:vAlign w:val="bottom"/>
            <w:tcBorders>
              <w:top w:val="single" w:sz="8" w:color="auto"/>
              <w:bottom w:val="single" w:sz="8" w:color="auto"/>
            </w:tcBorders>
            <w:gridSpan w:val="2"/>
          </w:tcPr>
          <w:p>
            <w:pPr>
              <w:ind w:left="820"/>
              <w:spacing w:after="0"/>
              <w:rPr>
                <w:sz w:val="20"/>
                <w:szCs w:val="20"/>
                <w:color w:val="auto"/>
              </w:rPr>
            </w:pPr>
            <w:r>
              <w:rPr>
                <w:rFonts w:ascii="Arial" w:cs="Arial" w:eastAsia="Arial" w:hAnsi="Arial"/>
                <w:sz w:val="13"/>
                <w:szCs w:val="13"/>
                <w:b w:val="1"/>
                <w:bCs w:val="1"/>
                <w:color w:val="auto"/>
              </w:rPr>
              <w:t>Option Awards</w:t>
            </w:r>
          </w:p>
        </w:tc>
        <w:tc>
          <w:tcPr>
            <w:tcW w:w="660" w:type="dxa"/>
            <w:vAlign w:val="bottom"/>
            <w:tcBorders>
              <w:top w:val="single" w:sz="8" w:color="auto"/>
              <w:bottom w:val="single" w:sz="8" w:color="auto"/>
            </w:tcBorders>
          </w:tcPr>
          <w:p>
            <w:pPr>
              <w:spacing w:after="0"/>
              <w:rPr>
                <w:sz w:val="19"/>
                <w:szCs w:val="19"/>
                <w:color w:val="auto"/>
              </w:rPr>
            </w:pPr>
          </w:p>
        </w:tc>
        <w:tc>
          <w:tcPr>
            <w:tcW w:w="800" w:type="dxa"/>
            <w:vAlign w:val="bottom"/>
            <w:tcBorders>
              <w:top w:val="single" w:sz="8" w:color="auto"/>
              <w:bottom w:val="single" w:sz="8" w:color="auto"/>
              <w:right w:val="single" w:sz="8" w:color="auto"/>
            </w:tcBorders>
          </w:tcPr>
          <w:p>
            <w:pPr>
              <w:spacing w:after="0"/>
              <w:rPr>
                <w:sz w:val="19"/>
                <w:szCs w:val="19"/>
                <w:color w:val="auto"/>
              </w:rPr>
            </w:pPr>
          </w:p>
        </w:tc>
        <w:tc>
          <w:tcPr>
            <w:tcW w:w="800" w:type="dxa"/>
            <w:vAlign w:val="bottom"/>
            <w:tcBorders>
              <w:top w:val="single" w:sz="8" w:color="auto"/>
              <w:bottom w:val="single" w:sz="8" w:color="auto"/>
            </w:tcBorders>
          </w:tcPr>
          <w:p>
            <w:pPr>
              <w:spacing w:after="0"/>
              <w:rPr>
                <w:sz w:val="19"/>
                <w:szCs w:val="19"/>
                <w:color w:val="auto"/>
              </w:rPr>
            </w:pPr>
          </w:p>
        </w:tc>
        <w:tc>
          <w:tcPr>
            <w:tcW w:w="1740" w:type="dxa"/>
            <w:vAlign w:val="bottom"/>
            <w:tcBorders>
              <w:top w:val="single" w:sz="8" w:color="auto"/>
              <w:bottom w:val="single" w:sz="8" w:color="auto"/>
            </w:tcBorders>
            <w:gridSpan w:val="2"/>
          </w:tcPr>
          <w:p>
            <w:pPr>
              <w:ind w:left="500"/>
              <w:spacing w:after="0"/>
              <w:rPr>
                <w:sz w:val="20"/>
                <w:szCs w:val="20"/>
                <w:color w:val="auto"/>
              </w:rPr>
            </w:pPr>
            <w:r>
              <w:rPr>
                <w:rFonts w:ascii="Arial" w:cs="Arial" w:eastAsia="Arial" w:hAnsi="Arial"/>
                <w:sz w:val="13"/>
                <w:szCs w:val="13"/>
                <w:b w:val="1"/>
                <w:bCs w:val="1"/>
                <w:color w:val="auto"/>
              </w:rPr>
              <w:t>Stock Awards</w:t>
            </w:r>
          </w:p>
        </w:tc>
        <w:tc>
          <w:tcPr>
            <w:tcW w:w="880" w:type="dxa"/>
            <w:vAlign w:val="bottom"/>
            <w:tcBorders>
              <w:top w:val="single" w:sz="8" w:color="auto"/>
              <w:bottom w:val="single" w:sz="8" w:color="auto"/>
              <w:right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109"/>
        </w:trPr>
        <w:tc>
          <w:tcPr>
            <w:tcW w:w="2000" w:type="dxa"/>
            <w:vAlign w:val="bottom"/>
            <w:tcBorders>
              <w:left w:val="single" w:sz="8" w:color="auto"/>
              <w:right w:val="single" w:sz="8" w:color="auto"/>
            </w:tcBorders>
          </w:tcPr>
          <w:p>
            <w:pPr>
              <w:spacing w:after="0"/>
              <w:rPr>
                <w:sz w:val="9"/>
                <w:szCs w:val="9"/>
                <w:color w:val="auto"/>
              </w:rPr>
            </w:pPr>
          </w:p>
        </w:tc>
        <w:tc>
          <w:tcPr>
            <w:tcW w:w="920" w:type="dxa"/>
            <w:vAlign w:val="bottom"/>
            <w:tcBorders>
              <w:right w:val="single" w:sz="8" w:color="auto"/>
            </w:tcBorders>
          </w:tcPr>
          <w:p>
            <w:pPr>
              <w:spacing w:after="0"/>
              <w:rPr>
                <w:sz w:val="9"/>
                <w:szCs w:val="9"/>
                <w:color w:val="auto"/>
              </w:rPr>
            </w:pPr>
          </w:p>
        </w:tc>
        <w:tc>
          <w:tcPr>
            <w:tcW w:w="1020" w:type="dxa"/>
            <w:vAlign w:val="bottom"/>
            <w:tcBorders>
              <w:right w:val="single" w:sz="8" w:color="auto"/>
            </w:tcBorders>
          </w:tcPr>
          <w:p>
            <w:pPr>
              <w:spacing w:after="0"/>
              <w:rPr>
                <w:sz w:val="9"/>
                <w:szCs w:val="9"/>
                <w:color w:val="auto"/>
              </w:rPr>
            </w:pPr>
          </w:p>
        </w:tc>
        <w:tc>
          <w:tcPr>
            <w:tcW w:w="920" w:type="dxa"/>
            <w:vAlign w:val="bottom"/>
            <w:tcBorders>
              <w:right w:val="single" w:sz="8" w:color="auto"/>
            </w:tcBorders>
          </w:tcPr>
          <w:p>
            <w:pPr>
              <w:spacing w:after="0"/>
              <w:rPr>
                <w:sz w:val="9"/>
                <w:szCs w:val="9"/>
                <w:color w:val="auto"/>
              </w:rPr>
            </w:pPr>
          </w:p>
        </w:tc>
        <w:tc>
          <w:tcPr>
            <w:tcW w:w="660" w:type="dxa"/>
            <w:vAlign w:val="bottom"/>
            <w:tcBorders>
              <w:right w:val="single" w:sz="8" w:color="auto"/>
            </w:tcBorders>
          </w:tcPr>
          <w:p>
            <w:pPr>
              <w:spacing w:after="0"/>
              <w:rPr>
                <w:sz w:val="9"/>
                <w:szCs w:val="9"/>
                <w:color w:val="auto"/>
              </w:rPr>
            </w:pPr>
          </w:p>
        </w:tc>
        <w:tc>
          <w:tcPr>
            <w:tcW w:w="800" w:type="dxa"/>
            <w:vAlign w:val="bottom"/>
            <w:tcBorders>
              <w:right w:val="single" w:sz="8" w:color="auto"/>
            </w:tcBorders>
          </w:tcPr>
          <w:p>
            <w:pPr>
              <w:spacing w:after="0"/>
              <w:rPr>
                <w:sz w:val="9"/>
                <w:szCs w:val="9"/>
                <w:color w:val="auto"/>
              </w:rPr>
            </w:pPr>
          </w:p>
        </w:tc>
        <w:tc>
          <w:tcPr>
            <w:tcW w:w="800" w:type="dxa"/>
            <w:vAlign w:val="bottom"/>
            <w:tcBorders>
              <w:right w:val="single" w:sz="8" w:color="auto"/>
            </w:tcBorders>
          </w:tcPr>
          <w:p>
            <w:pPr>
              <w:spacing w:after="0"/>
              <w:rPr>
                <w:sz w:val="9"/>
                <w:szCs w:val="9"/>
                <w:color w:val="auto"/>
              </w:rPr>
            </w:pPr>
          </w:p>
        </w:tc>
        <w:tc>
          <w:tcPr>
            <w:tcW w:w="880" w:type="dxa"/>
            <w:vAlign w:val="bottom"/>
            <w:tcBorders>
              <w:right w:val="single" w:sz="8" w:color="auto"/>
            </w:tcBorders>
          </w:tcPr>
          <w:p>
            <w:pPr>
              <w:spacing w:after="0"/>
              <w:rPr>
                <w:sz w:val="9"/>
                <w:szCs w:val="9"/>
                <w:color w:val="auto"/>
              </w:rPr>
            </w:pPr>
          </w:p>
        </w:tc>
        <w:tc>
          <w:tcPr>
            <w:tcW w:w="860" w:type="dxa"/>
            <w:vAlign w:val="bottom"/>
            <w:tcBorders>
              <w:right w:val="single" w:sz="8" w:color="auto"/>
            </w:tcBorders>
          </w:tcPr>
          <w:p>
            <w:pPr>
              <w:spacing w:after="0"/>
              <w:rPr>
                <w:sz w:val="9"/>
                <w:szCs w:val="9"/>
                <w:color w:val="auto"/>
              </w:rPr>
            </w:pPr>
          </w:p>
        </w:tc>
        <w:tc>
          <w:tcPr>
            <w:tcW w:w="880" w:type="dxa"/>
            <w:vAlign w:val="bottom"/>
            <w:tcBorders>
              <w:right w:val="single" w:sz="8" w:color="auto"/>
            </w:tcBorders>
          </w:tcPr>
          <w:p>
            <w:pPr>
              <w:jc w:val="center"/>
              <w:spacing w:after="0" w:line="109" w:lineRule="exact"/>
              <w:rPr>
                <w:sz w:val="20"/>
                <w:szCs w:val="20"/>
                <w:color w:val="auto"/>
              </w:rPr>
            </w:pPr>
            <w:r>
              <w:rPr>
                <w:rFonts w:ascii="Arial" w:cs="Arial" w:eastAsia="Arial" w:hAnsi="Arial"/>
                <w:sz w:val="12"/>
                <w:szCs w:val="12"/>
                <w:b w:val="1"/>
                <w:bCs w:val="1"/>
                <w:color w:val="auto"/>
              </w:rPr>
              <w:t>Equity</w:t>
            </w:r>
          </w:p>
        </w:tc>
        <w:tc>
          <w:tcPr>
            <w:tcW w:w="0" w:type="dxa"/>
            <w:vAlign w:val="bottom"/>
          </w:tcPr>
          <w:p>
            <w:pPr>
              <w:spacing w:after="0"/>
              <w:rPr>
                <w:sz w:val="1"/>
                <w:szCs w:val="1"/>
                <w:color w:val="auto"/>
              </w:rPr>
            </w:pPr>
          </w:p>
        </w:tc>
      </w:tr>
      <w:tr>
        <w:trPr>
          <w:trHeight w:val="135"/>
        </w:trPr>
        <w:tc>
          <w:tcPr>
            <w:tcW w:w="2000" w:type="dxa"/>
            <w:vAlign w:val="bottom"/>
            <w:tcBorders>
              <w:left w:val="single" w:sz="8" w:color="auto"/>
              <w:right w:val="single" w:sz="8" w:color="auto"/>
            </w:tcBorders>
          </w:tcPr>
          <w:p>
            <w:pPr>
              <w:spacing w:after="0"/>
              <w:rPr>
                <w:sz w:val="11"/>
                <w:szCs w:val="11"/>
                <w:color w:val="auto"/>
              </w:rPr>
            </w:pPr>
          </w:p>
        </w:tc>
        <w:tc>
          <w:tcPr>
            <w:tcW w:w="920" w:type="dxa"/>
            <w:vAlign w:val="bottom"/>
            <w:tcBorders>
              <w:right w:val="single" w:sz="8" w:color="auto"/>
            </w:tcBorders>
          </w:tcPr>
          <w:p>
            <w:pPr>
              <w:spacing w:after="0"/>
              <w:rPr>
                <w:sz w:val="11"/>
                <w:szCs w:val="11"/>
                <w:color w:val="auto"/>
              </w:rPr>
            </w:pPr>
          </w:p>
        </w:tc>
        <w:tc>
          <w:tcPr>
            <w:tcW w:w="1020" w:type="dxa"/>
            <w:vAlign w:val="bottom"/>
            <w:tcBorders>
              <w:right w:val="single" w:sz="8" w:color="auto"/>
            </w:tcBorders>
          </w:tcPr>
          <w:p>
            <w:pPr>
              <w:spacing w:after="0"/>
              <w:rPr>
                <w:sz w:val="11"/>
                <w:szCs w:val="11"/>
                <w:color w:val="auto"/>
              </w:rPr>
            </w:pPr>
          </w:p>
        </w:tc>
        <w:tc>
          <w:tcPr>
            <w:tcW w:w="920" w:type="dxa"/>
            <w:vAlign w:val="bottom"/>
            <w:tcBorders>
              <w:right w:val="single" w:sz="8" w:color="auto"/>
            </w:tcBorders>
          </w:tcPr>
          <w:p>
            <w:pPr>
              <w:spacing w:after="0"/>
              <w:rPr>
                <w:sz w:val="11"/>
                <w:szCs w:val="11"/>
                <w:color w:val="auto"/>
              </w:rPr>
            </w:pPr>
          </w:p>
        </w:tc>
        <w:tc>
          <w:tcPr>
            <w:tcW w:w="660" w:type="dxa"/>
            <w:vAlign w:val="bottom"/>
            <w:tcBorders>
              <w:right w:val="single" w:sz="8" w:color="auto"/>
            </w:tcBorders>
          </w:tcPr>
          <w:p>
            <w:pPr>
              <w:spacing w:after="0"/>
              <w:rPr>
                <w:sz w:val="11"/>
                <w:szCs w:val="11"/>
                <w:color w:val="auto"/>
              </w:rPr>
            </w:pPr>
          </w:p>
        </w:tc>
        <w:tc>
          <w:tcPr>
            <w:tcW w:w="800" w:type="dxa"/>
            <w:vAlign w:val="bottom"/>
            <w:tcBorders>
              <w:right w:val="single" w:sz="8" w:color="auto"/>
            </w:tcBorders>
          </w:tcPr>
          <w:p>
            <w:pPr>
              <w:spacing w:after="0"/>
              <w:rPr>
                <w:sz w:val="11"/>
                <w:szCs w:val="11"/>
                <w:color w:val="auto"/>
              </w:rPr>
            </w:pPr>
          </w:p>
        </w:tc>
        <w:tc>
          <w:tcPr>
            <w:tcW w:w="800" w:type="dxa"/>
            <w:vAlign w:val="bottom"/>
            <w:tcBorders>
              <w:right w:val="single" w:sz="8" w:color="auto"/>
            </w:tcBorders>
          </w:tcPr>
          <w:p>
            <w:pPr>
              <w:spacing w:after="0"/>
              <w:rPr>
                <w:sz w:val="11"/>
                <w:szCs w:val="11"/>
                <w:color w:val="auto"/>
              </w:rPr>
            </w:pPr>
          </w:p>
        </w:tc>
        <w:tc>
          <w:tcPr>
            <w:tcW w:w="880" w:type="dxa"/>
            <w:vAlign w:val="bottom"/>
            <w:tcBorders>
              <w:right w:val="single" w:sz="8" w:color="auto"/>
            </w:tcBorders>
          </w:tcPr>
          <w:p>
            <w:pPr>
              <w:spacing w:after="0"/>
              <w:rPr>
                <w:sz w:val="11"/>
                <w:szCs w:val="11"/>
                <w:color w:val="auto"/>
              </w:rPr>
            </w:pPr>
          </w:p>
        </w:tc>
        <w:tc>
          <w:tcPr>
            <w:tcW w:w="860" w:type="dxa"/>
            <w:vAlign w:val="bottom"/>
            <w:tcBorders>
              <w:right w:val="single" w:sz="8" w:color="auto"/>
            </w:tcBorders>
            <w:vMerge w:val="restart"/>
          </w:tcPr>
          <w:p>
            <w:pPr>
              <w:jc w:val="center"/>
              <w:spacing w:after="0"/>
              <w:rPr>
                <w:sz w:val="20"/>
                <w:szCs w:val="20"/>
                <w:color w:val="auto"/>
              </w:rPr>
            </w:pPr>
            <w:r>
              <w:rPr>
                <w:rFonts w:ascii="Arial" w:cs="Arial" w:eastAsia="Arial" w:hAnsi="Arial"/>
                <w:sz w:val="13"/>
                <w:szCs w:val="13"/>
                <w:b w:val="1"/>
                <w:bCs w:val="1"/>
                <w:color w:val="auto"/>
                <w:w w:val="95"/>
              </w:rPr>
              <w:t>Equity</w:t>
            </w:r>
          </w:p>
        </w:tc>
        <w:tc>
          <w:tcPr>
            <w:tcW w:w="880" w:type="dxa"/>
            <w:vAlign w:val="bottom"/>
            <w:tcBorders>
              <w:right w:val="single" w:sz="8" w:color="auto"/>
            </w:tcBorders>
          </w:tcPr>
          <w:p>
            <w:pPr>
              <w:jc w:val="center"/>
              <w:spacing w:after="0" w:line="135" w:lineRule="exact"/>
              <w:rPr>
                <w:sz w:val="20"/>
                <w:szCs w:val="20"/>
                <w:color w:val="auto"/>
              </w:rPr>
            </w:pPr>
            <w:r>
              <w:rPr>
                <w:rFonts w:ascii="Arial" w:cs="Arial" w:eastAsia="Arial" w:hAnsi="Arial"/>
                <w:sz w:val="13"/>
                <w:szCs w:val="13"/>
                <w:b w:val="1"/>
                <w:bCs w:val="1"/>
                <w:color w:val="auto"/>
                <w:w w:val="95"/>
              </w:rPr>
              <w:t>Incentive</w:t>
            </w:r>
          </w:p>
        </w:tc>
        <w:tc>
          <w:tcPr>
            <w:tcW w:w="0" w:type="dxa"/>
            <w:vAlign w:val="bottom"/>
          </w:tcPr>
          <w:p>
            <w:pPr>
              <w:spacing w:after="0"/>
              <w:rPr>
                <w:sz w:val="1"/>
                <w:szCs w:val="1"/>
                <w:color w:val="auto"/>
              </w:rPr>
            </w:pPr>
          </w:p>
        </w:tc>
      </w:tr>
      <w:tr>
        <w:trPr>
          <w:trHeight w:val="135"/>
        </w:trPr>
        <w:tc>
          <w:tcPr>
            <w:tcW w:w="2000" w:type="dxa"/>
            <w:vAlign w:val="bottom"/>
            <w:tcBorders>
              <w:left w:val="single" w:sz="8" w:color="auto"/>
              <w:right w:val="single" w:sz="8" w:color="auto"/>
            </w:tcBorders>
          </w:tcPr>
          <w:p>
            <w:pPr>
              <w:spacing w:after="0"/>
              <w:rPr>
                <w:sz w:val="11"/>
                <w:szCs w:val="11"/>
                <w:color w:val="auto"/>
              </w:rPr>
            </w:pPr>
          </w:p>
        </w:tc>
        <w:tc>
          <w:tcPr>
            <w:tcW w:w="920" w:type="dxa"/>
            <w:vAlign w:val="bottom"/>
            <w:tcBorders>
              <w:right w:val="single" w:sz="8" w:color="auto"/>
            </w:tcBorders>
          </w:tcPr>
          <w:p>
            <w:pPr>
              <w:spacing w:after="0"/>
              <w:rPr>
                <w:sz w:val="11"/>
                <w:szCs w:val="11"/>
                <w:color w:val="auto"/>
              </w:rPr>
            </w:pPr>
          </w:p>
        </w:tc>
        <w:tc>
          <w:tcPr>
            <w:tcW w:w="1020" w:type="dxa"/>
            <w:vAlign w:val="bottom"/>
            <w:tcBorders>
              <w:right w:val="single" w:sz="8" w:color="auto"/>
            </w:tcBorders>
          </w:tcPr>
          <w:p>
            <w:pPr>
              <w:spacing w:after="0"/>
              <w:rPr>
                <w:sz w:val="11"/>
                <w:szCs w:val="11"/>
                <w:color w:val="auto"/>
              </w:rPr>
            </w:pPr>
          </w:p>
        </w:tc>
        <w:tc>
          <w:tcPr>
            <w:tcW w:w="920" w:type="dxa"/>
            <w:vAlign w:val="bottom"/>
            <w:tcBorders>
              <w:right w:val="single" w:sz="8" w:color="auto"/>
            </w:tcBorders>
          </w:tcPr>
          <w:p>
            <w:pPr>
              <w:spacing w:after="0"/>
              <w:rPr>
                <w:sz w:val="11"/>
                <w:szCs w:val="11"/>
                <w:color w:val="auto"/>
              </w:rPr>
            </w:pPr>
          </w:p>
        </w:tc>
        <w:tc>
          <w:tcPr>
            <w:tcW w:w="660" w:type="dxa"/>
            <w:vAlign w:val="bottom"/>
            <w:tcBorders>
              <w:right w:val="single" w:sz="8" w:color="auto"/>
            </w:tcBorders>
          </w:tcPr>
          <w:p>
            <w:pPr>
              <w:spacing w:after="0"/>
              <w:rPr>
                <w:sz w:val="11"/>
                <w:szCs w:val="11"/>
                <w:color w:val="auto"/>
              </w:rPr>
            </w:pPr>
          </w:p>
        </w:tc>
        <w:tc>
          <w:tcPr>
            <w:tcW w:w="800" w:type="dxa"/>
            <w:vAlign w:val="bottom"/>
            <w:tcBorders>
              <w:right w:val="single" w:sz="8" w:color="auto"/>
            </w:tcBorders>
          </w:tcPr>
          <w:p>
            <w:pPr>
              <w:spacing w:after="0"/>
              <w:rPr>
                <w:sz w:val="11"/>
                <w:szCs w:val="11"/>
                <w:color w:val="auto"/>
              </w:rPr>
            </w:pPr>
          </w:p>
        </w:tc>
        <w:tc>
          <w:tcPr>
            <w:tcW w:w="800" w:type="dxa"/>
            <w:vAlign w:val="bottom"/>
            <w:tcBorders>
              <w:right w:val="single" w:sz="8" w:color="auto"/>
            </w:tcBorders>
          </w:tcPr>
          <w:p>
            <w:pPr>
              <w:spacing w:after="0"/>
              <w:rPr>
                <w:sz w:val="11"/>
                <w:szCs w:val="11"/>
                <w:color w:val="auto"/>
              </w:rPr>
            </w:pPr>
          </w:p>
        </w:tc>
        <w:tc>
          <w:tcPr>
            <w:tcW w:w="880" w:type="dxa"/>
            <w:vAlign w:val="bottom"/>
            <w:tcBorders>
              <w:right w:val="single" w:sz="8" w:color="auto"/>
            </w:tcBorders>
          </w:tcPr>
          <w:p>
            <w:pPr>
              <w:spacing w:after="0"/>
              <w:rPr>
                <w:sz w:val="11"/>
                <w:szCs w:val="11"/>
                <w:color w:val="auto"/>
              </w:rPr>
            </w:pPr>
          </w:p>
        </w:tc>
        <w:tc>
          <w:tcPr>
            <w:tcW w:w="860" w:type="dxa"/>
            <w:vAlign w:val="bottom"/>
            <w:tcBorders>
              <w:right w:val="single" w:sz="8" w:color="auto"/>
            </w:tcBorders>
            <w:vMerge w:val="continue"/>
          </w:tcPr>
          <w:p>
            <w:pPr>
              <w:spacing w:after="0"/>
              <w:rPr>
                <w:sz w:val="11"/>
                <w:szCs w:val="11"/>
                <w:color w:val="auto"/>
              </w:rPr>
            </w:pPr>
          </w:p>
        </w:tc>
        <w:tc>
          <w:tcPr>
            <w:tcW w:w="880" w:type="dxa"/>
            <w:vAlign w:val="bottom"/>
            <w:tcBorders>
              <w:right w:val="single" w:sz="8" w:color="auto"/>
            </w:tcBorders>
          </w:tcPr>
          <w:p>
            <w:pPr>
              <w:jc w:val="center"/>
              <w:spacing w:after="0" w:line="135" w:lineRule="exact"/>
              <w:rPr>
                <w:sz w:val="20"/>
                <w:szCs w:val="20"/>
                <w:color w:val="auto"/>
              </w:rPr>
            </w:pPr>
            <w:r>
              <w:rPr>
                <w:rFonts w:ascii="Arial" w:cs="Arial" w:eastAsia="Arial" w:hAnsi="Arial"/>
                <w:sz w:val="13"/>
                <w:szCs w:val="13"/>
                <w:b w:val="1"/>
                <w:bCs w:val="1"/>
                <w:color w:val="auto"/>
                <w:w w:val="94"/>
              </w:rPr>
              <w:t>Plan</w:t>
            </w:r>
          </w:p>
        </w:tc>
        <w:tc>
          <w:tcPr>
            <w:tcW w:w="0" w:type="dxa"/>
            <w:vAlign w:val="bottom"/>
          </w:tcPr>
          <w:p>
            <w:pPr>
              <w:spacing w:after="0"/>
              <w:rPr>
                <w:sz w:val="1"/>
                <w:szCs w:val="1"/>
                <w:color w:val="auto"/>
              </w:rPr>
            </w:pPr>
          </w:p>
        </w:tc>
      </w:tr>
      <w:tr>
        <w:trPr>
          <w:trHeight w:val="135"/>
        </w:trPr>
        <w:tc>
          <w:tcPr>
            <w:tcW w:w="2000" w:type="dxa"/>
            <w:vAlign w:val="bottom"/>
            <w:tcBorders>
              <w:left w:val="single" w:sz="8" w:color="auto"/>
              <w:right w:val="single" w:sz="8" w:color="auto"/>
            </w:tcBorders>
          </w:tcPr>
          <w:p>
            <w:pPr>
              <w:spacing w:after="0"/>
              <w:rPr>
                <w:sz w:val="11"/>
                <w:szCs w:val="11"/>
                <w:color w:val="auto"/>
              </w:rPr>
            </w:pPr>
          </w:p>
        </w:tc>
        <w:tc>
          <w:tcPr>
            <w:tcW w:w="920" w:type="dxa"/>
            <w:vAlign w:val="bottom"/>
            <w:tcBorders>
              <w:right w:val="single" w:sz="8" w:color="auto"/>
            </w:tcBorders>
          </w:tcPr>
          <w:p>
            <w:pPr>
              <w:spacing w:after="0"/>
              <w:rPr>
                <w:sz w:val="11"/>
                <w:szCs w:val="11"/>
                <w:color w:val="auto"/>
              </w:rPr>
            </w:pPr>
          </w:p>
        </w:tc>
        <w:tc>
          <w:tcPr>
            <w:tcW w:w="1020" w:type="dxa"/>
            <w:vAlign w:val="bottom"/>
            <w:tcBorders>
              <w:right w:val="single" w:sz="8" w:color="auto"/>
            </w:tcBorders>
          </w:tcPr>
          <w:p>
            <w:pPr>
              <w:spacing w:after="0"/>
              <w:rPr>
                <w:sz w:val="11"/>
                <w:szCs w:val="11"/>
                <w:color w:val="auto"/>
              </w:rPr>
            </w:pPr>
          </w:p>
        </w:tc>
        <w:tc>
          <w:tcPr>
            <w:tcW w:w="920" w:type="dxa"/>
            <w:vAlign w:val="bottom"/>
            <w:tcBorders>
              <w:right w:val="single" w:sz="8" w:color="auto"/>
            </w:tcBorders>
            <w:vMerge w:val="restart"/>
          </w:tcPr>
          <w:p>
            <w:pPr>
              <w:jc w:val="center"/>
              <w:spacing w:after="0"/>
              <w:rPr>
                <w:sz w:val="20"/>
                <w:szCs w:val="20"/>
                <w:color w:val="auto"/>
              </w:rPr>
            </w:pPr>
            <w:r>
              <w:rPr>
                <w:rFonts w:ascii="Arial" w:cs="Arial" w:eastAsia="Arial" w:hAnsi="Arial"/>
                <w:sz w:val="13"/>
                <w:szCs w:val="13"/>
                <w:b w:val="1"/>
                <w:bCs w:val="1"/>
                <w:color w:val="auto"/>
                <w:w w:val="95"/>
              </w:rPr>
              <w:t>Equity</w:t>
            </w:r>
          </w:p>
        </w:tc>
        <w:tc>
          <w:tcPr>
            <w:tcW w:w="660" w:type="dxa"/>
            <w:vAlign w:val="bottom"/>
            <w:tcBorders>
              <w:right w:val="single" w:sz="8" w:color="auto"/>
            </w:tcBorders>
          </w:tcPr>
          <w:p>
            <w:pPr>
              <w:spacing w:after="0"/>
              <w:rPr>
                <w:sz w:val="11"/>
                <w:szCs w:val="11"/>
                <w:color w:val="auto"/>
              </w:rPr>
            </w:pPr>
          </w:p>
        </w:tc>
        <w:tc>
          <w:tcPr>
            <w:tcW w:w="800" w:type="dxa"/>
            <w:vAlign w:val="bottom"/>
            <w:tcBorders>
              <w:right w:val="single" w:sz="8" w:color="auto"/>
            </w:tcBorders>
          </w:tcPr>
          <w:p>
            <w:pPr>
              <w:spacing w:after="0"/>
              <w:rPr>
                <w:sz w:val="11"/>
                <w:szCs w:val="11"/>
                <w:color w:val="auto"/>
              </w:rPr>
            </w:pPr>
          </w:p>
        </w:tc>
        <w:tc>
          <w:tcPr>
            <w:tcW w:w="800" w:type="dxa"/>
            <w:vAlign w:val="bottom"/>
            <w:tcBorders>
              <w:right w:val="single" w:sz="8" w:color="auto"/>
            </w:tcBorders>
          </w:tcPr>
          <w:p>
            <w:pPr>
              <w:spacing w:after="0"/>
              <w:rPr>
                <w:sz w:val="11"/>
                <w:szCs w:val="11"/>
                <w:color w:val="auto"/>
              </w:rPr>
            </w:pPr>
          </w:p>
        </w:tc>
        <w:tc>
          <w:tcPr>
            <w:tcW w:w="880" w:type="dxa"/>
            <w:vAlign w:val="bottom"/>
            <w:tcBorders>
              <w:right w:val="single" w:sz="8" w:color="auto"/>
            </w:tcBorders>
          </w:tcPr>
          <w:p>
            <w:pPr>
              <w:spacing w:after="0"/>
              <w:rPr>
                <w:sz w:val="11"/>
                <w:szCs w:val="11"/>
                <w:color w:val="auto"/>
              </w:rPr>
            </w:pPr>
          </w:p>
        </w:tc>
        <w:tc>
          <w:tcPr>
            <w:tcW w:w="860" w:type="dxa"/>
            <w:vAlign w:val="bottom"/>
            <w:tcBorders>
              <w:right w:val="single" w:sz="8" w:color="auto"/>
            </w:tcBorders>
          </w:tcPr>
          <w:p>
            <w:pPr>
              <w:jc w:val="center"/>
              <w:spacing w:after="0" w:line="135" w:lineRule="exact"/>
              <w:rPr>
                <w:sz w:val="20"/>
                <w:szCs w:val="20"/>
                <w:color w:val="auto"/>
              </w:rPr>
            </w:pPr>
            <w:r>
              <w:rPr>
                <w:rFonts w:ascii="Arial" w:cs="Arial" w:eastAsia="Arial" w:hAnsi="Arial"/>
                <w:sz w:val="13"/>
                <w:szCs w:val="13"/>
                <w:b w:val="1"/>
                <w:bCs w:val="1"/>
                <w:color w:val="auto"/>
                <w:w w:val="99"/>
              </w:rPr>
              <w:t>Incentive</w:t>
            </w:r>
          </w:p>
        </w:tc>
        <w:tc>
          <w:tcPr>
            <w:tcW w:w="880" w:type="dxa"/>
            <w:vAlign w:val="bottom"/>
            <w:tcBorders>
              <w:right w:val="single" w:sz="8" w:color="auto"/>
            </w:tcBorders>
          </w:tcPr>
          <w:p>
            <w:pPr>
              <w:jc w:val="center"/>
              <w:spacing w:after="0" w:line="135" w:lineRule="exact"/>
              <w:rPr>
                <w:sz w:val="20"/>
                <w:szCs w:val="20"/>
                <w:color w:val="auto"/>
              </w:rPr>
            </w:pPr>
            <w:r>
              <w:rPr>
                <w:rFonts w:ascii="Arial" w:cs="Arial" w:eastAsia="Arial" w:hAnsi="Arial"/>
                <w:sz w:val="13"/>
                <w:szCs w:val="13"/>
                <w:b w:val="1"/>
                <w:bCs w:val="1"/>
                <w:color w:val="auto"/>
                <w:w w:val="97"/>
              </w:rPr>
              <w:t>Awards:</w:t>
            </w:r>
          </w:p>
        </w:tc>
        <w:tc>
          <w:tcPr>
            <w:tcW w:w="0" w:type="dxa"/>
            <w:vAlign w:val="bottom"/>
          </w:tcPr>
          <w:p>
            <w:pPr>
              <w:spacing w:after="0"/>
              <w:rPr>
                <w:sz w:val="1"/>
                <w:szCs w:val="1"/>
                <w:color w:val="auto"/>
              </w:rPr>
            </w:pPr>
          </w:p>
        </w:tc>
      </w:tr>
      <w:tr>
        <w:trPr>
          <w:trHeight w:val="135"/>
        </w:trPr>
        <w:tc>
          <w:tcPr>
            <w:tcW w:w="2000" w:type="dxa"/>
            <w:vAlign w:val="bottom"/>
            <w:tcBorders>
              <w:left w:val="single" w:sz="8" w:color="auto"/>
              <w:right w:val="single" w:sz="8" w:color="auto"/>
            </w:tcBorders>
          </w:tcPr>
          <w:p>
            <w:pPr>
              <w:spacing w:after="0"/>
              <w:rPr>
                <w:sz w:val="11"/>
                <w:szCs w:val="11"/>
                <w:color w:val="auto"/>
              </w:rPr>
            </w:pPr>
          </w:p>
        </w:tc>
        <w:tc>
          <w:tcPr>
            <w:tcW w:w="920" w:type="dxa"/>
            <w:vAlign w:val="bottom"/>
            <w:tcBorders>
              <w:right w:val="single" w:sz="8" w:color="auto"/>
            </w:tcBorders>
          </w:tcPr>
          <w:p>
            <w:pPr>
              <w:spacing w:after="0"/>
              <w:rPr>
                <w:sz w:val="11"/>
                <w:szCs w:val="11"/>
                <w:color w:val="auto"/>
              </w:rPr>
            </w:pPr>
          </w:p>
        </w:tc>
        <w:tc>
          <w:tcPr>
            <w:tcW w:w="1020" w:type="dxa"/>
            <w:vAlign w:val="bottom"/>
            <w:tcBorders>
              <w:right w:val="single" w:sz="8" w:color="auto"/>
            </w:tcBorders>
          </w:tcPr>
          <w:p>
            <w:pPr>
              <w:spacing w:after="0"/>
              <w:rPr>
                <w:sz w:val="11"/>
                <w:szCs w:val="11"/>
                <w:color w:val="auto"/>
              </w:rPr>
            </w:pPr>
          </w:p>
        </w:tc>
        <w:tc>
          <w:tcPr>
            <w:tcW w:w="920" w:type="dxa"/>
            <w:vAlign w:val="bottom"/>
            <w:tcBorders>
              <w:right w:val="single" w:sz="8" w:color="auto"/>
            </w:tcBorders>
            <w:vMerge w:val="continue"/>
          </w:tcPr>
          <w:p>
            <w:pPr>
              <w:spacing w:after="0"/>
              <w:rPr>
                <w:sz w:val="11"/>
                <w:szCs w:val="11"/>
                <w:color w:val="auto"/>
              </w:rPr>
            </w:pPr>
          </w:p>
        </w:tc>
        <w:tc>
          <w:tcPr>
            <w:tcW w:w="660" w:type="dxa"/>
            <w:vAlign w:val="bottom"/>
            <w:tcBorders>
              <w:right w:val="single" w:sz="8" w:color="auto"/>
            </w:tcBorders>
          </w:tcPr>
          <w:p>
            <w:pPr>
              <w:spacing w:after="0"/>
              <w:rPr>
                <w:sz w:val="11"/>
                <w:szCs w:val="11"/>
                <w:color w:val="auto"/>
              </w:rPr>
            </w:pPr>
          </w:p>
        </w:tc>
        <w:tc>
          <w:tcPr>
            <w:tcW w:w="800" w:type="dxa"/>
            <w:vAlign w:val="bottom"/>
            <w:tcBorders>
              <w:right w:val="single" w:sz="8" w:color="auto"/>
            </w:tcBorders>
          </w:tcPr>
          <w:p>
            <w:pPr>
              <w:spacing w:after="0"/>
              <w:rPr>
                <w:sz w:val="11"/>
                <w:szCs w:val="11"/>
                <w:color w:val="auto"/>
              </w:rPr>
            </w:pPr>
          </w:p>
        </w:tc>
        <w:tc>
          <w:tcPr>
            <w:tcW w:w="800" w:type="dxa"/>
            <w:vAlign w:val="bottom"/>
            <w:tcBorders>
              <w:right w:val="single" w:sz="8" w:color="auto"/>
            </w:tcBorders>
          </w:tcPr>
          <w:p>
            <w:pPr>
              <w:spacing w:after="0"/>
              <w:rPr>
                <w:sz w:val="11"/>
                <w:szCs w:val="11"/>
                <w:color w:val="auto"/>
              </w:rPr>
            </w:pPr>
          </w:p>
        </w:tc>
        <w:tc>
          <w:tcPr>
            <w:tcW w:w="880" w:type="dxa"/>
            <w:vAlign w:val="bottom"/>
            <w:tcBorders>
              <w:right w:val="single" w:sz="8" w:color="auto"/>
            </w:tcBorders>
          </w:tcPr>
          <w:p>
            <w:pPr>
              <w:spacing w:after="0"/>
              <w:rPr>
                <w:sz w:val="11"/>
                <w:szCs w:val="11"/>
                <w:color w:val="auto"/>
              </w:rPr>
            </w:pPr>
          </w:p>
        </w:tc>
        <w:tc>
          <w:tcPr>
            <w:tcW w:w="860" w:type="dxa"/>
            <w:vAlign w:val="bottom"/>
            <w:tcBorders>
              <w:right w:val="single" w:sz="8" w:color="auto"/>
            </w:tcBorders>
          </w:tcPr>
          <w:p>
            <w:pPr>
              <w:jc w:val="center"/>
              <w:spacing w:after="0" w:line="135" w:lineRule="exact"/>
              <w:rPr>
                <w:sz w:val="20"/>
                <w:szCs w:val="20"/>
                <w:color w:val="auto"/>
              </w:rPr>
            </w:pPr>
            <w:r>
              <w:rPr>
                <w:rFonts w:ascii="Arial" w:cs="Arial" w:eastAsia="Arial" w:hAnsi="Arial"/>
                <w:sz w:val="13"/>
                <w:szCs w:val="13"/>
                <w:b w:val="1"/>
                <w:bCs w:val="1"/>
                <w:color w:val="auto"/>
              </w:rPr>
              <w:t>Plan</w:t>
            </w:r>
          </w:p>
        </w:tc>
        <w:tc>
          <w:tcPr>
            <w:tcW w:w="880" w:type="dxa"/>
            <w:vAlign w:val="bottom"/>
            <w:tcBorders>
              <w:right w:val="single" w:sz="8" w:color="auto"/>
            </w:tcBorders>
          </w:tcPr>
          <w:p>
            <w:pPr>
              <w:jc w:val="center"/>
              <w:spacing w:after="0" w:line="135" w:lineRule="exact"/>
              <w:rPr>
                <w:sz w:val="20"/>
                <w:szCs w:val="20"/>
                <w:color w:val="auto"/>
              </w:rPr>
            </w:pPr>
            <w:r>
              <w:rPr>
                <w:rFonts w:ascii="Arial" w:cs="Arial" w:eastAsia="Arial" w:hAnsi="Arial"/>
                <w:sz w:val="13"/>
                <w:szCs w:val="13"/>
                <w:b w:val="1"/>
                <w:bCs w:val="1"/>
                <w:color w:val="auto"/>
                <w:w w:val="95"/>
              </w:rPr>
              <w:t>Market or</w:t>
            </w:r>
          </w:p>
        </w:tc>
        <w:tc>
          <w:tcPr>
            <w:tcW w:w="0" w:type="dxa"/>
            <w:vAlign w:val="bottom"/>
          </w:tcPr>
          <w:p>
            <w:pPr>
              <w:spacing w:after="0"/>
              <w:rPr>
                <w:sz w:val="1"/>
                <w:szCs w:val="1"/>
                <w:color w:val="auto"/>
              </w:rPr>
            </w:pPr>
          </w:p>
        </w:tc>
      </w:tr>
      <w:tr>
        <w:trPr>
          <w:trHeight w:val="135"/>
        </w:trPr>
        <w:tc>
          <w:tcPr>
            <w:tcW w:w="2000" w:type="dxa"/>
            <w:vAlign w:val="bottom"/>
            <w:tcBorders>
              <w:left w:val="single" w:sz="8" w:color="auto"/>
              <w:right w:val="single" w:sz="8" w:color="auto"/>
            </w:tcBorders>
          </w:tcPr>
          <w:p>
            <w:pPr>
              <w:spacing w:after="0"/>
              <w:rPr>
                <w:sz w:val="11"/>
                <w:szCs w:val="11"/>
                <w:color w:val="auto"/>
              </w:rPr>
            </w:pPr>
          </w:p>
        </w:tc>
        <w:tc>
          <w:tcPr>
            <w:tcW w:w="920" w:type="dxa"/>
            <w:vAlign w:val="bottom"/>
            <w:tcBorders>
              <w:right w:val="single" w:sz="8" w:color="auto"/>
            </w:tcBorders>
          </w:tcPr>
          <w:p>
            <w:pPr>
              <w:spacing w:after="0"/>
              <w:rPr>
                <w:sz w:val="11"/>
                <w:szCs w:val="11"/>
                <w:color w:val="auto"/>
              </w:rPr>
            </w:pPr>
          </w:p>
        </w:tc>
        <w:tc>
          <w:tcPr>
            <w:tcW w:w="1020" w:type="dxa"/>
            <w:vAlign w:val="bottom"/>
            <w:tcBorders>
              <w:right w:val="single" w:sz="8" w:color="auto"/>
            </w:tcBorders>
          </w:tcPr>
          <w:p>
            <w:pPr>
              <w:spacing w:after="0"/>
              <w:rPr>
                <w:sz w:val="11"/>
                <w:szCs w:val="11"/>
                <w:color w:val="auto"/>
              </w:rPr>
            </w:pPr>
          </w:p>
        </w:tc>
        <w:tc>
          <w:tcPr>
            <w:tcW w:w="920" w:type="dxa"/>
            <w:vAlign w:val="bottom"/>
            <w:tcBorders>
              <w:right w:val="single" w:sz="8" w:color="auto"/>
            </w:tcBorders>
          </w:tcPr>
          <w:p>
            <w:pPr>
              <w:jc w:val="center"/>
              <w:spacing w:after="0" w:line="135" w:lineRule="exact"/>
              <w:rPr>
                <w:sz w:val="20"/>
                <w:szCs w:val="20"/>
                <w:color w:val="auto"/>
              </w:rPr>
            </w:pPr>
            <w:r>
              <w:rPr>
                <w:rFonts w:ascii="Arial" w:cs="Arial" w:eastAsia="Arial" w:hAnsi="Arial"/>
                <w:sz w:val="13"/>
                <w:szCs w:val="13"/>
                <w:b w:val="1"/>
                <w:bCs w:val="1"/>
                <w:color w:val="auto"/>
                <w:w w:val="95"/>
              </w:rPr>
              <w:t>Incentive</w:t>
            </w:r>
          </w:p>
        </w:tc>
        <w:tc>
          <w:tcPr>
            <w:tcW w:w="660" w:type="dxa"/>
            <w:vAlign w:val="bottom"/>
            <w:tcBorders>
              <w:right w:val="single" w:sz="8" w:color="auto"/>
            </w:tcBorders>
          </w:tcPr>
          <w:p>
            <w:pPr>
              <w:spacing w:after="0"/>
              <w:rPr>
                <w:sz w:val="11"/>
                <w:szCs w:val="11"/>
                <w:color w:val="auto"/>
              </w:rPr>
            </w:pPr>
          </w:p>
        </w:tc>
        <w:tc>
          <w:tcPr>
            <w:tcW w:w="800" w:type="dxa"/>
            <w:vAlign w:val="bottom"/>
            <w:tcBorders>
              <w:right w:val="single" w:sz="8" w:color="auto"/>
            </w:tcBorders>
          </w:tcPr>
          <w:p>
            <w:pPr>
              <w:spacing w:after="0"/>
              <w:rPr>
                <w:sz w:val="11"/>
                <w:szCs w:val="11"/>
                <w:color w:val="auto"/>
              </w:rPr>
            </w:pPr>
          </w:p>
        </w:tc>
        <w:tc>
          <w:tcPr>
            <w:tcW w:w="800" w:type="dxa"/>
            <w:vAlign w:val="bottom"/>
            <w:tcBorders>
              <w:right w:val="single" w:sz="8" w:color="auto"/>
            </w:tcBorders>
          </w:tcPr>
          <w:p>
            <w:pPr>
              <w:spacing w:after="0"/>
              <w:rPr>
                <w:sz w:val="11"/>
                <w:szCs w:val="11"/>
                <w:color w:val="auto"/>
              </w:rPr>
            </w:pPr>
          </w:p>
        </w:tc>
        <w:tc>
          <w:tcPr>
            <w:tcW w:w="880" w:type="dxa"/>
            <w:vAlign w:val="bottom"/>
            <w:tcBorders>
              <w:right w:val="single" w:sz="8" w:color="auto"/>
            </w:tcBorders>
          </w:tcPr>
          <w:p>
            <w:pPr>
              <w:spacing w:after="0"/>
              <w:rPr>
                <w:sz w:val="11"/>
                <w:szCs w:val="11"/>
                <w:color w:val="auto"/>
              </w:rPr>
            </w:pPr>
          </w:p>
        </w:tc>
        <w:tc>
          <w:tcPr>
            <w:tcW w:w="860" w:type="dxa"/>
            <w:vAlign w:val="bottom"/>
            <w:tcBorders>
              <w:right w:val="single" w:sz="8" w:color="auto"/>
            </w:tcBorders>
          </w:tcPr>
          <w:p>
            <w:pPr>
              <w:jc w:val="center"/>
              <w:spacing w:after="0" w:line="135" w:lineRule="exact"/>
              <w:rPr>
                <w:sz w:val="20"/>
                <w:szCs w:val="20"/>
                <w:color w:val="auto"/>
              </w:rPr>
            </w:pPr>
            <w:r>
              <w:rPr>
                <w:rFonts w:ascii="Arial" w:cs="Arial" w:eastAsia="Arial" w:hAnsi="Arial"/>
                <w:sz w:val="13"/>
                <w:szCs w:val="13"/>
                <w:b w:val="1"/>
                <w:bCs w:val="1"/>
                <w:color w:val="auto"/>
                <w:w w:val="93"/>
              </w:rPr>
              <w:t>Awards:</w:t>
            </w:r>
          </w:p>
        </w:tc>
        <w:tc>
          <w:tcPr>
            <w:tcW w:w="880" w:type="dxa"/>
            <w:vAlign w:val="bottom"/>
            <w:tcBorders>
              <w:right w:val="single" w:sz="8" w:color="auto"/>
            </w:tcBorders>
          </w:tcPr>
          <w:p>
            <w:pPr>
              <w:jc w:val="center"/>
              <w:spacing w:after="0" w:line="135" w:lineRule="exact"/>
              <w:rPr>
                <w:sz w:val="20"/>
                <w:szCs w:val="20"/>
                <w:color w:val="auto"/>
              </w:rPr>
            </w:pPr>
            <w:r>
              <w:rPr>
                <w:rFonts w:ascii="Arial" w:cs="Arial" w:eastAsia="Arial" w:hAnsi="Arial"/>
                <w:sz w:val="13"/>
                <w:szCs w:val="13"/>
                <w:b w:val="1"/>
                <w:bCs w:val="1"/>
                <w:color w:val="auto"/>
                <w:w w:val="96"/>
              </w:rPr>
              <w:t>Payout</w:t>
            </w:r>
          </w:p>
        </w:tc>
        <w:tc>
          <w:tcPr>
            <w:tcW w:w="0" w:type="dxa"/>
            <w:vAlign w:val="bottom"/>
          </w:tcPr>
          <w:p>
            <w:pPr>
              <w:spacing w:after="0"/>
              <w:rPr>
                <w:sz w:val="1"/>
                <w:szCs w:val="1"/>
                <w:color w:val="auto"/>
              </w:rPr>
            </w:pPr>
          </w:p>
        </w:tc>
      </w:tr>
      <w:tr>
        <w:trPr>
          <w:trHeight w:val="135"/>
        </w:trPr>
        <w:tc>
          <w:tcPr>
            <w:tcW w:w="2000" w:type="dxa"/>
            <w:vAlign w:val="bottom"/>
            <w:tcBorders>
              <w:left w:val="single" w:sz="8" w:color="auto"/>
              <w:right w:val="single" w:sz="8" w:color="auto"/>
            </w:tcBorders>
          </w:tcPr>
          <w:p>
            <w:pPr>
              <w:spacing w:after="0"/>
              <w:rPr>
                <w:sz w:val="11"/>
                <w:szCs w:val="11"/>
                <w:color w:val="auto"/>
              </w:rPr>
            </w:pPr>
          </w:p>
        </w:tc>
        <w:tc>
          <w:tcPr>
            <w:tcW w:w="920" w:type="dxa"/>
            <w:vAlign w:val="bottom"/>
            <w:tcBorders>
              <w:right w:val="single" w:sz="8" w:color="auto"/>
            </w:tcBorders>
          </w:tcPr>
          <w:p>
            <w:pPr>
              <w:spacing w:after="0"/>
              <w:rPr>
                <w:sz w:val="11"/>
                <w:szCs w:val="11"/>
                <w:color w:val="auto"/>
              </w:rPr>
            </w:pPr>
          </w:p>
        </w:tc>
        <w:tc>
          <w:tcPr>
            <w:tcW w:w="1020" w:type="dxa"/>
            <w:vAlign w:val="bottom"/>
            <w:tcBorders>
              <w:right w:val="single" w:sz="8" w:color="auto"/>
            </w:tcBorders>
          </w:tcPr>
          <w:p>
            <w:pPr>
              <w:spacing w:after="0"/>
              <w:rPr>
                <w:sz w:val="11"/>
                <w:szCs w:val="11"/>
                <w:color w:val="auto"/>
              </w:rPr>
            </w:pPr>
          </w:p>
        </w:tc>
        <w:tc>
          <w:tcPr>
            <w:tcW w:w="920" w:type="dxa"/>
            <w:vAlign w:val="bottom"/>
            <w:tcBorders>
              <w:right w:val="single" w:sz="8" w:color="auto"/>
            </w:tcBorders>
          </w:tcPr>
          <w:p>
            <w:pPr>
              <w:jc w:val="center"/>
              <w:spacing w:after="0" w:line="135" w:lineRule="exact"/>
              <w:rPr>
                <w:sz w:val="20"/>
                <w:szCs w:val="20"/>
                <w:color w:val="auto"/>
              </w:rPr>
            </w:pPr>
            <w:r>
              <w:rPr>
                <w:rFonts w:ascii="Arial" w:cs="Arial" w:eastAsia="Arial" w:hAnsi="Arial"/>
                <w:sz w:val="13"/>
                <w:szCs w:val="13"/>
                <w:b w:val="1"/>
                <w:bCs w:val="1"/>
                <w:color w:val="auto"/>
                <w:w w:val="94"/>
              </w:rPr>
              <w:t>Plan</w:t>
            </w:r>
          </w:p>
        </w:tc>
        <w:tc>
          <w:tcPr>
            <w:tcW w:w="660" w:type="dxa"/>
            <w:vAlign w:val="bottom"/>
            <w:tcBorders>
              <w:right w:val="single" w:sz="8" w:color="auto"/>
            </w:tcBorders>
          </w:tcPr>
          <w:p>
            <w:pPr>
              <w:spacing w:after="0"/>
              <w:rPr>
                <w:sz w:val="11"/>
                <w:szCs w:val="11"/>
                <w:color w:val="auto"/>
              </w:rPr>
            </w:pPr>
          </w:p>
        </w:tc>
        <w:tc>
          <w:tcPr>
            <w:tcW w:w="800" w:type="dxa"/>
            <w:vAlign w:val="bottom"/>
            <w:tcBorders>
              <w:right w:val="single" w:sz="8" w:color="auto"/>
            </w:tcBorders>
          </w:tcPr>
          <w:p>
            <w:pPr>
              <w:spacing w:after="0"/>
              <w:rPr>
                <w:sz w:val="11"/>
                <w:szCs w:val="11"/>
                <w:color w:val="auto"/>
              </w:rPr>
            </w:pPr>
          </w:p>
        </w:tc>
        <w:tc>
          <w:tcPr>
            <w:tcW w:w="800" w:type="dxa"/>
            <w:vAlign w:val="bottom"/>
            <w:tcBorders>
              <w:right w:val="single" w:sz="8" w:color="auto"/>
            </w:tcBorders>
          </w:tcPr>
          <w:p>
            <w:pPr>
              <w:spacing w:after="0"/>
              <w:rPr>
                <w:sz w:val="11"/>
                <w:szCs w:val="11"/>
                <w:color w:val="auto"/>
              </w:rPr>
            </w:pPr>
          </w:p>
        </w:tc>
        <w:tc>
          <w:tcPr>
            <w:tcW w:w="880" w:type="dxa"/>
            <w:vAlign w:val="bottom"/>
            <w:tcBorders>
              <w:right w:val="single" w:sz="8" w:color="auto"/>
            </w:tcBorders>
            <w:vMerge w:val="restart"/>
          </w:tcPr>
          <w:p>
            <w:pPr>
              <w:jc w:val="center"/>
              <w:spacing w:after="0"/>
              <w:rPr>
                <w:sz w:val="20"/>
                <w:szCs w:val="20"/>
                <w:color w:val="auto"/>
              </w:rPr>
            </w:pPr>
            <w:r>
              <w:rPr>
                <w:rFonts w:ascii="Arial" w:cs="Arial" w:eastAsia="Arial" w:hAnsi="Arial"/>
                <w:sz w:val="13"/>
                <w:szCs w:val="13"/>
                <w:b w:val="1"/>
                <w:bCs w:val="1"/>
                <w:color w:val="auto"/>
                <w:w w:val="95"/>
              </w:rPr>
              <w:t>Market</w:t>
            </w:r>
          </w:p>
        </w:tc>
        <w:tc>
          <w:tcPr>
            <w:tcW w:w="860" w:type="dxa"/>
            <w:vAlign w:val="bottom"/>
            <w:tcBorders>
              <w:right w:val="single" w:sz="8" w:color="auto"/>
            </w:tcBorders>
          </w:tcPr>
          <w:p>
            <w:pPr>
              <w:jc w:val="center"/>
              <w:spacing w:after="0" w:line="135" w:lineRule="exact"/>
              <w:rPr>
                <w:sz w:val="20"/>
                <w:szCs w:val="20"/>
                <w:color w:val="auto"/>
              </w:rPr>
            </w:pPr>
            <w:r>
              <w:rPr>
                <w:rFonts w:ascii="Arial" w:cs="Arial" w:eastAsia="Arial" w:hAnsi="Arial"/>
                <w:sz w:val="13"/>
                <w:szCs w:val="13"/>
                <w:b w:val="1"/>
                <w:bCs w:val="1"/>
                <w:color w:val="auto"/>
                <w:w w:val="98"/>
              </w:rPr>
              <w:t>Number of</w:t>
            </w:r>
          </w:p>
        </w:tc>
        <w:tc>
          <w:tcPr>
            <w:tcW w:w="880" w:type="dxa"/>
            <w:vAlign w:val="bottom"/>
            <w:tcBorders>
              <w:right w:val="single" w:sz="8" w:color="auto"/>
            </w:tcBorders>
          </w:tcPr>
          <w:p>
            <w:pPr>
              <w:jc w:val="center"/>
              <w:spacing w:after="0" w:line="135" w:lineRule="exact"/>
              <w:rPr>
                <w:sz w:val="20"/>
                <w:szCs w:val="20"/>
                <w:color w:val="auto"/>
              </w:rPr>
            </w:pPr>
            <w:r>
              <w:rPr>
                <w:rFonts w:ascii="Arial" w:cs="Arial" w:eastAsia="Arial" w:hAnsi="Arial"/>
                <w:sz w:val="13"/>
                <w:szCs w:val="13"/>
                <w:b w:val="1"/>
                <w:bCs w:val="1"/>
                <w:color w:val="auto"/>
                <w:w w:val="94"/>
              </w:rPr>
              <w:t>Value of</w:t>
            </w:r>
          </w:p>
        </w:tc>
        <w:tc>
          <w:tcPr>
            <w:tcW w:w="0" w:type="dxa"/>
            <w:vAlign w:val="bottom"/>
          </w:tcPr>
          <w:p>
            <w:pPr>
              <w:spacing w:after="0"/>
              <w:rPr>
                <w:sz w:val="1"/>
                <w:szCs w:val="1"/>
                <w:color w:val="auto"/>
              </w:rPr>
            </w:pPr>
          </w:p>
        </w:tc>
      </w:tr>
      <w:tr>
        <w:trPr>
          <w:trHeight w:val="135"/>
        </w:trPr>
        <w:tc>
          <w:tcPr>
            <w:tcW w:w="2000" w:type="dxa"/>
            <w:vAlign w:val="bottom"/>
            <w:tcBorders>
              <w:left w:val="single" w:sz="8" w:color="auto"/>
              <w:right w:val="single" w:sz="8" w:color="auto"/>
            </w:tcBorders>
          </w:tcPr>
          <w:p>
            <w:pPr>
              <w:spacing w:after="0"/>
              <w:rPr>
                <w:sz w:val="11"/>
                <w:szCs w:val="11"/>
                <w:color w:val="auto"/>
              </w:rPr>
            </w:pPr>
          </w:p>
        </w:tc>
        <w:tc>
          <w:tcPr>
            <w:tcW w:w="920" w:type="dxa"/>
            <w:vAlign w:val="bottom"/>
            <w:tcBorders>
              <w:right w:val="single" w:sz="8" w:color="auto"/>
            </w:tcBorders>
            <w:vMerge w:val="restart"/>
          </w:tcPr>
          <w:p>
            <w:pPr>
              <w:jc w:val="center"/>
              <w:spacing w:after="0"/>
              <w:rPr>
                <w:sz w:val="20"/>
                <w:szCs w:val="20"/>
                <w:color w:val="auto"/>
              </w:rPr>
            </w:pPr>
            <w:r>
              <w:rPr>
                <w:rFonts w:ascii="Arial" w:cs="Arial" w:eastAsia="Arial" w:hAnsi="Arial"/>
                <w:sz w:val="13"/>
                <w:szCs w:val="13"/>
                <w:b w:val="1"/>
                <w:bCs w:val="1"/>
                <w:color w:val="auto"/>
                <w:w w:val="98"/>
              </w:rPr>
              <w:t>Number of</w:t>
            </w:r>
          </w:p>
        </w:tc>
        <w:tc>
          <w:tcPr>
            <w:tcW w:w="1020" w:type="dxa"/>
            <w:vAlign w:val="bottom"/>
            <w:tcBorders>
              <w:right w:val="single" w:sz="8" w:color="auto"/>
            </w:tcBorders>
            <w:vMerge w:val="restart"/>
          </w:tcPr>
          <w:p>
            <w:pPr>
              <w:jc w:val="center"/>
              <w:spacing w:after="0"/>
              <w:rPr>
                <w:sz w:val="20"/>
                <w:szCs w:val="20"/>
                <w:color w:val="auto"/>
              </w:rPr>
            </w:pPr>
            <w:r>
              <w:rPr>
                <w:rFonts w:ascii="Arial" w:cs="Arial" w:eastAsia="Arial" w:hAnsi="Arial"/>
                <w:sz w:val="13"/>
                <w:szCs w:val="13"/>
                <w:b w:val="1"/>
                <w:bCs w:val="1"/>
                <w:color w:val="auto"/>
                <w:w w:val="95"/>
              </w:rPr>
              <w:t>Number of</w:t>
            </w:r>
          </w:p>
        </w:tc>
        <w:tc>
          <w:tcPr>
            <w:tcW w:w="920" w:type="dxa"/>
            <w:vAlign w:val="bottom"/>
            <w:tcBorders>
              <w:right w:val="single" w:sz="8" w:color="auto"/>
            </w:tcBorders>
          </w:tcPr>
          <w:p>
            <w:pPr>
              <w:jc w:val="center"/>
              <w:spacing w:after="0" w:line="135" w:lineRule="exact"/>
              <w:rPr>
                <w:sz w:val="20"/>
                <w:szCs w:val="20"/>
                <w:color w:val="auto"/>
              </w:rPr>
            </w:pPr>
            <w:r>
              <w:rPr>
                <w:rFonts w:ascii="Arial" w:cs="Arial" w:eastAsia="Arial" w:hAnsi="Arial"/>
                <w:sz w:val="13"/>
                <w:szCs w:val="13"/>
                <w:b w:val="1"/>
                <w:bCs w:val="1"/>
                <w:color w:val="auto"/>
                <w:w w:val="97"/>
              </w:rPr>
              <w:t>Awards:</w:t>
            </w:r>
          </w:p>
        </w:tc>
        <w:tc>
          <w:tcPr>
            <w:tcW w:w="660" w:type="dxa"/>
            <w:vAlign w:val="bottom"/>
            <w:tcBorders>
              <w:right w:val="single" w:sz="8" w:color="auto"/>
            </w:tcBorders>
          </w:tcPr>
          <w:p>
            <w:pPr>
              <w:spacing w:after="0"/>
              <w:rPr>
                <w:sz w:val="11"/>
                <w:szCs w:val="11"/>
                <w:color w:val="auto"/>
              </w:rPr>
            </w:pPr>
          </w:p>
        </w:tc>
        <w:tc>
          <w:tcPr>
            <w:tcW w:w="800" w:type="dxa"/>
            <w:vAlign w:val="bottom"/>
            <w:tcBorders>
              <w:right w:val="single" w:sz="8" w:color="auto"/>
            </w:tcBorders>
          </w:tcPr>
          <w:p>
            <w:pPr>
              <w:spacing w:after="0"/>
              <w:rPr>
                <w:sz w:val="11"/>
                <w:szCs w:val="11"/>
                <w:color w:val="auto"/>
              </w:rPr>
            </w:pPr>
          </w:p>
        </w:tc>
        <w:tc>
          <w:tcPr>
            <w:tcW w:w="800" w:type="dxa"/>
            <w:vAlign w:val="bottom"/>
            <w:tcBorders>
              <w:right w:val="single" w:sz="8" w:color="auto"/>
            </w:tcBorders>
            <w:vMerge w:val="restart"/>
          </w:tcPr>
          <w:p>
            <w:pPr>
              <w:jc w:val="center"/>
              <w:spacing w:after="0"/>
              <w:rPr>
                <w:sz w:val="20"/>
                <w:szCs w:val="20"/>
                <w:color w:val="auto"/>
              </w:rPr>
            </w:pPr>
            <w:r>
              <w:rPr>
                <w:rFonts w:ascii="Arial" w:cs="Arial" w:eastAsia="Arial" w:hAnsi="Arial"/>
                <w:sz w:val="13"/>
                <w:szCs w:val="13"/>
                <w:b w:val="1"/>
                <w:bCs w:val="1"/>
                <w:color w:val="auto"/>
                <w:w w:val="95"/>
              </w:rPr>
              <w:t>Number of</w:t>
            </w:r>
          </w:p>
        </w:tc>
        <w:tc>
          <w:tcPr>
            <w:tcW w:w="880" w:type="dxa"/>
            <w:vAlign w:val="bottom"/>
            <w:tcBorders>
              <w:right w:val="single" w:sz="8" w:color="auto"/>
            </w:tcBorders>
            <w:vMerge w:val="continue"/>
          </w:tcPr>
          <w:p>
            <w:pPr>
              <w:spacing w:after="0"/>
              <w:rPr>
                <w:sz w:val="11"/>
                <w:szCs w:val="11"/>
                <w:color w:val="auto"/>
              </w:rPr>
            </w:pPr>
          </w:p>
        </w:tc>
        <w:tc>
          <w:tcPr>
            <w:tcW w:w="860" w:type="dxa"/>
            <w:vAlign w:val="bottom"/>
            <w:tcBorders>
              <w:right w:val="single" w:sz="8" w:color="auto"/>
            </w:tcBorders>
          </w:tcPr>
          <w:p>
            <w:pPr>
              <w:jc w:val="center"/>
              <w:spacing w:after="0" w:line="135" w:lineRule="exact"/>
              <w:rPr>
                <w:sz w:val="20"/>
                <w:szCs w:val="20"/>
                <w:color w:val="auto"/>
              </w:rPr>
            </w:pPr>
            <w:r>
              <w:rPr>
                <w:rFonts w:ascii="Arial" w:cs="Arial" w:eastAsia="Arial" w:hAnsi="Arial"/>
                <w:sz w:val="13"/>
                <w:szCs w:val="13"/>
                <w:b w:val="1"/>
                <w:bCs w:val="1"/>
                <w:color w:val="auto"/>
                <w:w w:val="96"/>
              </w:rPr>
              <w:t>Unearned</w:t>
            </w:r>
          </w:p>
        </w:tc>
        <w:tc>
          <w:tcPr>
            <w:tcW w:w="880" w:type="dxa"/>
            <w:vAlign w:val="bottom"/>
            <w:tcBorders>
              <w:right w:val="single" w:sz="8" w:color="auto"/>
            </w:tcBorders>
          </w:tcPr>
          <w:p>
            <w:pPr>
              <w:jc w:val="center"/>
              <w:spacing w:after="0" w:line="135" w:lineRule="exact"/>
              <w:rPr>
                <w:sz w:val="20"/>
                <w:szCs w:val="20"/>
                <w:color w:val="auto"/>
              </w:rPr>
            </w:pPr>
            <w:r>
              <w:rPr>
                <w:rFonts w:ascii="Arial" w:cs="Arial" w:eastAsia="Arial" w:hAnsi="Arial"/>
                <w:sz w:val="13"/>
                <w:szCs w:val="13"/>
                <w:b w:val="1"/>
                <w:bCs w:val="1"/>
                <w:color w:val="auto"/>
                <w:w w:val="96"/>
              </w:rPr>
              <w:t>Unearned</w:t>
            </w:r>
          </w:p>
        </w:tc>
        <w:tc>
          <w:tcPr>
            <w:tcW w:w="0" w:type="dxa"/>
            <w:vAlign w:val="bottom"/>
          </w:tcPr>
          <w:p>
            <w:pPr>
              <w:spacing w:after="0"/>
              <w:rPr>
                <w:sz w:val="1"/>
                <w:szCs w:val="1"/>
                <w:color w:val="auto"/>
              </w:rPr>
            </w:pPr>
          </w:p>
        </w:tc>
      </w:tr>
      <w:tr>
        <w:trPr>
          <w:trHeight w:val="135"/>
        </w:trPr>
        <w:tc>
          <w:tcPr>
            <w:tcW w:w="2000" w:type="dxa"/>
            <w:vAlign w:val="bottom"/>
            <w:tcBorders>
              <w:left w:val="single" w:sz="8" w:color="auto"/>
              <w:right w:val="single" w:sz="8" w:color="auto"/>
            </w:tcBorders>
          </w:tcPr>
          <w:p>
            <w:pPr>
              <w:spacing w:after="0"/>
              <w:rPr>
                <w:sz w:val="11"/>
                <w:szCs w:val="11"/>
                <w:color w:val="auto"/>
              </w:rPr>
            </w:pPr>
          </w:p>
        </w:tc>
        <w:tc>
          <w:tcPr>
            <w:tcW w:w="920" w:type="dxa"/>
            <w:vAlign w:val="bottom"/>
            <w:tcBorders>
              <w:right w:val="single" w:sz="8" w:color="auto"/>
            </w:tcBorders>
            <w:vMerge w:val="continue"/>
          </w:tcPr>
          <w:p>
            <w:pPr>
              <w:spacing w:after="0"/>
              <w:rPr>
                <w:sz w:val="11"/>
                <w:szCs w:val="11"/>
                <w:color w:val="auto"/>
              </w:rPr>
            </w:pPr>
          </w:p>
        </w:tc>
        <w:tc>
          <w:tcPr>
            <w:tcW w:w="1020" w:type="dxa"/>
            <w:vAlign w:val="bottom"/>
            <w:tcBorders>
              <w:right w:val="single" w:sz="8" w:color="auto"/>
            </w:tcBorders>
            <w:vMerge w:val="continue"/>
          </w:tcPr>
          <w:p>
            <w:pPr>
              <w:spacing w:after="0"/>
              <w:rPr>
                <w:sz w:val="11"/>
                <w:szCs w:val="11"/>
                <w:color w:val="auto"/>
              </w:rPr>
            </w:pPr>
          </w:p>
        </w:tc>
        <w:tc>
          <w:tcPr>
            <w:tcW w:w="920" w:type="dxa"/>
            <w:vAlign w:val="bottom"/>
            <w:tcBorders>
              <w:right w:val="single" w:sz="8" w:color="auto"/>
            </w:tcBorders>
          </w:tcPr>
          <w:p>
            <w:pPr>
              <w:jc w:val="center"/>
              <w:spacing w:after="0" w:line="135" w:lineRule="exact"/>
              <w:rPr>
                <w:sz w:val="20"/>
                <w:szCs w:val="20"/>
                <w:color w:val="auto"/>
              </w:rPr>
            </w:pPr>
            <w:r>
              <w:rPr>
                <w:rFonts w:ascii="Arial" w:cs="Arial" w:eastAsia="Arial" w:hAnsi="Arial"/>
                <w:sz w:val="13"/>
                <w:szCs w:val="13"/>
                <w:b w:val="1"/>
                <w:bCs w:val="1"/>
                <w:color w:val="auto"/>
                <w:w w:val="95"/>
              </w:rPr>
              <w:t>Number of</w:t>
            </w:r>
          </w:p>
        </w:tc>
        <w:tc>
          <w:tcPr>
            <w:tcW w:w="660" w:type="dxa"/>
            <w:vAlign w:val="bottom"/>
            <w:tcBorders>
              <w:right w:val="single" w:sz="8" w:color="auto"/>
            </w:tcBorders>
          </w:tcPr>
          <w:p>
            <w:pPr>
              <w:spacing w:after="0"/>
              <w:rPr>
                <w:sz w:val="11"/>
                <w:szCs w:val="11"/>
                <w:color w:val="auto"/>
              </w:rPr>
            </w:pPr>
          </w:p>
        </w:tc>
        <w:tc>
          <w:tcPr>
            <w:tcW w:w="800" w:type="dxa"/>
            <w:vAlign w:val="bottom"/>
            <w:tcBorders>
              <w:right w:val="single" w:sz="8" w:color="auto"/>
            </w:tcBorders>
          </w:tcPr>
          <w:p>
            <w:pPr>
              <w:spacing w:after="0"/>
              <w:rPr>
                <w:sz w:val="11"/>
                <w:szCs w:val="11"/>
                <w:color w:val="auto"/>
              </w:rPr>
            </w:pPr>
          </w:p>
        </w:tc>
        <w:tc>
          <w:tcPr>
            <w:tcW w:w="800" w:type="dxa"/>
            <w:vAlign w:val="bottom"/>
            <w:tcBorders>
              <w:right w:val="single" w:sz="8" w:color="auto"/>
            </w:tcBorders>
            <w:vMerge w:val="continue"/>
          </w:tcPr>
          <w:p>
            <w:pPr>
              <w:spacing w:after="0"/>
              <w:rPr>
                <w:sz w:val="11"/>
                <w:szCs w:val="11"/>
                <w:color w:val="auto"/>
              </w:rPr>
            </w:pPr>
          </w:p>
        </w:tc>
        <w:tc>
          <w:tcPr>
            <w:tcW w:w="880" w:type="dxa"/>
            <w:vAlign w:val="bottom"/>
            <w:tcBorders>
              <w:right w:val="single" w:sz="8" w:color="auto"/>
            </w:tcBorders>
          </w:tcPr>
          <w:p>
            <w:pPr>
              <w:jc w:val="center"/>
              <w:spacing w:after="0" w:line="135" w:lineRule="exact"/>
              <w:rPr>
                <w:sz w:val="20"/>
                <w:szCs w:val="20"/>
                <w:color w:val="auto"/>
              </w:rPr>
            </w:pPr>
            <w:r>
              <w:rPr>
                <w:rFonts w:ascii="Arial" w:cs="Arial" w:eastAsia="Arial" w:hAnsi="Arial"/>
                <w:sz w:val="13"/>
                <w:szCs w:val="13"/>
                <w:b w:val="1"/>
                <w:bCs w:val="1"/>
                <w:color w:val="auto"/>
                <w:w w:val="94"/>
              </w:rPr>
              <w:t>Value of</w:t>
            </w:r>
          </w:p>
        </w:tc>
        <w:tc>
          <w:tcPr>
            <w:tcW w:w="860" w:type="dxa"/>
            <w:vAlign w:val="bottom"/>
            <w:tcBorders>
              <w:right w:val="single" w:sz="8" w:color="auto"/>
            </w:tcBorders>
          </w:tcPr>
          <w:p>
            <w:pPr>
              <w:jc w:val="center"/>
              <w:spacing w:after="0" w:line="135" w:lineRule="exact"/>
              <w:rPr>
                <w:sz w:val="20"/>
                <w:szCs w:val="20"/>
                <w:color w:val="auto"/>
              </w:rPr>
            </w:pPr>
            <w:r>
              <w:rPr>
                <w:rFonts w:ascii="Arial" w:cs="Arial" w:eastAsia="Arial" w:hAnsi="Arial"/>
                <w:sz w:val="13"/>
                <w:szCs w:val="13"/>
                <w:b w:val="1"/>
                <w:bCs w:val="1"/>
                <w:color w:val="auto"/>
                <w:w w:val="97"/>
              </w:rPr>
              <w:t>Shares,</w:t>
            </w:r>
          </w:p>
        </w:tc>
        <w:tc>
          <w:tcPr>
            <w:tcW w:w="880" w:type="dxa"/>
            <w:vAlign w:val="bottom"/>
            <w:tcBorders>
              <w:right w:val="single" w:sz="8" w:color="auto"/>
            </w:tcBorders>
          </w:tcPr>
          <w:p>
            <w:pPr>
              <w:jc w:val="center"/>
              <w:spacing w:after="0" w:line="135" w:lineRule="exact"/>
              <w:rPr>
                <w:sz w:val="20"/>
                <w:szCs w:val="20"/>
                <w:color w:val="auto"/>
              </w:rPr>
            </w:pPr>
            <w:r>
              <w:rPr>
                <w:rFonts w:ascii="Arial" w:cs="Arial" w:eastAsia="Arial" w:hAnsi="Arial"/>
                <w:sz w:val="13"/>
                <w:szCs w:val="13"/>
                <w:b w:val="1"/>
                <w:bCs w:val="1"/>
                <w:color w:val="auto"/>
                <w:w w:val="97"/>
              </w:rPr>
              <w:t>Shares,</w:t>
            </w:r>
          </w:p>
        </w:tc>
        <w:tc>
          <w:tcPr>
            <w:tcW w:w="0" w:type="dxa"/>
            <w:vAlign w:val="bottom"/>
          </w:tcPr>
          <w:p>
            <w:pPr>
              <w:spacing w:after="0"/>
              <w:rPr>
                <w:sz w:val="1"/>
                <w:szCs w:val="1"/>
                <w:color w:val="auto"/>
              </w:rPr>
            </w:pPr>
          </w:p>
        </w:tc>
      </w:tr>
      <w:tr>
        <w:trPr>
          <w:trHeight w:val="135"/>
        </w:trPr>
        <w:tc>
          <w:tcPr>
            <w:tcW w:w="2000" w:type="dxa"/>
            <w:vAlign w:val="bottom"/>
            <w:tcBorders>
              <w:left w:val="single" w:sz="8" w:color="auto"/>
              <w:right w:val="single" w:sz="8" w:color="auto"/>
            </w:tcBorders>
          </w:tcPr>
          <w:p>
            <w:pPr>
              <w:spacing w:after="0"/>
              <w:rPr>
                <w:sz w:val="11"/>
                <w:szCs w:val="11"/>
                <w:color w:val="auto"/>
              </w:rPr>
            </w:pPr>
          </w:p>
        </w:tc>
        <w:tc>
          <w:tcPr>
            <w:tcW w:w="920" w:type="dxa"/>
            <w:vAlign w:val="bottom"/>
            <w:tcBorders>
              <w:right w:val="single" w:sz="8" w:color="auto"/>
            </w:tcBorders>
          </w:tcPr>
          <w:p>
            <w:pPr>
              <w:jc w:val="center"/>
              <w:spacing w:after="0" w:line="135" w:lineRule="exact"/>
              <w:rPr>
                <w:sz w:val="20"/>
                <w:szCs w:val="20"/>
                <w:color w:val="auto"/>
              </w:rPr>
            </w:pPr>
            <w:r>
              <w:rPr>
                <w:rFonts w:ascii="Arial" w:cs="Arial" w:eastAsia="Arial" w:hAnsi="Arial"/>
                <w:sz w:val="13"/>
                <w:szCs w:val="13"/>
                <w:b w:val="1"/>
                <w:bCs w:val="1"/>
                <w:color w:val="auto"/>
                <w:w w:val="96"/>
              </w:rPr>
              <w:t>Securities</w:t>
            </w:r>
          </w:p>
        </w:tc>
        <w:tc>
          <w:tcPr>
            <w:tcW w:w="1020" w:type="dxa"/>
            <w:vAlign w:val="bottom"/>
            <w:tcBorders>
              <w:right w:val="single" w:sz="8" w:color="auto"/>
            </w:tcBorders>
          </w:tcPr>
          <w:p>
            <w:pPr>
              <w:jc w:val="center"/>
              <w:spacing w:after="0" w:line="135" w:lineRule="exact"/>
              <w:rPr>
                <w:sz w:val="20"/>
                <w:szCs w:val="20"/>
                <w:color w:val="auto"/>
              </w:rPr>
            </w:pPr>
            <w:r>
              <w:rPr>
                <w:rFonts w:ascii="Arial" w:cs="Arial" w:eastAsia="Arial" w:hAnsi="Arial"/>
                <w:sz w:val="13"/>
                <w:szCs w:val="13"/>
                <w:b w:val="1"/>
                <w:bCs w:val="1"/>
                <w:color w:val="auto"/>
                <w:w w:val="96"/>
              </w:rPr>
              <w:t>Securities</w:t>
            </w:r>
          </w:p>
        </w:tc>
        <w:tc>
          <w:tcPr>
            <w:tcW w:w="920" w:type="dxa"/>
            <w:vAlign w:val="bottom"/>
            <w:tcBorders>
              <w:right w:val="single" w:sz="8" w:color="auto"/>
            </w:tcBorders>
          </w:tcPr>
          <w:p>
            <w:pPr>
              <w:jc w:val="center"/>
              <w:spacing w:after="0" w:line="135" w:lineRule="exact"/>
              <w:rPr>
                <w:sz w:val="20"/>
                <w:szCs w:val="20"/>
                <w:color w:val="auto"/>
              </w:rPr>
            </w:pPr>
            <w:r>
              <w:rPr>
                <w:rFonts w:ascii="Arial" w:cs="Arial" w:eastAsia="Arial" w:hAnsi="Arial"/>
                <w:sz w:val="13"/>
                <w:szCs w:val="13"/>
                <w:b w:val="1"/>
                <w:bCs w:val="1"/>
                <w:color w:val="auto"/>
                <w:w w:val="96"/>
              </w:rPr>
              <w:t>Securities</w:t>
            </w:r>
          </w:p>
        </w:tc>
        <w:tc>
          <w:tcPr>
            <w:tcW w:w="660" w:type="dxa"/>
            <w:vAlign w:val="bottom"/>
            <w:tcBorders>
              <w:right w:val="single" w:sz="8" w:color="auto"/>
            </w:tcBorders>
            <w:vMerge w:val="restart"/>
          </w:tcPr>
          <w:p>
            <w:pPr>
              <w:jc w:val="center"/>
              <w:spacing w:after="0"/>
              <w:rPr>
                <w:sz w:val="20"/>
                <w:szCs w:val="20"/>
                <w:color w:val="auto"/>
              </w:rPr>
            </w:pPr>
            <w:r>
              <w:rPr>
                <w:rFonts w:ascii="Arial" w:cs="Arial" w:eastAsia="Arial" w:hAnsi="Arial"/>
                <w:sz w:val="13"/>
                <w:szCs w:val="13"/>
                <w:b w:val="1"/>
                <w:bCs w:val="1"/>
                <w:color w:val="auto"/>
              </w:rPr>
              <w:t>Option</w:t>
            </w:r>
          </w:p>
        </w:tc>
        <w:tc>
          <w:tcPr>
            <w:tcW w:w="800" w:type="dxa"/>
            <w:vAlign w:val="bottom"/>
            <w:tcBorders>
              <w:right w:val="single" w:sz="8" w:color="auto"/>
            </w:tcBorders>
          </w:tcPr>
          <w:p>
            <w:pPr>
              <w:spacing w:after="0"/>
              <w:rPr>
                <w:sz w:val="11"/>
                <w:szCs w:val="11"/>
                <w:color w:val="auto"/>
              </w:rPr>
            </w:pPr>
          </w:p>
        </w:tc>
        <w:tc>
          <w:tcPr>
            <w:tcW w:w="800" w:type="dxa"/>
            <w:vAlign w:val="bottom"/>
            <w:tcBorders>
              <w:right w:val="single" w:sz="8" w:color="auto"/>
            </w:tcBorders>
          </w:tcPr>
          <w:p>
            <w:pPr>
              <w:jc w:val="center"/>
              <w:spacing w:after="0" w:line="135" w:lineRule="exact"/>
              <w:rPr>
                <w:sz w:val="20"/>
                <w:szCs w:val="20"/>
                <w:color w:val="auto"/>
              </w:rPr>
            </w:pPr>
            <w:r>
              <w:rPr>
                <w:rFonts w:ascii="Arial" w:cs="Arial" w:eastAsia="Arial" w:hAnsi="Arial"/>
                <w:sz w:val="13"/>
                <w:szCs w:val="13"/>
                <w:b w:val="1"/>
                <w:bCs w:val="1"/>
                <w:color w:val="auto"/>
                <w:w w:val="96"/>
              </w:rPr>
              <w:t>Shares or</w:t>
            </w:r>
          </w:p>
        </w:tc>
        <w:tc>
          <w:tcPr>
            <w:tcW w:w="880" w:type="dxa"/>
            <w:vAlign w:val="bottom"/>
            <w:tcBorders>
              <w:right w:val="single" w:sz="8" w:color="auto"/>
            </w:tcBorders>
          </w:tcPr>
          <w:p>
            <w:pPr>
              <w:jc w:val="center"/>
              <w:spacing w:after="0" w:line="135" w:lineRule="exact"/>
              <w:rPr>
                <w:sz w:val="20"/>
                <w:szCs w:val="20"/>
                <w:color w:val="auto"/>
              </w:rPr>
            </w:pPr>
            <w:r>
              <w:rPr>
                <w:rFonts w:ascii="Arial" w:cs="Arial" w:eastAsia="Arial" w:hAnsi="Arial"/>
                <w:sz w:val="13"/>
                <w:szCs w:val="13"/>
                <w:b w:val="1"/>
                <w:bCs w:val="1"/>
                <w:color w:val="auto"/>
                <w:w w:val="96"/>
              </w:rPr>
              <w:t>Shares or</w:t>
            </w:r>
          </w:p>
        </w:tc>
        <w:tc>
          <w:tcPr>
            <w:tcW w:w="860" w:type="dxa"/>
            <w:vAlign w:val="bottom"/>
            <w:tcBorders>
              <w:right w:val="single" w:sz="8" w:color="auto"/>
            </w:tcBorders>
          </w:tcPr>
          <w:p>
            <w:pPr>
              <w:jc w:val="center"/>
              <w:spacing w:after="0" w:line="135" w:lineRule="exact"/>
              <w:rPr>
                <w:sz w:val="20"/>
                <w:szCs w:val="20"/>
                <w:color w:val="auto"/>
              </w:rPr>
            </w:pPr>
            <w:r>
              <w:rPr>
                <w:rFonts w:ascii="Arial" w:cs="Arial" w:eastAsia="Arial" w:hAnsi="Arial"/>
                <w:sz w:val="13"/>
                <w:szCs w:val="13"/>
                <w:b w:val="1"/>
                <w:bCs w:val="1"/>
                <w:color w:val="auto"/>
                <w:w w:val="97"/>
              </w:rPr>
              <w:t>Units or</w:t>
            </w:r>
          </w:p>
        </w:tc>
        <w:tc>
          <w:tcPr>
            <w:tcW w:w="880" w:type="dxa"/>
            <w:vAlign w:val="bottom"/>
            <w:tcBorders>
              <w:right w:val="single" w:sz="8" w:color="auto"/>
            </w:tcBorders>
          </w:tcPr>
          <w:p>
            <w:pPr>
              <w:jc w:val="center"/>
              <w:spacing w:after="0" w:line="135" w:lineRule="exact"/>
              <w:rPr>
                <w:sz w:val="20"/>
                <w:szCs w:val="20"/>
                <w:color w:val="auto"/>
              </w:rPr>
            </w:pPr>
            <w:r>
              <w:rPr>
                <w:rFonts w:ascii="Arial" w:cs="Arial" w:eastAsia="Arial" w:hAnsi="Arial"/>
                <w:sz w:val="13"/>
                <w:szCs w:val="13"/>
                <w:b w:val="1"/>
                <w:bCs w:val="1"/>
                <w:color w:val="auto"/>
                <w:w w:val="97"/>
              </w:rPr>
              <w:t>Units or</w:t>
            </w:r>
          </w:p>
        </w:tc>
        <w:tc>
          <w:tcPr>
            <w:tcW w:w="0" w:type="dxa"/>
            <w:vAlign w:val="bottom"/>
          </w:tcPr>
          <w:p>
            <w:pPr>
              <w:spacing w:after="0"/>
              <w:rPr>
                <w:sz w:val="1"/>
                <w:szCs w:val="1"/>
                <w:color w:val="auto"/>
              </w:rPr>
            </w:pPr>
          </w:p>
        </w:tc>
      </w:tr>
      <w:tr>
        <w:trPr>
          <w:trHeight w:val="135"/>
        </w:trPr>
        <w:tc>
          <w:tcPr>
            <w:tcW w:w="2000" w:type="dxa"/>
            <w:vAlign w:val="bottom"/>
            <w:tcBorders>
              <w:left w:val="single" w:sz="8" w:color="auto"/>
              <w:right w:val="single" w:sz="8" w:color="auto"/>
            </w:tcBorders>
          </w:tcPr>
          <w:p>
            <w:pPr>
              <w:spacing w:after="0"/>
              <w:rPr>
                <w:sz w:val="11"/>
                <w:szCs w:val="11"/>
                <w:color w:val="auto"/>
              </w:rPr>
            </w:pPr>
          </w:p>
        </w:tc>
        <w:tc>
          <w:tcPr>
            <w:tcW w:w="920" w:type="dxa"/>
            <w:vAlign w:val="bottom"/>
            <w:tcBorders>
              <w:right w:val="single" w:sz="8" w:color="auto"/>
            </w:tcBorders>
          </w:tcPr>
          <w:p>
            <w:pPr>
              <w:jc w:val="center"/>
              <w:spacing w:after="0" w:line="135" w:lineRule="exact"/>
              <w:rPr>
                <w:sz w:val="20"/>
                <w:szCs w:val="20"/>
                <w:color w:val="auto"/>
              </w:rPr>
            </w:pPr>
            <w:r>
              <w:rPr>
                <w:rFonts w:ascii="Arial" w:cs="Arial" w:eastAsia="Arial" w:hAnsi="Arial"/>
                <w:sz w:val="13"/>
                <w:szCs w:val="13"/>
                <w:b w:val="1"/>
                <w:bCs w:val="1"/>
                <w:color w:val="auto"/>
                <w:w w:val="94"/>
              </w:rPr>
              <w:t>Underlying</w:t>
            </w:r>
          </w:p>
        </w:tc>
        <w:tc>
          <w:tcPr>
            <w:tcW w:w="1020" w:type="dxa"/>
            <w:vAlign w:val="bottom"/>
            <w:tcBorders>
              <w:right w:val="single" w:sz="8" w:color="auto"/>
            </w:tcBorders>
          </w:tcPr>
          <w:p>
            <w:pPr>
              <w:jc w:val="center"/>
              <w:spacing w:after="0" w:line="135" w:lineRule="exact"/>
              <w:rPr>
                <w:sz w:val="20"/>
                <w:szCs w:val="20"/>
                <w:color w:val="auto"/>
              </w:rPr>
            </w:pPr>
            <w:r>
              <w:rPr>
                <w:rFonts w:ascii="Arial" w:cs="Arial" w:eastAsia="Arial" w:hAnsi="Arial"/>
                <w:sz w:val="13"/>
                <w:szCs w:val="13"/>
                <w:b w:val="1"/>
                <w:bCs w:val="1"/>
                <w:color w:val="auto"/>
                <w:w w:val="97"/>
              </w:rPr>
              <w:t>Underlying</w:t>
            </w:r>
          </w:p>
        </w:tc>
        <w:tc>
          <w:tcPr>
            <w:tcW w:w="920" w:type="dxa"/>
            <w:vAlign w:val="bottom"/>
            <w:tcBorders>
              <w:right w:val="single" w:sz="8" w:color="auto"/>
            </w:tcBorders>
          </w:tcPr>
          <w:p>
            <w:pPr>
              <w:jc w:val="center"/>
              <w:spacing w:after="0" w:line="135" w:lineRule="exact"/>
              <w:rPr>
                <w:sz w:val="20"/>
                <w:szCs w:val="20"/>
                <w:color w:val="auto"/>
              </w:rPr>
            </w:pPr>
            <w:r>
              <w:rPr>
                <w:rFonts w:ascii="Arial" w:cs="Arial" w:eastAsia="Arial" w:hAnsi="Arial"/>
                <w:sz w:val="13"/>
                <w:szCs w:val="13"/>
                <w:b w:val="1"/>
                <w:bCs w:val="1"/>
                <w:color w:val="auto"/>
                <w:w w:val="97"/>
              </w:rPr>
              <w:t>Underlying</w:t>
            </w:r>
          </w:p>
        </w:tc>
        <w:tc>
          <w:tcPr>
            <w:tcW w:w="660" w:type="dxa"/>
            <w:vAlign w:val="bottom"/>
            <w:tcBorders>
              <w:right w:val="single" w:sz="8" w:color="auto"/>
            </w:tcBorders>
            <w:vMerge w:val="continue"/>
          </w:tcPr>
          <w:p>
            <w:pPr>
              <w:spacing w:after="0"/>
              <w:rPr>
                <w:sz w:val="11"/>
                <w:szCs w:val="11"/>
                <w:color w:val="auto"/>
              </w:rPr>
            </w:pPr>
          </w:p>
        </w:tc>
        <w:tc>
          <w:tcPr>
            <w:tcW w:w="800" w:type="dxa"/>
            <w:vAlign w:val="bottom"/>
            <w:tcBorders>
              <w:right w:val="single" w:sz="8" w:color="auto"/>
            </w:tcBorders>
            <w:vMerge w:val="restart"/>
          </w:tcPr>
          <w:p>
            <w:pPr>
              <w:jc w:val="center"/>
              <w:spacing w:after="0"/>
              <w:rPr>
                <w:sz w:val="20"/>
                <w:szCs w:val="20"/>
                <w:color w:val="auto"/>
              </w:rPr>
            </w:pPr>
            <w:r>
              <w:rPr>
                <w:rFonts w:ascii="Arial" w:cs="Arial" w:eastAsia="Arial" w:hAnsi="Arial"/>
                <w:sz w:val="13"/>
                <w:szCs w:val="13"/>
                <w:b w:val="1"/>
                <w:bCs w:val="1"/>
                <w:color w:val="auto"/>
                <w:w w:val="95"/>
              </w:rPr>
              <w:t>Option</w:t>
            </w:r>
          </w:p>
        </w:tc>
        <w:tc>
          <w:tcPr>
            <w:tcW w:w="800" w:type="dxa"/>
            <w:vAlign w:val="bottom"/>
            <w:tcBorders>
              <w:right w:val="single" w:sz="8" w:color="auto"/>
            </w:tcBorders>
          </w:tcPr>
          <w:p>
            <w:pPr>
              <w:jc w:val="center"/>
              <w:spacing w:after="0" w:line="135" w:lineRule="exact"/>
              <w:rPr>
                <w:sz w:val="20"/>
                <w:szCs w:val="20"/>
                <w:color w:val="auto"/>
              </w:rPr>
            </w:pPr>
            <w:r>
              <w:rPr>
                <w:rFonts w:ascii="Arial" w:cs="Arial" w:eastAsia="Arial" w:hAnsi="Arial"/>
                <w:sz w:val="13"/>
                <w:szCs w:val="13"/>
                <w:b w:val="1"/>
                <w:bCs w:val="1"/>
                <w:color w:val="auto"/>
                <w:w w:val="94"/>
              </w:rPr>
              <w:t>Units of</w:t>
            </w:r>
          </w:p>
        </w:tc>
        <w:tc>
          <w:tcPr>
            <w:tcW w:w="880" w:type="dxa"/>
            <w:vAlign w:val="bottom"/>
            <w:tcBorders>
              <w:right w:val="single" w:sz="8" w:color="auto"/>
            </w:tcBorders>
          </w:tcPr>
          <w:p>
            <w:pPr>
              <w:jc w:val="center"/>
              <w:spacing w:after="0" w:line="135" w:lineRule="exact"/>
              <w:rPr>
                <w:sz w:val="20"/>
                <w:szCs w:val="20"/>
                <w:color w:val="auto"/>
              </w:rPr>
            </w:pPr>
            <w:r>
              <w:rPr>
                <w:rFonts w:ascii="Arial" w:cs="Arial" w:eastAsia="Arial" w:hAnsi="Arial"/>
                <w:sz w:val="13"/>
                <w:szCs w:val="13"/>
                <w:b w:val="1"/>
                <w:bCs w:val="1"/>
                <w:color w:val="auto"/>
                <w:w w:val="99"/>
              </w:rPr>
              <w:t>Units of</w:t>
            </w:r>
          </w:p>
        </w:tc>
        <w:tc>
          <w:tcPr>
            <w:tcW w:w="860" w:type="dxa"/>
            <w:vAlign w:val="bottom"/>
            <w:tcBorders>
              <w:right w:val="single" w:sz="8" w:color="auto"/>
            </w:tcBorders>
          </w:tcPr>
          <w:p>
            <w:pPr>
              <w:jc w:val="center"/>
              <w:spacing w:after="0" w:line="135" w:lineRule="exact"/>
              <w:rPr>
                <w:sz w:val="20"/>
                <w:szCs w:val="20"/>
                <w:color w:val="auto"/>
              </w:rPr>
            </w:pPr>
            <w:r>
              <w:rPr>
                <w:rFonts w:ascii="Arial" w:cs="Arial" w:eastAsia="Arial" w:hAnsi="Arial"/>
                <w:sz w:val="13"/>
                <w:szCs w:val="13"/>
                <w:b w:val="1"/>
                <w:bCs w:val="1"/>
                <w:color w:val="auto"/>
                <w:w w:val="97"/>
              </w:rPr>
              <w:t>Other</w:t>
            </w:r>
          </w:p>
        </w:tc>
        <w:tc>
          <w:tcPr>
            <w:tcW w:w="880" w:type="dxa"/>
            <w:vAlign w:val="bottom"/>
            <w:tcBorders>
              <w:right w:val="single" w:sz="8" w:color="auto"/>
            </w:tcBorders>
          </w:tcPr>
          <w:p>
            <w:pPr>
              <w:jc w:val="center"/>
              <w:spacing w:after="0" w:line="135" w:lineRule="exact"/>
              <w:rPr>
                <w:sz w:val="20"/>
                <w:szCs w:val="20"/>
                <w:color w:val="auto"/>
              </w:rPr>
            </w:pPr>
            <w:r>
              <w:rPr>
                <w:rFonts w:ascii="Arial" w:cs="Arial" w:eastAsia="Arial" w:hAnsi="Arial"/>
                <w:sz w:val="13"/>
                <w:szCs w:val="13"/>
                <w:b w:val="1"/>
                <w:bCs w:val="1"/>
                <w:color w:val="auto"/>
                <w:w w:val="97"/>
              </w:rPr>
              <w:t>Other</w:t>
            </w:r>
          </w:p>
        </w:tc>
        <w:tc>
          <w:tcPr>
            <w:tcW w:w="0" w:type="dxa"/>
            <w:vAlign w:val="bottom"/>
          </w:tcPr>
          <w:p>
            <w:pPr>
              <w:spacing w:after="0"/>
              <w:rPr>
                <w:sz w:val="1"/>
                <w:szCs w:val="1"/>
                <w:color w:val="auto"/>
              </w:rPr>
            </w:pPr>
          </w:p>
        </w:tc>
      </w:tr>
      <w:tr>
        <w:trPr>
          <w:trHeight w:val="135"/>
        </w:trPr>
        <w:tc>
          <w:tcPr>
            <w:tcW w:w="2000" w:type="dxa"/>
            <w:vAlign w:val="bottom"/>
            <w:tcBorders>
              <w:left w:val="single" w:sz="8" w:color="auto"/>
              <w:right w:val="single" w:sz="8" w:color="auto"/>
            </w:tcBorders>
          </w:tcPr>
          <w:p>
            <w:pPr>
              <w:spacing w:after="0"/>
              <w:rPr>
                <w:sz w:val="11"/>
                <w:szCs w:val="11"/>
                <w:color w:val="auto"/>
              </w:rPr>
            </w:pPr>
          </w:p>
        </w:tc>
        <w:tc>
          <w:tcPr>
            <w:tcW w:w="920" w:type="dxa"/>
            <w:vAlign w:val="bottom"/>
            <w:tcBorders>
              <w:right w:val="single" w:sz="8" w:color="auto"/>
            </w:tcBorders>
          </w:tcPr>
          <w:p>
            <w:pPr>
              <w:jc w:val="center"/>
              <w:spacing w:after="0" w:line="135" w:lineRule="exact"/>
              <w:rPr>
                <w:sz w:val="20"/>
                <w:szCs w:val="20"/>
                <w:color w:val="auto"/>
              </w:rPr>
            </w:pPr>
            <w:r>
              <w:rPr>
                <w:rFonts w:ascii="Arial" w:cs="Arial" w:eastAsia="Arial" w:hAnsi="Arial"/>
                <w:sz w:val="13"/>
                <w:szCs w:val="13"/>
                <w:b w:val="1"/>
                <w:bCs w:val="1"/>
                <w:color w:val="auto"/>
                <w:w w:val="98"/>
              </w:rPr>
              <w:t>Unexercised</w:t>
            </w:r>
          </w:p>
        </w:tc>
        <w:tc>
          <w:tcPr>
            <w:tcW w:w="1020" w:type="dxa"/>
            <w:vAlign w:val="bottom"/>
            <w:tcBorders>
              <w:right w:val="single" w:sz="8" w:color="auto"/>
            </w:tcBorders>
          </w:tcPr>
          <w:p>
            <w:pPr>
              <w:jc w:val="center"/>
              <w:spacing w:after="0" w:line="135" w:lineRule="exact"/>
              <w:rPr>
                <w:sz w:val="20"/>
                <w:szCs w:val="20"/>
                <w:color w:val="auto"/>
              </w:rPr>
            </w:pPr>
            <w:r>
              <w:rPr>
                <w:rFonts w:ascii="Arial" w:cs="Arial" w:eastAsia="Arial" w:hAnsi="Arial"/>
                <w:sz w:val="13"/>
                <w:szCs w:val="13"/>
                <w:b w:val="1"/>
                <w:bCs w:val="1"/>
                <w:color w:val="auto"/>
                <w:w w:val="95"/>
              </w:rPr>
              <w:t>Unexercised</w:t>
            </w:r>
          </w:p>
        </w:tc>
        <w:tc>
          <w:tcPr>
            <w:tcW w:w="920" w:type="dxa"/>
            <w:vAlign w:val="bottom"/>
            <w:tcBorders>
              <w:right w:val="single" w:sz="8" w:color="auto"/>
            </w:tcBorders>
          </w:tcPr>
          <w:p>
            <w:pPr>
              <w:jc w:val="center"/>
              <w:spacing w:after="0" w:line="135" w:lineRule="exact"/>
              <w:rPr>
                <w:sz w:val="20"/>
                <w:szCs w:val="20"/>
                <w:color w:val="auto"/>
              </w:rPr>
            </w:pPr>
            <w:r>
              <w:rPr>
                <w:rFonts w:ascii="Arial" w:cs="Arial" w:eastAsia="Arial" w:hAnsi="Arial"/>
                <w:sz w:val="13"/>
                <w:szCs w:val="13"/>
                <w:b w:val="1"/>
                <w:bCs w:val="1"/>
                <w:color w:val="auto"/>
                <w:w w:val="95"/>
              </w:rPr>
              <w:t>Unexercised</w:t>
            </w:r>
          </w:p>
        </w:tc>
        <w:tc>
          <w:tcPr>
            <w:tcW w:w="660" w:type="dxa"/>
            <w:vAlign w:val="bottom"/>
            <w:tcBorders>
              <w:right w:val="single" w:sz="8" w:color="auto"/>
            </w:tcBorders>
          </w:tcPr>
          <w:p>
            <w:pPr>
              <w:jc w:val="center"/>
              <w:spacing w:after="0" w:line="135" w:lineRule="exact"/>
              <w:rPr>
                <w:sz w:val="20"/>
                <w:szCs w:val="20"/>
                <w:color w:val="auto"/>
              </w:rPr>
            </w:pPr>
            <w:r>
              <w:rPr>
                <w:rFonts w:ascii="Arial" w:cs="Arial" w:eastAsia="Arial" w:hAnsi="Arial"/>
                <w:sz w:val="13"/>
                <w:szCs w:val="13"/>
                <w:b w:val="1"/>
                <w:bCs w:val="1"/>
                <w:color w:val="auto"/>
                <w:w w:val="97"/>
              </w:rPr>
              <w:t>Exercise</w:t>
            </w:r>
          </w:p>
        </w:tc>
        <w:tc>
          <w:tcPr>
            <w:tcW w:w="800" w:type="dxa"/>
            <w:vAlign w:val="bottom"/>
            <w:tcBorders>
              <w:right w:val="single" w:sz="8" w:color="auto"/>
            </w:tcBorders>
            <w:vMerge w:val="continue"/>
          </w:tcPr>
          <w:p>
            <w:pPr>
              <w:spacing w:after="0"/>
              <w:rPr>
                <w:sz w:val="11"/>
                <w:szCs w:val="11"/>
                <w:color w:val="auto"/>
              </w:rPr>
            </w:pPr>
          </w:p>
        </w:tc>
        <w:tc>
          <w:tcPr>
            <w:tcW w:w="800" w:type="dxa"/>
            <w:vAlign w:val="bottom"/>
            <w:tcBorders>
              <w:right w:val="single" w:sz="8" w:color="auto"/>
            </w:tcBorders>
          </w:tcPr>
          <w:p>
            <w:pPr>
              <w:jc w:val="center"/>
              <w:spacing w:after="0" w:line="135" w:lineRule="exact"/>
              <w:rPr>
                <w:sz w:val="20"/>
                <w:szCs w:val="20"/>
                <w:color w:val="auto"/>
              </w:rPr>
            </w:pPr>
            <w:r>
              <w:rPr>
                <w:rFonts w:ascii="Arial" w:cs="Arial" w:eastAsia="Arial" w:hAnsi="Arial"/>
                <w:sz w:val="13"/>
                <w:szCs w:val="13"/>
                <w:b w:val="1"/>
                <w:bCs w:val="1"/>
                <w:color w:val="auto"/>
                <w:w w:val="96"/>
              </w:rPr>
              <w:t>Stock That</w:t>
            </w:r>
          </w:p>
        </w:tc>
        <w:tc>
          <w:tcPr>
            <w:tcW w:w="880" w:type="dxa"/>
            <w:vAlign w:val="bottom"/>
            <w:tcBorders>
              <w:right w:val="single" w:sz="8" w:color="auto"/>
            </w:tcBorders>
          </w:tcPr>
          <w:p>
            <w:pPr>
              <w:jc w:val="center"/>
              <w:spacing w:after="0" w:line="135" w:lineRule="exact"/>
              <w:rPr>
                <w:sz w:val="20"/>
                <w:szCs w:val="20"/>
                <w:color w:val="auto"/>
              </w:rPr>
            </w:pPr>
            <w:r>
              <w:rPr>
                <w:rFonts w:ascii="Arial" w:cs="Arial" w:eastAsia="Arial" w:hAnsi="Arial"/>
                <w:sz w:val="13"/>
                <w:szCs w:val="13"/>
                <w:b w:val="1"/>
                <w:bCs w:val="1"/>
                <w:color w:val="auto"/>
                <w:w w:val="96"/>
              </w:rPr>
              <w:t>Stock That</w:t>
            </w:r>
          </w:p>
        </w:tc>
        <w:tc>
          <w:tcPr>
            <w:tcW w:w="860" w:type="dxa"/>
            <w:vAlign w:val="bottom"/>
            <w:tcBorders>
              <w:right w:val="single" w:sz="8" w:color="auto"/>
            </w:tcBorders>
          </w:tcPr>
          <w:p>
            <w:pPr>
              <w:jc w:val="center"/>
              <w:spacing w:after="0" w:line="135" w:lineRule="exact"/>
              <w:rPr>
                <w:sz w:val="20"/>
                <w:szCs w:val="20"/>
                <w:color w:val="auto"/>
              </w:rPr>
            </w:pPr>
            <w:r>
              <w:rPr>
                <w:rFonts w:ascii="Arial" w:cs="Arial" w:eastAsia="Arial" w:hAnsi="Arial"/>
                <w:sz w:val="13"/>
                <w:szCs w:val="13"/>
                <w:b w:val="1"/>
                <w:bCs w:val="1"/>
                <w:color w:val="auto"/>
                <w:w w:val="95"/>
              </w:rPr>
              <w:t>Rights That</w:t>
            </w:r>
          </w:p>
        </w:tc>
        <w:tc>
          <w:tcPr>
            <w:tcW w:w="880" w:type="dxa"/>
            <w:vAlign w:val="bottom"/>
            <w:tcBorders>
              <w:right w:val="single" w:sz="8" w:color="auto"/>
            </w:tcBorders>
          </w:tcPr>
          <w:p>
            <w:pPr>
              <w:jc w:val="center"/>
              <w:spacing w:after="0" w:line="135" w:lineRule="exact"/>
              <w:rPr>
                <w:sz w:val="20"/>
                <w:szCs w:val="20"/>
                <w:color w:val="auto"/>
              </w:rPr>
            </w:pPr>
            <w:r>
              <w:rPr>
                <w:rFonts w:ascii="Arial" w:cs="Arial" w:eastAsia="Arial" w:hAnsi="Arial"/>
                <w:sz w:val="13"/>
                <w:szCs w:val="13"/>
                <w:b w:val="1"/>
                <w:bCs w:val="1"/>
                <w:color w:val="auto"/>
                <w:w w:val="97"/>
              </w:rPr>
              <w:t>Rights That</w:t>
            </w:r>
          </w:p>
        </w:tc>
        <w:tc>
          <w:tcPr>
            <w:tcW w:w="0" w:type="dxa"/>
            <w:vAlign w:val="bottom"/>
          </w:tcPr>
          <w:p>
            <w:pPr>
              <w:spacing w:after="0"/>
              <w:rPr>
                <w:sz w:val="1"/>
                <w:szCs w:val="1"/>
                <w:color w:val="auto"/>
              </w:rPr>
            </w:pPr>
          </w:p>
        </w:tc>
      </w:tr>
      <w:tr>
        <w:trPr>
          <w:trHeight w:val="135"/>
        </w:trPr>
        <w:tc>
          <w:tcPr>
            <w:tcW w:w="2000" w:type="dxa"/>
            <w:vAlign w:val="bottom"/>
            <w:tcBorders>
              <w:left w:val="single" w:sz="8" w:color="auto"/>
              <w:right w:val="single" w:sz="8" w:color="auto"/>
            </w:tcBorders>
            <w:vMerge w:val="restart"/>
          </w:tcPr>
          <w:p>
            <w:pPr>
              <w:ind w:left="140"/>
              <w:spacing w:after="0"/>
              <w:rPr>
                <w:sz w:val="20"/>
                <w:szCs w:val="20"/>
                <w:color w:val="auto"/>
              </w:rPr>
            </w:pPr>
            <w:r>
              <w:rPr>
                <w:rFonts w:ascii="Arial" w:cs="Arial" w:eastAsia="Arial" w:hAnsi="Arial"/>
                <w:sz w:val="13"/>
                <w:szCs w:val="13"/>
                <w:b w:val="1"/>
                <w:bCs w:val="1"/>
                <w:color w:val="auto"/>
              </w:rPr>
              <w:t>Name</w:t>
            </w:r>
          </w:p>
        </w:tc>
        <w:tc>
          <w:tcPr>
            <w:tcW w:w="920" w:type="dxa"/>
            <w:vAlign w:val="bottom"/>
            <w:tcBorders>
              <w:right w:val="single" w:sz="8" w:color="auto"/>
            </w:tcBorders>
          </w:tcPr>
          <w:p>
            <w:pPr>
              <w:jc w:val="center"/>
              <w:spacing w:after="0" w:line="135" w:lineRule="exact"/>
              <w:rPr>
                <w:sz w:val="20"/>
                <w:szCs w:val="20"/>
                <w:color w:val="auto"/>
              </w:rPr>
            </w:pPr>
            <w:r>
              <w:rPr>
                <w:rFonts w:ascii="Arial" w:cs="Arial" w:eastAsia="Arial" w:hAnsi="Arial"/>
                <w:sz w:val="13"/>
                <w:szCs w:val="13"/>
                <w:b w:val="1"/>
                <w:bCs w:val="1"/>
                <w:color w:val="auto"/>
                <w:w w:val="99"/>
              </w:rPr>
              <w:t>Options (#)</w:t>
            </w:r>
          </w:p>
        </w:tc>
        <w:tc>
          <w:tcPr>
            <w:tcW w:w="1020" w:type="dxa"/>
            <w:vAlign w:val="bottom"/>
            <w:tcBorders>
              <w:right w:val="single" w:sz="8" w:color="auto"/>
            </w:tcBorders>
          </w:tcPr>
          <w:p>
            <w:pPr>
              <w:jc w:val="center"/>
              <w:spacing w:after="0" w:line="135" w:lineRule="exact"/>
              <w:rPr>
                <w:sz w:val="20"/>
                <w:szCs w:val="20"/>
                <w:color w:val="auto"/>
              </w:rPr>
            </w:pPr>
            <w:r>
              <w:rPr>
                <w:rFonts w:ascii="Arial" w:cs="Arial" w:eastAsia="Arial" w:hAnsi="Arial"/>
                <w:sz w:val="13"/>
                <w:szCs w:val="13"/>
                <w:b w:val="1"/>
                <w:bCs w:val="1"/>
                <w:color w:val="auto"/>
                <w:w w:val="96"/>
              </w:rPr>
              <w:t>Options (#)</w:t>
            </w:r>
          </w:p>
        </w:tc>
        <w:tc>
          <w:tcPr>
            <w:tcW w:w="920" w:type="dxa"/>
            <w:vAlign w:val="bottom"/>
            <w:tcBorders>
              <w:right w:val="single" w:sz="8" w:color="auto"/>
            </w:tcBorders>
          </w:tcPr>
          <w:p>
            <w:pPr>
              <w:jc w:val="center"/>
              <w:spacing w:after="0" w:line="135" w:lineRule="exact"/>
              <w:rPr>
                <w:sz w:val="20"/>
                <w:szCs w:val="20"/>
                <w:color w:val="auto"/>
              </w:rPr>
            </w:pPr>
            <w:r>
              <w:rPr>
                <w:rFonts w:ascii="Arial" w:cs="Arial" w:eastAsia="Arial" w:hAnsi="Arial"/>
                <w:sz w:val="13"/>
                <w:szCs w:val="13"/>
                <w:b w:val="1"/>
                <w:bCs w:val="1"/>
                <w:color w:val="auto"/>
                <w:w w:val="96"/>
              </w:rPr>
              <w:t>Unearned</w:t>
            </w:r>
          </w:p>
        </w:tc>
        <w:tc>
          <w:tcPr>
            <w:tcW w:w="660" w:type="dxa"/>
            <w:vAlign w:val="bottom"/>
            <w:tcBorders>
              <w:right w:val="single" w:sz="8" w:color="auto"/>
            </w:tcBorders>
          </w:tcPr>
          <w:p>
            <w:pPr>
              <w:jc w:val="center"/>
              <w:spacing w:after="0" w:line="135" w:lineRule="exact"/>
              <w:rPr>
                <w:sz w:val="20"/>
                <w:szCs w:val="20"/>
                <w:color w:val="auto"/>
              </w:rPr>
            </w:pPr>
            <w:r>
              <w:rPr>
                <w:rFonts w:ascii="Arial" w:cs="Arial" w:eastAsia="Arial" w:hAnsi="Arial"/>
                <w:sz w:val="13"/>
                <w:szCs w:val="13"/>
                <w:b w:val="1"/>
                <w:bCs w:val="1"/>
                <w:color w:val="auto"/>
                <w:w w:val="94"/>
              </w:rPr>
              <w:t>Price</w:t>
            </w:r>
          </w:p>
        </w:tc>
        <w:tc>
          <w:tcPr>
            <w:tcW w:w="800" w:type="dxa"/>
            <w:vAlign w:val="bottom"/>
            <w:tcBorders>
              <w:right w:val="single" w:sz="8" w:color="auto"/>
            </w:tcBorders>
          </w:tcPr>
          <w:p>
            <w:pPr>
              <w:jc w:val="center"/>
              <w:spacing w:after="0" w:line="135" w:lineRule="exact"/>
              <w:rPr>
                <w:sz w:val="20"/>
                <w:szCs w:val="20"/>
                <w:color w:val="auto"/>
              </w:rPr>
            </w:pPr>
            <w:r>
              <w:rPr>
                <w:rFonts w:ascii="Arial" w:cs="Arial" w:eastAsia="Arial" w:hAnsi="Arial"/>
                <w:sz w:val="13"/>
                <w:szCs w:val="13"/>
                <w:b w:val="1"/>
                <w:bCs w:val="1"/>
                <w:color w:val="auto"/>
                <w:w w:val="97"/>
              </w:rPr>
              <w:t>Expiration</w:t>
            </w:r>
          </w:p>
        </w:tc>
        <w:tc>
          <w:tcPr>
            <w:tcW w:w="800" w:type="dxa"/>
            <w:vAlign w:val="bottom"/>
            <w:tcBorders>
              <w:right w:val="single" w:sz="8" w:color="auto"/>
            </w:tcBorders>
          </w:tcPr>
          <w:p>
            <w:pPr>
              <w:jc w:val="center"/>
              <w:spacing w:after="0" w:line="135" w:lineRule="exact"/>
              <w:rPr>
                <w:sz w:val="20"/>
                <w:szCs w:val="20"/>
                <w:color w:val="auto"/>
              </w:rPr>
            </w:pPr>
            <w:r>
              <w:rPr>
                <w:rFonts w:ascii="Arial" w:cs="Arial" w:eastAsia="Arial" w:hAnsi="Arial"/>
                <w:sz w:val="13"/>
                <w:szCs w:val="13"/>
                <w:b w:val="1"/>
                <w:bCs w:val="1"/>
                <w:color w:val="auto"/>
                <w:w w:val="95"/>
              </w:rPr>
              <w:t>Have Not</w:t>
            </w:r>
          </w:p>
        </w:tc>
        <w:tc>
          <w:tcPr>
            <w:tcW w:w="880" w:type="dxa"/>
            <w:vAlign w:val="bottom"/>
            <w:tcBorders>
              <w:right w:val="single" w:sz="8" w:color="auto"/>
            </w:tcBorders>
          </w:tcPr>
          <w:p>
            <w:pPr>
              <w:jc w:val="center"/>
              <w:spacing w:after="0" w:line="135" w:lineRule="exact"/>
              <w:rPr>
                <w:sz w:val="20"/>
                <w:szCs w:val="20"/>
                <w:color w:val="auto"/>
              </w:rPr>
            </w:pPr>
            <w:r>
              <w:rPr>
                <w:rFonts w:ascii="Arial" w:cs="Arial" w:eastAsia="Arial" w:hAnsi="Arial"/>
                <w:sz w:val="13"/>
                <w:szCs w:val="13"/>
                <w:b w:val="1"/>
                <w:bCs w:val="1"/>
                <w:color w:val="auto"/>
                <w:w w:val="95"/>
              </w:rPr>
              <w:t>Have Not</w:t>
            </w:r>
          </w:p>
        </w:tc>
        <w:tc>
          <w:tcPr>
            <w:tcW w:w="860" w:type="dxa"/>
            <w:vAlign w:val="bottom"/>
            <w:tcBorders>
              <w:right w:val="single" w:sz="8" w:color="auto"/>
            </w:tcBorders>
          </w:tcPr>
          <w:p>
            <w:pPr>
              <w:jc w:val="center"/>
              <w:spacing w:after="0" w:line="135" w:lineRule="exact"/>
              <w:rPr>
                <w:sz w:val="20"/>
                <w:szCs w:val="20"/>
                <w:color w:val="auto"/>
              </w:rPr>
            </w:pPr>
            <w:r>
              <w:rPr>
                <w:rFonts w:ascii="Arial" w:cs="Arial" w:eastAsia="Arial" w:hAnsi="Arial"/>
                <w:sz w:val="13"/>
                <w:szCs w:val="13"/>
                <w:b w:val="1"/>
                <w:bCs w:val="1"/>
                <w:color w:val="auto"/>
                <w:w w:val="99"/>
              </w:rPr>
              <w:t>Have Not</w:t>
            </w:r>
          </w:p>
        </w:tc>
        <w:tc>
          <w:tcPr>
            <w:tcW w:w="880" w:type="dxa"/>
            <w:vAlign w:val="bottom"/>
            <w:tcBorders>
              <w:right w:val="single" w:sz="8" w:color="auto"/>
            </w:tcBorders>
          </w:tcPr>
          <w:p>
            <w:pPr>
              <w:jc w:val="center"/>
              <w:spacing w:after="0" w:line="135" w:lineRule="exact"/>
              <w:rPr>
                <w:sz w:val="20"/>
                <w:szCs w:val="20"/>
                <w:color w:val="auto"/>
              </w:rPr>
            </w:pPr>
            <w:r>
              <w:rPr>
                <w:rFonts w:ascii="Arial" w:cs="Arial" w:eastAsia="Arial" w:hAnsi="Arial"/>
                <w:sz w:val="13"/>
                <w:szCs w:val="13"/>
                <w:b w:val="1"/>
                <w:bCs w:val="1"/>
                <w:color w:val="auto"/>
                <w:w w:val="95"/>
              </w:rPr>
              <w:t>Have Not</w:t>
            </w:r>
          </w:p>
        </w:tc>
        <w:tc>
          <w:tcPr>
            <w:tcW w:w="0" w:type="dxa"/>
            <w:vAlign w:val="bottom"/>
          </w:tcPr>
          <w:p>
            <w:pPr>
              <w:spacing w:after="0"/>
              <w:rPr>
                <w:sz w:val="1"/>
                <w:szCs w:val="1"/>
                <w:color w:val="auto"/>
              </w:rPr>
            </w:pPr>
          </w:p>
        </w:tc>
      </w:tr>
      <w:tr>
        <w:trPr>
          <w:trHeight w:val="182"/>
        </w:trPr>
        <w:tc>
          <w:tcPr>
            <w:tcW w:w="2000" w:type="dxa"/>
            <w:vAlign w:val="bottom"/>
            <w:tcBorders>
              <w:left w:val="single" w:sz="8" w:color="auto"/>
              <w:bottom w:val="single" w:sz="8" w:color="auto"/>
              <w:right w:val="single" w:sz="8" w:color="auto"/>
            </w:tcBorders>
            <w:vMerge w:val="continue"/>
          </w:tcPr>
          <w:p>
            <w:pPr>
              <w:spacing w:after="0"/>
              <w:rPr>
                <w:sz w:val="15"/>
                <w:szCs w:val="15"/>
                <w:color w:val="auto"/>
              </w:rPr>
            </w:pPr>
          </w:p>
        </w:tc>
        <w:tc>
          <w:tcPr>
            <w:tcW w:w="92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3"/>
                <w:szCs w:val="13"/>
                <w:b w:val="1"/>
                <w:bCs w:val="1"/>
                <w:color w:val="auto"/>
                <w:w w:val="99"/>
              </w:rPr>
              <w:t>Exercisable</w:t>
            </w:r>
          </w:p>
        </w:tc>
        <w:tc>
          <w:tcPr>
            <w:tcW w:w="102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3"/>
                <w:szCs w:val="13"/>
                <w:b w:val="1"/>
                <w:bCs w:val="1"/>
                <w:color w:val="auto"/>
                <w:w w:val="97"/>
              </w:rPr>
              <w:t>Unexercisable</w:t>
            </w:r>
          </w:p>
        </w:tc>
        <w:tc>
          <w:tcPr>
            <w:tcW w:w="92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3"/>
                <w:szCs w:val="13"/>
                <w:b w:val="1"/>
                <w:bCs w:val="1"/>
                <w:color w:val="auto"/>
                <w:w w:val="96"/>
              </w:rPr>
              <w:t>Options (#)</w:t>
            </w:r>
          </w:p>
        </w:tc>
        <w:tc>
          <w:tcPr>
            <w:tcW w:w="66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3"/>
                <w:szCs w:val="13"/>
                <w:b w:val="1"/>
                <w:bCs w:val="1"/>
                <w:color w:val="auto"/>
                <w:w w:val="87"/>
              </w:rPr>
              <w:t>($)</w:t>
            </w:r>
          </w:p>
        </w:tc>
        <w:tc>
          <w:tcPr>
            <w:tcW w:w="80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3"/>
                <w:szCs w:val="13"/>
                <w:b w:val="1"/>
                <w:bCs w:val="1"/>
                <w:color w:val="auto"/>
                <w:w w:val="99"/>
              </w:rPr>
              <w:t>Date</w:t>
            </w:r>
          </w:p>
        </w:tc>
        <w:tc>
          <w:tcPr>
            <w:tcW w:w="80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3"/>
                <w:szCs w:val="13"/>
                <w:b w:val="1"/>
                <w:bCs w:val="1"/>
                <w:color w:val="auto"/>
                <w:w w:val="96"/>
              </w:rPr>
              <w:t>Vested (#)</w:t>
            </w:r>
          </w:p>
        </w:tc>
        <w:tc>
          <w:tcPr>
            <w:tcW w:w="88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3"/>
                <w:szCs w:val="13"/>
                <w:b w:val="1"/>
                <w:bCs w:val="1"/>
                <w:color w:val="auto"/>
                <w:w w:val="96"/>
              </w:rPr>
              <w:t>Vested ($)</w:t>
            </w:r>
          </w:p>
        </w:tc>
        <w:tc>
          <w:tcPr>
            <w:tcW w:w="86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3"/>
                <w:szCs w:val="13"/>
                <w:b w:val="1"/>
                <w:bCs w:val="1"/>
                <w:color w:val="auto"/>
                <w:w w:val="96"/>
              </w:rPr>
              <w:t>Vested (#)</w:t>
            </w:r>
          </w:p>
        </w:tc>
        <w:tc>
          <w:tcPr>
            <w:tcW w:w="88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3"/>
                <w:szCs w:val="13"/>
                <w:b w:val="1"/>
                <w:bCs w:val="1"/>
                <w:color w:val="auto"/>
                <w:w w:val="96"/>
              </w:rPr>
              <w:t>Vested ($)</w:t>
            </w:r>
          </w:p>
        </w:tc>
        <w:tc>
          <w:tcPr>
            <w:tcW w:w="0" w:type="dxa"/>
            <w:vAlign w:val="bottom"/>
          </w:tcPr>
          <w:p>
            <w:pPr>
              <w:spacing w:after="0"/>
              <w:rPr>
                <w:sz w:val="1"/>
                <w:szCs w:val="1"/>
                <w:color w:val="auto"/>
              </w:rPr>
            </w:pPr>
          </w:p>
        </w:tc>
      </w:tr>
      <w:tr>
        <w:trPr>
          <w:trHeight w:val="241"/>
        </w:trPr>
        <w:tc>
          <w:tcPr>
            <w:tcW w:w="2000" w:type="dxa"/>
            <w:vAlign w:val="bottom"/>
            <w:tcBorders>
              <w:left w:val="single" w:sz="8" w:color="auto"/>
              <w:right w:val="single" w:sz="8" w:color="auto"/>
            </w:tcBorders>
            <w:shd w:val="clear" w:color="auto" w:fill="D4DBEB"/>
          </w:tcPr>
          <w:p>
            <w:pPr>
              <w:ind w:left="160"/>
              <w:spacing w:after="0"/>
              <w:rPr>
                <w:sz w:val="20"/>
                <w:szCs w:val="20"/>
                <w:color w:val="auto"/>
              </w:rPr>
            </w:pPr>
            <w:r>
              <w:rPr>
                <w:rFonts w:ascii="Arial" w:cs="Arial" w:eastAsia="Arial" w:hAnsi="Arial"/>
                <w:sz w:val="13"/>
                <w:szCs w:val="13"/>
                <w:color w:val="auto"/>
              </w:rPr>
              <w:t>D.W. Woods</w:t>
            </w:r>
          </w:p>
        </w:tc>
        <w:tc>
          <w:tcPr>
            <w:tcW w:w="920" w:type="dxa"/>
            <w:vAlign w:val="bottom"/>
            <w:tcBorders>
              <w:right w:val="single" w:sz="8" w:color="auto"/>
            </w:tcBorders>
            <w:shd w:val="clear" w:color="auto" w:fill="D4DBEB"/>
          </w:tcPr>
          <w:p>
            <w:pPr>
              <w:jc w:val="center"/>
              <w:ind w:left="13"/>
              <w:spacing w:after="0"/>
              <w:rPr>
                <w:sz w:val="20"/>
                <w:szCs w:val="20"/>
                <w:color w:val="auto"/>
              </w:rPr>
            </w:pPr>
            <w:r>
              <w:rPr>
                <w:rFonts w:ascii="Arial" w:cs="Arial" w:eastAsia="Arial" w:hAnsi="Arial"/>
                <w:sz w:val="14"/>
                <w:szCs w:val="14"/>
                <w:color w:val="auto"/>
              </w:rPr>
              <w:t>0</w:t>
            </w:r>
          </w:p>
        </w:tc>
        <w:tc>
          <w:tcPr>
            <w:tcW w:w="1020" w:type="dxa"/>
            <w:vAlign w:val="bottom"/>
            <w:tcBorders>
              <w:right w:val="single" w:sz="8" w:color="auto"/>
            </w:tcBorders>
            <w:shd w:val="clear" w:color="auto" w:fill="D4DBEB"/>
          </w:tcPr>
          <w:p>
            <w:pPr>
              <w:jc w:val="center"/>
              <w:spacing w:after="0"/>
              <w:rPr>
                <w:sz w:val="20"/>
                <w:szCs w:val="20"/>
                <w:color w:val="auto"/>
              </w:rPr>
            </w:pPr>
            <w:r>
              <w:rPr>
                <w:rFonts w:ascii="Arial" w:cs="Arial" w:eastAsia="Arial" w:hAnsi="Arial"/>
                <w:sz w:val="13"/>
                <w:szCs w:val="13"/>
                <w:color w:val="auto"/>
              </w:rPr>
              <w:t>0</w:t>
            </w:r>
          </w:p>
        </w:tc>
        <w:tc>
          <w:tcPr>
            <w:tcW w:w="920" w:type="dxa"/>
            <w:vAlign w:val="bottom"/>
            <w:tcBorders>
              <w:right w:val="single" w:sz="8" w:color="auto"/>
            </w:tcBorders>
            <w:shd w:val="clear" w:color="auto" w:fill="D4DBEB"/>
          </w:tcPr>
          <w:p>
            <w:pPr>
              <w:jc w:val="center"/>
              <w:spacing w:after="0"/>
              <w:rPr>
                <w:sz w:val="20"/>
                <w:szCs w:val="20"/>
                <w:color w:val="auto"/>
              </w:rPr>
            </w:pPr>
            <w:r>
              <w:rPr>
                <w:rFonts w:ascii="Arial" w:cs="Arial" w:eastAsia="Arial" w:hAnsi="Arial"/>
                <w:sz w:val="13"/>
                <w:szCs w:val="13"/>
                <w:color w:val="auto"/>
                <w:w w:val="82"/>
              </w:rPr>
              <w:t>0</w:t>
            </w:r>
          </w:p>
        </w:tc>
        <w:tc>
          <w:tcPr>
            <w:tcW w:w="660" w:type="dxa"/>
            <w:vAlign w:val="bottom"/>
            <w:tcBorders>
              <w:right w:val="single" w:sz="8" w:color="auto"/>
            </w:tcBorders>
            <w:shd w:val="clear" w:color="auto" w:fill="D4DBEB"/>
          </w:tcPr>
          <w:p>
            <w:pPr>
              <w:jc w:val="center"/>
              <w:ind w:left="17"/>
              <w:spacing w:after="0"/>
              <w:rPr>
                <w:sz w:val="20"/>
                <w:szCs w:val="20"/>
                <w:color w:val="auto"/>
              </w:rPr>
            </w:pPr>
            <w:r>
              <w:rPr>
                <w:rFonts w:ascii="Arial" w:cs="Arial" w:eastAsia="Arial" w:hAnsi="Arial"/>
                <w:sz w:val="13"/>
                <w:szCs w:val="13"/>
                <w:color w:val="auto"/>
                <w:w w:val="82"/>
              </w:rPr>
              <w:t>0</w:t>
            </w:r>
          </w:p>
        </w:tc>
        <w:tc>
          <w:tcPr>
            <w:tcW w:w="800" w:type="dxa"/>
            <w:vAlign w:val="bottom"/>
            <w:tcBorders>
              <w:right w:val="single" w:sz="8" w:color="auto"/>
            </w:tcBorders>
            <w:shd w:val="clear" w:color="auto" w:fill="D4DBEB"/>
          </w:tcPr>
          <w:p>
            <w:pPr>
              <w:jc w:val="center"/>
              <w:spacing w:after="0"/>
              <w:rPr>
                <w:sz w:val="20"/>
                <w:szCs w:val="20"/>
                <w:color w:val="auto"/>
              </w:rPr>
            </w:pPr>
            <w:r>
              <w:rPr>
                <w:rFonts w:ascii="Arial" w:cs="Arial" w:eastAsia="Arial" w:hAnsi="Arial"/>
                <w:sz w:val="13"/>
                <w:szCs w:val="13"/>
                <w:color w:val="auto"/>
                <w:w w:val="91"/>
              </w:rPr>
              <w:t>—</w:t>
            </w:r>
          </w:p>
        </w:tc>
        <w:tc>
          <w:tcPr>
            <w:tcW w:w="800" w:type="dxa"/>
            <w:vAlign w:val="bottom"/>
            <w:tcBorders>
              <w:right w:val="single" w:sz="8" w:color="auto"/>
            </w:tcBorders>
            <w:shd w:val="clear" w:color="auto" w:fill="D4DBEB"/>
          </w:tcPr>
          <w:p>
            <w:pPr>
              <w:jc w:val="center"/>
              <w:spacing w:after="0"/>
              <w:rPr>
                <w:sz w:val="20"/>
                <w:szCs w:val="20"/>
                <w:color w:val="auto"/>
              </w:rPr>
            </w:pPr>
            <w:r>
              <w:rPr>
                <w:rFonts w:ascii="Arial" w:cs="Arial" w:eastAsia="Arial" w:hAnsi="Arial"/>
                <w:sz w:val="13"/>
                <w:szCs w:val="13"/>
                <w:color w:val="auto"/>
                <w:w w:val="97"/>
              </w:rPr>
              <w:t>473,800</w:t>
            </w:r>
          </w:p>
        </w:tc>
        <w:tc>
          <w:tcPr>
            <w:tcW w:w="880" w:type="dxa"/>
            <w:vAlign w:val="bottom"/>
            <w:tcBorders>
              <w:right w:val="single" w:sz="8" w:color="auto"/>
            </w:tcBorders>
            <w:shd w:val="clear" w:color="auto" w:fill="D4DBEB"/>
          </w:tcPr>
          <w:p>
            <w:pPr>
              <w:jc w:val="center"/>
              <w:spacing w:after="0"/>
              <w:rPr>
                <w:sz w:val="20"/>
                <w:szCs w:val="20"/>
                <w:color w:val="auto"/>
              </w:rPr>
            </w:pPr>
            <w:r>
              <w:rPr>
                <w:rFonts w:ascii="Arial" w:cs="Arial" w:eastAsia="Arial" w:hAnsi="Arial"/>
                <w:sz w:val="13"/>
                <w:szCs w:val="13"/>
                <w:color w:val="auto"/>
                <w:w w:val="98"/>
              </w:rPr>
              <w:t>39,628,632</w:t>
            </w:r>
          </w:p>
        </w:tc>
        <w:tc>
          <w:tcPr>
            <w:tcW w:w="860" w:type="dxa"/>
            <w:vAlign w:val="bottom"/>
            <w:tcBorders>
              <w:right w:val="single" w:sz="8" w:color="auto"/>
            </w:tcBorders>
            <w:shd w:val="clear" w:color="auto" w:fill="D4DBEB"/>
          </w:tcPr>
          <w:p>
            <w:pPr>
              <w:jc w:val="center"/>
              <w:spacing w:after="0"/>
              <w:rPr>
                <w:sz w:val="20"/>
                <w:szCs w:val="20"/>
                <w:color w:val="auto"/>
              </w:rPr>
            </w:pPr>
            <w:r>
              <w:rPr>
                <w:rFonts w:ascii="Arial" w:cs="Arial" w:eastAsia="Arial" w:hAnsi="Arial"/>
                <w:sz w:val="13"/>
                <w:szCs w:val="13"/>
                <w:color w:val="auto"/>
              </w:rPr>
              <w:t>0</w:t>
            </w:r>
          </w:p>
        </w:tc>
        <w:tc>
          <w:tcPr>
            <w:tcW w:w="880" w:type="dxa"/>
            <w:vAlign w:val="bottom"/>
            <w:tcBorders>
              <w:right w:val="single" w:sz="8" w:color="auto"/>
            </w:tcBorders>
            <w:shd w:val="clear" w:color="auto" w:fill="D4DBEB"/>
          </w:tcPr>
          <w:p>
            <w:pPr>
              <w:jc w:val="right"/>
              <w:ind w:right="317"/>
              <w:spacing w:after="0"/>
              <w:rPr>
                <w:sz w:val="20"/>
                <w:szCs w:val="20"/>
                <w:color w:val="auto"/>
              </w:rPr>
            </w:pPr>
            <w:r>
              <w:rPr>
                <w:rFonts w:ascii="Arial" w:cs="Arial" w:eastAsia="Arial" w:hAnsi="Arial"/>
                <w:sz w:val="13"/>
                <w:szCs w:val="13"/>
                <w:color w:val="auto"/>
              </w:rPr>
              <w:t>0</w:t>
            </w:r>
          </w:p>
        </w:tc>
        <w:tc>
          <w:tcPr>
            <w:tcW w:w="0" w:type="dxa"/>
            <w:vAlign w:val="bottom"/>
          </w:tcPr>
          <w:p>
            <w:pPr>
              <w:spacing w:after="0"/>
              <w:rPr>
                <w:sz w:val="1"/>
                <w:szCs w:val="1"/>
                <w:color w:val="auto"/>
              </w:rPr>
            </w:pPr>
          </w:p>
        </w:tc>
      </w:tr>
      <w:tr>
        <w:trPr>
          <w:trHeight w:val="253"/>
        </w:trPr>
        <w:tc>
          <w:tcPr>
            <w:tcW w:w="2000" w:type="dxa"/>
            <w:vAlign w:val="bottom"/>
            <w:tcBorders>
              <w:left w:val="single" w:sz="8" w:color="auto"/>
              <w:right w:val="single" w:sz="8" w:color="auto"/>
            </w:tcBorders>
          </w:tcPr>
          <w:p>
            <w:pPr>
              <w:ind w:left="160"/>
              <w:spacing w:after="0"/>
              <w:rPr>
                <w:sz w:val="20"/>
                <w:szCs w:val="20"/>
                <w:color w:val="auto"/>
              </w:rPr>
            </w:pPr>
            <w:r>
              <w:rPr>
                <w:rFonts w:ascii="Arial" w:cs="Arial" w:eastAsia="Arial" w:hAnsi="Arial"/>
                <w:sz w:val="13"/>
                <w:szCs w:val="13"/>
                <w:color w:val="auto"/>
              </w:rPr>
              <w:t>A.P. Swiger</w:t>
            </w:r>
          </w:p>
        </w:tc>
        <w:tc>
          <w:tcPr>
            <w:tcW w:w="920" w:type="dxa"/>
            <w:vAlign w:val="bottom"/>
            <w:tcBorders>
              <w:right w:val="single" w:sz="8" w:color="auto"/>
            </w:tcBorders>
          </w:tcPr>
          <w:p>
            <w:pPr>
              <w:jc w:val="center"/>
              <w:ind w:left="13"/>
              <w:spacing w:after="0"/>
              <w:rPr>
                <w:sz w:val="20"/>
                <w:szCs w:val="20"/>
                <w:color w:val="auto"/>
              </w:rPr>
            </w:pPr>
            <w:r>
              <w:rPr>
                <w:rFonts w:ascii="Arial" w:cs="Arial" w:eastAsia="Arial" w:hAnsi="Arial"/>
                <w:sz w:val="14"/>
                <w:szCs w:val="14"/>
                <w:color w:val="auto"/>
              </w:rPr>
              <w:t>0</w:t>
            </w:r>
          </w:p>
        </w:tc>
        <w:tc>
          <w:tcPr>
            <w:tcW w:w="1020" w:type="dxa"/>
            <w:vAlign w:val="bottom"/>
            <w:tcBorders>
              <w:right w:val="single" w:sz="8" w:color="auto"/>
            </w:tcBorders>
          </w:tcPr>
          <w:p>
            <w:pPr>
              <w:jc w:val="center"/>
              <w:spacing w:after="0"/>
              <w:rPr>
                <w:sz w:val="20"/>
                <w:szCs w:val="20"/>
                <w:color w:val="auto"/>
              </w:rPr>
            </w:pPr>
            <w:r>
              <w:rPr>
                <w:rFonts w:ascii="Arial" w:cs="Arial" w:eastAsia="Arial" w:hAnsi="Arial"/>
                <w:sz w:val="13"/>
                <w:szCs w:val="13"/>
                <w:color w:val="auto"/>
              </w:rPr>
              <w:t>0</w:t>
            </w:r>
          </w:p>
        </w:tc>
        <w:tc>
          <w:tcPr>
            <w:tcW w:w="920" w:type="dxa"/>
            <w:vAlign w:val="bottom"/>
            <w:tcBorders>
              <w:right w:val="single" w:sz="8" w:color="auto"/>
            </w:tcBorders>
          </w:tcPr>
          <w:p>
            <w:pPr>
              <w:jc w:val="center"/>
              <w:spacing w:after="0"/>
              <w:rPr>
                <w:sz w:val="20"/>
                <w:szCs w:val="20"/>
                <w:color w:val="auto"/>
              </w:rPr>
            </w:pPr>
            <w:r>
              <w:rPr>
                <w:rFonts w:ascii="Arial" w:cs="Arial" w:eastAsia="Arial" w:hAnsi="Arial"/>
                <w:sz w:val="13"/>
                <w:szCs w:val="13"/>
                <w:color w:val="auto"/>
                <w:w w:val="82"/>
              </w:rPr>
              <w:t>0</w:t>
            </w:r>
          </w:p>
        </w:tc>
        <w:tc>
          <w:tcPr>
            <w:tcW w:w="660" w:type="dxa"/>
            <w:vAlign w:val="bottom"/>
            <w:tcBorders>
              <w:right w:val="single" w:sz="8" w:color="auto"/>
            </w:tcBorders>
          </w:tcPr>
          <w:p>
            <w:pPr>
              <w:jc w:val="center"/>
              <w:ind w:left="17"/>
              <w:spacing w:after="0"/>
              <w:rPr>
                <w:sz w:val="20"/>
                <w:szCs w:val="20"/>
                <w:color w:val="auto"/>
              </w:rPr>
            </w:pPr>
            <w:r>
              <w:rPr>
                <w:rFonts w:ascii="Arial" w:cs="Arial" w:eastAsia="Arial" w:hAnsi="Arial"/>
                <w:sz w:val="13"/>
                <w:szCs w:val="13"/>
                <w:color w:val="auto"/>
                <w:w w:val="82"/>
              </w:rPr>
              <w:t>0</w:t>
            </w:r>
          </w:p>
        </w:tc>
        <w:tc>
          <w:tcPr>
            <w:tcW w:w="800" w:type="dxa"/>
            <w:vAlign w:val="bottom"/>
            <w:tcBorders>
              <w:right w:val="single" w:sz="8" w:color="auto"/>
            </w:tcBorders>
          </w:tcPr>
          <w:p>
            <w:pPr>
              <w:jc w:val="center"/>
              <w:spacing w:after="0"/>
              <w:rPr>
                <w:sz w:val="20"/>
                <w:szCs w:val="20"/>
                <w:color w:val="auto"/>
              </w:rPr>
            </w:pPr>
            <w:r>
              <w:rPr>
                <w:rFonts w:ascii="Arial" w:cs="Arial" w:eastAsia="Arial" w:hAnsi="Arial"/>
                <w:sz w:val="13"/>
                <w:szCs w:val="13"/>
                <w:color w:val="auto"/>
                <w:w w:val="91"/>
              </w:rPr>
              <w:t>—</w:t>
            </w:r>
          </w:p>
        </w:tc>
        <w:tc>
          <w:tcPr>
            <w:tcW w:w="800" w:type="dxa"/>
            <w:vAlign w:val="bottom"/>
            <w:tcBorders>
              <w:right w:val="single" w:sz="8" w:color="auto"/>
            </w:tcBorders>
          </w:tcPr>
          <w:p>
            <w:pPr>
              <w:jc w:val="center"/>
              <w:spacing w:after="0"/>
              <w:rPr>
                <w:sz w:val="20"/>
                <w:szCs w:val="20"/>
                <w:color w:val="auto"/>
              </w:rPr>
            </w:pPr>
            <w:r>
              <w:rPr>
                <w:rFonts w:ascii="Arial" w:cs="Arial" w:eastAsia="Arial" w:hAnsi="Arial"/>
                <w:sz w:val="13"/>
                <w:szCs w:val="13"/>
                <w:color w:val="auto"/>
                <w:w w:val="97"/>
              </w:rPr>
              <w:t>700,850</w:t>
            </w:r>
          </w:p>
        </w:tc>
        <w:tc>
          <w:tcPr>
            <w:tcW w:w="880" w:type="dxa"/>
            <w:vAlign w:val="bottom"/>
            <w:tcBorders>
              <w:right w:val="single" w:sz="8" w:color="auto"/>
            </w:tcBorders>
          </w:tcPr>
          <w:p>
            <w:pPr>
              <w:jc w:val="center"/>
              <w:spacing w:after="0"/>
              <w:rPr>
                <w:sz w:val="20"/>
                <w:szCs w:val="20"/>
                <w:color w:val="auto"/>
              </w:rPr>
            </w:pPr>
            <w:r>
              <w:rPr>
                <w:rFonts w:ascii="Arial" w:cs="Arial" w:eastAsia="Arial" w:hAnsi="Arial"/>
                <w:sz w:val="13"/>
                <w:szCs w:val="13"/>
                <w:color w:val="auto"/>
                <w:w w:val="98"/>
              </w:rPr>
              <w:t>58,619,094</w:t>
            </w:r>
          </w:p>
        </w:tc>
        <w:tc>
          <w:tcPr>
            <w:tcW w:w="860" w:type="dxa"/>
            <w:vAlign w:val="bottom"/>
            <w:tcBorders>
              <w:right w:val="single" w:sz="8" w:color="auto"/>
            </w:tcBorders>
          </w:tcPr>
          <w:p>
            <w:pPr>
              <w:jc w:val="center"/>
              <w:spacing w:after="0"/>
              <w:rPr>
                <w:sz w:val="20"/>
                <w:szCs w:val="20"/>
                <w:color w:val="auto"/>
              </w:rPr>
            </w:pPr>
            <w:r>
              <w:rPr>
                <w:rFonts w:ascii="Arial" w:cs="Arial" w:eastAsia="Arial" w:hAnsi="Arial"/>
                <w:sz w:val="13"/>
                <w:szCs w:val="13"/>
                <w:color w:val="auto"/>
              </w:rPr>
              <w:t>0</w:t>
            </w:r>
          </w:p>
        </w:tc>
        <w:tc>
          <w:tcPr>
            <w:tcW w:w="880" w:type="dxa"/>
            <w:vAlign w:val="bottom"/>
            <w:tcBorders>
              <w:right w:val="single" w:sz="8" w:color="auto"/>
            </w:tcBorders>
          </w:tcPr>
          <w:p>
            <w:pPr>
              <w:jc w:val="right"/>
              <w:ind w:right="317"/>
              <w:spacing w:after="0"/>
              <w:rPr>
                <w:sz w:val="20"/>
                <w:szCs w:val="20"/>
                <w:color w:val="auto"/>
              </w:rPr>
            </w:pPr>
            <w:r>
              <w:rPr>
                <w:rFonts w:ascii="Arial" w:cs="Arial" w:eastAsia="Arial" w:hAnsi="Arial"/>
                <w:sz w:val="13"/>
                <w:szCs w:val="13"/>
                <w:color w:val="auto"/>
              </w:rPr>
              <w:t>0</w:t>
            </w:r>
          </w:p>
        </w:tc>
        <w:tc>
          <w:tcPr>
            <w:tcW w:w="0" w:type="dxa"/>
            <w:vAlign w:val="bottom"/>
          </w:tcPr>
          <w:p>
            <w:pPr>
              <w:spacing w:after="0"/>
              <w:rPr>
                <w:sz w:val="1"/>
                <w:szCs w:val="1"/>
                <w:color w:val="auto"/>
              </w:rPr>
            </w:pPr>
          </w:p>
        </w:tc>
      </w:tr>
      <w:tr>
        <w:trPr>
          <w:trHeight w:val="261"/>
        </w:trPr>
        <w:tc>
          <w:tcPr>
            <w:tcW w:w="2000" w:type="dxa"/>
            <w:vAlign w:val="bottom"/>
            <w:tcBorders>
              <w:left w:val="single" w:sz="8" w:color="auto"/>
              <w:right w:val="single" w:sz="8" w:color="auto"/>
            </w:tcBorders>
            <w:shd w:val="clear" w:color="auto" w:fill="D4DBEB"/>
          </w:tcPr>
          <w:p>
            <w:pPr>
              <w:ind w:left="160"/>
              <w:spacing w:after="0"/>
              <w:rPr>
                <w:sz w:val="20"/>
                <w:szCs w:val="20"/>
                <w:color w:val="auto"/>
              </w:rPr>
            </w:pPr>
            <w:r>
              <w:rPr>
                <w:rFonts w:ascii="Arial" w:cs="Arial" w:eastAsia="Arial" w:hAnsi="Arial"/>
                <w:sz w:val="13"/>
                <w:szCs w:val="13"/>
                <w:color w:val="auto"/>
              </w:rPr>
              <w:t>M.W. Albers</w:t>
            </w:r>
          </w:p>
        </w:tc>
        <w:tc>
          <w:tcPr>
            <w:tcW w:w="920" w:type="dxa"/>
            <w:vAlign w:val="bottom"/>
            <w:tcBorders>
              <w:right w:val="single" w:sz="8" w:color="auto"/>
            </w:tcBorders>
            <w:shd w:val="clear" w:color="auto" w:fill="D4DBEB"/>
          </w:tcPr>
          <w:p>
            <w:pPr>
              <w:jc w:val="center"/>
              <w:ind w:left="13"/>
              <w:spacing w:after="0"/>
              <w:rPr>
                <w:sz w:val="20"/>
                <w:szCs w:val="20"/>
                <w:color w:val="auto"/>
              </w:rPr>
            </w:pPr>
            <w:r>
              <w:rPr>
                <w:rFonts w:ascii="Arial" w:cs="Arial" w:eastAsia="Arial" w:hAnsi="Arial"/>
                <w:sz w:val="14"/>
                <w:szCs w:val="14"/>
                <w:color w:val="auto"/>
              </w:rPr>
              <w:t>0</w:t>
            </w:r>
          </w:p>
        </w:tc>
        <w:tc>
          <w:tcPr>
            <w:tcW w:w="1020" w:type="dxa"/>
            <w:vAlign w:val="bottom"/>
            <w:tcBorders>
              <w:right w:val="single" w:sz="8" w:color="auto"/>
            </w:tcBorders>
            <w:shd w:val="clear" w:color="auto" w:fill="D4DBEB"/>
          </w:tcPr>
          <w:p>
            <w:pPr>
              <w:jc w:val="center"/>
              <w:spacing w:after="0"/>
              <w:rPr>
                <w:sz w:val="20"/>
                <w:szCs w:val="20"/>
                <w:color w:val="auto"/>
              </w:rPr>
            </w:pPr>
            <w:r>
              <w:rPr>
                <w:rFonts w:ascii="Arial" w:cs="Arial" w:eastAsia="Arial" w:hAnsi="Arial"/>
                <w:sz w:val="13"/>
                <w:szCs w:val="13"/>
                <w:color w:val="auto"/>
              </w:rPr>
              <w:t>0</w:t>
            </w:r>
          </w:p>
        </w:tc>
        <w:tc>
          <w:tcPr>
            <w:tcW w:w="920" w:type="dxa"/>
            <w:vAlign w:val="bottom"/>
            <w:tcBorders>
              <w:right w:val="single" w:sz="8" w:color="auto"/>
            </w:tcBorders>
            <w:shd w:val="clear" w:color="auto" w:fill="D4DBEB"/>
          </w:tcPr>
          <w:p>
            <w:pPr>
              <w:jc w:val="center"/>
              <w:spacing w:after="0"/>
              <w:rPr>
                <w:sz w:val="20"/>
                <w:szCs w:val="20"/>
                <w:color w:val="auto"/>
              </w:rPr>
            </w:pPr>
            <w:r>
              <w:rPr>
                <w:rFonts w:ascii="Arial" w:cs="Arial" w:eastAsia="Arial" w:hAnsi="Arial"/>
                <w:sz w:val="13"/>
                <w:szCs w:val="13"/>
                <w:color w:val="auto"/>
                <w:w w:val="82"/>
              </w:rPr>
              <w:t>0</w:t>
            </w:r>
          </w:p>
        </w:tc>
        <w:tc>
          <w:tcPr>
            <w:tcW w:w="660" w:type="dxa"/>
            <w:vAlign w:val="bottom"/>
            <w:tcBorders>
              <w:right w:val="single" w:sz="8" w:color="auto"/>
            </w:tcBorders>
            <w:shd w:val="clear" w:color="auto" w:fill="D4DBEB"/>
          </w:tcPr>
          <w:p>
            <w:pPr>
              <w:jc w:val="center"/>
              <w:ind w:left="17"/>
              <w:spacing w:after="0"/>
              <w:rPr>
                <w:sz w:val="20"/>
                <w:szCs w:val="20"/>
                <w:color w:val="auto"/>
              </w:rPr>
            </w:pPr>
            <w:r>
              <w:rPr>
                <w:rFonts w:ascii="Arial" w:cs="Arial" w:eastAsia="Arial" w:hAnsi="Arial"/>
                <w:sz w:val="13"/>
                <w:szCs w:val="13"/>
                <w:color w:val="auto"/>
                <w:w w:val="82"/>
              </w:rPr>
              <w:t>0</w:t>
            </w:r>
          </w:p>
        </w:tc>
        <w:tc>
          <w:tcPr>
            <w:tcW w:w="800" w:type="dxa"/>
            <w:vAlign w:val="bottom"/>
            <w:tcBorders>
              <w:right w:val="single" w:sz="8" w:color="auto"/>
            </w:tcBorders>
            <w:shd w:val="clear" w:color="auto" w:fill="D4DBEB"/>
          </w:tcPr>
          <w:p>
            <w:pPr>
              <w:jc w:val="center"/>
              <w:spacing w:after="0"/>
              <w:rPr>
                <w:sz w:val="20"/>
                <w:szCs w:val="20"/>
                <w:color w:val="auto"/>
              </w:rPr>
            </w:pPr>
            <w:r>
              <w:rPr>
                <w:rFonts w:ascii="Arial" w:cs="Arial" w:eastAsia="Arial" w:hAnsi="Arial"/>
                <w:sz w:val="13"/>
                <w:szCs w:val="13"/>
                <w:color w:val="auto"/>
                <w:w w:val="91"/>
              </w:rPr>
              <w:t>—</w:t>
            </w:r>
          </w:p>
        </w:tc>
        <w:tc>
          <w:tcPr>
            <w:tcW w:w="800" w:type="dxa"/>
            <w:vAlign w:val="bottom"/>
            <w:tcBorders>
              <w:right w:val="single" w:sz="8" w:color="auto"/>
            </w:tcBorders>
            <w:shd w:val="clear" w:color="auto" w:fill="D4DBEB"/>
          </w:tcPr>
          <w:p>
            <w:pPr>
              <w:jc w:val="center"/>
              <w:spacing w:after="0"/>
              <w:rPr>
                <w:sz w:val="20"/>
                <w:szCs w:val="20"/>
                <w:color w:val="auto"/>
              </w:rPr>
            </w:pPr>
            <w:r>
              <w:rPr>
                <w:rFonts w:ascii="Arial" w:cs="Arial" w:eastAsia="Arial" w:hAnsi="Arial"/>
                <w:sz w:val="13"/>
                <w:szCs w:val="13"/>
                <w:color w:val="auto"/>
                <w:w w:val="97"/>
              </w:rPr>
              <w:t>779,350</w:t>
            </w:r>
          </w:p>
        </w:tc>
        <w:tc>
          <w:tcPr>
            <w:tcW w:w="880" w:type="dxa"/>
            <w:vAlign w:val="bottom"/>
            <w:tcBorders>
              <w:right w:val="single" w:sz="8" w:color="auto"/>
            </w:tcBorders>
            <w:shd w:val="clear" w:color="auto" w:fill="D4DBEB"/>
          </w:tcPr>
          <w:p>
            <w:pPr>
              <w:jc w:val="center"/>
              <w:spacing w:after="0"/>
              <w:rPr>
                <w:sz w:val="20"/>
                <w:szCs w:val="20"/>
                <w:color w:val="auto"/>
              </w:rPr>
            </w:pPr>
            <w:r>
              <w:rPr>
                <w:rFonts w:ascii="Arial" w:cs="Arial" w:eastAsia="Arial" w:hAnsi="Arial"/>
                <w:sz w:val="13"/>
                <w:szCs w:val="13"/>
                <w:color w:val="auto"/>
                <w:w w:val="98"/>
              </w:rPr>
              <w:t>65,184,834</w:t>
            </w:r>
          </w:p>
        </w:tc>
        <w:tc>
          <w:tcPr>
            <w:tcW w:w="860" w:type="dxa"/>
            <w:vAlign w:val="bottom"/>
            <w:tcBorders>
              <w:right w:val="single" w:sz="8" w:color="auto"/>
            </w:tcBorders>
            <w:shd w:val="clear" w:color="auto" w:fill="D4DBEB"/>
          </w:tcPr>
          <w:p>
            <w:pPr>
              <w:jc w:val="center"/>
              <w:spacing w:after="0"/>
              <w:rPr>
                <w:sz w:val="20"/>
                <w:szCs w:val="20"/>
                <w:color w:val="auto"/>
              </w:rPr>
            </w:pPr>
            <w:r>
              <w:rPr>
                <w:rFonts w:ascii="Arial" w:cs="Arial" w:eastAsia="Arial" w:hAnsi="Arial"/>
                <w:sz w:val="13"/>
                <w:szCs w:val="13"/>
                <w:color w:val="auto"/>
              </w:rPr>
              <w:t>0</w:t>
            </w:r>
          </w:p>
        </w:tc>
        <w:tc>
          <w:tcPr>
            <w:tcW w:w="880" w:type="dxa"/>
            <w:vAlign w:val="bottom"/>
            <w:tcBorders>
              <w:right w:val="single" w:sz="8" w:color="auto"/>
            </w:tcBorders>
            <w:shd w:val="clear" w:color="auto" w:fill="D4DBEB"/>
          </w:tcPr>
          <w:p>
            <w:pPr>
              <w:jc w:val="right"/>
              <w:ind w:right="317"/>
              <w:spacing w:after="0"/>
              <w:rPr>
                <w:sz w:val="20"/>
                <w:szCs w:val="20"/>
                <w:color w:val="auto"/>
              </w:rPr>
            </w:pPr>
            <w:r>
              <w:rPr>
                <w:rFonts w:ascii="Arial" w:cs="Arial" w:eastAsia="Arial" w:hAnsi="Arial"/>
                <w:sz w:val="13"/>
                <w:szCs w:val="13"/>
                <w:color w:val="auto"/>
              </w:rPr>
              <w:t>0</w:t>
            </w:r>
          </w:p>
        </w:tc>
        <w:tc>
          <w:tcPr>
            <w:tcW w:w="0" w:type="dxa"/>
            <w:vAlign w:val="bottom"/>
          </w:tcPr>
          <w:p>
            <w:pPr>
              <w:spacing w:after="0"/>
              <w:rPr>
                <w:sz w:val="1"/>
                <w:szCs w:val="1"/>
                <w:color w:val="auto"/>
              </w:rPr>
            </w:pPr>
          </w:p>
        </w:tc>
      </w:tr>
      <w:tr>
        <w:trPr>
          <w:trHeight w:val="253"/>
        </w:trPr>
        <w:tc>
          <w:tcPr>
            <w:tcW w:w="2000" w:type="dxa"/>
            <w:vAlign w:val="bottom"/>
            <w:tcBorders>
              <w:left w:val="single" w:sz="8" w:color="auto"/>
              <w:right w:val="single" w:sz="8" w:color="auto"/>
            </w:tcBorders>
          </w:tcPr>
          <w:p>
            <w:pPr>
              <w:ind w:left="160"/>
              <w:spacing w:after="0"/>
              <w:rPr>
                <w:sz w:val="20"/>
                <w:szCs w:val="20"/>
                <w:color w:val="auto"/>
              </w:rPr>
            </w:pPr>
            <w:r>
              <w:rPr>
                <w:rFonts w:ascii="Arial" w:cs="Arial" w:eastAsia="Arial" w:hAnsi="Arial"/>
                <w:sz w:val="13"/>
                <w:szCs w:val="13"/>
                <w:color w:val="auto"/>
              </w:rPr>
              <w:t>M.J. Dolan</w:t>
            </w:r>
          </w:p>
        </w:tc>
        <w:tc>
          <w:tcPr>
            <w:tcW w:w="920" w:type="dxa"/>
            <w:vAlign w:val="bottom"/>
            <w:tcBorders>
              <w:right w:val="single" w:sz="8" w:color="auto"/>
            </w:tcBorders>
          </w:tcPr>
          <w:p>
            <w:pPr>
              <w:jc w:val="center"/>
              <w:ind w:left="13"/>
              <w:spacing w:after="0"/>
              <w:rPr>
                <w:sz w:val="20"/>
                <w:szCs w:val="20"/>
                <w:color w:val="auto"/>
              </w:rPr>
            </w:pPr>
            <w:r>
              <w:rPr>
                <w:rFonts w:ascii="Arial" w:cs="Arial" w:eastAsia="Arial" w:hAnsi="Arial"/>
                <w:sz w:val="14"/>
                <w:szCs w:val="14"/>
                <w:color w:val="auto"/>
              </w:rPr>
              <w:t>0</w:t>
            </w:r>
          </w:p>
        </w:tc>
        <w:tc>
          <w:tcPr>
            <w:tcW w:w="1020" w:type="dxa"/>
            <w:vAlign w:val="bottom"/>
            <w:tcBorders>
              <w:right w:val="single" w:sz="8" w:color="auto"/>
            </w:tcBorders>
          </w:tcPr>
          <w:p>
            <w:pPr>
              <w:jc w:val="center"/>
              <w:spacing w:after="0"/>
              <w:rPr>
                <w:sz w:val="20"/>
                <w:szCs w:val="20"/>
                <w:color w:val="auto"/>
              </w:rPr>
            </w:pPr>
            <w:r>
              <w:rPr>
                <w:rFonts w:ascii="Arial" w:cs="Arial" w:eastAsia="Arial" w:hAnsi="Arial"/>
                <w:sz w:val="13"/>
                <w:szCs w:val="13"/>
                <w:color w:val="auto"/>
              </w:rPr>
              <w:t>0</w:t>
            </w:r>
          </w:p>
        </w:tc>
        <w:tc>
          <w:tcPr>
            <w:tcW w:w="920" w:type="dxa"/>
            <w:vAlign w:val="bottom"/>
            <w:tcBorders>
              <w:right w:val="single" w:sz="8" w:color="auto"/>
            </w:tcBorders>
          </w:tcPr>
          <w:p>
            <w:pPr>
              <w:jc w:val="center"/>
              <w:spacing w:after="0"/>
              <w:rPr>
                <w:sz w:val="20"/>
                <w:szCs w:val="20"/>
                <w:color w:val="auto"/>
              </w:rPr>
            </w:pPr>
            <w:r>
              <w:rPr>
                <w:rFonts w:ascii="Arial" w:cs="Arial" w:eastAsia="Arial" w:hAnsi="Arial"/>
                <w:sz w:val="13"/>
                <w:szCs w:val="13"/>
                <w:color w:val="auto"/>
                <w:w w:val="82"/>
              </w:rPr>
              <w:t>0</w:t>
            </w:r>
          </w:p>
        </w:tc>
        <w:tc>
          <w:tcPr>
            <w:tcW w:w="660" w:type="dxa"/>
            <w:vAlign w:val="bottom"/>
            <w:tcBorders>
              <w:right w:val="single" w:sz="8" w:color="auto"/>
            </w:tcBorders>
          </w:tcPr>
          <w:p>
            <w:pPr>
              <w:jc w:val="center"/>
              <w:ind w:left="17"/>
              <w:spacing w:after="0"/>
              <w:rPr>
                <w:sz w:val="20"/>
                <w:szCs w:val="20"/>
                <w:color w:val="auto"/>
              </w:rPr>
            </w:pPr>
            <w:r>
              <w:rPr>
                <w:rFonts w:ascii="Arial" w:cs="Arial" w:eastAsia="Arial" w:hAnsi="Arial"/>
                <w:sz w:val="13"/>
                <w:szCs w:val="13"/>
                <w:color w:val="auto"/>
                <w:w w:val="82"/>
              </w:rPr>
              <w:t>0</w:t>
            </w:r>
          </w:p>
        </w:tc>
        <w:tc>
          <w:tcPr>
            <w:tcW w:w="800" w:type="dxa"/>
            <w:vAlign w:val="bottom"/>
            <w:tcBorders>
              <w:right w:val="single" w:sz="8" w:color="auto"/>
            </w:tcBorders>
          </w:tcPr>
          <w:p>
            <w:pPr>
              <w:jc w:val="center"/>
              <w:spacing w:after="0"/>
              <w:rPr>
                <w:sz w:val="20"/>
                <w:szCs w:val="20"/>
                <w:color w:val="auto"/>
              </w:rPr>
            </w:pPr>
            <w:r>
              <w:rPr>
                <w:rFonts w:ascii="Arial" w:cs="Arial" w:eastAsia="Arial" w:hAnsi="Arial"/>
                <w:sz w:val="13"/>
                <w:szCs w:val="13"/>
                <w:color w:val="auto"/>
                <w:w w:val="91"/>
              </w:rPr>
              <w:t>—</w:t>
            </w:r>
          </w:p>
        </w:tc>
        <w:tc>
          <w:tcPr>
            <w:tcW w:w="800" w:type="dxa"/>
            <w:vAlign w:val="bottom"/>
            <w:tcBorders>
              <w:right w:val="single" w:sz="8" w:color="auto"/>
            </w:tcBorders>
          </w:tcPr>
          <w:p>
            <w:pPr>
              <w:jc w:val="center"/>
              <w:spacing w:after="0"/>
              <w:rPr>
                <w:sz w:val="20"/>
                <w:szCs w:val="20"/>
                <w:color w:val="auto"/>
              </w:rPr>
            </w:pPr>
            <w:r>
              <w:rPr>
                <w:rFonts w:ascii="Arial" w:cs="Arial" w:eastAsia="Arial" w:hAnsi="Arial"/>
                <w:sz w:val="13"/>
                <w:szCs w:val="13"/>
                <w:color w:val="auto"/>
                <w:w w:val="97"/>
              </w:rPr>
              <w:t>872,900</w:t>
            </w:r>
          </w:p>
        </w:tc>
        <w:tc>
          <w:tcPr>
            <w:tcW w:w="880" w:type="dxa"/>
            <w:vAlign w:val="bottom"/>
            <w:tcBorders>
              <w:right w:val="single" w:sz="8" w:color="auto"/>
            </w:tcBorders>
          </w:tcPr>
          <w:p>
            <w:pPr>
              <w:jc w:val="center"/>
              <w:spacing w:after="0"/>
              <w:rPr>
                <w:sz w:val="20"/>
                <w:szCs w:val="20"/>
                <w:color w:val="auto"/>
              </w:rPr>
            </w:pPr>
            <w:r>
              <w:rPr>
                <w:rFonts w:ascii="Arial" w:cs="Arial" w:eastAsia="Arial" w:hAnsi="Arial"/>
                <w:sz w:val="13"/>
                <w:szCs w:val="13"/>
                <w:color w:val="auto"/>
                <w:w w:val="98"/>
              </w:rPr>
              <w:t>73,009,356</w:t>
            </w:r>
          </w:p>
        </w:tc>
        <w:tc>
          <w:tcPr>
            <w:tcW w:w="860" w:type="dxa"/>
            <w:vAlign w:val="bottom"/>
            <w:tcBorders>
              <w:right w:val="single" w:sz="8" w:color="auto"/>
            </w:tcBorders>
          </w:tcPr>
          <w:p>
            <w:pPr>
              <w:jc w:val="center"/>
              <w:spacing w:after="0"/>
              <w:rPr>
                <w:sz w:val="20"/>
                <w:szCs w:val="20"/>
                <w:color w:val="auto"/>
              </w:rPr>
            </w:pPr>
            <w:r>
              <w:rPr>
                <w:rFonts w:ascii="Arial" w:cs="Arial" w:eastAsia="Arial" w:hAnsi="Arial"/>
                <w:sz w:val="13"/>
                <w:szCs w:val="13"/>
                <w:color w:val="auto"/>
              </w:rPr>
              <w:t>0</w:t>
            </w:r>
          </w:p>
        </w:tc>
        <w:tc>
          <w:tcPr>
            <w:tcW w:w="880" w:type="dxa"/>
            <w:vAlign w:val="bottom"/>
            <w:tcBorders>
              <w:right w:val="single" w:sz="8" w:color="auto"/>
            </w:tcBorders>
          </w:tcPr>
          <w:p>
            <w:pPr>
              <w:jc w:val="right"/>
              <w:ind w:right="317"/>
              <w:spacing w:after="0"/>
              <w:rPr>
                <w:sz w:val="20"/>
                <w:szCs w:val="20"/>
                <w:color w:val="auto"/>
              </w:rPr>
            </w:pPr>
            <w:r>
              <w:rPr>
                <w:rFonts w:ascii="Arial" w:cs="Arial" w:eastAsia="Arial" w:hAnsi="Arial"/>
                <w:sz w:val="13"/>
                <w:szCs w:val="13"/>
                <w:color w:val="auto"/>
              </w:rPr>
              <w:t>0</w:t>
            </w:r>
          </w:p>
        </w:tc>
        <w:tc>
          <w:tcPr>
            <w:tcW w:w="0" w:type="dxa"/>
            <w:vAlign w:val="bottom"/>
          </w:tcPr>
          <w:p>
            <w:pPr>
              <w:spacing w:after="0"/>
              <w:rPr>
                <w:sz w:val="1"/>
                <w:szCs w:val="1"/>
                <w:color w:val="auto"/>
              </w:rPr>
            </w:pPr>
          </w:p>
        </w:tc>
      </w:tr>
      <w:tr>
        <w:trPr>
          <w:trHeight w:val="257"/>
        </w:trPr>
        <w:tc>
          <w:tcPr>
            <w:tcW w:w="2000" w:type="dxa"/>
            <w:vAlign w:val="bottom"/>
            <w:tcBorders>
              <w:left w:val="single" w:sz="8" w:color="auto"/>
              <w:bottom w:val="single" w:sz="8" w:color="auto"/>
              <w:right w:val="single" w:sz="8" w:color="auto"/>
            </w:tcBorders>
            <w:shd w:val="clear" w:color="auto" w:fill="D4DBEB"/>
          </w:tcPr>
          <w:p>
            <w:pPr>
              <w:ind w:left="160"/>
              <w:spacing w:after="0"/>
              <w:rPr>
                <w:sz w:val="20"/>
                <w:szCs w:val="20"/>
                <w:color w:val="auto"/>
              </w:rPr>
            </w:pPr>
            <w:r>
              <w:rPr>
                <w:rFonts w:ascii="Arial" w:cs="Arial" w:eastAsia="Arial" w:hAnsi="Arial"/>
                <w:sz w:val="13"/>
                <w:szCs w:val="13"/>
                <w:color w:val="auto"/>
              </w:rPr>
              <w:t>N.W. Duffin</w:t>
            </w:r>
          </w:p>
        </w:tc>
        <w:tc>
          <w:tcPr>
            <w:tcW w:w="920" w:type="dxa"/>
            <w:vAlign w:val="bottom"/>
            <w:tcBorders>
              <w:bottom w:val="single" w:sz="8" w:color="auto"/>
              <w:right w:val="single" w:sz="8" w:color="auto"/>
            </w:tcBorders>
            <w:shd w:val="clear" w:color="auto" w:fill="D4DBEB"/>
          </w:tcPr>
          <w:p>
            <w:pPr>
              <w:jc w:val="center"/>
              <w:ind w:left="13"/>
              <w:spacing w:after="0"/>
              <w:rPr>
                <w:sz w:val="20"/>
                <w:szCs w:val="20"/>
                <w:color w:val="auto"/>
              </w:rPr>
            </w:pPr>
            <w:r>
              <w:rPr>
                <w:rFonts w:ascii="Arial" w:cs="Arial" w:eastAsia="Arial" w:hAnsi="Arial"/>
                <w:sz w:val="14"/>
                <w:szCs w:val="14"/>
                <w:color w:val="auto"/>
              </w:rPr>
              <w:t>0</w:t>
            </w:r>
          </w:p>
        </w:tc>
        <w:tc>
          <w:tcPr>
            <w:tcW w:w="1020" w:type="dxa"/>
            <w:vAlign w:val="bottom"/>
            <w:tcBorders>
              <w:bottom w:val="single" w:sz="8" w:color="auto"/>
              <w:right w:val="single" w:sz="8" w:color="auto"/>
            </w:tcBorders>
            <w:shd w:val="clear" w:color="auto" w:fill="D4DBEB"/>
          </w:tcPr>
          <w:p>
            <w:pPr>
              <w:jc w:val="center"/>
              <w:spacing w:after="0"/>
              <w:rPr>
                <w:sz w:val="20"/>
                <w:szCs w:val="20"/>
                <w:color w:val="auto"/>
              </w:rPr>
            </w:pPr>
            <w:r>
              <w:rPr>
                <w:rFonts w:ascii="Arial" w:cs="Arial" w:eastAsia="Arial" w:hAnsi="Arial"/>
                <w:sz w:val="13"/>
                <w:szCs w:val="13"/>
                <w:color w:val="auto"/>
              </w:rPr>
              <w:t>0</w:t>
            </w:r>
          </w:p>
        </w:tc>
        <w:tc>
          <w:tcPr>
            <w:tcW w:w="920" w:type="dxa"/>
            <w:vAlign w:val="bottom"/>
            <w:tcBorders>
              <w:bottom w:val="single" w:sz="8" w:color="auto"/>
              <w:right w:val="single" w:sz="8" w:color="auto"/>
            </w:tcBorders>
            <w:shd w:val="clear" w:color="auto" w:fill="D4DBEB"/>
          </w:tcPr>
          <w:p>
            <w:pPr>
              <w:jc w:val="center"/>
              <w:spacing w:after="0"/>
              <w:rPr>
                <w:sz w:val="20"/>
                <w:szCs w:val="20"/>
                <w:color w:val="auto"/>
              </w:rPr>
            </w:pPr>
            <w:r>
              <w:rPr>
                <w:rFonts w:ascii="Arial" w:cs="Arial" w:eastAsia="Arial" w:hAnsi="Arial"/>
                <w:sz w:val="13"/>
                <w:szCs w:val="13"/>
                <w:color w:val="auto"/>
                <w:w w:val="82"/>
              </w:rPr>
              <w:t>0</w:t>
            </w:r>
          </w:p>
        </w:tc>
        <w:tc>
          <w:tcPr>
            <w:tcW w:w="660" w:type="dxa"/>
            <w:vAlign w:val="bottom"/>
            <w:tcBorders>
              <w:bottom w:val="single" w:sz="8" w:color="auto"/>
              <w:right w:val="single" w:sz="8" w:color="auto"/>
            </w:tcBorders>
            <w:shd w:val="clear" w:color="auto" w:fill="D4DBEB"/>
          </w:tcPr>
          <w:p>
            <w:pPr>
              <w:jc w:val="center"/>
              <w:ind w:left="17"/>
              <w:spacing w:after="0"/>
              <w:rPr>
                <w:sz w:val="20"/>
                <w:szCs w:val="20"/>
                <w:color w:val="auto"/>
              </w:rPr>
            </w:pPr>
            <w:r>
              <w:rPr>
                <w:rFonts w:ascii="Arial" w:cs="Arial" w:eastAsia="Arial" w:hAnsi="Arial"/>
                <w:sz w:val="13"/>
                <w:szCs w:val="13"/>
                <w:color w:val="auto"/>
                <w:w w:val="82"/>
              </w:rPr>
              <w:t>0</w:t>
            </w:r>
          </w:p>
        </w:tc>
        <w:tc>
          <w:tcPr>
            <w:tcW w:w="800" w:type="dxa"/>
            <w:vAlign w:val="bottom"/>
            <w:tcBorders>
              <w:bottom w:val="single" w:sz="8" w:color="auto"/>
              <w:right w:val="single" w:sz="8" w:color="auto"/>
            </w:tcBorders>
            <w:shd w:val="clear" w:color="auto" w:fill="D4DBEB"/>
          </w:tcPr>
          <w:p>
            <w:pPr>
              <w:jc w:val="center"/>
              <w:spacing w:after="0"/>
              <w:rPr>
                <w:sz w:val="20"/>
                <w:szCs w:val="20"/>
                <w:color w:val="auto"/>
              </w:rPr>
            </w:pPr>
            <w:r>
              <w:rPr>
                <w:rFonts w:ascii="Arial" w:cs="Arial" w:eastAsia="Arial" w:hAnsi="Arial"/>
                <w:sz w:val="13"/>
                <w:szCs w:val="13"/>
                <w:color w:val="auto"/>
                <w:w w:val="91"/>
              </w:rPr>
              <w:t>—</w:t>
            </w:r>
          </w:p>
        </w:tc>
        <w:tc>
          <w:tcPr>
            <w:tcW w:w="800" w:type="dxa"/>
            <w:vAlign w:val="bottom"/>
            <w:tcBorders>
              <w:bottom w:val="single" w:sz="8" w:color="auto"/>
              <w:right w:val="single" w:sz="8" w:color="auto"/>
            </w:tcBorders>
            <w:shd w:val="clear" w:color="auto" w:fill="D4DBEB"/>
          </w:tcPr>
          <w:p>
            <w:pPr>
              <w:jc w:val="center"/>
              <w:spacing w:after="0"/>
              <w:rPr>
                <w:sz w:val="20"/>
                <w:szCs w:val="20"/>
                <w:color w:val="auto"/>
              </w:rPr>
            </w:pPr>
            <w:r>
              <w:rPr>
                <w:rFonts w:ascii="Arial" w:cs="Arial" w:eastAsia="Arial" w:hAnsi="Arial"/>
                <w:sz w:val="13"/>
                <w:szCs w:val="13"/>
                <w:color w:val="auto"/>
                <w:w w:val="97"/>
              </w:rPr>
              <w:t>493,050</w:t>
            </w:r>
          </w:p>
        </w:tc>
        <w:tc>
          <w:tcPr>
            <w:tcW w:w="880" w:type="dxa"/>
            <w:vAlign w:val="bottom"/>
            <w:tcBorders>
              <w:bottom w:val="single" w:sz="8" w:color="auto"/>
              <w:right w:val="single" w:sz="8" w:color="auto"/>
            </w:tcBorders>
            <w:shd w:val="clear" w:color="auto" w:fill="D4DBEB"/>
          </w:tcPr>
          <w:p>
            <w:pPr>
              <w:jc w:val="center"/>
              <w:spacing w:after="0"/>
              <w:rPr>
                <w:sz w:val="20"/>
                <w:szCs w:val="20"/>
                <w:color w:val="auto"/>
              </w:rPr>
            </w:pPr>
            <w:r>
              <w:rPr>
                <w:rFonts w:ascii="Arial" w:cs="Arial" w:eastAsia="Arial" w:hAnsi="Arial"/>
                <w:sz w:val="13"/>
                <w:szCs w:val="13"/>
                <w:color w:val="auto"/>
                <w:w w:val="98"/>
              </w:rPr>
              <w:t>41,238,702</w:t>
            </w:r>
          </w:p>
        </w:tc>
        <w:tc>
          <w:tcPr>
            <w:tcW w:w="860" w:type="dxa"/>
            <w:vAlign w:val="bottom"/>
            <w:tcBorders>
              <w:bottom w:val="single" w:sz="8" w:color="auto"/>
              <w:right w:val="single" w:sz="8" w:color="auto"/>
            </w:tcBorders>
            <w:shd w:val="clear" w:color="auto" w:fill="D4DBEB"/>
          </w:tcPr>
          <w:p>
            <w:pPr>
              <w:jc w:val="center"/>
              <w:spacing w:after="0"/>
              <w:rPr>
                <w:sz w:val="20"/>
                <w:szCs w:val="20"/>
                <w:color w:val="auto"/>
              </w:rPr>
            </w:pPr>
            <w:r>
              <w:rPr>
                <w:rFonts w:ascii="Arial" w:cs="Arial" w:eastAsia="Arial" w:hAnsi="Arial"/>
                <w:sz w:val="13"/>
                <w:szCs w:val="13"/>
                <w:color w:val="auto"/>
              </w:rPr>
              <w:t>0</w:t>
            </w:r>
          </w:p>
        </w:tc>
        <w:tc>
          <w:tcPr>
            <w:tcW w:w="880" w:type="dxa"/>
            <w:vAlign w:val="bottom"/>
            <w:tcBorders>
              <w:bottom w:val="single" w:sz="8" w:color="auto"/>
              <w:right w:val="single" w:sz="8" w:color="auto"/>
            </w:tcBorders>
            <w:shd w:val="clear" w:color="auto" w:fill="D4DBEB"/>
          </w:tcPr>
          <w:p>
            <w:pPr>
              <w:jc w:val="right"/>
              <w:ind w:right="317"/>
              <w:spacing w:after="0"/>
              <w:rPr>
                <w:sz w:val="20"/>
                <w:szCs w:val="20"/>
                <w:color w:val="auto"/>
              </w:rPr>
            </w:pPr>
            <w:r>
              <w:rPr>
                <w:rFonts w:ascii="Arial" w:cs="Arial" w:eastAsia="Arial" w:hAnsi="Arial"/>
                <w:sz w:val="13"/>
                <w:szCs w:val="13"/>
                <w:color w:val="auto"/>
              </w:rPr>
              <w:t>0</w:t>
            </w:r>
          </w:p>
        </w:tc>
        <w:tc>
          <w:tcPr>
            <w:tcW w:w="0" w:type="dxa"/>
            <w:vAlign w:val="bottom"/>
          </w:tcPr>
          <w:p>
            <w:pPr>
              <w:spacing w:after="0"/>
              <w:rPr>
                <w:sz w:val="1"/>
                <w:szCs w:val="1"/>
                <w:color w:val="auto"/>
              </w:rPr>
            </w:pPr>
          </w:p>
        </w:tc>
      </w:tr>
    </w:tbl>
    <w:p>
      <w:pPr>
        <w:spacing w:after="0" w:line="193" w:lineRule="exact"/>
        <w:rPr>
          <w:sz w:val="20"/>
          <w:szCs w:val="20"/>
          <w:color w:val="auto"/>
        </w:rPr>
      </w:pPr>
    </w:p>
    <w:p>
      <w:pPr>
        <w:ind w:left="860"/>
        <w:spacing w:after="0"/>
        <w:rPr>
          <w:sz w:val="20"/>
          <w:szCs w:val="20"/>
          <w:color w:val="auto"/>
        </w:rPr>
      </w:pPr>
      <w:r>
        <w:rPr>
          <w:rFonts w:ascii="Arial" w:cs="Arial" w:eastAsia="Arial" w:hAnsi="Arial"/>
          <w:sz w:val="18"/>
          <w:szCs w:val="18"/>
          <w:u w:val="single" w:color="auto"/>
          <w:color w:val="auto"/>
        </w:rPr>
        <w:t>Stock Awards (Performance Shares)</w:t>
      </w:r>
    </w:p>
    <w:p>
      <w:pPr>
        <w:spacing w:after="0" w:line="117" w:lineRule="exact"/>
        <w:rPr>
          <w:sz w:val="20"/>
          <w:szCs w:val="20"/>
          <w:color w:val="auto"/>
        </w:rPr>
      </w:pPr>
    </w:p>
    <w:p>
      <w:pPr>
        <w:ind w:left="1240" w:right="200" w:hanging="388"/>
        <w:spacing w:after="0" w:line="248" w:lineRule="auto"/>
        <w:tabs>
          <w:tab w:leader="none" w:pos="1240" w:val="left"/>
        </w:tabs>
        <w:numPr>
          <w:ilvl w:val="0"/>
          <w:numId w:val="79"/>
        </w:numPr>
        <w:rPr>
          <w:rFonts w:ascii="Times New Roman" w:cs="Times New Roman" w:eastAsia="Times New Roman" w:hAnsi="Times New Roman"/>
          <w:sz w:val="18"/>
          <w:szCs w:val="18"/>
          <w:color w:val="auto"/>
        </w:rPr>
      </w:pPr>
      <w:r>
        <w:rPr>
          <w:rFonts w:ascii="Arial" w:cs="Arial" w:eastAsia="Arial" w:hAnsi="Arial"/>
          <w:sz w:val="18"/>
          <w:szCs w:val="18"/>
          <w:color w:val="auto"/>
        </w:rPr>
        <w:t>Performance shares shown in the table above include both stock and stock units. The market value is based on the 2017 year-end closing stock price of $83.64 and this value has not been risk adjusted. These performance shares have the same terms, except that stock units do not include voting rights. For more information regarding the performance share program, see page 39.</w:t>
      </w:r>
    </w:p>
    <w:p>
      <w:pPr>
        <w:spacing w:after="0" w:line="75" w:lineRule="exact"/>
        <w:rPr>
          <w:rFonts w:ascii="Times New Roman" w:cs="Times New Roman" w:eastAsia="Times New Roman" w:hAnsi="Times New Roman"/>
          <w:sz w:val="18"/>
          <w:szCs w:val="18"/>
          <w:color w:val="auto"/>
        </w:rPr>
      </w:pPr>
    </w:p>
    <w:p>
      <w:pPr>
        <w:ind w:left="1240" w:right="260" w:hanging="388"/>
        <w:spacing w:after="0" w:line="248" w:lineRule="auto"/>
        <w:tabs>
          <w:tab w:leader="none" w:pos="1240" w:val="left"/>
        </w:tabs>
        <w:numPr>
          <w:ilvl w:val="0"/>
          <w:numId w:val="79"/>
        </w:numPr>
        <w:rPr>
          <w:rFonts w:ascii="Times New Roman" w:cs="Times New Roman" w:eastAsia="Times New Roman" w:hAnsi="Times New Roman"/>
          <w:sz w:val="18"/>
          <w:szCs w:val="18"/>
          <w:color w:val="auto"/>
        </w:rPr>
      </w:pPr>
      <w:r>
        <w:rPr>
          <w:rFonts w:ascii="Arial" w:cs="Arial" w:eastAsia="Arial" w:hAnsi="Arial"/>
          <w:sz w:val="18"/>
          <w:szCs w:val="18"/>
          <w:color w:val="auto"/>
        </w:rPr>
        <w:t>For Mr. Woods, the table above includes 12,400 performance shares that were granted before he became a senior executive. They are subject to a different vesting schedule than his current and more recent awards, but otherwise have the same terms as awards granted to other senior executives. These remaining outstanding performance shares vest in seven years from grant date.</w:t>
      </w:r>
    </w:p>
    <w:p>
      <w:pPr>
        <w:spacing w:after="0" w:line="75" w:lineRule="exact"/>
        <w:rPr>
          <w:rFonts w:ascii="Times New Roman" w:cs="Times New Roman" w:eastAsia="Times New Roman" w:hAnsi="Times New Roman"/>
          <w:sz w:val="18"/>
          <w:szCs w:val="18"/>
          <w:color w:val="auto"/>
        </w:rPr>
      </w:pPr>
    </w:p>
    <w:p>
      <w:pPr>
        <w:ind w:left="1240" w:right="120" w:hanging="388"/>
        <w:spacing w:after="0" w:line="306" w:lineRule="auto"/>
        <w:tabs>
          <w:tab w:leader="none" w:pos="1240" w:val="left"/>
        </w:tabs>
        <w:numPr>
          <w:ilvl w:val="0"/>
          <w:numId w:val="79"/>
        </w:numPr>
        <w:rPr>
          <w:rFonts w:ascii="Times New Roman" w:cs="Times New Roman" w:eastAsia="Times New Roman" w:hAnsi="Times New Roman"/>
          <w:sz w:val="17"/>
          <w:szCs w:val="17"/>
          <w:color w:val="auto"/>
        </w:rPr>
      </w:pPr>
      <w:r>
        <w:rPr>
          <w:rFonts w:ascii="Arial" w:cs="Arial" w:eastAsia="Arial" w:hAnsi="Arial"/>
          <w:sz w:val="17"/>
          <w:szCs w:val="17"/>
          <w:color w:val="auto"/>
        </w:rPr>
        <w:t>The table below shows the dates on which the respective restricted periods for the performance shares shown in the previous table expire, assuming the awards are not forfeited and the executive is living when the restrictions lapse.</w:t>
      </w:r>
    </w:p>
    <w:p>
      <w:pPr>
        <w:spacing w:after="0" w:line="152" w:lineRule="exact"/>
        <w:rPr>
          <w:sz w:val="20"/>
          <w:szCs w:val="20"/>
          <w:color w:val="auto"/>
        </w:rPr>
      </w:pPr>
    </w:p>
    <w:tbl>
      <w:tblPr>
        <w:tblLayout w:type="fixed"/>
        <w:tblInd w:w="1270" w:type="dxa"/>
        <w:tblCellMar>
          <w:top w:w="0" w:type="dxa"/>
          <w:left w:w="0" w:type="dxa"/>
          <w:bottom w:w="0" w:type="dxa"/>
          <w:right w:w="0" w:type="dxa"/>
        </w:tblCellMar>
      </w:tblPr>
      <w:tr>
        <w:trPr>
          <w:trHeight w:val="226"/>
        </w:trPr>
        <w:tc>
          <w:tcPr>
            <w:tcW w:w="1640" w:type="dxa"/>
            <w:vAlign w:val="bottom"/>
            <w:tcBorders>
              <w:top w:val="single" w:sz="8" w:color="auto"/>
              <w:left w:val="single" w:sz="8" w:color="auto"/>
              <w:right w:val="single" w:sz="8" w:color="auto"/>
            </w:tcBorders>
          </w:tcPr>
          <w:p>
            <w:pPr>
              <w:spacing w:after="0"/>
              <w:rPr>
                <w:sz w:val="19"/>
                <w:szCs w:val="19"/>
                <w:color w:val="auto"/>
              </w:rPr>
            </w:pPr>
          </w:p>
        </w:tc>
        <w:tc>
          <w:tcPr>
            <w:tcW w:w="1140" w:type="dxa"/>
            <w:vAlign w:val="bottom"/>
            <w:tcBorders>
              <w:top w:val="single" w:sz="8" w:color="auto"/>
              <w:bottom w:val="single" w:sz="8" w:color="auto"/>
            </w:tcBorders>
          </w:tcPr>
          <w:p>
            <w:pPr>
              <w:spacing w:after="0"/>
              <w:rPr>
                <w:sz w:val="19"/>
                <w:szCs w:val="19"/>
                <w:color w:val="auto"/>
              </w:rPr>
            </w:pPr>
          </w:p>
        </w:tc>
        <w:tc>
          <w:tcPr>
            <w:tcW w:w="820" w:type="dxa"/>
            <w:vAlign w:val="bottom"/>
            <w:tcBorders>
              <w:top w:val="single" w:sz="8" w:color="auto"/>
              <w:bottom w:val="single" w:sz="8" w:color="auto"/>
            </w:tcBorders>
          </w:tcPr>
          <w:p>
            <w:pPr>
              <w:spacing w:after="0"/>
              <w:rPr>
                <w:sz w:val="19"/>
                <w:szCs w:val="19"/>
                <w:color w:val="auto"/>
              </w:rPr>
            </w:pPr>
          </w:p>
        </w:tc>
        <w:tc>
          <w:tcPr>
            <w:tcW w:w="3780" w:type="dxa"/>
            <w:vAlign w:val="bottom"/>
            <w:tcBorders>
              <w:top w:val="single" w:sz="8" w:color="auto"/>
              <w:bottom w:val="single" w:sz="8" w:color="auto"/>
            </w:tcBorders>
            <w:gridSpan w:val="4"/>
          </w:tcPr>
          <w:p>
            <w:pPr>
              <w:jc w:val="right"/>
              <w:ind w:right="37"/>
              <w:spacing w:after="0"/>
              <w:rPr>
                <w:sz w:val="20"/>
                <w:szCs w:val="20"/>
                <w:color w:val="auto"/>
              </w:rPr>
            </w:pPr>
            <w:r>
              <w:rPr>
                <w:rFonts w:ascii="Arial" w:cs="Arial" w:eastAsia="Arial" w:hAnsi="Arial"/>
                <w:sz w:val="13"/>
                <w:szCs w:val="13"/>
                <w:b w:val="1"/>
                <w:bCs w:val="1"/>
                <w:color w:val="auto"/>
                <w:w w:val="97"/>
              </w:rPr>
              <w:t>Date Restrictions Lapse and Number of Performance Shares</w:t>
            </w:r>
          </w:p>
        </w:tc>
        <w:tc>
          <w:tcPr>
            <w:tcW w:w="1960" w:type="dxa"/>
            <w:vAlign w:val="bottom"/>
            <w:tcBorders>
              <w:top w:val="single" w:sz="8" w:color="auto"/>
              <w:bottom w:val="single" w:sz="8" w:color="auto"/>
              <w:right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109"/>
        </w:trPr>
        <w:tc>
          <w:tcPr>
            <w:tcW w:w="1640" w:type="dxa"/>
            <w:vAlign w:val="bottom"/>
            <w:tcBorders>
              <w:left w:val="single" w:sz="8" w:color="auto"/>
              <w:right w:val="single" w:sz="8" w:color="auto"/>
            </w:tcBorders>
            <w:vMerge w:val="restart"/>
          </w:tcPr>
          <w:p>
            <w:pPr>
              <w:ind w:left="140"/>
              <w:spacing w:after="0"/>
              <w:rPr>
                <w:sz w:val="20"/>
                <w:szCs w:val="20"/>
                <w:color w:val="auto"/>
              </w:rPr>
            </w:pPr>
            <w:r>
              <w:rPr>
                <w:rFonts w:ascii="Arial" w:cs="Arial" w:eastAsia="Arial" w:hAnsi="Arial"/>
                <w:sz w:val="13"/>
                <w:szCs w:val="13"/>
                <w:b w:val="1"/>
                <w:bCs w:val="1"/>
                <w:color w:val="auto"/>
              </w:rPr>
              <w:t>Name</w:t>
            </w:r>
          </w:p>
        </w:tc>
        <w:tc>
          <w:tcPr>
            <w:tcW w:w="1140" w:type="dxa"/>
            <w:vAlign w:val="bottom"/>
            <w:tcBorders>
              <w:right w:val="single" w:sz="8" w:color="auto"/>
            </w:tcBorders>
            <w:vMerge w:val="restart"/>
          </w:tcPr>
          <w:p>
            <w:pPr>
              <w:jc w:val="center"/>
              <w:spacing w:after="0"/>
              <w:rPr>
                <w:sz w:val="20"/>
                <w:szCs w:val="20"/>
                <w:color w:val="auto"/>
              </w:rPr>
            </w:pPr>
            <w:r>
              <w:rPr>
                <w:rFonts w:ascii="Arial" w:cs="Arial" w:eastAsia="Arial" w:hAnsi="Arial"/>
                <w:sz w:val="13"/>
                <w:szCs w:val="13"/>
                <w:b w:val="1"/>
                <w:bCs w:val="1"/>
                <w:color w:val="auto"/>
                <w:w w:val="96"/>
              </w:rPr>
              <w:t>2018</w:t>
            </w:r>
          </w:p>
        </w:tc>
        <w:tc>
          <w:tcPr>
            <w:tcW w:w="820" w:type="dxa"/>
            <w:vAlign w:val="bottom"/>
            <w:vMerge w:val="restart"/>
          </w:tcPr>
          <w:p>
            <w:pPr>
              <w:jc w:val="center"/>
              <w:ind w:left="237"/>
              <w:spacing w:after="0"/>
              <w:rPr>
                <w:sz w:val="20"/>
                <w:szCs w:val="20"/>
                <w:color w:val="auto"/>
              </w:rPr>
            </w:pPr>
            <w:r>
              <w:rPr>
                <w:rFonts w:ascii="Arial" w:cs="Arial" w:eastAsia="Arial" w:hAnsi="Arial"/>
                <w:sz w:val="13"/>
                <w:szCs w:val="13"/>
                <w:b w:val="1"/>
                <w:bCs w:val="1"/>
                <w:color w:val="auto"/>
                <w:w w:val="96"/>
              </w:rPr>
              <w:t>2019</w:t>
            </w:r>
          </w:p>
        </w:tc>
        <w:tc>
          <w:tcPr>
            <w:tcW w:w="320" w:type="dxa"/>
            <w:vAlign w:val="bottom"/>
            <w:tcBorders>
              <w:right w:val="single" w:sz="8" w:color="auto"/>
            </w:tcBorders>
          </w:tcPr>
          <w:p>
            <w:pPr>
              <w:spacing w:after="0"/>
              <w:rPr>
                <w:sz w:val="9"/>
                <w:szCs w:val="9"/>
                <w:color w:val="auto"/>
              </w:rPr>
            </w:pPr>
          </w:p>
        </w:tc>
        <w:tc>
          <w:tcPr>
            <w:tcW w:w="1160" w:type="dxa"/>
            <w:vAlign w:val="bottom"/>
            <w:tcBorders>
              <w:right w:val="single" w:sz="8" w:color="auto"/>
            </w:tcBorders>
            <w:vMerge w:val="restart"/>
          </w:tcPr>
          <w:p>
            <w:pPr>
              <w:jc w:val="center"/>
              <w:spacing w:after="0"/>
              <w:rPr>
                <w:sz w:val="20"/>
                <w:szCs w:val="20"/>
                <w:color w:val="auto"/>
              </w:rPr>
            </w:pPr>
            <w:r>
              <w:rPr>
                <w:rFonts w:ascii="Arial" w:cs="Arial" w:eastAsia="Arial" w:hAnsi="Arial"/>
                <w:sz w:val="13"/>
                <w:szCs w:val="13"/>
                <w:b w:val="1"/>
                <w:bCs w:val="1"/>
                <w:color w:val="auto"/>
                <w:w w:val="96"/>
              </w:rPr>
              <w:t>2020</w:t>
            </w:r>
          </w:p>
        </w:tc>
        <w:tc>
          <w:tcPr>
            <w:tcW w:w="1140" w:type="dxa"/>
            <w:vAlign w:val="bottom"/>
            <w:tcBorders>
              <w:right w:val="single" w:sz="8" w:color="auto"/>
            </w:tcBorders>
            <w:vMerge w:val="restart"/>
          </w:tcPr>
          <w:p>
            <w:pPr>
              <w:jc w:val="center"/>
              <w:spacing w:after="0"/>
              <w:rPr>
                <w:sz w:val="20"/>
                <w:szCs w:val="20"/>
                <w:color w:val="auto"/>
              </w:rPr>
            </w:pPr>
            <w:r>
              <w:rPr>
                <w:rFonts w:ascii="Arial" w:cs="Arial" w:eastAsia="Arial" w:hAnsi="Arial"/>
                <w:sz w:val="13"/>
                <w:szCs w:val="13"/>
                <w:b w:val="1"/>
                <w:bCs w:val="1"/>
                <w:color w:val="auto"/>
                <w:w w:val="96"/>
              </w:rPr>
              <w:t>2021</w:t>
            </w:r>
          </w:p>
        </w:tc>
        <w:tc>
          <w:tcPr>
            <w:tcW w:w="1160" w:type="dxa"/>
            <w:vAlign w:val="bottom"/>
            <w:tcBorders>
              <w:right w:val="single" w:sz="8" w:color="auto"/>
            </w:tcBorders>
            <w:vMerge w:val="restart"/>
          </w:tcPr>
          <w:p>
            <w:pPr>
              <w:jc w:val="center"/>
              <w:spacing w:after="0"/>
              <w:rPr>
                <w:sz w:val="20"/>
                <w:szCs w:val="20"/>
                <w:color w:val="auto"/>
              </w:rPr>
            </w:pPr>
            <w:r>
              <w:rPr>
                <w:rFonts w:ascii="Arial" w:cs="Arial" w:eastAsia="Arial" w:hAnsi="Arial"/>
                <w:sz w:val="13"/>
                <w:szCs w:val="13"/>
                <w:b w:val="1"/>
                <w:bCs w:val="1"/>
                <w:color w:val="auto"/>
                <w:w w:val="96"/>
              </w:rPr>
              <w:t>2022</w:t>
            </w:r>
          </w:p>
        </w:tc>
        <w:tc>
          <w:tcPr>
            <w:tcW w:w="1960" w:type="dxa"/>
            <w:vAlign w:val="bottom"/>
            <w:tcBorders>
              <w:right w:val="single" w:sz="8" w:color="auto"/>
            </w:tcBorders>
          </w:tcPr>
          <w:p>
            <w:pPr>
              <w:jc w:val="center"/>
              <w:spacing w:after="0" w:line="109" w:lineRule="exact"/>
              <w:rPr>
                <w:sz w:val="20"/>
                <w:szCs w:val="20"/>
                <w:color w:val="auto"/>
              </w:rPr>
            </w:pPr>
            <w:r>
              <w:rPr>
                <w:rFonts w:ascii="Arial" w:cs="Arial" w:eastAsia="Arial" w:hAnsi="Arial"/>
                <w:sz w:val="12"/>
                <w:szCs w:val="12"/>
                <w:b w:val="1"/>
                <w:bCs w:val="1"/>
                <w:color w:val="auto"/>
              </w:rPr>
              <w:t>10 Years or Retirement,</w:t>
            </w:r>
          </w:p>
        </w:tc>
        <w:tc>
          <w:tcPr>
            <w:tcW w:w="0" w:type="dxa"/>
            <w:vAlign w:val="bottom"/>
          </w:tcPr>
          <w:p>
            <w:pPr>
              <w:spacing w:after="0"/>
              <w:rPr>
                <w:sz w:val="1"/>
                <w:szCs w:val="1"/>
                <w:color w:val="auto"/>
              </w:rPr>
            </w:pPr>
          </w:p>
        </w:tc>
      </w:tr>
      <w:tr>
        <w:trPr>
          <w:trHeight w:val="182"/>
        </w:trPr>
        <w:tc>
          <w:tcPr>
            <w:tcW w:w="1640" w:type="dxa"/>
            <w:vAlign w:val="bottom"/>
            <w:tcBorders>
              <w:left w:val="single" w:sz="8" w:color="auto"/>
              <w:bottom w:val="single" w:sz="8" w:color="auto"/>
              <w:right w:val="single" w:sz="8" w:color="auto"/>
            </w:tcBorders>
            <w:vMerge w:val="continue"/>
          </w:tcPr>
          <w:p>
            <w:pPr>
              <w:spacing w:after="0"/>
              <w:rPr>
                <w:sz w:val="15"/>
                <w:szCs w:val="15"/>
                <w:color w:val="auto"/>
              </w:rPr>
            </w:pPr>
          </w:p>
        </w:tc>
        <w:tc>
          <w:tcPr>
            <w:tcW w:w="1140" w:type="dxa"/>
            <w:vAlign w:val="bottom"/>
            <w:tcBorders>
              <w:bottom w:val="single" w:sz="8" w:color="auto"/>
              <w:right w:val="single" w:sz="8" w:color="auto"/>
            </w:tcBorders>
            <w:vMerge w:val="continue"/>
          </w:tcPr>
          <w:p>
            <w:pPr>
              <w:spacing w:after="0"/>
              <w:rPr>
                <w:sz w:val="15"/>
                <w:szCs w:val="15"/>
                <w:color w:val="auto"/>
              </w:rPr>
            </w:pPr>
          </w:p>
        </w:tc>
        <w:tc>
          <w:tcPr>
            <w:tcW w:w="820" w:type="dxa"/>
            <w:vAlign w:val="bottom"/>
            <w:tcBorders>
              <w:bottom w:val="single" w:sz="8" w:color="auto"/>
            </w:tcBorders>
            <w:vMerge w:val="continue"/>
          </w:tcPr>
          <w:p>
            <w:pPr>
              <w:spacing w:after="0"/>
              <w:rPr>
                <w:sz w:val="15"/>
                <w:szCs w:val="15"/>
                <w:color w:val="auto"/>
              </w:rPr>
            </w:pPr>
          </w:p>
        </w:tc>
        <w:tc>
          <w:tcPr>
            <w:tcW w:w="320" w:type="dxa"/>
            <w:vAlign w:val="bottom"/>
            <w:tcBorders>
              <w:bottom w:val="single" w:sz="8" w:color="auto"/>
              <w:right w:val="single" w:sz="8" w:color="auto"/>
            </w:tcBorders>
          </w:tcPr>
          <w:p>
            <w:pPr>
              <w:spacing w:after="0"/>
              <w:rPr>
                <w:sz w:val="15"/>
                <w:szCs w:val="15"/>
                <w:color w:val="auto"/>
              </w:rPr>
            </w:pPr>
          </w:p>
        </w:tc>
        <w:tc>
          <w:tcPr>
            <w:tcW w:w="1160" w:type="dxa"/>
            <w:vAlign w:val="bottom"/>
            <w:tcBorders>
              <w:bottom w:val="single" w:sz="8" w:color="auto"/>
              <w:right w:val="single" w:sz="8" w:color="auto"/>
            </w:tcBorders>
            <w:vMerge w:val="continue"/>
          </w:tcPr>
          <w:p>
            <w:pPr>
              <w:spacing w:after="0"/>
              <w:rPr>
                <w:sz w:val="15"/>
                <w:szCs w:val="15"/>
                <w:color w:val="auto"/>
              </w:rPr>
            </w:pPr>
          </w:p>
        </w:tc>
        <w:tc>
          <w:tcPr>
            <w:tcW w:w="1140" w:type="dxa"/>
            <w:vAlign w:val="bottom"/>
            <w:tcBorders>
              <w:bottom w:val="single" w:sz="8" w:color="auto"/>
              <w:right w:val="single" w:sz="8" w:color="auto"/>
            </w:tcBorders>
            <w:vMerge w:val="continue"/>
          </w:tcPr>
          <w:p>
            <w:pPr>
              <w:spacing w:after="0"/>
              <w:rPr>
                <w:sz w:val="15"/>
                <w:szCs w:val="15"/>
                <w:color w:val="auto"/>
              </w:rPr>
            </w:pPr>
          </w:p>
        </w:tc>
        <w:tc>
          <w:tcPr>
            <w:tcW w:w="1160" w:type="dxa"/>
            <w:vAlign w:val="bottom"/>
            <w:tcBorders>
              <w:bottom w:val="single" w:sz="8" w:color="auto"/>
              <w:right w:val="single" w:sz="8" w:color="auto"/>
            </w:tcBorders>
            <w:vMerge w:val="continue"/>
          </w:tcPr>
          <w:p>
            <w:pPr>
              <w:spacing w:after="0"/>
              <w:rPr>
                <w:sz w:val="15"/>
                <w:szCs w:val="15"/>
                <w:color w:val="auto"/>
              </w:rPr>
            </w:pPr>
          </w:p>
        </w:tc>
        <w:tc>
          <w:tcPr>
            <w:tcW w:w="196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3"/>
                <w:szCs w:val="13"/>
                <w:b w:val="1"/>
                <w:bCs w:val="1"/>
                <w:color w:val="auto"/>
                <w:w w:val="96"/>
              </w:rPr>
              <w:t>Whichever Occurs Later</w:t>
            </w:r>
          </w:p>
        </w:tc>
        <w:tc>
          <w:tcPr>
            <w:tcW w:w="0" w:type="dxa"/>
            <w:vAlign w:val="bottom"/>
          </w:tcPr>
          <w:p>
            <w:pPr>
              <w:spacing w:after="0"/>
              <w:rPr>
                <w:sz w:val="1"/>
                <w:szCs w:val="1"/>
                <w:color w:val="auto"/>
              </w:rPr>
            </w:pPr>
          </w:p>
        </w:tc>
      </w:tr>
      <w:tr>
        <w:trPr>
          <w:trHeight w:val="214"/>
        </w:trPr>
        <w:tc>
          <w:tcPr>
            <w:tcW w:w="1640" w:type="dxa"/>
            <w:vAlign w:val="bottom"/>
            <w:tcBorders>
              <w:left w:val="single" w:sz="8" w:color="auto"/>
              <w:right w:val="single" w:sz="8" w:color="auto"/>
            </w:tcBorders>
            <w:shd w:val="clear" w:color="auto" w:fill="D4DBEB"/>
          </w:tcPr>
          <w:p>
            <w:pPr>
              <w:ind w:left="160"/>
              <w:spacing w:after="0"/>
              <w:rPr>
                <w:sz w:val="20"/>
                <w:szCs w:val="20"/>
                <w:color w:val="auto"/>
              </w:rPr>
            </w:pPr>
            <w:r>
              <w:rPr>
                <w:rFonts w:ascii="Arial" w:cs="Arial" w:eastAsia="Arial" w:hAnsi="Arial"/>
                <w:sz w:val="13"/>
                <w:szCs w:val="13"/>
                <w:color w:val="auto"/>
              </w:rPr>
              <w:t>D.W. Woods</w:t>
            </w:r>
          </w:p>
        </w:tc>
        <w:tc>
          <w:tcPr>
            <w:tcW w:w="1140" w:type="dxa"/>
            <w:vAlign w:val="bottom"/>
            <w:tcBorders>
              <w:right w:val="single" w:sz="8" w:color="auto"/>
            </w:tcBorders>
            <w:shd w:val="clear" w:color="auto" w:fill="D4DBEB"/>
          </w:tcPr>
          <w:p>
            <w:pPr>
              <w:jc w:val="center"/>
              <w:spacing w:after="0"/>
              <w:rPr>
                <w:sz w:val="20"/>
                <w:szCs w:val="20"/>
                <w:color w:val="auto"/>
              </w:rPr>
            </w:pPr>
            <w:r>
              <w:rPr>
                <w:rFonts w:ascii="Arial" w:cs="Arial" w:eastAsia="Arial" w:hAnsi="Arial"/>
                <w:sz w:val="13"/>
                <w:szCs w:val="13"/>
                <w:color w:val="auto"/>
                <w:w w:val="95"/>
              </w:rPr>
              <w:t>31,950</w:t>
            </w:r>
          </w:p>
        </w:tc>
        <w:tc>
          <w:tcPr>
            <w:tcW w:w="820" w:type="dxa"/>
            <w:vAlign w:val="bottom"/>
            <w:shd w:val="clear" w:color="auto" w:fill="D4DBEB"/>
          </w:tcPr>
          <w:p>
            <w:pPr>
              <w:jc w:val="center"/>
              <w:ind w:left="257"/>
              <w:spacing w:after="0"/>
              <w:rPr>
                <w:sz w:val="20"/>
                <w:szCs w:val="20"/>
                <w:color w:val="auto"/>
              </w:rPr>
            </w:pPr>
            <w:r>
              <w:rPr>
                <w:rFonts w:ascii="Arial" w:cs="Arial" w:eastAsia="Arial" w:hAnsi="Arial"/>
                <w:sz w:val="13"/>
                <w:szCs w:val="13"/>
                <w:color w:val="auto"/>
                <w:w w:val="95"/>
              </w:rPr>
              <w:t>23,400</w:t>
            </w:r>
          </w:p>
        </w:tc>
        <w:tc>
          <w:tcPr>
            <w:tcW w:w="320" w:type="dxa"/>
            <w:vAlign w:val="bottom"/>
            <w:tcBorders>
              <w:right w:val="single" w:sz="8" w:color="auto"/>
            </w:tcBorders>
            <w:shd w:val="clear" w:color="auto" w:fill="D4DBEB"/>
          </w:tcPr>
          <w:p>
            <w:pPr>
              <w:spacing w:after="0"/>
              <w:rPr>
                <w:sz w:val="18"/>
                <w:szCs w:val="18"/>
                <w:color w:val="auto"/>
              </w:rPr>
            </w:pPr>
          </w:p>
        </w:tc>
        <w:tc>
          <w:tcPr>
            <w:tcW w:w="1160" w:type="dxa"/>
            <w:vAlign w:val="bottom"/>
            <w:tcBorders>
              <w:right w:val="single" w:sz="8" w:color="auto"/>
            </w:tcBorders>
            <w:shd w:val="clear" w:color="auto" w:fill="D4DBEB"/>
          </w:tcPr>
          <w:p>
            <w:pPr>
              <w:jc w:val="center"/>
              <w:spacing w:after="0"/>
              <w:rPr>
                <w:sz w:val="20"/>
                <w:szCs w:val="20"/>
                <w:color w:val="auto"/>
              </w:rPr>
            </w:pPr>
            <w:r>
              <w:rPr>
                <w:rFonts w:ascii="Arial" w:cs="Arial" w:eastAsia="Arial" w:hAnsi="Arial"/>
                <w:sz w:val="13"/>
                <w:szCs w:val="13"/>
                <w:color w:val="auto"/>
              </w:rPr>
              <w:t>45,400</w:t>
            </w:r>
          </w:p>
        </w:tc>
        <w:tc>
          <w:tcPr>
            <w:tcW w:w="1140" w:type="dxa"/>
            <w:vAlign w:val="bottom"/>
            <w:tcBorders>
              <w:right w:val="single" w:sz="8" w:color="auto"/>
            </w:tcBorders>
            <w:shd w:val="clear" w:color="auto" w:fill="D4DBEB"/>
          </w:tcPr>
          <w:p>
            <w:pPr>
              <w:jc w:val="center"/>
              <w:spacing w:after="0"/>
              <w:rPr>
                <w:sz w:val="20"/>
                <w:szCs w:val="20"/>
                <w:color w:val="auto"/>
              </w:rPr>
            </w:pPr>
            <w:r>
              <w:rPr>
                <w:rFonts w:ascii="Arial" w:cs="Arial" w:eastAsia="Arial" w:hAnsi="Arial"/>
                <w:sz w:val="13"/>
                <w:szCs w:val="13"/>
                <w:color w:val="auto"/>
                <w:w w:val="95"/>
              </w:rPr>
              <w:t>68,500</w:t>
            </w:r>
          </w:p>
        </w:tc>
        <w:tc>
          <w:tcPr>
            <w:tcW w:w="1160" w:type="dxa"/>
            <w:vAlign w:val="bottom"/>
            <w:tcBorders>
              <w:right w:val="single" w:sz="8" w:color="auto"/>
            </w:tcBorders>
            <w:shd w:val="clear" w:color="auto" w:fill="D4DBEB"/>
          </w:tcPr>
          <w:p>
            <w:pPr>
              <w:jc w:val="center"/>
              <w:spacing w:after="0"/>
              <w:rPr>
                <w:sz w:val="20"/>
                <w:szCs w:val="20"/>
                <w:color w:val="auto"/>
              </w:rPr>
            </w:pPr>
            <w:r>
              <w:rPr>
                <w:rFonts w:ascii="Arial" w:cs="Arial" w:eastAsia="Arial" w:hAnsi="Arial"/>
                <w:sz w:val="13"/>
                <w:szCs w:val="13"/>
                <w:color w:val="auto"/>
                <w:w w:val="95"/>
              </w:rPr>
              <w:t>66,000</w:t>
            </w:r>
          </w:p>
        </w:tc>
        <w:tc>
          <w:tcPr>
            <w:tcW w:w="1960" w:type="dxa"/>
            <w:vAlign w:val="bottom"/>
            <w:tcBorders>
              <w:right w:val="single" w:sz="8" w:color="auto"/>
            </w:tcBorders>
            <w:shd w:val="clear" w:color="auto" w:fill="D4DBEB"/>
          </w:tcPr>
          <w:p>
            <w:pPr>
              <w:jc w:val="center"/>
              <w:spacing w:after="0"/>
              <w:rPr>
                <w:sz w:val="20"/>
                <w:szCs w:val="20"/>
                <w:color w:val="auto"/>
              </w:rPr>
            </w:pPr>
            <w:r>
              <w:rPr>
                <w:rFonts w:ascii="Arial" w:cs="Arial" w:eastAsia="Arial" w:hAnsi="Arial"/>
                <w:sz w:val="13"/>
                <w:szCs w:val="13"/>
                <w:color w:val="auto"/>
                <w:w w:val="97"/>
              </w:rPr>
              <w:t>238,550</w:t>
            </w:r>
          </w:p>
        </w:tc>
        <w:tc>
          <w:tcPr>
            <w:tcW w:w="0" w:type="dxa"/>
            <w:vAlign w:val="bottom"/>
          </w:tcPr>
          <w:p>
            <w:pPr>
              <w:spacing w:after="0"/>
              <w:rPr>
                <w:sz w:val="1"/>
                <w:szCs w:val="1"/>
                <w:color w:val="auto"/>
              </w:rPr>
            </w:pPr>
          </w:p>
        </w:tc>
      </w:tr>
      <w:tr>
        <w:trPr>
          <w:trHeight w:val="223"/>
        </w:trPr>
        <w:tc>
          <w:tcPr>
            <w:tcW w:w="1640" w:type="dxa"/>
            <w:vAlign w:val="bottom"/>
            <w:tcBorders>
              <w:left w:val="single" w:sz="8" w:color="auto"/>
              <w:right w:val="single" w:sz="8" w:color="auto"/>
            </w:tcBorders>
          </w:tcPr>
          <w:p>
            <w:pPr>
              <w:ind w:left="160"/>
              <w:spacing w:after="0"/>
              <w:rPr>
                <w:sz w:val="20"/>
                <w:szCs w:val="20"/>
                <w:color w:val="auto"/>
              </w:rPr>
            </w:pPr>
            <w:r>
              <w:rPr>
                <w:rFonts w:ascii="Arial" w:cs="Arial" w:eastAsia="Arial" w:hAnsi="Arial"/>
                <w:sz w:val="13"/>
                <w:szCs w:val="13"/>
                <w:color w:val="auto"/>
              </w:rPr>
              <w:t>A.P. Swiger</w:t>
            </w:r>
          </w:p>
        </w:tc>
        <w:tc>
          <w:tcPr>
            <w:tcW w:w="1140" w:type="dxa"/>
            <w:vAlign w:val="bottom"/>
            <w:tcBorders>
              <w:right w:val="single" w:sz="8" w:color="auto"/>
            </w:tcBorders>
          </w:tcPr>
          <w:p>
            <w:pPr>
              <w:jc w:val="center"/>
              <w:spacing w:after="0"/>
              <w:rPr>
                <w:sz w:val="20"/>
                <w:szCs w:val="20"/>
                <w:color w:val="auto"/>
              </w:rPr>
            </w:pPr>
            <w:r>
              <w:rPr>
                <w:rFonts w:ascii="Arial" w:cs="Arial" w:eastAsia="Arial" w:hAnsi="Arial"/>
                <w:sz w:val="13"/>
                <w:szCs w:val="13"/>
                <w:color w:val="auto"/>
                <w:w w:val="95"/>
              </w:rPr>
              <w:t>45,400</w:t>
            </w:r>
          </w:p>
        </w:tc>
        <w:tc>
          <w:tcPr>
            <w:tcW w:w="820" w:type="dxa"/>
            <w:vAlign w:val="bottom"/>
          </w:tcPr>
          <w:p>
            <w:pPr>
              <w:jc w:val="center"/>
              <w:ind w:left="257"/>
              <w:spacing w:after="0"/>
              <w:rPr>
                <w:sz w:val="20"/>
                <w:szCs w:val="20"/>
                <w:color w:val="auto"/>
              </w:rPr>
            </w:pPr>
            <w:r>
              <w:rPr>
                <w:rFonts w:ascii="Arial" w:cs="Arial" w:eastAsia="Arial" w:hAnsi="Arial"/>
                <w:sz w:val="13"/>
                <w:szCs w:val="13"/>
                <w:color w:val="auto"/>
                <w:w w:val="95"/>
              </w:rPr>
              <w:t>45,400</w:t>
            </w:r>
          </w:p>
        </w:tc>
        <w:tc>
          <w:tcPr>
            <w:tcW w:w="320" w:type="dxa"/>
            <w:vAlign w:val="bottom"/>
            <w:tcBorders>
              <w:right w:val="single" w:sz="8" w:color="auto"/>
            </w:tcBorders>
          </w:tcPr>
          <w:p>
            <w:pPr>
              <w:spacing w:after="0"/>
              <w:rPr>
                <w:sz w:val="19"/>
                <w:szCs w:val="19"/>
                <w:color w:val="auto"/>
              </w:rPr>
            </w:pPr>
          </w:p>
        </w:tc>
        <w:tc>
          <w:tcPr>
            <w:tcW w:w="1160" w:type="dxa"/>
            <w:vAlign w:val="bottom"/>
            <w:tcBorders>
              <w:right w:val="single" w:sz="8" w:color="auto"/>
            </w:tcBorders>
          </w:tcPr>
          <w:p>
            <w:pPr>
              <w:jc w:val="center"/>
              <w:spacing w:after="0"/>
              <w:rPr>
                <w:sz w:val="20"/>
                <w:szCs w:val="20"/>
                <w:color w:val="auto"/>
              </w:rPr>
            </w:pPr>
            <w:r>
              <w:rPr>
                <w:rFonts w:ascii="Arial" w:cs="Arial" w:eastAsia="Arial" w:hAnsi="Arial"/>
                <w:sz w:val="13"/>
                <w:szCs w:val="13"/>
                <w:color w:val="auto"/>
              </w:rPr>
              <w:t>53,200</w:t>
            </w:r>
          </w:p>
        </w:tc>
        <w:tc>
          <w:tcPr>
            <w:tcW w:w="1140" w:type="dxa"/>
            <w:vAlign w:val="bottom"/>
            <w:tcBorders>
              <w:right w:val="single" w:sz="8" w:color="auto"/>
            </w:tcBorders>
          </w:tcPr>
          <w:p>
            <w:pPr>
              <w:jc w:val="center"/>
              <w:spacing w:after="0"/>
              <w:rPr>
                <w:sz w:val="20"/>
                <w:szCs w:val="20"/>
                <w:color w:val="auto"/>
              </w:rPr>
            </w:pPr>
            <w:r>
              <w:rPr>
                <w:rFonts w:ascii="Arial" w:cs="Arial" w:eastAsia="Arial" w:hAnsi="Arial"/>
                <w:sz w:val="13"/>
                <w:szCs w:val="13"/>
                <w:color w:val="auto"/>
                <w:w w:val="95"/>
              </w:rPr>
              <w:t>53,200</w:t>
            </w:r>
          </w:p>
        </w:tc>
        <w:tc>
          <w:tcPr>
            <w:tcW w:w="1160" w:type="dxa"/>
            <w:vAlign w:val="bottom"/>
            <w:tcBorders>
              <w:right w:val="single" w:sz="8" w:color="auto"/>
            </w:tcBorders>
          </w:tcPr>
          <w:p>
            <w:pPr>
              <w:jc w:val="center"/>
              <w:spacing w:after="0"/>
              <w:rPr>
                <w:sz w:val="20"/>
                <w:szCs w:val="20"/>
                <w:color w:val="auto"/>
              </w:rPr>
            </w:pPr>
            <w:r>
              <w:rPr>
                <w:rFonts w:ascii="Arial" w:cs="Arial" w:eastAsia="Arial" w:hAnsi="Arial"/>
                <w:sz w:val="13"/>
                <w:szCs w:val="13"/>
                <w:color w:val="auto"/>
                <w:w w:val="95"/>
              </w:rPr>
              <w:t>49,600</w:t>
            </w:r>
          </w:p>
        </w:tc>
        <w:tc>
          <w:tcPr>
            <w:tcW w:w="1960" w:type="dxa"/>
            <w:vAlign w:val="bottom"/>
            <w:tcBorders>
              <w:right w:val="single" w:sz="8" w:color="auto"/>
            </w:tcBorders>
          </w:tcPr>
          <w:p>
            <w:pPr>
              <w:jc w:val="center"/>
              <w:spacing w:after="0"/>
              <w:rPr>
                <w:sz w:val="20"/>
                <w:szCs w:val="20"/>
                <w:color w:val="auto"/>
              </w:rPr>
            </w:pPr>
            <w:r>
              <w:rPr>
                <w:rFonts w:ascii="Arial" w:cs="Arial" w:eastAsia="Arial" w:hAnsi="Arial"/>
                <w:sz w:val="13"/>
                <w:szCs w:val="13"/>
                <w:color w:val="auto"/>
                <w:w w:val="97"/>
              </w:rPr>
              <w:t>454,050</w:t>
            </w:r>
          </w:p>
        </w:tc>
        <w:tc>
          <w:tcPr>
            <w:tcW w:w="0" w:type="dxa"/>
            <w:vAlign w:val="bottom"/>
          </w:tcPr>
          <w:p>
            <w:pPr>
              <w:spacing w:after="0"/>
              <w:rPr>
                <w:sz w:val="1"/>
                <w:szCs w:val="1"/>
                <w:color w:val="auto"/>
              </w:rPr>
            </w:pPr>
          </w:p>
        </w:tc>
      </w:tr>
      <w:tr>
        <w:trPr>
          <w:trHeight w:val="237"/>
        </w:trPr>
        <w:tc>
          <w:tcPr>
            <w:tcW w:w="1640" w:type="dxa"/>
            <w:vAlign w:val="bottom"/>
            <w:tcBorders>
              <w:left w:val="single" w:sz="8" w:color="auto"/>
              <w:right w:val="single" w:sz="8" w:color="auto"/>
            </w:tcBorders>
            <w:shd w:val="clear" w:color="auto" w:fill="D4DBEB"/>
          </w:tcPr>
          <w:p>
            <w:pPr>
              <w:ind w:left="160"/>
              <w:spacing w:after="0"/>
              <w:rPr>
                <w:sz w:val="20"/>
                <w:szCs w:val="20"/>
                <w:color w:val="auto"/>
              </w:rPr>
            </w:pPr>
            <w:r>
              <w:rPr>
                <w:rFonts w:ascii="Arial" w:cs="Arial" w:eastAsia="Arial" w:hAnsi="Arial"/>
                <w:sz w:val="13"/>
                <w:szCs w:val="13"/>
                <w:color w:val="auto"/>
              </w:rPr>
              <w:t>M.W. Albers</w:t>
            </w:r>
          </w:p>
        </w:tc>
        <w:tc>
          <w:tcPr>
            <w:tcW w:w="1140" w:type="dxa"/>
            <w:vAlign w:val="bottom"/>
            <w:tcBorders>
              <w:right w:val="single" w:sz="8" w:color="auto"/>
            </w:tcBorders>
            <w:shd w:val="clear" w:color="auto" w:fill="D4DBEB"/>
          </w:tcPr>
          <w:p>
            <w:pPr>
              <w:jc w:val="center"/>
              <w:spacing w:after="0"/>
              <w:rPr>
                <w:sz w:val="20"/>
                <w:szCs w:val="20"/>
                <w:color w:val="auto"/>
              </w:rPr>
            </w:pPr>
            <w:r>
              <w:rPr>
                <w:rFonts w:ascii="Arial" w:cs="Arial" w:eastAsia="Arial" w:hAnsi="Arial"/>
                <w:sz w:val="13"/>
                <w:szCs w:val="13"/>
                <w:color w:val="auto"/>
                <w:w w:val="95"/>
              </w:rPr>
              <w:t>45,400</w:t>
            </w:r>
          </w:p>
        </w:tc>
        <w:tc>
          <w:tcPr>
            <w:tcW w:w="820" w:type="dxa"/>
            <w:vAlign w:val="bottom"/>
            <w:shd w:val="clear" w:color="auto" w:fill="D4DBEB"/>
          </w:tcPr>
          <w:p>
            <w:pPr>
              <w:jc w:val="center"/>
              <w:ind w:left="257"/>
              <w:spacing w:after="0"/>
              <w:rPr>
                <w:sz w:val="20"/>
                <w:szCs w:val="20"/>
                <w:color w:val="auto"/>
              </w:rPr>
            </w:pPr>
            <w:r>
              <w:rPr>
                <w:rFonts w:ascii="Arial" w:cs="Arial" w:eastAsia="Arial" w:hAnsi="Arial"/>
                <w:sz w:val="13"/>
                <w:szCs w:val="13"/>
                <w:color w:val="auto"/>
                <w:w w:val="95"/>
              </w:rPr>
              <w:t>45,400</w:t>
            </w:r>
          </w:p>
        </w:tc>
        <w:tc>
          <w:tcPr>
            <w:tcW w:w="320" w:type="dxa"/>
            <w:vAlign w:val="bottom"/>
            <w:tcBorders>
              <w:right w:val="single" w:sz="8" w:color="auto"/>
            </w:tcBorders>
            <w:shd w:val="clear" w:color="auto" w:fill="D4DBEB"/>
          </w:tcPr>
          <w:p>
            <w:pPr>
              <w:spacing w:after="0"/>
              <w:rPr>
                <w:sz w:val="20"/>
                <w:szCs w:val="20"/>
                <w:color w:val="auto"/>
              </w:rPr>
            </w:pPr>
          </w:p>
        </w:tc>
        <w:tc>
          <w:tcPr>
            <w:tcW w:w="1160" w:type="dxa"/>
            <w:vAlign w:val="bottom"/>
            <w:tcBorders>
              <w:right w:val="single" w:sz="8" w:color="auto"/>
            </w:tcBorders>
            <w:shd w:val="clear" w:color="auto" w:fill="D4DBEB"/>
          </w:tcPr>
          <w:p>
            <w:pPr>
              <w:jc w:val="center"/>
              <w:spacing w:after="0"/>
              <w:rPr>
                <w:sz w:val="20"/>
                <w:szCs w:val="20"/>
                <w:color w:val="auto"/>
              </w:rPr>
            </w:pPr>
            <w:r>
              <w:rPr>
                <w:rFonts w:ascii="Arial" w:cs="Arial" w:eastAsia="Arial" w:hAnsi="Arial"/>
                <w:sz w:val="13"/>
                <w:szCs w:val="13"/>
                <w:color w:val="auto"/>
              </w:rPr>
              <w:t>53,200</w:t>
            </w:r>
          </w:p>
        </w:tc>
        <w:tc>
          <w:tcPr>
            <w:tcW w:w="1140" w:type="dxa"/>
            <w:vAlign w:val="bottom"/>
            <w:tcBorders>
              <w:right w:val="single" w:sz="8" w:color="auto"/>
            </w:tcBorders>
            <w:shd w:val="clear" w:color="auto" w:fill="D4DBEB"/>
          </w:tcPr>
          <w:p>
            <w:pPr>
              <w:jc w:val="center"/>
              <w:spacing w:after="0"/>
              <w:rPr>
                <w:sz w:val="20"/>
                <w:szCs w:val="20"/>
                <w:color w:val="auto"/>
              </w:rPr>
            </w:pPr>
            <w:r>
              <w:rPr>
                <w:rFonts w:ascii="Arial" w:cs="Arial" w:eastAsia="Arial" w:hAnsi="Arial"/>
                <w:sz w:val="13"/>
                <w:szCs w:val="13"/>
                <w:color w:val="auto"/>
                <w:w w:val="95"/>
              </w:rPr>
              <w:t>53,200</w:t>
            </w:r>
          </w:p>
        </w:tc>
        <w:tc>
          <w:tcPr>
            <w:tcW w:w="1160" w:type="dxa"/>
            <w:vAlign w:val="bottom"/>
            <w:tcBorders>
              <w:right w:val="single" w:sz="8" w:color="auto"/>
            </w:tcBorders>
            <w:shd w:val="clear" w:color="auto" w:fill="D4DBEB"/>
          </w:tcPr>
          <w:p>
            <w:pPr>
              <w:jc w:val="center"/>
              <w:spacing w:after="0"/>
              <w:rPr>
                <w:sz w:val="20"/>
                <w:szCs w:val="20"/>
                <w:color w:val="auto"/>
              </w:rPr>
            </w:pPr>
            <w:r>
              <w:rPr>
                <w:rFonts w:ascii="Arial" w:cs="Arial" w:eastAsia="Arial" w:hAnsi="Arial"/>
                <w:sz w:val="13"/>
                <w:szCs w:val="13"/>
                <w:color w:val="auto"/>
                <w:w w:val="95"/>
              </w:rPr>
              <w:t>49,600</w:t>
            </w:r>
          </w:p>
        </w:tc>
        <w:tc>
          <w:tcPr>
            <w:tcW w:w="1960" w:type="dxa"/>
            <w:vAlign w:val="bottom"/>
            <w:tcBorders>
              <w:right w:val="single" w:sz="8" w:color="auto"/>
            </w:tcBorders>
            <w:shd w:val="clear" w:color="auto" w:fill="D4DBEB"/>
          </w:tcPr>
          <w:p>
            <w:pPr>
              <w:jc w:val="center"/>
              <w:spacing w:after="0"/>
              <w:rPr>
                <w:sz w:val="20"/>
                <w:szCs w:val="20"/>
                <w:color w:val="auto"/>
              </w:rPr>
            </w:pPr>
            <w:r>
              <w:rPr>
                <w:rFonts w:ascii="Arial" w:cs="Arial" w:eastAsia="Arial" w:hAnsi="Arial"/>
                <w:sz w:val="13"/>
                <w:szCs w:val="13"/>
                <w:color w:val="auto"/>
                <w:w w:val="97"/>
              </w:rPr>
              <w:t>532,550</w:t>
            </w:r>
          </w:p>
        </w:tc>
        <w:tc>
          <w:tcPr>
            <w:tcW w:w="0" w:type="dxa"/>
            <w:vAlign w:val="bottom"/>
          </w:tcPr>
          <w:p>
            <w:pPr>
              <w:spacing w:after="0"/>
              <w:rPr>
                <w:sz w:val="1"/>
                <w:szCs w:val="1"/>
                <w:color w:val="auto"/>
              </w:rPr>
            </w:pPr>
          </w:p>
        </w:tc>
      </w:tr>
      <w:tr>
        <w:trPr>
          <w:trHeight w:val="223"/>
        </w:trPr>
        <w:tc>
          <w:tcPr>
            <w:tcW w:w="1640" w:type="dxa"/>
            <w:vAlign w:val="bottom"/>
            <w:tcBorders>
              <w:left w:val="single" w:sz="8" w:color="auto"/>
              <w:right w:val="single" w:sz="8" w:color="auto"/>
            </w:tcBorders>
          </w:tcPr>
          <w:p>
            <w:pPr>
              <w:ind w:left="160"/>
              <w:spacing w:after="0"/>
              <w:rPr>
                <w:sz w:val="20"/>
                <w:szCs w:val="20"/>
                <w:color w:val="auto"/>
              </w:rPr>
            </w:pPr>
            <w:r>
              <w:rPr>
                <w:rFonts w:ascii="Arial" w:cs="Arial" w:eastAsia="Arial" w:hAnsi="Arial"/>
                <w:sz w:val="13"/>
                <w:szCs w:val="13"/>
                <w:color w:val="auto"/>
              </w:rPr>
              <w:t>M.J. Dolan</w:t>
            </w:r>
          </w:p>
        </w:tc>
        <w:tc>
          <w:tcPr>
            <w:tcW w:w="1140" w:type="dxa"/>
            <w:vAlign w:val="bottom"/>
            <w:tcBorders>
              <w:right w:val="single" w:sz="8" w:color="auto"/>
            </w:tcBorders>
          </w:tcPr>
          <w:p>
            <w:pPr>
              <w:jc w:val="center"/>
              <w:spacing w:after="0"/>
              <w:rPr>
                <w:sz w:val="20"/>
                <w:szCs w:val="20"/>
                <w:color w:val="auto"/>
              </w:rPr>
            </w:pPr>
            <w:r>
              <w:rPr>
                <w:rFonts w:ascii="Arial" w:cs="Arial" w:eastAsia="Arial" w:hAnsi="Arial"/>
                <w:sz w:val="13"/>
                <w:szCs w:val="13"/>
                <w:color w:val="auto"/>
                <w:w w:val="95"/>
              </w:rPr>
              <w:t>53,200</w:t>
            </w:r>
          </w:p>
        </w:tc>
        <w:tc>
          <w:tcPr>
            <w:tcW w:w="820" w:type="dxa"/>
            <w:vAlign w:val="bottom"/>
          </w:tcPr>
          <w:p>
            <w:pPr>
              <w:jc w:val="center"/>
              <w:ind w:left="257"/>
              <w:spacing w:after="0"/>
              <w:rPr>
                <w:sz w:val="20"/>
                <w:szCs w:val="20"/>
                <w:color w:val="auto"/>
              </w:rPr>
            </w:pPr>
            <w:r>
              <w:rPr>
                <w:rFonts w:ascii="Arial" w:cs="Arial" w:eastAsia="Arial" w:hAnsi="Arial"/>
                <w:sz w:val="13"/>
                <w:szCs w:val="13"/>
                <w:color w:val="auto"/>
                <w:w w:val="95"/>
              </w:rPr>
              <w:t>53,200</w:t>
            </w:r>
          </w:p>
        </w:tc>
        <w:tc>
          <w:tcPr>
            <w:tcW w:w="320" w:type="dxa"/>
            <w:vAlign w:val="bottom"/>
            <w:tcBorders>
              <w:right w:val="single" w:sz="8" w:color="auto"/>
            </w:tcBorders>
          </w:tcPr>
          <w:p>
            <w:pPr>
              <w:spacing w:after="0"/>
              <w:rPr>
                <w:sz w:val="19"/>
                <w:szCs w:val="19"/>
                <w:color w:val="auto"/>
              </w:rPr>
            </w:pPr>
          </w:p>
        </w:tc>
        <w:tc>
          <w:tcPr>
            <w:tcW w:w="1160" w:type="dxa"/>
            <w:vAlign w:val="bottom"/>
            <w:tcBorders>
              <w:right w:val="single" w:sz="8" w:color="auto"/>
            </w:tcBorders>
          </w:tcPr>
          <w:p>
            <w:pPr>
              <w:jc w:val="center"/>
              <w:spacing w:after="0"/>
              <w:rPr>
                <w:sz w:val="20"/>
                <w:szCs w:val="20"/>
                <w:color w:val="auto"/>
              </w:rPr>
            </w:pPr>
            <w:r>
              <w:rPr>
                <w:rFonts w:ascii="Arial" w:cs="Arial" w:eastAsia="Arial" w:hAnsi="Arial"/>
                <w:sz w:val="13"/>
                <w:szCs w:val="13"/>
                <w:color w:val="auto"/>
              </w:rPr>
              <w:t>62,000</w:t>
            </w:r>
          </w:p>
        </w:tc>
        <w:tc>
          <w:tcPr>
            <w:tcW w:w="1140" w:type="dxa"/>
            <w:vAlign w:val="bottom"/>
            <w:tcBorders>
              <w:right w:val="single" w:sz="8" w:color="auto"/>
            </w:tcBorders>
          </w:tcPr>
          <w:p>
            <w:pPr>
              <w:jc w:val="center"/>
              <w:spacing w:after="0"/>
              <w:rPr>
                <w:sz w:val="20"/>
                <w:szCs w:val="20"/>
                <w:color w:val="auto"/>
              </w:rPr>
            </w:pPr>
            <w:r>
              <w:rPr>
                <w:rFonts w:ascii="Arial" w:cs="Arial" w:eastAsia="Arial" w:hAnsi="Arial"/>
                <w:sz w:val="13"/>
                <w:szCs w:val="13"/>
                <w:color w:val="auto"/>
                <w:w w:val="95"/>
              </w:rPr>
              <w:t>62,000</w:t>
            </w:r>
          </w:p>
        </w:tc>
        <w:tc>
          <w:tcPr>
            <w:tcW w:w="1160" w:type="dxa"/>
            <w:vAlign w:val="bottom"/>
            <w:tcBorders>
              <w:right w:val="single" w:sz="8" w:color="auto"/>
            </w:tcBorders>
          </w:tcPr>
          <w:p>
            <w:pPr>
              <w:jc w:val="center"/>
              <w:spacing w:after="0"/>
              <w:rPr>
                <w:sz w:val="20"/>
                <w:szCs w:val="20"/>
                <w:color w:val="auto"/>
              </w:rPr>
            </w:pPr>
            <w:r>
              <w:rPr>
                <w:rFonts w:ascii="Arial" w:cs="Arial" w:eastAsia="Arial" w:hAnsi="Arial"/>
                <w:sz w:val="13"/>
                <w:szCs w:val="13"/>
                <w:color w:val="auto"/>
                <w:w w:val="95"/>
              </w:rPr>
              <w:t>49,600</w:t>
            </w:r>
          </w:p>
        </w:tc>
        <w:tc>
          <w:tcPr>
            <w:tcW w:w="1960" w:type="dxa"/>
            <w:vAlign w:val="bottom"/>
            <w:tcBorders>
              <w:right w:val="single" w:sz="8" w:color="auto"/>
            </w:tcBorders>
          </w:tcPr>
          <w:p>
            <w:pPr>
              <w:jc w:val="center"/>
              <w:spacing w:after="0"/>
              <w:rPr>
                <w:sz w:val="20"/>
                <w:szCs w:val="20"/>
                <w:color w:val="auto"/>
              </w:rPr>
            </w:pPr>
            <w:r>
              <w:rPr>
                <w:rFonts w:ascii="Arial" w:cs="Arial" w:eastAsia="Arial" w:hAnsi="Arial"/>
                <w:sz w:val="13"/>
                <w:szCs w:val="13"/>
                <w:color w:val="auto"/>
                <w:w w:val="97"/>
              </w:rPr>
              <w:t>592,900</w:t>
            </w:r>
          </w:p>
        </w:tc>
        <w:tc>
          <w:tcPr>
            <w:tcW w:w="0" w:type="dxa"/>
            <w:vAlign w:val="bottom"/>
          </w:tcPr>
          <w:p>
            <w:pPr>
              <w:spacing w:after="0"/>
              <w:rPr>
                <w:sz w:val="1"/>
                <w:szCs w:val="1"/>
                <w:color w:val="auto"/>
              </w:rPr>
            </w:pPr>
          </w:p>
        </w:tc>
      </w:tr>
      <w:tr>
        <w:trPr>
          <w:trHeight w:val="230"/>
        </w:trPr>
        <w:tc>
          <w:tcPr>
            <w:tcW w:w="1640" w:type="dxa"/>
            <w:vAlign w:val="bottom"/>
            <w:tcBorders>
              <w:left w:val="single" w:sz="8" w:color="auto"/>
              <w:bottom w:val="single" w:sz="8" w:color="auto"/>
              <w:right w:val="single" w:sz="8" w:color="auto"/>
            </w:tcBorders>
            <w:shd w:val="clear" w:color="auto" w:fill="D4DBEB"/>
          </w:tcPr>
          <w:p>
            <w:pPr>
              <w:ind w:left="160"/>
              <w:spacing w:after="0"/>
              <w:rPr>
                <w:sz w:val="20"/>
                <w:szCs w:val="20"/>
                <w:color w:val="auto"/>
              </w:rPr>
            </w:pPr>
            <w:r>
              <w:rPr>
                <w:rFonts w:ascii="Arial" w:cs="Arial" w:eastAsia="Arial" w:hAnsi="Arial"/>
                <w:sz w:val="13"/>
                <w:szCs w:val="13"/>
                <w:color w:val="auto"/>
              </w:rPr>
              <w:t>N.W. Duffin</w:t>
            </w:r>
          </w:p>
        </w:tc>
        <w:tc>
          <w:tcPr>
            <w:tcW w:w="1140" w:type="dxa"/>
            <w:vAlign w:val="bottom"/>
            <w:tcBorders>
              <w:bottom w:val="single" w:sz="8" w:color="auto"/>
              <w:right w:val="single" w:sz="8" w:color="auto"/>
            </w:tcBorders>
            <w:shd w:val="clear" w:color="auto" w:fill="D4DBEB"/>
          </w:tcPr>
          <w:p>
            <w:pPr>
              <w:jc w:val="center"/>
              <w:spacing w:after="0"/>
              <w:rPr>
                <w:sz w:val="20"/>
                <w:szCs w:val="20"/>
                <w:color w:val="auto"/>
              </w:rPr>
            </w:pPr>
            <w:r>
              <w:rPr>
                <w:rFonts w:ascii="Arial" w:cs="Arial" w:eastAsia="Arial" w:hAnsi="Arial"/>
                <w:sz w:val="13"/>
                <w:szCs w:val="13"/>
                <w:color w:val="auto"/>
                <w:w w:val="95"/>
              </w:rPr>
              <w:t>32,200</w:t>
            </w:r>
          </w:p>
        </w:tc>
        <w:tc>
          <w:tcPr>
            <w:tcW w:w="820" w:type="dxa"/>
            <w:vAlign w:val="bottom"/>
            <w:tcBorders>
              <w:bottom w:val="single" w:sz="8" w:color="auto"/>
            </w:tcBorders>
            <w:shd w:val="clear" w:color="auto" w:fill="D4DBEB"/>
          </w:tcPr>
          <w:p>
            <w:pPr>
              <w:jc w:val="center"/>
              <w:ind w:left="257"/>
              <w:spacing w:after="0"/>
              <w:rPr>
                <w:sz w:val="20"/>
                <w:szCs w:val="20"/>
                <w:color w:val="auto"/>
              </w:rPr>
            </w:pPr>
            <w:r>
              <w:rPr>
                <w:rFonts w:ascii="Arial" w:cs="Arial" w:eastAsia="Arial" w:hAnsi="Arial"/>
                <w:sz w:val="13"/>
                <w:szCs w:val="13"/>
                <w:color w:val="auto"/>
                <w:w w:val="95"/>
              </w:rPr>
              <w:t>32,200</w:t>
            </w:r>
          </w:p>
        </w:tc>
        <w:tc>
          <w:tcPr>
            <w:tcW w:w="320" w:type="dxa"/>
            <w:vAlign w:val="bottom"/>
            <w:tcBorders>
              <w:bottom w:val="single" w:sz="8" w:color="auto"/>
              <w:right w:val="single" w:sz="8" w:color="auto"/>
            </w:tcBorders>
            <w:shd w:val="clear" w:color="auto" w:fill="D4DBEB"/>
          </w:tcPr>
          <w:p>
            <w:pPr>
              <w:spacing w:after="0"/>
              <w:rPr>
                <w:sz w:val="20"/>
                <w:szCs w:val="20"/>
                <w:color w:val="auto"/>
              </w:rPr>
            </w:pPr>
          </w:p>
        </w:tc>
        <w:tc>
          <w:tcPr>
            <w:tcW w:w="1160" w:type="dxa"/>
            <w:vAlign w:val="bottom"/>
            <w:tcBorders>
              <w:bottom w:val="single" w:sz="8" w:color="auto"/>
              <w:right w:val="single" w:sz="8" w:color="auto"/>
            </w:tcBorders>
            <w:shd w:val="clear" w:color="auto" w:fill="D4DBEB"/>
          </w:tcPr>
          <w:p>
            <w:pPr>
              <w:jc w:val="center"/>
              <w:spacing w:after="0"/>
              <w:rPr>
                <w:sz w:val="20"/>
                <w:szCs w:val="20"/>
                <w:color w:val="auto"/>
              </w:rPr>
            </w:pPr>
            <w:r>
              <w:rPr>
                <w:rFonts w:ascii="Arial" w:cs="Arial" w:eastAsia="Arial" w:hAnsi="Arial"/>
                <w:sz w:val="13"/>
                <w:szCs w:val="13"/>
                <w:color w:val="auto"/>
              </w:rPr>
              <w:t>32,200</w:t>
            </w:r>
          </w:p>
        </w:tc>
        <w:tc>
          <w:tcPr>
            <w:tcW w:w="1140" w:type="dxa"/>
            <w:vAlign w:val="bottom"/>
            <w:tcBorders>
              <w:bottom w:val="single" w:sz="8" w:color="auto"/>
              <w:right w:val="single" w:sz="8" w:color="auto"/>
            </w:tcBorders>
            <w:shd w:val="clear" w:color="auto" w:fill="D4DBEB"/>
          </w:tcPr>
          <w:p>
            <w:pPr>
              <w:jc w:val="center"/>
              <w:spacing w:after="0"/>
              <w:rPr>
                <w:sz w:val="20"/>
                <w:szCs w:val="20"/>
                <w:color w:val="auto"/>
              </w:rPr>
            </w:pPr>
            <w:r>
              <w:rPr>
                <w:rFonts w:ascii="Arial" w:cs="Arial" w:eastAsia="Arial" w:hAnsi="Arial"/>
                <w:sz w:val="13"/>
                <w:szCs w:val="13"/>
                <w:color w:val="auto"/>
                <w:w w:val="95"/>
              </w:rPr>
              <w:t>38,500</w:t>
            </w:r>
          </w:p>
        </w:tc>
        <w:tc>
          <w:tcPr>
            <w:tcW w:w="1160" w:type="dxa"/>
            <w:vAlign w:val="bottom"/>
            <w:tcBorders>
              <w:bottom w:val="single" w:sz="8" w:color="auto"/>
              <w:right w:val="single" w:sz="8" w:color="auto"/>
            </w:tcBorders>
            <w:shd w:val="clear" w:color="auto" w:fill="D4DBEB"/>
          </w:tcPr>
          <w:p>
            <w:pPr>
              <w:jc w:val="center"/>
              <w:spacing w:after="0"/>
              <w:rPr>
                <w:sz w:val="20"/>
                <w:szCs w:val="20"/>
                <w:color w:val="auto"/>
              </w:rPr>
            </w:pPr>
            <w:r>
              <w:rPr>
                <w:rFonts w:ascii="Arial" w:cs="Arial" w:eastAsia="Arial" w:hAnsi="Arial"/>
                <w:sz w:val="13"/>
                <w:szCs w:val="13"/>
                <w:color w:val="auto"/>
                <w:w w:val="95"/>
              </w:rPr>
              <w:t>34,650</w:t>
            </w:r>
          </w:p>
        </w:tc>
        <w:tc>
          <w:tcPr>
            <w:tcW w:w="1960" w:type="dxa"/>
            <w:vAlign w:val="bottom"/>
            <w:tcBorders>
              <w:bottom w:val="single" w:sz="8" w:color="auto"/>
              <w:right w:val="single" w:sz="8" w:color="auto"/>
            </w:tcBorders>
            <w:shd w:val="clear" w:color="auto" w:fill="D4DBEB"/>
          </w:tcPr>
          <w:p>
            <w:pPr>
              <w:jc w:val="center"/>
              <w:spacing w:after="0"/>
              <w:rPr>
                <w:sz w:val="20"/>
                <w:szCs w:val="20"/>
                <w:color w:val="auto"/>
              </w:rPr>
            </w:pPr>
            <w:r>
              <w:rPr>
                <w:rFonts w:ascii="Arial" w:cs="Arial" w:eastAsia="Arial" w:hAnsi="Arial"/>
                <w:sz w:val="13"/>
                <w:szCs w:val="13"/>
                <w:color w:val="auto"/>
                <w:w w:val="97"/>
              </w:rPr>
              <w:t>323,300</w:t>
            </w:r>
          </w:p>
        </w:tc>
        <w:tc>
          <w:tcPr>
            <w:tcW w:w="0" w:type="dxa"/>
            <w:vAlign w:val="bottom"/>
          </w:tcPr>
          <w:p>
            <w:pPr>
              <w:spacing w:after="0"/>
              <w:rPr>
                <w:sz w:val="1"/>
                <w:szCs w:val="1"/>
                <w:color w:val="auto"/>
              </w:rPr>
            </w:pPr>
          </w:p>
        </w:tc>
      </w:tr>
      <w:tr>
        <w:trPr>
          <w:trHeight w:val="369"/>
        </w:trPr>
        <w:tc>
          <w:tcPr>
            <w:tcW w:w="164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2300" w:type="dxa"/>
            <w:vAlign w:val="bottom"/>
            <w:gridSpan w:val="2"/>
          </w:tcPr>
          <w:p>
            <w:pPr>
              <w:jc w:val="right"/>
              <w:ind w:right="37"/>
              <w:spacing w:after="0"/>
              <w:rPr>
                <w:sz w:val="20"/>
                <w:szCs w:val="20"/>
                <w:color w:val="auto"/>
              </w:rPr>
            </w:pPr>
            <w:r>
              <w:rPr>
                <w:rFonts w:ascii="Times New Roman" w:cs="Times New Roman" w:eastAsia="Times New Roman" w:hAnsi="Times New Roman"/>
                <w:sz w:val="18"/>
                <w:szCs w:val="18"/>
                <w:i w:val="1"/>
                <w:iCs w:val="1"/>
                <w:color w:val="auto"/>
              </w:rPr>
              <w:t>2018 Proxy Statement</w:t>
            </w:r>
          </w:p>
        </w:tc>
        <w:tc>
          <w:tcPr>
            <w:tcW w:w="1960" w:type="dxa"/>
            <w:vAlign w:val="bottom"/>
          </w:tcPr>
          <w:p>
            <w:pPr>
              <w:jc w:val="right"/>
              <w:ind w:right="74"/>
              <w:spacing w:after="0"/>
              <w:rPr>
                <w:sz w:val="20"/>
                <w:szCs w:val="20"/>
                <w:color w:val="auto"/>
              </w:rPr>
            </w:pPr>
            <w:r>
              <w:rPr>
                <w:rFonts w:ascii="Arial" w:cs="Arial" w:eastAsia="Arial" w:hAnsi="Arial"/>
                <w:sz w:val="18"/>
                <w:szCs w:val="18"/>
                <w:color w:val="auto"/>
              </w:rPr>
              <w:t>49</w:t>
            </w:r>
          </w:p>
        </w:tc>
        <w:tc>
          <w:tcPr>
            <w:tcW w:w="0" w:type="dxa"/>
            <w:vAlign w:val="bottom"/>
          </w:tcPr>
          <w:p>
            <w:pPr>
              <w:spacing w:after="0"/>
              <w:rPr>
                <w:sz w:val="1"/>
                <w:szCs w:val="1"/>
                <w:color w:val="auto"/>
              </w:rPr>
            </w:pPr>
          </w:p>
        </w:tc>
      </w:tr>
    </w:tbl>
    <w:p>
      <w:pPr>
        <w:sectPr>
          <w:pgSz w:w="11900" w:h="16838" w:orient="portrait"/>
          <w:cols w:equalWidth="0" w:num="1">
            <w:col w:w="10600"/>
          </w:cols>
          <w:pgMar w:left="240" w:top="455" w:right="1059" w:bottom="1440" w:gutter="0" w:footer="0" w:header="0"/>
        </w:sectPr>
      </w:pPr>
    </w:p>
    <w:bookmarkStart w:id="52" w:name="page53"/>
    <w:bookmarkEnd w:id="52"/>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08">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Times New Roman" w:cs="Times New Roman" w:eastAsia="Times New Roman" w:hAnsi="Times New Roman"/>
            <w:sz w:val="18"/>
            <w:szCs w:val="18"/>
            <w:b w:val="1"/>
            <w:bCs w:val="1"/>
            <w:u w:val="single" w:color="auto"/>
            <w:color w:val="0000EE"/>
          </w:rPr>
          <w:t>Table of Contents</w:t>
        </w:r>
      </w:hyperlink>
    </w:p>
    <w:p>
      <w:pPr>
        <w:spacing w:after="0" w:line="303" w:lineRule="exact"/>
        <w:rPr>
          <w:sz w:val="20"/>
          <w:szCs w:val="20"/>
          <w:color w:val="auto"/>
        </w:rPr>
      </w:pPr>
    </w:p>
    <w:p>
      <w:pPr>
        <w:ind w:left="860"/>
        <w:spacing w:after="0"/>
        <w:rPr>
          <w:sz w:val="20"/>
          <w:szCs w:val="20"/>
          <w:color w:val="auto"/>
        </w:rPr>
      </w:pPr>
      <w:r>
        <w:rPr>
          <w:rFonts w:ascii="Arial" w:cs="Arial" w:eastAsia="Arial" w:hAnsi="Arial"/>
          <w:sz w:val="18"/>
          <w:szCs w:val="18"/>
          <w:b w:val="1"/>
          <w:bCs w:val="1"/>
          <w:color w:val="auto"/>
        </w:rPr>
        <w:t>Option Exercises and Stock Vested for 2017</w:t>
      </w:r>
    </w:p>
    <w:p>
      <w:pPr>
        <w:spacing w:after="0" w:line="244" w:lineRule="exact"/>
        <w:rPr>
          <w:sz w:val="20"/>
          <w:szCs w:val="20"/>
          <w:color w:val="auto"/>
        </w:rPr>
      </w:pPr>
    </w:p>
    <w:tbl>
      <w:tblPr>
        <w:tblLayout w:type="fixed"/>
        <w:tblInd w:w="870" w:type="dxa"/>
        <w:tblCellMar>
          <w:top w:w="0" w:type="dxa"/>
          <w:left w:w="0" w:type="dxa"/>
          <w:bottom w:w="0" w:type="dxa"/>
          <w:right w:w="0" w:type="dxa"/>
        </w:tblCellMar>
      </w:tblPr>
      <w:tr>
        <w:trPr>
          <w:trHeight w:val="226"/>
        </w:trPr>
        <w:tc>
          <w:tcPr>
            <w:tcW w:w="2560" w:type="dxa"/>
            <w:vAlign w:val="bottom"/>
            <w:tcBorders>
              <w:top w:val="single" w:sz="8" w:color="auto"/>
              <w:left w:val="single" w:sz="8" w:color="auto"/>
              <w:right w:val="single" w:sz="8" w:color="auto"/>
            </w:tcBorders>
          </w:tcPr>
          <w:p>
            <w:pPr>
              <w:spacing w:after="0"/>
              <w:rPr>
                <w:sz w:val="19"/>
                <w:szCs w:val="19"/>
                <w:color w:val="auto"/>
              </w:rPr>
            </w:pPr>
          </w:p>
        </w:tc>
        <w:tc>
          <w:tcPr>
            <w:tcW w:w="2260" w:type="dxa"/>
            <w:vAlign w:val="bottom"/>
            <w:tcBorders>
              <w:top w:val="single" w:sz="8" w:color="auto"/>
              <w:bottom w:val="single" w:sz="8" w:color="auto"/>
            </w:tcBorders>
            <w:gridSpan w:val="2"/>
          </w:tcPr>
          <w:p>
            <w:pPr>
              <w:ind w:left="1320"/>
              <w:spacing w:after="0"/>
              <w:rPr>
                <w:sz w:val="20"/>
                <w:szCs w:val="20"/>
                <w:color w:val="auto"/>
              </w:rPr>
            </w:pPr>
            <w:r>
              <w:rPr>
                <w:rFonts w:ascii="Arial" w:cs="Arial" w:eastAsia="Arial" w:hAnsi="Arial"/>
                <w:sz w:val="13"/>
                <w:szCs w:val="13"/>
                <w:b w:val="1"/>
                <w:bCs w:val="1"/>
                <w:color w:val="auto"/>
                <w:w w:val="99"/>
              </w:rPr>
              <w:t>Option Awards</w:t>
            </w:r>
          </w:p>
        </w:tc>
        <w:tc>
          <w:tcPr>
            <w:tcW w:w="1300" w:type="dxa"/>
            <w:vAlign w:val="bottom"/>
            <w:tcBorders>
              <w:top w:val="single" w:sz="8" w:color="auto"/>
              <w:bottom w:val="single" w:sz="8" w:color="auto"/>
              <w:right w:val="single" w:sz="8" w:color="auto"/>
            </w:tcBorders>
          </w:tcPr>
          <w:p>
            <w:pPr>
              <w:spacing w:after="0"/>
              <w:rPr>
                <w:sz w:val="19"/>
                <w:szCs w:val="19"/>
                <w:color w:val="auto"/>
              </w:rPr>
            </w:pPr>
          </w:p>
        </w:tc>
        <w:tc>
          <w:tcPr>
            <w:tcW w:w="2240" w:type="dxa"/>
            <w:vAlign w:val="bottom"/>
            <w:tcBorders>
              <w:top w:val="single" w:sz="8" w:color="auto"/>
              <w:bottom w:val="single" w:sz="8" w:color="auto"/>
            </w:tcBorders>
            <w:gridSpan w:val="2"/>
          </w:tcPr>
          <w:p>
            <w:pPr>
              <w:ind w:left="1340"/>
              <w:spacing w:after="0"/>
              <w:rPr>
                <w:sz w:val="20"/>
                <w:szCs w:val="20"/>
                <w:color w:val="auto"/>
              </w:rPr>
            </w:pPr>
            <w:r>
              <w:rPr>
                <w:rFonts w:ascii="Arial" w:cs="Arial" w:eastAsia="Arial" w:hAnsi="Arial"/>
                <w:sz w:val="13"/>
                <w:szCs w:val="13"/>
                <w:b w:val="1"/>
                <w:bCs w:val="1"/>
                <w:color w:val="auto"/>
              </w:rPr>
              <w:t>Stock Awards</w:t>
            </w:r>
          </w:p>
        </w:tc>
        <w:tc>
          <w:tcPr>
            <w:tcW w:w="1380" w:type="dxa"/>
            <w:vAlign w:val="bottom"/>
            <w:tcBorders>
              <w:top w:val="single" w:sz="8" w:color="auto"/>
              <w:bottom w:val="single" w:sz="8" w:color="auto"/>
              <w:right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122"/>
        </w:trPr>
        <w:tc>
          <w:tcPr>
            <w:tcW w:w="2560" w:type="dxa"/>
            <w:vAlign w:val="bottom"/>
            <w:tcBorders>
              <w:left w:val="single" w:sz="8" w:color="auto"/>
              <w:right w:val="single" w:sz="8" w:color="auto"/>
            </w:tcBorders>
          </w:tcPr>
          <w:p>
            <w:pPr>
              <w:spacing w:after="0"/>
              <w:rPr>
                <w:sz w:val="10"/>
                <w:szCs w:val="10"/>
                <w:color w:val="auto"/>
              </w:rPr>
            </w:pPr>
          </w:p>
        </w:tc>
        <w:tc>
          <w:tcPr>
            <w:tcW w:w="1980" w:type="dxa"/>
            <w:vAlign w:val="bottom"/>
            <w:tcBorders>
              <w:right w:val="single" w:sz="8" w:color="auto"/>
            </w:tcBorders>
          </w:tcPr>
          <w:p>
            <w:pPr>
              <w:jc w:val="center"/>
              <w:spacing w:after="0" w:line="122" w:lineRule="exact"/>
              <w:rPr>
                <w:sz w:val="20"/>
                <w:szCs w:val="20"/>
                <w:color w:val="auto"/>
              </w:rPr>
            </w:pPr>
            <w:r>
              <w:rPr>
                <w:rFonts w:ascii="Arial" w:cs="Arial" w:eastAsia="Arial" w:hAnsi="Arial"/>
                <w:sz w:val="13"/>
                <w:szCs w:val="13"/>
                <w:b w:val="1"/>
                <w:bCs w:val="1"/>
                <w:color w:val="auto"/>
                <w:w w:val="96"/>
              </w:rPr>
              <w:t>Number of Shares</w:t>
            </w:r>
          </w:p>
        </w:tc>
        <w:tc>
          <w:tcPr>
            <w:tcW w:w="280" w:type="dxa"/>
            <w:vAlign w:val="bottom"/>
          </w:tcPr>
          <w:p>
            <w:pPr>
              <w:spacing w:after="0"/>
              <w:rPr>
                <w:sz w:val="10"/>
                <w:szCs w:val="10"/>
                <w:color w:val="auto"/>
              </w:rPr>
            </w:pPr>
          </w:p>
        </w:tc>
        <w:tc>
          <w:tcPr>
            <w:tcW w:w="1300" w:type="dxa"/>
            <w:vAlign w:val="bottom"/>
            <w:tcBorders>
              <w:right w:val="single" w:sz="8" w:color="auto"/>
            </w:tcBorders>
          </w:tcPr>
          <w:p>
            <w:pPr>
              <w:jc w:val="center"/>
              <w:ind w:right="277"/>
              <w:spacing w:after="0" w:line="122" w:lineRule="exact"/>
              <w:rPr>
                <w:sz w:val="20"/>
                <w:szCs w:val="20"/>
                <w:color w:val="auto"/>
              </w:rPr>
            </w:pPr>
            <w:r>
              <w:rPr>
                <w:rFonts w:ascii="Arial" w:cs="Arial" w:eastAsia="Arial" w:hAnsi="Arial"/>
                <w:sz w:val="13"/>
                <w:szCs w:val="13"/>
                <w:b w:val="1"/>
                <w:bCs w:val="1"/>
                <w:color w:val="auto"/>
                <w:w w:val="96"/>
              </w:rPr>
              <w:t>Value Realized</w:t>
            </w:r>
          </w:p>
        </w:tc>
        <w:tc>
          <w:tcPr>
            <w:tcW w:w="2000" w:type="dxa"/>
            <w:vAlign w:val="bottom"/>
            <w:tcBorders>
              <w:right w:val="single" w:sz="8" w:color="auto"/>
            </w:tcBorders>
          </w:tcPr>
          <w:p>
            <w:pPr>
              <w:jc w:val="center"/>
              <w:ind w:right="57"/>
              <w:spacing w:after="0" w:line="122" w:lineRule="exact"/>
              <w:rPr>
                <w:sz w:val="20"/>
                <w:szCs w:val="20"/>
                <w:color w:val="auto"/>
              </w:rPr>
            </w:pPr>
            <w:r>
              <w:rPr>
                <w:rFonts w:ascii="Arial" w:cs="Arial" w:eastAsia="Arial" w:hAnsi="Arial"/>
                <w:sz w:val="13"/>
                <w:szCs w:val="13"/>
                <w:b w:val="1"/>
                <w:bCs w:val="1"/>
                <w:color w:val="auto"/>
                <w:w w:val="96"/>
              </w:rPr>
              <w:t>Number of Shares</w:t>
            </w:r>
          </w:p>
        </w:tc>
        <w:tc>
          <w:tcPr>
            <w:tcW w:w="240" w:type="dxa"/>
            <w:vAlign w:val="bottom"/>
          </w:tcPr>
          <w:p>
            <w:pPr>
              <w:spacing w:after="0"/>
              <w:rPr>
                <w:sz w:val="10"/>
                <w:szCs w:val="10"/>
                <w:color w:val="auto"/>
              </w:rPr>
            </w:pPr>
          </w:p>
        </w:tc>
        <w:tc>
          <w:tcPr>
            <w:tcW w:w="1380" w:type="dxa"/>
            <w:vAlign w:val="bottom"/>
            <w:tcBorders>
              <w:right w:val="single" w:sz="8" w:color="auto"/>
            </w:tcBorders>
          </w:tcPr>
          <w:p>
            <w:pPr>
              <w:jc w:val="right"/>
              <w:ind w:right="357"/>
              <w:spacing w:after="0" w:line="122" w:lineRule="exact"/>
              <w:rPr>
                <w:sz w:val="20"/>
                <w:szCs w:val="20"/>
                <w:color w:val="auto"/>
              </w:rPr>
            </w:pPr>
            <w:r>
              <w:rPr>
                <w:rFonts w:ascii="Arial" w:cs="Arial" w:eastAsia="Arial" w:hAnsi="Arial"/>
                <w:sz w:val="13"/>
                <w:szCs w:val="13"/>
                <w:b w:val="1"/>
                <w:bCs w:val="1"/>
                <w:color w:val="auto"/>
              </w:rPr>
              <w:t>Value Realized</w:t>
            </w:r>
          </w:p>
        </w:tc>
        <w:tc>
          <w:tcPr>
            <w:tcW w:w="0" w:type="dxa"/>
            <w:vAlign w:val="bottom"/>
          </w:tcPr>
          <w:p>
            <w:pPr>
              <w:spacing w:after="0"/>
              <w:rPr>
                <w:sz w:val="1"/>
                <w:szCs w:val="1"/>
                <w:color w:val="auto"/>
              </w:rPr>
            </w:pPr>
          </w:p>
        </w:tc>
      </w:tr>
      <w:tr>
        <w:trPr>
          <w:trHeight w:val="135"/>
        </w:trPr>
        <w:tc>
          <w:tcPr>
            <w:tcW w:w="2560" w:type="dxa"/>
            <w:vAlign w:val="bottom"/>
            <w:tcBorders>
              <w:left w:val="single" w:sz="8" w:color="auto"/>
              <w:right w:val="single" w:sz="8" w:color="auto"/>
            </w:tcBorders>
            <w:vMerge w:val="restart"/>
          </w:tcPr>
          <w:p>
            <w:pPr>
              <w:ind w:left="140"/>
              <w:spacing w:after="0"/>
              <w:rPr>
                <w:sz w:val="20"/>
                <w:szCs w:val="20"/>
                <w:color w:val="auto"/>
              </w:rPr>
            </w:pPr>
            <w:r>
              <w:rPr>
                <w:rFonts w:ascii="Arial" w:cs="Arial" w:eastAsia="Arial" w:hAnsi="Arial"/>
                <w:sz w:val="13"/>
                <w:szCs w:val="13"/>
                <w:b w:val="1"/>
                <w:bCs w:val="1"/>
                <w:color w:val="auto"/>
              </w:rPr>
              <w:t>Name</w:t>
            </w:r>
          </w:p>
        </w:tc>
        <w:tc>
          <w:tcPr>
            <w:tcW w:w="1980" w:type="dxa"/>
            <w:vAlign w:val="bottom"/>
            <w:tcBorders>
              <w:right w:val="single" w:sz="8" w:color="auto"/>
            </w:tcBorders>
          </w:tcPr>
          <w:p>
            <w:pPr>
              <w:jc w:val="center"/>
              <w:spacing w:after="0" w:line="135" w:lineRule="exact"/>
              <w:rPr>
                <w:sz w:val="20"/>
                <w:szCs w:val="20"/>
                <w:color w:val="auto"/>
              </w:rPr>
            </w:pPr>
            <w:r>
              <w:rPr>
                <w:rFonts w:ascii="Arial" w:cs="Arial" w:eastAsia="Arial" w:hAnsi="Arial"/>
                <w:sz w:val="13"/>
                <w:szCs w:val="13"/>
                <w:b w:val="1"/>
                <w:bCs w:val="1"/>
                <w:color w:val="auto"/>
                <w:w w:val="96"/>
              </w:rPr>
              <w:t>Acquired on Exercise</w:t>
            </w:r>
          </w:p>
        </w:tc>
        <w:tc>
          <w:tcPr>
            <w:tcW w:w="280" w:type="dxa"/>
            <w:vAlign w:val="bottom"/>
          </w:tcPr>
          <w:p>
            <w:pPr>
              <w:spacing w:after="0"/>
              <w:rPr>
                <w:sz w:val="11"/>
                <w:szCs w:val="11"/>
                <w:color w:val="auto"/>
              </w:rPr>
            </w:pPr>
          </w:p>
        </w:tc>
        <w:tc>
          <w:tcPr>
            <w:tcW w:w="1300" w:type="dxa"/>
            <w:vAlign w:val="bottom"/>
            <w:tcBorders>
              <w:right w:val="single" w:sz="8" w:color="auto"/>
            </w:tcBorders>
          </w:tcPr>
          <w:p>
            <w:pPr>
              <w:jc w:val="center"/>
              <w:ind w:right="257"/>
              <w:spacing w:after="0" w:line="135" w:lineRule="exact"/>
              <w:rPr>
                <w:sz w:val="20"/>
                <w:szCs w:val="20"/>
                <w:color w:val="auto"/>
              </w:rPr>
            </w:pPr>
            <w:r>
              <w:rPr>
                <w:rFonts w:ascii="Arial" w:cs="Arial" w:eastAsia="Arial" w:hAnsi="Arial"/>
                <w:sz w:val="13"/>
                <w:szCs w:val="13"/>
                <w:b w:val="1"/>
                <w:bCs w:val="1"/>
                <w:color w:val="auto"/>
                <w:w w:val="95"/>
              </w:rPr>
              <w:t>on Exercise</w:t>
            </w:r>
          </w:p>
        </w:tc>
        <w:tc>
          <w:tcPr>
            <w:tcW w:w="2000" w:type="dxa"/>
            <w:vAlign w:val="bottom"/>
            <w:tcBorders>
              <w:right w:val="single" w:sz="8" w:color="auto"/>
            </w:tcBorders>
          </w:tcPr>
          <w:p>
            <w:pPr>
              <w:jc w:val="center"/>
              <w:ind w:right="37"/>
              <w:spacing w:after="0" w:line="135" w:lineRule="exact"/>
              <w:rPr>
                <w:sz w:val="20"/>
                <w:szCs w:val="20"/>
                <w:color w:val="auto"/>
              </w:rPr>
            </w:pPr>
            <w:r>
              <w:rPr>
                <w:rFonts w:ascii="Arial" w:cs="Arial" w:eastAsia="Arial" w:hAnsi="Arial"/>
                <w:sz w:val="13"/>
                <w:szCs w:val="13"/>
                <w:b w:val="1"/>
                <w:bCs w:val="1"/>
                <w:color w:val="auto"/>
                <w:w w:val="96"/>
              </w:rPr>
              <w:t>Acquired on Vesting</w:t>
            </w:r>
          </w:p>
        </w:tc>
        <w:tc>
          <w:tcPr>
            <w:tcW w:w="240" w:type="dxa"/>
            <w:vAlign w:val="bottom"/>
          </w:tcPr>
          <w:p>
            <w:pPr>
              <w:spacing w:after="0"/>
              <w:rPr>
                <w:sz w:val="11"/>
                <w:szCs w:val="11"/>
                <w:color w:val="auto"/>
              </w:rPr>
            </w:pPr>
          </w:p>
        </w:tc>
        <w:tc>
          <w:tcPr>
            <w:tcW w:w="1380" w:type="dxa"/>
            <w:vAlign w:val="bottom"/>
            <w:tcBorders>
              <w:right w:val="single" w:sz="8" w:color="auto"/>
            </w:tcBorders>
          </w:tcPr>
          <w:p>
            <w:pPr>
              <w:jc w:val="right"/>
              <w:ind w:right="477"/>
              <w:spacing w:after="0" w:line="135" w:lineRule="exact"/>
              <w:rPr>
                <w:sz w:val="20"/>
                <w:szCs w:val="20"/>
                <w:color w:val="auto"/>
              </w:rPr>
            </w:pPr>
            <w:r>
              <w:rPr>
                <w:rFonts w:ascii="Arial" w:cs="Arial" w:eastAsia="Arial" w:hAnsi="Arial"/>
                <w:sz w:val="13"/>
                <w:szCs w:val="13"/>
                <w:b w:val="1"/>
                <w:bCs w:val="1"/>
                <w:color w:val="auto"/>
              </w:rPr>
              <w:t>on Vesting</w:t>
            </w:r>
          </w:p>
        </w:tc>
        <w:tc>
          <w:tcPr>
            <w:tcW w:w="0" w:type="dxa"/>
            <w:vAlign w:val="bottom"/>
          </w:tcPr>
          <w:p>
            <w:pPr>
              <w:spacing w:after="0"/>
              <w:rPr>
                <w:sz w:val="1"/>
                <w:szCs w:val="1"/>
                <w:color w:val="auto"/>
              </w:rPr>
            </w:pPr>
          </w:p>
        </w:tc>
      </w:tr>
      <w:tr>
        <w:trPr>
          <w:trHeight w:val="182"/>
        </w:trPr>
        <w:tc>
          <w:tcPr>
            <w:tcW w:w="2560" w:type="dxa"/>
            <w:vAlign w:val="bottom"/>
            <w:tcBorders>
              <w:left w:val="single" w:sz="8" w:color="auto"/>
              <w:bottom w:val="single" w:sz="8" w:color="auto"/>
              <w:right w:val="single" w:sz="8" w:color="auto"/>
            </w:tcBorders>
            <w:vMerge w:val="continue"/>
          </w:tcPr>
          <w:p>
            <w:pPr>
              <w:spacing w:after="0"/>
              <w:rPr>
                <w:sz w:val="15"/>
                <w:szCs w:val="15"/>
                <w:color w:val="auto"/>
              </w:rPr>
            </w:pPr>
          </w:p>
        </w:tc>
        <w:tc>
          <w:tcPr>
            <w:tcW w:w="1980" w:type="dxa"/>
            <w:vAlign w:val="bottom"/>
            <w:tcBorders>
              <w:bottom w:val="single" w:sz="8" w:color="auto"/>
              <w:right w:val="single" w:sz="8" w:color="auto"/>
            </w:tcBorders>
          </w:tcPr>
          <w:p>
            <w:pPr>
              <w:jc w:val="right"/>
              <w:ind w:right="917"/>
              <w:spacing w:after="0"/>
              <w:rPr>
                <w:sz w:val="20"/>
                <w:szCs w:val="20"/>
                <w:color w:val="auto"/>
              </w:rPr>
            </w:pPr>
            <w:r>
              <w:rPr>
                <w:rFonts w:ascii="Arial" w:cs="Arial" w:eastAsia="Arial" w:hAnsi="Arial"/>
                <w:sz w:val="13"/>
                <w:szCs w:val="13"/>
                <w:b w:val="1"/>
                <w:bCs w:val="1"/>
                <w:color w:val="auto"/>
              </w:rPr>
              <w:t>(#)</w:t>
            </w:r>
          </w:p>
        </w:tc>
        <w:tc>
          <w:tcPr>
            <w:tcW w:w="280" w:type="dxa"/>
            <w:vAlign w:val="bottom"/>
            <w:tcBorders>
              <w:bottom w:val="single" w:sz="8" w:color="auto"/>
            </w:tcBorders>
          </w:tcPr>
          <w:p>
            <w:pPr>
              <w:spacing w:after="0"/>
              <w:rPr>
                <w:sz w:val="15"/>
                <w:szCs w:val="15"/>
                <w:color w:val="auto"/>
              </w:rPr>
            </w:pPr>
          </w:p>
        </w:tc>
        <w:tc>
          <w:tcPr>
            <w:tcW w:w="1300" w:type="dxa"/>
            <w:vAlign w:val="bottom"/>
            <w:tcBorders>
              <w:bottom w:val="single" w:sz="8" w:color="auto"/>
              <w:right w:val="single" w:sz="8" w:color="auto"/>
            </w:tcBorders>
          </w:tcPr>
          <w:p>
            <w:pPr>
              <w:jc w:val="center"/>
              <w:ind w:right="257"/>
              <w:spacing w:after="0"/>
              <w:rPr>
                <w:sz w:val="20"/>
                <w:szCs w:val="20"/>
                <w:color w:val="auto"/>
              </w:rPr>
            </w:pPr>
            <w:r>
              <w:rPr>
                <w:rFonts w:ascii="Arial" w:cs="Arial" w:eastAsia="Arial" w:hAnsi="Arial"/>
                <w:sz w:val="13"/>
                <w:szCs w:val="13"/>
                <w:b w:val="1"/>
                <w:bCs w:val="1"/>
                <w:color w:val="auto"/>
                <w:w w:val="87"/>
              </w:rPr>
              <w:t>($)</w:t>
            </w:r>
          </w:p>
        </w:tc>
        <w:tc>
          <w:tcPr>
            <w:tcW w:w="2000" w:type="dxa"/>
            <w:vAlign w:val="bottom"/>
            <w:tcBorders>
              <w:bottom w:val="single" w:sz="8" w:color="auto"/>
              <w:right w:val="single" w:sz="8" w:color="auto"/>
            </w:tcBorders>
          </w:tcPr>
          <w:p>
            <w:pPr>
              <w:jc w:val="center"/>
              <w:ind w:right="57"/>
              <w:spacing w:after="0"/>
              <w:rPr>
                <w:sz w:val="20"/>
                <w:szCs w:val="20"/>
                <w:color w:val="auto"/>
              </w:rPr>
            </w:pPr>
            <w:r>
              <w:rPr>
                <w:rFonts w:ascii="Arial" w:cs="Arial" w:eastAsia="Arial" w:hAnsi="Arial"/>
                <w:sz w:val="13"/>
                <w:szCs w:val="13"/>
                <w:b w:val="1"/>
                <w:bCs w:val="1"/>
                <w:color w:val="auto"/>
              </w:rPr>
              <w:t>(#)</w:t>
            </w:r>
          </w:p>
        </w:tc>
        <w:tc>
          <w:tcPr>
            <w:tcW w:w="240" w:type="dxa"/>
            <w:vAlign w:val="bottom"/>
            <w:tcBorders>
              <w:bottom w:val="single" w:sz="8" w:color="auto"/>
            </w:tcBorders>
          </w:tcPr>
          <w:p>
            <w:pPr>
              <w:spacing w:after="0"/>
              <w:rPr>
                <w:sz w:val="15"/>
                <w:szCs w:val="15"/>
                <w:color w:val="auto"/>
              </w:rPr>
            </w:pPr>
          </w:p>
        </w:tc>
        <w:tc>
          <w:tcPr>
            <w:tcW w:w="1380" w:type="dxa"/>
            <w:vAlign w:val="bottom"/>
            <w:tcBorders>
              <w:bottom w:val="single" w:sz="8" w:color="auto"/>
              <w:right w:val="single" w:sz="8" w:color="auto"/>
            </w:tcBorders>
          </w:tcPr>
          <w:p>
            <w:pPr>
              <w:jc w:val="right"/>
              <w:ind w:right="717"/>
              <w:spacing w:after="0"/>
              <w:rPr>
                <w:sz w:val="20"/>
                <w:szCs w:val="20"/>
                <w:color w:val="auto"/>
              </w:rPr>
            </w:pPr>
            <w:r>
              <w:rPr>
                <w:rFonts w:ascii="Arial" w:cs="Arial" w:eastAsia="Arial" w:hAnsi="Arial"/>
                <w:sz w:val="13"/>
                <w:szCs w:val="13"/>
                <w:b w:val="1"/>
                <w:bCs w:val="1"/>
                <w:color w:val="auto"/>
              </w:rPr>
              <w:t>($)</w:t>
            </w:r>
          </w:p>
        </w:tc>
        <w:tc>
          <w:tcPr>
            <w:tcW w:w="0" w:type="dxa"/>
            <w:vAlign w:val="bottom"/>
          </w:tcPr>
          <w:p>
            <w:pPr>
              <w:spacing w:after="0"/>
              <w:rPr>
                <w:sz w:val="1"/>
                <w:szCs w:val="1"/>
                <w:color w:val="auto"/>
              </w:rPr>
            </w:pPr>
          </w:p>
        </w:tc>
      </w:tr>
      <w:tr>
        <w:trPr>
          <w:trHeight w:val="214"/>
        </w:trPr>
        <w:tc>
          <w:tcPr>
            <w:tcW w:w="2560" w:type="dxa"/>
            <w:vAlign w:val="bottom"/>
            <w:tcBorders>
              <w:left w:val="single" w:sz="8" w:color="auto"/>
              <w:right w:val="single" w:sz="8" w:color="auto"/>
            </w:tcBorders>
            <w:shd w:val="clear" w:color="auto" w:fill="D4DBEB"/>
          </w:tcPr>
          <w:p>
            <w:pPr>
              <w:ind w:left="160"/>
              <w:spacing w:after="0"/>
              <w:rPr>
                <w:sz w:val="20"/>
                <w:szCs w:val="20"/>
                <w:color w:val="auto"/>
              </w:rPr>
            </w:pPr>
            <w:r>
              <w:rPr>
                <w:rFonts w:ascii="Arial" w:cs="Arial" w:eastAsia="Arial" w:hAnsi="Arial"/>
                <w:sz w:val="13"/>
                <w:szCs w:val="13"/>
                <w:color w:val="auto"/>
              </w:rPr>
              <w:t>D.W. Woods</w:t>
            </w:r>
          </w:p>
        </w:tc>
        <w:tc>
          <w:tcPr>
            <w:tcW w:w="1980" w:type="dxa"/>
            <w:vAlign w:val="bottom"/>
            <w:tcBorders>
              <w:right w:val="single" w:sz="8" w:color="auto"/>
            </w:tcBorders>
            <w:shd w:val="clear" w:color="auto" w:fill="D4DBEB"/>
          </w:tcPr>
          <w:p>
            <w:pPr>
              <w:jc w:val="center"/>
              <w:ind w:right="37"/>
              <w:spacing w:after="0"/>
              <w:rPr>
                <w:sz w:val="20"/>
                <w:szCs w:val="20"/>
                <w:color w:val="auto"/>
              </w:rPr>
            </w:pPr>
            <w:r>
              <w:rPr>
                <w:rFonts w:ascii="Arial" w:cs="Arial" w:eastAsia="Arial" w:hAnsi="Arial"/>
                <w:sz w:val="13"/>
                <w:szCs w:val="13"/>
                <w:color w:val="auto"/>
              </w:rPr>
              <w:t>0</w:t>
            </w:r>
          </w:p>
        </w:tc>
        <w:tc>
          <w:tcPr>
            <w:tcW w:w="280" w:type="dxa"/>
            <w:vAlign w:val="bottom"/>
            <w:shd w:val="clear" w:color="auto" w:fill="D4DBEB"/>
          </w:tcPr>
          <w:p>
            <w:pPr>
              <w:spacing w:after="0"/>
              <w:rPr>
                <w:sz w:val="18"/>
                <w:szCs w:val="18"/>
                <w:color w:val="auto"/>
              </w:rPr>
            </w:pPr>
          </w:p>
        </w:tc>
        <w:tc>
          <w:tcPr>
            <w:tcW w:w="1300" w:type="dxa"/>
            <w:vAlign w:val="bottom"/>
            <w:tcBorders>
              <w:right w:val="single" w:sz="8" w:color="auto"/>
            </w:tcBorders>
            <w:shd w:val="clear" w:color="auto" w:fill="D4DBEB"/>
          </w:tcPr>
          <w:p>
            <w:pPr>
              <w:jc w:val="center"/>
              <w:ind w:right="237"/>
              <w:spacing w:after="0"/>
              <w:rPr>
                <w:sz w:val="20"/>
                <w:szCs w:val="20"/>
                <w:color w:val="auto"/>
              </w:rPr>
            </w:pPr>
            <w:r>
              <w:rPr>
                <w:rFonts w:ascii="Arial" w:cs="Arial" w:eastAsia="Arial" w:hAnsi="Arial"/>
                <w:sz w:val="13"/>
                <w:szCs w:val="13"/>
                <w:color w:val="auto"/>
              </w:rPr>
              <w:t>0</w:t>
            </w:r>
          </w:p>
        </w:tc>
        <w:tc>
          <w:tcPr>
            <w:tcW w:w="2000" w:type="dxa"/>
            <w:vAlign w:val="bottom"/>
            <w:tcBorders>
              <w:right w:val="single" w:sz="8" w:color="auto"/>
            </w:tcBorders>
            <w:shd w:val="clear" w:color="auto" w:fill="D4DBEB"/>
          </w:tcPr>
          <w:p>
            <w:pPr>
              <w:jc w:val="center"/>
              <w:ind w:right="17"/>
              <w:spacing w:after="0"/>
              <w:rPr>
                <w:sz w:val="20"/>
                <w:szCs w:val="20"/>
                <w:color w:val="auto"/>
              </w:rPr>
            </w:pPr>
            <w:r>
              <w:rPr>
                <w:rFonts w:ascii="Arial" w:cs="Arial" w:eastAsia="Arial" w:hAnsi="Arial"/>
                <w:sz w:val="13"/>
                <w:szCs w:val="13"/>
                <w:color w:val="auto"/>
              </w:rPr>
              <w:t>25,350</w:t>
            </w:r>
          </w:p>
        </w:tc>
        <w:tc>
          <w:tcPr>
            <w:tcW w:w="240" w:type="dxa"/>
            <w:vAlign w:val="bottom"/>
            <w:shd w:val="clear" w:color="auto" w:fill="D4DBEB"/>
          </w:tcPr>
          <w:p>
            <w:pPr>
              <w:spacing w:after="0"/>
              <w:rPr>
                <w:sz w:val="18"/>
                <w:szCs w:val="18"/>
                <w:color w:val="auto"/>
              </w:rPr>
            </w:pPr>
          </w:p>
        </w:tc>
        <w:tc>
          <w:tcPr>
            <w:tcW w:w="1380" w:type="dxa"/>
            <w:vAlign w:val="bottom"/>
            <w:tcBorders>
              <w:right w:val="single" w:sz="8" w:color="auto"/>
            </w:tcBorders>
            <w:shd w:val="clear" w:color="auto" w:fill="D4DBEB"/>
          </w:tcPr>
          <w:p>
            <w:pPr>
              <w:jc w:val="right"/>
              <w:ind w:right="477"/>
              <w:spacing w:after="0"/>
              <w:rPr>
                <w:sz w:val="20"/>
                <w:szCs w:val="20"/>
                <w:color w:val="auto"/>
              </w:rPr>
            </w:pPr>
            <w:r>
              <w:rPr>
                <w:rFonts w:ascii="Arial" w:cs="Arial" w:eastAsia="Arial" w:hAnsi="Arial"/>
                <w:sz w:val="13"/>
                <w:szCs w:val="13"/>
                <w:color w:val="auto"/>
              </w:rPr>
              <w:t>2,066,010</w:t>
            </w:r>
          </w:p>
        </w:tc>
        <w:tc>
          <w:tcPr>
            <w:tcW w:w="0" w:type="dxa"/>
            <w:vAlign w:val="bottom"/>
          </w:tcPr>
          <w:p>
            <w:pPr>
              <w:spacing w:after="0"/>
              <w:rPr>
                <w:sz w:val="1"/>
                <w:szCs w:val="1"/>
                <w:color w:val="auto"/>
              </w:rPr>
            </w:pPr>
          </w:p>
        </w:tc>
      </w:tr>
      <w:tr>
        <w:trPr>
          <w:trHeight w:val="223"/>
        </w:trPr>
        <w:tc>
          <w:tcPr>
            <w:tcW w:w="2560" w:type="dxa"/>
            <w:vAlign w:val="bottom"/>
            <w:tcBorders>
              <w:left w:val="single" w:sz="8" w:color="auto"/>
              <w:right w:val="single" w:sz="8" w:color="auto"/>
            </w:tcBorders>
          </w:tcPr>
          <w:p>
            <w:pPr>
              <w:ind w:left="160"/>
              <w:spacing w:after="0"/>
              <w:rPr>
                <w:sz w:val="20"/>
                <w:szCs w:val="20"/>
                <w:color w:val="auto"/>
              </w:rPr>
            </w:pPr>
            <w:r>
              <w:rPr>
                <w:rFonts w:ascii="Arial" w:cs="Arial" w:eastAsia="Arial" w:hAnsi="Arial"/>
                <w:sz w:val="13"/>
                <w:szCs w:val="13"/>
                <w:color w:val="auto"/>
              </w:rPr>
              <w:t>A.P. Swiger</w:t>
            </w:r>
          </w:p>
        </w:tc>
        <w:tc>
          <w:tcPr>
            <w:tcW w:w="1980" w:type="dxa"/>
            <w:vAlign w:val="bottom"/>
            <w:tcBorders>
              <w:right w:val="single" w:sz="8" w:color="auto"/>
            </w:tcBorders>
          </w:tcPr>
          <w:p>
            <w:pPr>
              <w:jc w:val="center"/>
              <w:ind w:right="37"/>
              <w:spacing w:after="0"/>
              <w:rPr>
                <w:sz w:val="20"/>
                <w:szCs w:val="20"/>
                <w:color w:val="auto"/>
              </w:rPr>
            </w:pPr>
            <w:r>
              <w:rPr>
                <w:rFonts w:ascii="Arial" w:cs="Arial" w:eastAsia="Arial" w:hAnsi="Arial"/>
                <w:sz w:val="13"/>
                <w:szCs w:val="13"/>
                <w:color w:val="auto"/>
              </w:rPr>
              <w:t>0</w:t>
            </w:r>
          </w:p>
        </w:tc>
        <w:tc>
          <w:tcPr>
            <w:tcW w:w="280" w:type="dxa"/>
            <w:vAlign w:val="bottom"/>
          </w:tcPr>
          <w:p>
            <w:pPr>
              <w:spacing w:after="0"/>
              <w:rPr>
                <w:sz w:val="19"/>
                <w:szCs w:val="19"/>
                <w:color w:val="auto"/>
              </w:rPr>
            </w:pPr>
          </w:p>
        </w:tc>
        <w:tc>
          <w:tcPr>
            <w:tcW w:w="1300" w:type="dxa"/>
            <w:vAlign w:val="bottom"/>
            <w:tcBorders>
              <w:right w:val="single" w:sz="8" w:color="auto"/>
            </w:tcBorders>
          </w:tcPr>
          <w:p>
            <w:pPr>
              <w:jc w:val="center"/>
              <w:ind w:right="237"/>
              <w:spacing w:after="0"/>
              <w:rPr>
                <w:sz w:val="20"/>
                <w:szCs w:val="20"/>
                <w:color w:val="auto"/>
              </w:rPr>
            </w:pPr>
            <w:r>
              <w:rPr>
                <w:rFonts w:ascii="Arial" w:cs="Arial" w:eastAsia="Arial" w:hAnsi="Arial"/>
                <w:sz w:val="13"/>
                <w:szCs w:val="13"/>
                <w:color w:val="auto"/>
              </w:rPr>
              <w:t>0</w:t>
            </w:r>
          </w:p>
        </w:tc>
        <w:tc>
          <w:tcPr>
            <w:tcW w:w="2000" w:type="dxa"/>
            <w:vAlign w:val="bottom"/>
            <w:tcBorders>
              <w:right w:val="single" w:sz="8" w:color="auto"/>
            </w:tcBorders>
          </w:tcPr>
          <w:p>
            <w:pPr>
              <w:jc w:val="center"/>
              <w:ind w:right="17"/>
              <w:spacing w:after="0"/>
              <w:rPr>
                <w:sz w:val="20"/>
                <w:szCs w:val="20"/>
                <w:color w:val="auto"/>
              </w:rPr>
            </w:pPr>
            <w:r>
              <w:rPr>
                <w:rFonts w:ascii="Arial" w:cs="Arial" w:eastAsia="Arial" w:hAnsi="Arial"/>
                <w:sz w:val="13"/>
                <w:szCs w:val="13"/>
                <w:color w:val="auto"/>
              </w:rPr>
              <w:t>42,000</w:t>
            </w:r>
          </w:p>
        </w:tc>
        <w:tc>
          <w:tcPr>
            <w:tcW w:w="240" w:type="dxa"/>
            <w:vAlign w:val="bottom"/>
          </w:tcPr>
          <w:p>
            <w:pPr>
              <w:spacing w:after="0"/>
              <w:rPr>
                <w:sz w:val="19"/>
                <w:szCs w:val="19"/>
                <w:color w:val="auto"/>
              </w:rPr>
            </w:pPr>
          </w:p>
        </w:tc>
        <w:tc>
          <w:tcPr>
            <w:tcW w:w="1380" w:type="dxa"/>
            <w:vAlign w:val="bottom"/>
            <w:tcBorders>
              <w:right w:val="single" w:sz="8" w:color="auto"/>
            </w:tcBorders>
          </w:tcPr>
          <w:p>
            <w:pPr>
              <w:jc w:val="right"/>
              <w:ind w:right="477"/>
              <w:spacing w:after="0"/>
              <w:rPr>
                <w:sz w:val="20"/>
                <w:szCs w:val="20"/>
                <w:color w:val="auto"/>
              </w:rPr>
            </w:pPr>
            <w:r>
              <w:rPr>
                <w:rFonts w:ascii="Arial" w:cs="Arial" w:eastAsia="Arial" w:hAnsi="Arial"/>
                <w:sz w:val="13"/>
                <w:szCs w:val="13"/>
                <w:color w:val="auto"/>
              </w:rPr>
              <w:t>3,429,930</w:t>
            </w:r>
          </w:p>
        </w:tc>
        <w:tc>
          <w:tcPr>
            <w:tcW w:w="0" w:type="dxa"/>
            <w:vAlign w:val="bottom"/>
          </w:tcPr>
          <w:p>
            <w:pPr>
              <w:spacing w:after="0"/>
              <w:rPr>
                <w:sz w:val="1"/>
                <w:szCs w:val="1"/>
                <w:color w:val="auto"/>
              </w:rPr>
            </w:pPr>
          </w:p>
        </w:tc>
      </w:tr>
      <w:tr>
        <w:trPr>
          <w:trHeight w:val="237"/>
        </w:trPr>
        <w:tc>
          <w:tcPr>
            <w:tcW w:w="2560" w:type="dxa"/>
            <w:vAlign w:val="bottom"/>
            <w:tcBorders>
              <w:left w:val="single" w:sz="8" w:color="auto"/>
              <w:right w:val="single" w:sz="8" w:color="auto"/>
            </w:tcBorders>
            <w:shd w:val="clear" w:color="auto" w:fill="D4DBEB"/>
          </w:tcPr>
          <w:p>
            <w:pPr>
              <w:ind w:left="160"/>
              <w:spacing w:after="0"/>
              <w:rPr>
                <w:sz w:val="20"/>
                <w:szCs w:val="20"/>
                <w:color w:val="auto"/>
              </w:rPr>
            </w:pPr>
            <w:r>
              <w:rPr>
                <w:rFonts w:ascii="Arial" w:cs="Arial" w:eastAsia="Arial" w:hAnsi="Arial"/>
                <w:sz w:val="13"/>
                <w:szCs w:val="13"/>
                <w:color w:val="auto"/>
              </w:rPr>
              <w:t>M.W. Albers</w:t>
            </w:r>
          </w:p>
        </w:tc>
        <w:tc>
          <w:tcPr>
            <w:tcW w:w="1980" w:type="dxa"/>
            <w:vAlign w:val="bottom"/>
            <w:tcBorders>
              <w:right w:val="single" w:sz="8" w:color="auto"/>
            </w:tcBorders>
            <w:shd w:val="clear" w:color="auto" w:fill="D4DBEB"/>
          </w:tcPr>
          <w:p>
            <w:pPr>
              <w:jc w:val="center"/>
              <w:ind w:right="37"/>
              <w:spacing w:after="0"/>
              <w:rPr>
                <w:sz w:val="20"/>
                <w:szCs w:val="20"/>
                <w:color w:val="auto"/>
              </w:rPr>
            </w:pPr>
            <w:r>
              <w:rPr>
                <w:rFonts w:ascii="Arial" w:cs="Arial" w:eastAsia="Arial" w:hAnsi="Arial"/>
                <w:sz w:val="13"/>
                <w:szCs w:val="13"/>
                <w:color w:val="auto"/>
              </w:rPr>
              <w:t>0</w:t>
            </w:r>
          </w:p>
        </w:tc>
        <w:tc>
          <w:tcPr>
            <w:tcW w:w="280" w:type="dxa"/>
            <w:vAlign w:val="bottom"/>
            <w:shd w:val="clear" w:color="auto" w:fill="D4DBEB"/>
          </w:tcPr>
          <w:p>
            <w:pPr>
              <w:spacing w:after="0"/>
              <w:rPr>
                <w:sz w:val="20"/>
                <w:szCs w:val="20"/>
                <w:color w:val="auto"/>
              </w:rPr>
            </w:pPr>
          </w:p>
        </w:tc>
        <w:tc>
          <w:tcPr>
            <w:tcW w:w="1300" w:type="dxa"/>
            <w:vAlign w:val="bottom"/>
            <w:tcBorders>
              <w:right w:val="single" w:sz="8" w:color="auto"/>
            </w:tcBorders>
            <w:shd w:val="clear" w:color="auto" w:fill="D4DBEB"/>
          </w:tcPr>
          <w:p>
            <w:pPr>
              <w:jc w:val="center"/>
              <w:ind w:right="237"/>
              <w:spacing w:after="0"/>
              <w:rPr>
                <w:sz w:val="20"/>
                <w:szCs w:val="20"/>
                <w:color w:val="auto"/>
              </w:rPr>
            </w:pPr>
            <w:r>
              <w:rPr>
                <w:rFonts w:ascii="Arial" w:cs="Arial" w:eastAsia="Arial" w:hAnsi="Arial"/>
                <w:sz w:val="13"/>
                <w:szCs w:val="13"/>
                <w:color w:val="auto"/>
              </w:rPr>
              <w:t>0</w:t>
            </w:r>
          </w:p>
        </w:tc>
        <w:tc>
          <w:tcPr>
            <w:tcW w:w="2000" w:type="dxa"/>
            <w:vAlign w:val="bottom"/>
            <w:tcBorders>
              <w:right w:val="single" w:sz="8" w:color="auto"/>
            </w:tcBorders>
            <w:shd w:val="clear" w:color="auto" w:fill="D4DBEB"/>
          </w:tcPr>
          <w:p>
            <w:pPr>
              <w:jc w:val="center"/>
              <w:ind w:right="17"/>
              <w:spacing w:after="0"/>
              <w:rPr>
                <w:sz w:val="20"/>
                <w:szCs w:val="20"/>
                <w:color w:val="auto"/>
              </w:rPr>
            </w:pPr>
            <w:r>
              <w:rPr>
                <w:rFonts w:ascii="Arial" w:cs="Arial" w:eastAsia="Arial" w:hAnsi="Arial"/>
                <w:sz w:val="13"/>
                <w:szCs w:val="13"/>
                <w:color w:val="auto"/>
              </w:rPr>
              <w:t>45,400</w:t>
            </w:r>
          </w:p>
        </w:tc>
        <w:tc>
          <w:tcPr>
            <w:tcW w:w="240" w:type="dxa"/>
            <w:vAlign w:val="bottom"/>
            <w:shd w:val="clear" w:color="auto" w:fill="D4DBEB"/>
          </w:tcPr>
          <w:p>
            <w:pPr>
              <w:spacing w:after="0"/>
              <w:rPr>
                <w:sz w:val="20"/>
                <w:szCs w:val="20"/>
                <w:color w:val="auto"/>
              </w:rPr>
            </w:pPr>
          </w:p>
        </w:tc>
        <w:tc>
          <w:tcPr>
            <w:tcW w:w="1380" w:type="dxa"/>
            <w:vAlign w:val="bottom"/>
            <w:tcBorders>
              <w:right w:val="single" w:sz="8" w:color="auto"/>
            </w:tcBorders>
            <w:shd w:val="clear" w:color="auto" w:fill="D4DBEB"/>
          </w:tcPr>
          <w:p>
            <w:pPr>
              <w:jc w:val="right"/>
              <w:ind w:right="477"/>
              <w:spacing w:after="0"/>
              <w:rPr>
                <w:sz w:val="20"/>
                <w:szCs w:val="20"/>
                <w:color w:val="auto"/>
              </w:rPr>
            </w:pPr>
            <w:r>
              <w:rPr>
                <w:rFonts w:ascii="Arial" w:cs="Arial" w:eastAsia="Arial" w:hAnsi="Arial"/>
                <w:sz w:val="13"/>
                <w:szCs w:val="13"/>
                <w:color w:val="auto"/>
              </w:rPr>
              <w:t>3,707,591</w:t>
            </w:r>
          </w:p>
        </w:tc>
        <w:tc>
          <w:tcPr>
            <w:tcW w:w="0" w:type="dxa"/>
            <w:vAlign w:val="bottom"/>
          </w:tcPr>
          <w:p>
            <w:pPr>
              <w:spacing w:after="0"/>
              <w:rPr>
                <w:sz w:val="1"/>
                <w:szCs w:val="1"/>
                <w:color w:val="auto"/>
              </w:rPr>
            </w:pPr>
          </w:p>
        </w:tc>
      </w:tr>
      <w:tr>
        <w:trPr>
          <w:trHeight w:val="223"/>
        </w:trPr>
        <w:tc>
          <w:tcPr>
            <w:tcW w:w="2560" w:type="dxa"/>
            <w:vAlign w:val="bottom"/>
            <w:tcBorders>
              <w:left w:val="single" w:sz="8" w:color="auto"/>
              <w:right w:val="single" w:sz="8" w:color="auto"/>
            </w:tcBorders>
          </w:tcPr>
          <w:p>
            <w:pPr>
              <w:ind w:left="160"/>
              <w:spacing w:after="0"/>
              <w:rPr>
                <w:sz w:val="20"/>
                <w:szCs w:val="20"/>
                <w:color w:val="auto"/>
              </w:rPr>
            </w:pPr>
            <w:r>
              <w:rPr>
                <w:rFonts w:ascii="Arial" w:cs="Arial" w:eastAsia="Arial" w:hAnsi="Arial"/>
                <w:sz w:val="13"/>
                <w:szCs w:val="13"/>
                <w:color w:val="auto"/>
              </w:rPr>
              <w:t>M.J. Dolan</w:t>
            </w:r>
          </w:p>
        </w:tc>
        <w:tc>
          <w:tcPr>
            <w:tcW w:w="1980" w:type="dxa"/>
            <w:vAlign w:val="bottom"/>
            <w:tcBorders>
              <w:right w:val="single" w:sz="8" w:color="auto"/>
            </w:tcBorders>
          </w:tcPr>
          <w:p>
            <w:pPr>
              <w:jc w:val="center"/>
              <w:ind w:right="37"/>
              <w:spacing w:after="0"/>
              <w:rPr>
                <w:sz w:val="20"/>
                <w:szCs w:val="20"/>
                <w:color w:val="auto"/>
              </w:rPr>
            </w:pPr>
            <w:r>
              <w:rPr>
                <w:rFonts w:ascii="Arial" w:cs="Arial" w:eastAsia="Arial" w:hAnsi="Arial"/>
                <w:sz w:val="13"/>
                <w:szCs w:val="13"/>
                <w:color w:val="auto"/>
              </w:rPr>
              <w:t>0</w:t>
            </w:r>
          </w:p>
        </w:tc>
        <w:tc>
          <w:tcPr>
            <w:tcW w:w="280" w:type="dxa"/>
            <w:vAlign w:val="bottom"/>
          </w:tcPr>
          <w:p>
            <w:pPr>
              <w:spacing w:after="0"/>
              <w:rPr>
                <w:sz w:val="19"/>
                <w:szCs w:val="19"/>
                <w:color w:val="auto"/>
              </w:rPr>
            </w:pPr>
          </w:p>
        </w:tc>
        <w:tc>
          <w:tcPr>
            <w:tcW w:w="1300" w:type="dxa"/>
            <w:vAlign w:val="bottom"/>
            <w:tcBorders>
              <w:right w:val="single" w:sz="8" w:color="auto"/>
            </w:tcBorders>
          </w:tcPr>
          <w:p>
            <w:pPr>
              <w:jc w:val="center"/>
              <w:ind w:right="237"/>
              <w:spacing w:after="0"/>
              <w:rPr>
                <w:sz w:val="20"/>
                <w:szCs w:val="20"/>
                <w:color w:val="auto"/>
              </w:rPr>
            </w:pPr>
            <w:r>
              <w:rPr>
                <w:rFonts w:ascii="Arial" w:cs="Arial" w:eastAsia="Arial" w:hAnsi="Arial"/>
                <w:sz w:val="13"/>
                <w:szCs w:val="13"/>
                <w:color w:val="auto"/>
              </w:rPr>
              <w:t>0</w:t>
            </w:r>
          </w:p>
        </w:tc>
        <w:tc>
          <w:tcPr>
            <w:tcW w:w="2000" w:type="dxa"/>
            <w:vAlign w:val="bottom"/>
            <w:tcBorders>
              <w:right w:val="single" w:sz="8" w:color="auto"/>
            </w:tcBorders>
          </w:tcPr>
          <w:p>
            <w:pPr>
              <w:jc w:val="center"/>
              <w:ind w:right="17"/>
              <w:spacing w:after="0"/>
              <w:rPr>
                <w:sz w:val="20"/>
                <w:szCs w:val="20"/>
                <w:color w:val="auto"/>
              </w:rPr>
            </w:pPr>
            <w:r>
              <w:rPr>
                <w:rFonts w:ascii="Arial" w:cs="Arial" w:eastAsia="Arial" w:hAnsi="Arial"/>
                <w:sz w:val="13"/>
                <w:szCs w:val="13"/>
                <w:color w:val="auto"/>
              </w:rPr>
              <w:t>49,300</w:t>
            </w:r>
          </w:p>
        </w:tc>
        <w:tc>
          <w:tcPr>
            <w:tcW w:w="240" w:type="dxa"/>
            <w:vAlign w:val="bottom"/>
          </w:tcPr>
          <w:p>
            <w:pPr>
              <w:spacing w:after="0"/>
              <w:rPr>
                <w:sz w:val="19"/>
                <w:szCs w:val="19"/>
                <w:color w:val="auto"/>
              </w:rPr>
            </w:pPr>
          </w:p>
        </w:tc>
        <w:tc>
          <w:tcPr>
            <w:tcW w:w="1380" w:type="dxa"/>
            <w:vAlign w:val="bottom"/>
            <w:tcBorders>
              <w:right w:val="single" w:sz="8" w:color="auto"/>
            </w:tcBorders>
          </w:tcPr>
          <w:p>
            <w:pPr>
              <w:jc w:val="right"/>
              <w:ind w:right="477"/>
              <w:spacing w:after="0"/>
              <w:rPr>
                <w:sz w:val="20"/>
                <w:szCs w:val="20"/>
                <w:color w:val="auto"/>
              </w:rPr>
            </w:pPr>
            <w:r>
              <w:rPr>
                <w:rFonts w:ascii="Arial" w:cs="Arial" w:eastAsia="Arial" w:hAnsi="Arial"/>
                <w:sz w:val="13"/>
                <w:szCs w:val="13"/>
                <w:color w:val="auto"/>
              </w:rPr>
              <w:t>4,026,085</w:t>
            </w:r>
          </w:p>
        </w:tc>
        <w:tc>
          <w:tcPr>
            <w:tcW w:w="0" w:type="dxa"/>
            <w:vAlign w:val="bottom"/>
          </w:tcPr>
          <w:p>
            <w:pPr>
              <w:spacing w:after="0"/>
              <w:rPr>
                <w:sz w:val="1"/>
                <w:szCs w:val="1"/>
                <w:color w:val="auto"/>
              </w:rPr>
            </w:pPr>
          </w:p>
        </w:tc>
      </w:tr>
      <w:tr>
        <w:trPr>
          <w:trHeight w:val="230"/>
        </w:trPr>
        <w:tc>
          <w:tcPr>
            <w:tcW w:w="2560" w:type="dxa"/>
            <w:vAlign w:val="bottom"/>
            <w:tcBorders>
              <w:left w:val="single" w:sz="8" w:color="auto"/>
              <w:bottom w:val="single" w:sz="8" w:color="auto"/>
              <w:right w:val="single" w:sz="8" w:color="auto"/>
            </w:tcBorders>
            <w:shd w:val="clear" w:color="auto" w:fill="D4DBEB"/>
          </w:tcPr>
          <w:p>
            <w:pPr>
              <w:ind w:left="160"/>
              <w:spacing w:after="0"/>
              <w:rPr>
                <w:sz w:val="20"/>
                <w:szCs w:val="20"/>
                <w:color w:val="auto"/>
              </w:rPr>
            </w:pPr>
            <w:r>
              <w:rPr>
                <w:rFonts w:ascii="Arial" w:cs="Arial" w:eastAsia="Arial" w:hAnsi="Arial"/>
                <w:sz w:val="13"/>
                <w:szCs w:val="13"/>
                <w:color w:val="auto"/>
              </w:rPr>
              <w:t>N.W. Duffin</w:t>
            </w:r>
          </w:p>
        </w:tc>
        <w:tc>
          <w:tcPr>
            <w:tcW w:w="1980" w:type="dxa"/>
            <w:vAlign w:val="bottom"/>
            <w:tcBorders>
              <w:bottom w:val="single" w:sz="8" w:color="auto"/>
              <w:right w:val="single" w:sz="8" w:color="auto"/>
            </w:tcBorders>
            <w:shd w:val="clear" w:color="auto" w:fill="D4DBEB"/>
          </w:tcPr>
          <w:p>
            <w:pPr>
              <w:jc w:val="center"/>
              <w:ind w:right="37"/>
              <w:spacing w:after="0"/>
              <w:rPr>
                <w:sz w:val="20"/>
                <w:szCs w:val="20"/>
                <w:color w:val="auto"/>
              </w:rPr>
            </w:pPr>
            <w:r>
              <w:rPr>
                <w:rFonts w:ascii="Arial" w:cs="Arial" w:eastAsia="Arial" w:hAnsi="Arial"/>
                <w:sz w:val="13"/>
                <w:szCs w:val="13"/>
                <w:color w:val="auto"/>
              </w:rPr>
              <w:t>0</w:t>
            </w:r>
          </w:p>
        </w:tc>
        <w:tc>
          <w:tcPr>
            <w:tcW w:w="280" w:type="dxa"/>
            <w:vAlign w:val="bottom"/>
            <w:tcBorders>
              <w:bottom w:val="single" w:sz="8" w:color="auto"/>
            </w:tcBorders>
            <w:shd w:val="clear" w:color="auto" w:fill="D4DBEB"/>
          </w:tcPr>
          <w:p>
            <w:pPr>
              <w:spacing w:after="0"/>
              <w:rPr>
                <w:sz w:val="20"/>
                <w:szCs w:val="20"/>
                <w:color w:val="auto"/>
              </w:rPr>
            </w:pPr>
          </w:p>
        </w:tc>
        <w:tc>
          <w:tcPr>
            <w:tcW w:w="1300" w:type="dxa"/>
            <w:vAlign w:val="bottom"/>
            <w:tcBorders>
              <w:bottom w:val="single" w:sz="8" w:color="auto"/>
              <w:right w:val="single" w:sz="8" w:color="auto"/>
            </w:tcBorders>
            <w:shd w:val="clear" w:color="auto" w:fill="D4DBEB"/>
          </w:tcPr>
          <w:p>
            <w:pPr>
              <w:jc w:val="center"/>
              <w:ind w:right="237"/>
              <w:spacing w:after="0"/>
              <w:rPr>
                <w:sz w:val="20"/>
                <w:szCs w:val="20"/>
                <w:color w:val="auto"/>
              </w:rPr>
            </w:pPr>
            <w:r>
              <w:rPr>
                <w:rFonts w:ascii="Arial" w:cs="Arial" w:eastAsia="Arial" w:hAnsi="Arial"/>
                <w:sz w:val="13"/>
                <w:szCs w:val="13"/>
                <w:color w:val="auto"/>
              </w:rPr>
              <w:t>0</w:t>
            </w:r>
          </w:p>
        </w:tc>
        <w:tc>
          <w:tcPr>
            <w:tcW w:w="2000" w:type="dxa"/>
            <w:vAlign w:val="bottom"/>
            <w:tcBorders>
              <w:bottom w:val="single" w:sz="8" w:color="auto"/>
              <w:right w:val="single" w:sz="8" w:color="auto"/>
            </w:tcBorders>
            <w:shd w:val="clear" w:color="auto" w:fill="D4DBEB"/>
          </w:tcPr>
          <w:p>
            <w:pPr>
              <w:jc w:val="center"/>
              <w:ind w:right="17"/>
              <w:spacing w:after="0"/>
              <w:rPr>
                <w:sz w:val="20"/>
                <w:szCs w:val="20"/>
                <w:color w:val="auto"/>
              </w:rPr>
            </w:pPr>
            <w:r>
              <w:rPr>
                <w:rFonts w:ascii="Arial" w:cs="Arial" w:eastAsia="Arial" w:hAnsi="Arial"/>
                <w:sz w:val="13"/>
                <w:szCs w:val="13"/>
                <w:color w:val="auto"/>
              </w:rPr>
              <w:t>32,200</w:t>
            </w:r>
          </w:p>
        </w:tc>
        <w:tc>
          <w:tcPr>
            <w:tcW w:w="240" w:type="dxa"/>
            <w:vAlign w:val="bottom"/>
            <w:tcBorders>
              <w:bottom w:val="single" w:sz="8" w:color="auto"/>
            </w:tcBorders>
            <w:shd w:val="clear" w:color="auto" w:fill="D4DBEB"/>
          </w:tcPr>
          <w:p>
            <w:pPr>
              <w:spacing w:after="0"/>
              <w:rPr>
                <w:sz w:val="20"/>
                <w:szCs w:val="20"/>
                <w:color w:val="auto"/>
              </w:rPr>
            </w:pPr>
          </w:p>
        </w:tc>
        <w:tc>
          <w:tcPr>
            <w:tcW w:w="1380" w:type="dxa"/>
            <w:vAlign w:val="bottom"/>
            <w:tcBorders>
              <w:bottom w:val="single" w:sz="8" w:color="auto"/>
              <w:right w:val="single" w:sz="8" w:color="auto"/>
            </w:tcBorders>
            <w:shd w:val="clear" w:color="auto" w:fill="D4DBEB"/>
          </w:tcPr>
          <w:p>
            <w:pPr>
              <w:jc w:val="right"/>
              <w:ind w:right="477"/>
              <w:spacing w:after="0"/>
              <w:rPr>
                <w:sz w:val="20"/>
                <w:szCs w:val="20"/>
                <w:color w:val="auto"/>
              </w:rPr>
            </w:pPr>
            <w:r>
              <w:rPr>
                <w:rFonts w:ascii="Arial" w:cs="Arial" w:eastAsia="Arial" w:hAnsi="Arial"/>
                <w:sz w:val="13"/>
                <w:szCs w:val="13"/>
                <w:color w:val="auto"/>
              </w:rPr>
              <w:t>2,629,613</w:t>
            </w:r>
          </w:p>
        </w:tc>
        <w:tc>
          <w:tcPr>
            <w:tcW w:w="0" w:type="dxa"/>
            <w:vAlign w:val="bottom"/>
          </w:tcPr>
          <w:p>
            <w:pPr>
              <w:spacing w:after="0"/>
              <w:rPr>
                <w:sz w:val="1"/>
                <w:szCs w:val="1"/>
                <w:color w:val="auto"/>
              </w:rPr>
            </w:pPr>
          </w:p>
        </w:tc>
      </w:tr>
    </w:tbl>
    <w:p>
      <w:pPr>
        <w:spacing w:after="0" w:line="193" w:lineRule="exact"/>
        <w:rPr>
          <w:sz w:val="20"/>
          <w:szCs w:val="20"/>
          <w:color w:val="auto"/>
        </w:rPr>
      </w:pPr>
    </w:p>
    <w:p>
      <w:pPr>
        <w:ind w:left="860"/>
        <w:spacing w:after="0"/>
        <w:rPr>
          <w:sz w:val="20"/>
          <w:szCs w:val="20"/>
          <w:color w:val="auto"/>
        </w:rPr>
      </w:pPr>
      <w:r>
        <w:rPr>
          <w:rFonts w:ascii="Arial" w:cs="Arial" w:eastAsia="Arial" w:hAnsi="Arial"/>
          <w:sz w:val="18"/>
          <w:szCs w:val="18"/>
          <w:u w:val="single" w:color="auto"/>
          <w:color w:val="auto"/>
        </w:rPr>
        <w:t>Stock Awards/Restriction Lapse in 2017</w:t>
      </w:r>
    </w:p>
    <w:p>
      <w:pPr>
        <w:spacing w:after="0" w:line="117" w:lineRule="exact"/>
        <w:rPr>
          <w:sz w:val="20"/>
          <w:szCs w:val="20"/>
          <w:color w:val="auto"/>
        </w:rPr>
      </w:pPr>
    </w:p>
    <w:p>
      <w:pPr>
        <w:ind w:left="1240" w:right="260" w:hanging="388"/>
        <w:spacing w:after="0" w:line="255" w:lineRule="auto"/>
        <w:tabs>
          <w:tab w:leader="none" w:pos="1240" w:val="left"/>
        </w:tabs>
        <w:numPr>
          <w:ilvl w:val="0"/>
          <w:numId w:val="80"/>
        </w:numPr>
        <w:rPr>
          <w:rFonts w:ascii="Times New Roman" w:cs="Times New Roman" w:eastAsia="Times New Roman" w:hAnsi="Times New Roman"/>
          <w:sz w:val="18"/>
          <w:szCs w:val="18"/>
          <w:color w:val="auto"/>
        </w:rPr>
      </w:pPr>
      <w:r>
        <w:rPr>
          <w:rFonts w:ascii="Arial" w:cs="Arial" w:eastAsia="Arial" w:hAnsi="Arial"/>
          <w:sz w:val="18"/>
          <w:szCs w:val="18"/>
          <w:color w:val="auto"/>
        </w:rPr>
        <w:t>In 2017, restrictions lapsed on 50 percent of performance share awards that were granted in 2012. For Mr. Woods, restrictions also lapsed on 50 percent of performance share awards that were granted in 2010. See notes to Outstanding Equity Awards at Fiscal Year-End for 2017 table for more information (page 49).</w:t>
      </w:r>
    </w:p>
    <w:p>
      <w:pPr>
        <w:spacing w:after="0" w:line="68" w:lineRule="exact"/>
        <w:rPr>
          <w:rFonts w:ascii="Times New Roman" w:cs="Times New Roman" w:eastAsia="Times New Roman" w:hAnsi="Times New Roman"/>
          <w:sz w:val="18"/>
          <w:szCs w:val="18"/>
          <w:color w:val="auto"/>
        </w:rPr>
      </w:pPr>
    </w:p>
    <w:p>
      <w:pPr>
        <w:ind w:left="1240" w:right="40" w:hanging="388"/>
        <w:spacing w:after="0" w:line="255" w:lineRule="auto"/>
        <w:tabs>
          <w:tab w:leader="none" w:pos="1240" w:val="left"/>
        </w:tabs>
        <w:numPr>
          <w:ilvl w:val="0"/>
          <w:numId w:val="80"/>
        </w:numPr>
        <w:rPr>
          <w:rFonts w:ascii="Times New Roman" w:cs="Times New Roman" w:eastAsia="Times New Roman" w:hAnsi="Times New Roman"/>
          <w:sz w:val="18"/>
          <w:szCs w:val="18"/>
          <w:color w:val="auto"/>
        </w:rPr>
      </w:pPr>
      <w:r>
        <w:rPr>
          <w:rFonts w:ascii="Arial" w:cs="Arial" w:eastAsia="Arial" w:hAnsi="Arial"/>
          <w:sz w:val="18"/>
          <w:szCs w:val="18"/>
          <w:color w:val="auto"/>
        </w:rPr>
        <w:t>The number of shares acquired on vesting is the gross number of shares to which the award relates. The value realized is the gross number of shares times the market price, which is the average of the high and low sale prices on the NYSE on the date that the restrictions lapse.</w:t>
      </w:r>
    </w:p>
    <w:p>
      <w:pPr>
        <w:spacing w:after="0" w:line="68" w:lineRule="exact"/>
        <w:rPr>
          <w:rFonts w:ascii="Times New Roman" w:cs="Times New Roman" w:eastAsia="Times New Roman" w:hAnsi="Times New Roman"/>
          <w:sz w:val="18"/>
          <w:szCs w:val="18"/>
          <w:color w:val="auto"/>
        </w:rPr>
      </w:pPr>
    </w:p>
    <w:p>
      <w:pPr>
        <w:ind w:left="1240" w:right="920" w:hanging="388"/>
        <w:spacing w:after="0" w:line="306" w:lineRule="auto"/>
        <w:tabs>
          <w:tab w:leader="none" w:pos="1240" w:val="left"/>
        </w:tabs>
        <w:numPr>
          <w:ilvl w:val="0"/>
          <w:numId w:val="80"/>
        </w:numPr>
        <w:rPr>
          <w:rFonts w:ascii="Times New Roman" w:cs="Times New Roman" w:eastAsia="Times New Roman" w:hAnsi="Times New Roman"/>
          <w:sz w:val="17"/>
          <w:szCs w:val="17"/>
          <w:color w:val="auto"/>
        </w:rPr>
      </w:pPr>
      <w:r>
        <w:rPr>
          <w:rFonts w:ascii="Arial" w:cs="Arial" w:eastAsia="Arial" w:hAnsi="Arial"/>
          <w:sz w:val="17"/>
          <w:szCs w:val="17"/>
          <w:color w:val="auto"/>
        </w:rPr>
        <w:t>The net number of shares acquired (gross number of shares less shares withheld for taxes) are 14,714 for Mr. Woods; 24,380 for Mr. Swiger; 26,354 for Mr. Albers; 28,618 for Mr. Dolan; and 18,692 for Mr. Duffin.</w:t>
      </w:r>
    </w:p>
    <w:p>
      <w:pPr>
        <w:spacing w:after="0" w:line="27" w:lineRule="exact"/>
        <w:rPr>
          <w:rFonts w:ascii="Times New Roman" w:cs="Times New Roman" w:eastAsia="Times New Roman" w:hAnsi="Times New Roman"/>
          <w:sz w:val="17"/>
          <w:szCs w:val="17"/>
          <w:color w:val="auto"/>
        </w:rPr>
      </w:pPr>
    </w:p>
    <w:p>
      <w:pPr>
        <w:ind w:left="1240" w:hanging="388"/>
        <w:spacing w:after="0"/>
        <w:tabs>
          <w:tab w:leader="none" w:pos="1240" w:val="left"/>
        </w:tabs>
        <w:numPr>
          <w:ilvl w:val="0"/>
          <w:numId w:val="80"/>
        </w:numPr>
        <w:rPr>
          <w:rFonts w:ascii="Times New Roman" w:cs="Times New Roman" w:eastAsia="Times New Roman" w:hAnsi="Times New Roman"/>
          <w:sz w:val="18"/>
          <w:szCs w:val="18"/>
          <w:color w:val="auto"/>
        </w:rPr>
      </w:pPr>
      <w:r>
        <w:rPr>
          <w:rFonts w:ascii="Arial" w:cs="Arial" w:eastAsia="Arial" w:hAnsi="Arial"/>
          <w:sz w:val="18"/>
          <w:szCs w:val="18"/>
          <w:color w:val="auto"/>
        </w:rPr>
        <w:t>Refer to the Performance Share Program section on page 39 for additional information.</w:t>
      </w:r>
    </w:p>
    <w:p>
      <w:pPr>
        <w:spacing w:after="0" w:line="222" w:lineRule="exact"/>
        <w:rPr>
          <w:sz w:val="20"/>
          <w:szCs w:val="20"/>
          <w:color w:val="auto"/>
        </w:rPr>
      </w:pPr>
    </w:p>
    <w:p>
      <w:pPr>
        <w:ind w:left="860"/>
        <w:spacing w:after="0"/>
        <w:rPr>
          <w:sz w:val="20"/>
          <w:szCs w:val="20"/>
          <w:color w:val="auto"/>
        </w:rPr>
      </w:pPr>
      <w:r>
        <w:rPr>
          <w:rFonts w:ascii="Arial" w:cs="Arial" w:eastAsia="Arial" w:hAnsi="Arial"/>
          <w:sz w:val="18"/>
          <w:szCs w:val="18"/>
          <w:b w:val="1"/>
          <w:bCs w:val="1"/>
          <w:color w:val="auto"/>
        </w:rPr>
        <w:t>Pension Benefits for 2017</w:t>
      </w:r>
    </w:p>
    <w:p>
      <w:pPr>
        <w:spacing w:after="0" w:line="244" w:lineRule="exact"/>
        <w:rPr>
          <w:sz w:val="20"/>
          <w:szCs w:val="20"/>
          <w:color w:val="auto"/>
        </w:rPr>
      </w:pPr>
    </w:p>
    <w:tbl>
      <w:tblPr>
        <w:tblLayout w:type="fixed"/>
        <w:tblInd w:w="870" w:type="dxa"/>
        <w:tblCellMar>
          <w:top w:w="0" w:type="dxa"/>
          <w:left w:w="0" w:type="dxa"/>
          <w:bottom w:w="0" w:type="dxa"/>
          <w:right w:w="0" w:type="dxa"/>
        </w:tblCellMar>
      </w:tblPr>
      <w:tr>
        <w:trPr>
          <w:trHeight w:val="214"/>
        </w:trPr>
        <w:tc>
          <w:tcPr>
            <w:tcW w:w="1560" w:type="dxa"/>
            <w:vAlign w:val="bottom"/>
            <w:tcBorders>
              <w:top w:val="single" w:sz="8" w:color="auto"/>
              <w:left w:val="single" w:sz="8" w:color="auto"/>
              <w:right w:val="single" w:sz="8" w:color="auto"/>
            </w:tcBorders>
          </w:tcPr>
          <w:p>
            <w:pPr>
              <w:spacing w:after="0"/>
              <w:rPr>
                <w:sz w:val="18"/>
                <w:szCs w:val="18"/>
                <w:color w:val="auto"/>
              </w:rPr>
            </w:pPr>
          </w:p>
        </w:tc>
        <w:tc>
          <w:tcPr>
            <w:tcW w:w="3280" w:type="dxa"/>
            <w:vAlign w:val="bottom"/>
            <w:tcBorders>
              <w:top w:val="single" w:sz="8" w:color="auto"/>
              <w:right w:val="single" w:sz="8" w:color="auto"/>
            </w:tcBorders>
          </w:tcPr>
          <w:p>
            <w:pPr>
              <w:spacing w:after="0"/>
              <w:rPr>
                <w:sz w:val="18"/>
                <w:szCs w:val="18"/>
                <w:color w:val="auto"/>
              </w:rPr>
            </w:pPr>
          </w:p>
        </w:tc>
        <w:tc>
          <w:tcPr>
            <w:tcW w:w="1700" w:type="dxa"/>
            <w:vAlign w:val="bottom"/>
            <w:tcBorders>
              <w:top w:val="single" w:sz="8" w:color="auto"/>
              <w:right w:val="single" w:sz="8" w:color="auto"/>
            </w:tcBorders>
          </w:tcPr>
          <w:p>
            <w:pPr>
              <w:jc w:val="center"/>
              <w:spacing w:after="0"/>
              <w:rPr>
                <w:sz w:val="20"/>
                <w:szCs w:val="20"/>
                <w:color w:val="auto"/>
              </w:rPr>
            </w:pPr>
            <w:r>
              <w:rPr>
                <w:rFonts w:ascii="Arial" w:cs="Arial" w:eastAsia="Arial" w:hAnsi="Arial"/>
                <w:sz w:val="14"/>
                <w:szCs w:val="14"/>
                <w:b w:val="1"/>
                <w:bCs w:val="1"/>
                <w:color w:val="auto"/>
              </w:rPr>
              <w:t>Number of</w:t>
            </w:r>
          </w:p>
        </w:tc>
        <w:tc>
          <w:tcPr>
            <w:tcW w:w="1820" w:type="dxa"/>
            <w:vAlign w:val="bottom"/>
            <w:tcBorders>
              <w:top w:val="single" w:sz="8" w:color="auto"/>
              <w:right w:val="single" w:sz="8" w:color="auto"/>
            </w:tcBorders>
          </w:tcPr>
          <w:p>
            <w:pPr>
              <w:jc w:val="center"/>
              <w:spacing w:after="0"/>
              <w:rPr>
                <w:sz w:val="20"/>
                <w:szCs w:val="20"/>
                <w:color w:val="auto"/>
              </w:rPr>
            </w:pPr>
            <w:r>
              <w:rPr>
                <w:rFonts w:ascii="Arial" w:cs="Arial" w:eastAsia="Arial" w:hAnsi="Arial"/>
                <w:sz w:val="14"/>
                <w:szCs w:val="14"/>
                <w:b w:val="1"/>
                <w:bCs w:val="1"/>
                <w:color w:val="auto"/>
              </w:rPr>
              <w:t>Present Value of</w:t>
            </w:r>
          </w:p>
        </w:tc>
        <w:tc>
          <w:tcPr>
            <w:tcW w:w="1380" w:type="dxa"/>
            <w:vAlign w:val="bottom"/>
            <w:tcBorders>
              <w:top w:val="single" w:sz="8" w:color="auto"/>
              <w:right w:val="single" w:sz="8" w:color="auto"/>
            </w:tcBorders>
          </w:tcPr>
          <w:p>
            <w:pPr>
              <w:jc w:val="center"/>
              <w:spacing w:after="0"/>
              <w:rPr>
                <w:sz w:val="20"/>
                <w:szCs w:val="20"/>
                <w:color w:val="auto"/>
              </w:rPr>
            </w:pPr>
            <w:r>
              <w:rPr>
                <w:rFonts w:ascii="Arial" w:cs="Arial" w:eastAsia="Arial" w:hAnsi="Arial"/>
                <w:sz w:val="14"/>
                <w:szCs w:val="14"/>
                <w:b w:val="1"/>
                <w:bCs w:val="1"/>
                <w:color w:val="auto"/>
              </w:rPr>
              <w:t>Payments</w:t>
            </w:r>
          </w:p>
        </w:tc>
      </w:tr>
      <w:tr>
        <w:trPr>
          <w:trHeight w:val="162"/>
        </w:trPr>
        <w:tc>
          <w:tcPr>
            <w:tcW w:w="1560" w:type="dxa"/>
            <w:vAlign w:val="bottom"/>
            <w:tcBorders>
              <w:left w:val="single" w:sz="8" w:color="auto"/>
              <w:right w:val="single" w:sz="8" w:color="auto"/>
            </w:tcBorders>
          </w:tcPr>
          <w:p>
            <w:pPr>
              <w:spacing w:after="0"/>
              <w:rPr>
                <w:sz w:val="14"/>
                <w:szCs w:val="14"/>
                <w:color w:val="auto"/>
              </w:rPr>
            </w:pPr>
          </w:p>
        </w:tc>
        <w:tc>
          <w:tcPr>
            <w:tcW w:w="3280" w:type="dxa"/>
            <w:vAlign w:val="bottom"/>
            <w:tcBorders>
              <w:right w:val="single" w:sz="8" w:color="auto"/>
            </w:tcBorders>
          </w:tcPr>
          <w:p>
            <w:pPr>
              <w:spacing w:after="0"/>
              <w:rPr>
                <w:sz w:val="14"/>
                <w:szCs w:val="14"/>
                <w:color w:val="auto"/>
              </w:rPr>
            </w:pPr>
          </w:p>
        </w:tc>
        <w:tc>
          <w:tcPr>
            <w:tcW w:w="1700" w:type="dxa"/>
            <w:vAlign w:val="bottom"/>
            <w:tcBorders>
              <w:right w:val="single" w:sz="8" w:color="auto"/>
            </w:tcBorders>
          </w:tcPr>
          <w:p>
            <w:pPr>
              <w:jc w:val="center"/>
              <w:spacing w:after="0"/>
              <w:rPr>
                <w:sz w:val="20"/>
                <w:szCs w:val="20"/>
                <w:color w:val="auto"/>
              </w:rPr>
            </w:pPr>
            <w:r>
              <w:rPr>
                <w:rFonts w:ascii="Arial" w:cs="Arial" w:eastAsia="Arial" w:hAnsi="Arial"/>
                <w:sz w:val="14"/>
                <w:szCs w:val="14"/>
                <w:b w:val="1"/>
                <w:bCs w:val="1"/>
                <w:color w:val="auto"/>
              </w:rPr>
              <w:t>Years Credited</w:t>
            </w:r>
          </w:p>
        </w:tc>
        <w:tc>
          <w:tcPr>
            <w:tcW w:w="1820" w:type="dxa"/>
            <w:vAlign w:val="bottom"/>
            <w:tcBorders>
              <w:right w:val="single" w:sz="8" w:color="auto"/>
            </w:tcBorders>
          </w:tcPr>
          <w:p>
            <w:pPr>
              <w:jc w:val="right"/>
              <w:ind w:right="408"/>
              <w:spacing w:after="0"/>
              <w:rPr>
                <w:sz w:val="20"/>
                <w:szCs w:val="20"/>
                <w:color w:val="auto"/>
              </w:rPr>
            </w:pPr>
            <w:r>
              <w:rPr>
                <w:rFonts w:ascii="Arial" w:cs="Arial" w:eastAsia="Arial" w:hAnsi="Arial"/>
                <w:sz w:val="14"/>
                <w:szCs w:val="14"/>
                <w:b w:val="1"/>
                <w:bCs w:val="1"/>
                <w:color w:val="auto"/>
              </w:rPr>
              <w:t>Accumulated</w:t>
            </w:r>
          </w:p>
        </w:tc>
        <w:tc>
          <w:tcPr>
            <w:tcW w:w="1380" w:type="dxa"/>
            <w:vAlign w:val="bottom"/>
            <w:tcBorders>
              <w:right w:val="single" w:sz="8" w:color="auto"/>
            </w:tcBorders>
          </w:tcPr>
          <w:p>
            <w:pPr>
              <w:jc w:val="center"/>
              <w:spacing w:after="0"/>
              <w:rPr>
                <w:sz w:val="20"/>
                <w:szCs w:val="20"/>
                <w:color w:val="auto"/>
              </w:rPr>
            </w:pPr>
            <w:r>
              <w:rPr>
                <w:rFonts w:ascii="Arial" w:cs="Arial" w:eastAsia="Arial" w:hAnsi="Arial"/>
                <w:sz w:val="14"/>
                <w:szCs w:val="14"/>
                <w:b w:val="1"/>
                <w:bCs w:val="1"/>
                <w:color w:val="auto"/>
              </w:rPr>
              <w:t>During Last</w:t>
            </w:r>
          </w:p>
        </w:tc>
      </w:tr>
      <w:tr>
        <w:trPr>
          <w:trHeight w:val="162"/>
        </w:trPr>
        <w:tc>
          <w:tcPr>
            <w:tcW w:w="1560" w:type="dxa"/>
            <w:vAlign w:val="bottom"/>
            <w:tcBorders>
              <w:left w:val="single" w:sz="8" w:color="auto"/>
              <w:right w:val="single" w:sz="8" w:color="auto"/>
            </w:tcBorders>
          </w:tcPr>
          <w:p>
            <w:pPr>
              <w:spacing w:after="0"/>
              <w:rPr>
                <w:sz w:val="14"/>
                <w:szCs w:val="14"/>
                <w:color w:val="auto"/>
              </w:rPr>
            </w:pPr>
          </w:p>
        </w:tc>
        <w:tc>
          <w:tcPr>
            <w:tcW w:w="3280" w:type="dxa"/>
            <w:vAlign w:val="bottom"/>
            <w:tcBorders>
              <w:right w:val="single" w:sz="8" w:color="auto"/>
            </w:tcBorders>
          </w:tcPr>
          <w:p>
            <w:pPr>
              <w:spacing w:after="0"/>
              <w:rPr>
                <w:sz w:val="14"/>
                <w:szCs w:val="14"/>
                <w:color w:val="auto"/>
              </w:rPr>
            </w:pPr>
          </w:p>
        </w:tc>
        <w:tc>
          <w:tcPr>
            <w:tcW w:w="1700" w:type="dxa"/>
            <w:vAlign w:val="bottom"/>
            <w:tcBorders>
              <w:right w:val="single" w:sz="8" w:color="auto"/>
            </w:tcBorders>
          </w:tcPr>
          <w:p>
            <w:pPr>
              <w:jc w:val="center"/>
              <w:spacing w:after="0"/>
              <w:rPr>
                <w:sz w:val="20"/>
                <w:szCs w:val="20"/>
                <w:color w:val="auto"/>
              </w:rPr>
            </w:pPr>
            <w:r>
              <w:rPr>
                <w:rFonts w:ascii="Arial" w:cs="Arial" w:eastAsia="Arial" w:hAnsi="Arial"/>
                <w:sz w:val="14"/>
                <w:szCs w:val="14"/>
                <w:b w:val="1"/>
                <w:bCs w:val="1"/>
                <w:color w:val="auto"/>
              </w:rPr>
              <w:t>Service</w:t>
            </w:r>
          </w:p>
        </w:tc>
        <w:tc>
          <w:tcPr>
            <w:tcW w:w="1820" w:type="dxa"/>
            <w:vAlign w:val="bottom"/>
            <w:tcBorders>
              <w:right w:val="single" w:sz="8" w:color="auto"/>
            </w:tcBorders>
          </w:tcPr>
          <w:p>
            <w:pPr>
              <w:jc w:val="center"/>
              <w:spacing w:after="0"/>
              <w:rPr>
                <w:sz w:val="20"/>
                <w:szCs w:val="20"/>
                <w:color w:val="auto"/>
              </w:rPr>
            </w:pPr>
            <w:r>
              <w:rPr>
                <w:rFonts w:ascii="Arial" w:cs="Arial" w:eastAsia="Arial" w:hAnsi="Arial"/>
                <w:sz w:val="14"/>
                <w:szCs w:val="14"/>
                <w:b w:val="1"/>
                <w:bCs w:val="1"/>
                <w:color w:val="auto"/>
              </w:rPr>
              <w:t>Benefit</w:t>
            </w:r>
          </w:p>
        </w:tc>
        <w:tc>
          <w:tcPr>
            <w:tcW w:w="1380" w:type="dxa"/>
            <w:vAlign w:val="bottom"/>
            <w:tcBorders>
              <w:right w:val="single" w:sz="8" w:color="auto"/>
            </w:tcBorders>
          </w:tcPr>
          <w:p>
            <w:pPr>
              <w:jc w:val="center"/>
              <w:spacing w:after="0"/>
              <w:rPr>
                <w:sz w:val="20"/>
                <w:szCs w:val="20"/>
                <w:color w:val="auto"/>
              </w:rPr>
            </w:pPr>
            <w:r>
              <w:rPr>
                <w:rFonts w:ascii="Arial" w:cs="Arial" w:eastAsia="Arial" w:hAnsi="Arial"/>
                <w:sz w:val="14"/>
                <w:szCs w:val="14"/>
                <w:b w:val="1"/>
                <w:bCs w:val="1"/>
                <w:color w:val="auto"/>
              </w:rPr>
              <w:t>Fiscal Year</w:t>
            </w:r>
          </w:p>
        </w:tc>
      </w:tr>
      <w:tr>
        <w:trPr>
          <w:trHeight w:val="203"/>
        </w:trPr>
        <w:tc>
          <w:tcPr>
            <w:tcW w:w="1560" w:type="dxa"/>
            <w:vAlign w:val="bottom"/>
            <w:tcBorders>
              <w:left w:val="single" w:sz="8" w:color="auto"/>
              <w:bottom w:val="single" w:sz="8" w:color="auto"/>
              <w:right w:val="single" w:sz="8" w:color="auto"/>
            </w:tcBorders>
          </w:tcPr>
          <w:p>
            <w:pPr>
              <w:ind w:left="140"/>
              <w:spacing w:after="0"/>
              <w:rPr>
                <w:sz w:val="20"/>
                <w:szCs w:val="20"/>
                <w:color w:val="auto"/>
              </w:rPr>
            </w:pPr>
            <w:r>
              <w:rPr>
                <w:rFonts w:ascii="Arial" w:cs="Arial" w:eastAsia="Arial" w:hAnsi="Arial"/>
                <w:sz w:val="14"/>
                <w:szCs w:val="14"/>
                <w:b w:val="1"/>
                <w:bCs w:val="1"/>
                <w:color w:val="auto"/>
              </w:rPr>
              <w:t>Name</w:t>
            </w:r>
          </w:p>
        </w:tc>
        <w:tc>
          <w:tcPr>
            <w:tcW w:w="3280" w:type="dxa"/>
            <w:vAlign w:val="bottom"/>
            <w:tcBorders>
              <w:bottom w:val="single" w:sz="8" w:color="auto"/>
              <w:right w:val="single" w:sz="8" w:color="auto"/>
            </w:tcBorders>
          </w:tcPr>
          <w:p>
            <w:pPr>
              <w:ind w:left="1280"/>
              <w:spacing w:after="0"/>
              <w:rPr>
                <w:sz w:val="20"/>
                <w:szCs w:val="20"/>
                <w:color w:val="auto"/>
              </w:rPr>
            </w:pPr>
            <w:r>
              <w:rPr>
                <w:rFonts w:ascii="Arial" w:cs="Arial" w:eastAsia="Arial" w:hAnsi="Arial"/>
                <w:sz w:val="14"/>
                <w:szCs w:val="14"/>
                <w:b w:val="1"/>
                <w:bCs w:val="1"/>
                <w:color w:val="auto"/>
              </w:rPr>
              <w:t>Plan Name</w:t>
            </w:r>
          </w:p>
        </w:tc>
        <w:tc>
          <w:tcPr>
            <w:tcW w:w="170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4"/>
                <w:szCs w:val="14"/>
                <w:b w:val="1"/>
                <w:bCs w:val="1"/>
                <w:color w:val="auto"/>
              </w:rPr>
              <w:t>(#)</w:t>
            </w:r>
          </w:p>
        </w:tc>
        <w:tc>
          <w:tcPr>
            <w:tcW w:w="182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4"/>
                <w:szCs w:val="14"/>
                <w:b w:val="1"/>
                <w:bCs w:val="1"/>
                <w:color w:val="auto"/>
              </w:rPr>
              <w:t>($)</w:t>
            </w:r>
          </w:p>
        </w:tc>
        <w:tc>
          <w:tcPr>
            <w:tcW w:w="138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4"/>
                <w:szCs w:val="14"/>
                <w:b w:val="1"/>
                <w:bCs w:val="1"/>
                <w:color w:val="auto"/>
              </w:rPr>
              <w:t>($)</w:t>
            </w:r>
          </w:p>
        </w:tc>
      </w:tr>
      <w:tr>
        <w:trPr>
          <w:trHeight w:val="211"/>
        </w:trPr>
        <w:tc>
          <w:tcPr>
            <w:tcW w:w="1560" w:type="dxa"/>
            <w:vAlign w:val="bottom"/>
            <w:tcBorders>
              <w:left w:val="single" w:sz="8" w:color="auto"/>
              <w:right w:val="single" w:sz="8" w:color="auto"/>
            </w:tcBorders>
            <w:shd w:val="clear" w:color="auto" w:fill="D4DBEB"/>
          </w:tcPr>
          <w:p>
            <w:pPr>
              <w:ind w:left="160"/>
              <w:spacing w:after="0"/>
              <w:rPr>
                <w:sz w:val="20"/>
                <w:szCs w:val="20"/>
                <w:color w:val="auto"/>
              </w:rPr>
            </w:pPr>
            <w:r>
              <w:rPr>
                <w:rFonts w:ascii="Arial" w:cs="Arial" w:eastAsia="Arial" w:hAnsi="Arial"/>
                <w:sz w:val="14"/>
                <w:szCs w:val="14"/>
                <w:color w:val="auto"/>
              </w:rPr>
              <w:t>D.W. Woods</w:t>
            </w:r>
          </w:p>
        </w:tc>
        <w:tc>
          <w:tcPr>
            <w:tcW w:w="3280" w:type="dxa"/>
            <w:vAlign w:val="bottom"/>
            <w:tcBorders>
              <w:right w:val="single" w:sz="8" w:color="auto"/>
            </w:tcBorders>
            <w:shd w:val="clear" w:color="auto" w:fill="D4DBEB"/>
          </w:tcPr>
          <w:p>
            <w:pPr>
              <w:ind w:left="20"/>
              <w:spacing w:after="0"/>
              <w:rPr>
                <w:sz w:val="20"/>
                <w:szCs w:val="20"/>
                <w:color w:val="auto"/>
              </w:rPr>
            </w:pPr>
            <w:r>
              <w:rPr>
                <w:rFonts w:ascii="Arial" w:cs="Arial" w:eastAsia="Arial" w:hAnsi="Arial"/>
                <w:sz w:val="14"/>
                <w:szCs w:val="14"/>
                <w:color w:val="auto"/>
              </w:rPr>
              <w:t>ExxonMobil Pension Plan</w:t>
            </w:r>
          </w:p>
        </w:tc>
        <w:tc>
          <w:tcPr>
            <w:tcW w:w="1700" w:type="dxa"/>
            <w:vAlign w:val="bottom"/>
            <w:tcBorders>
              <w:right w:val="single" w:sz="8" w:color="auto"/>
            </w:tcBorders>
            <w:shd w:val="clear" w:color="auto" w:fill="D4DBEB"/>
          </w:tcPr>
          <w:p>
            <w:pPr>
              <w:jc w:val="center"/>
              <w:spacing w:after="0"/>
              <w:rPr>
                <w:sz w:val="20"/>
                <w:szCs w:val="20"/>
                <w:color w:val="auto"/>
              </w:rPr>
            </w:pPr>
            <w:r>
              <w:rPr>
                <w:rFonts w:ascii="Arial" w:cs="Arial" w:eastAsia="Arial" w:hAnsi="Arial"/>
                <w:sz w:val="14"/>
                <w:szCs w:val="14"/>
                <w:color w:val="auto"/>
              </w:rPr>
              <w:t>25.34</w:t>
            </w:r>
          </w:p>
        </w:tc>
        <w:tc>
          <w:tcPr>
            <w:tcW w:w="1820" w:type="dxa"/>
            <w:vAlign w:val="bottom"/>
            <w:tcBorders>
              <w:right w:val="single" w:sz="8" w:color="auto"/>
            </w:tcBorders>
            <w:shd w:val="clear" w:color="auto" w:fill="D4DBEB"/>
          </w:tcPr>
          <w:p>
            <w:pPr>
              <w:jc w:val="center"/>
              <w:spacing w:after="0"/>
              <w:rPr>
                <w:sz w:val="20"/>
                <w:szCs w:val="20"/>
                <w:color w:val="auto"/>
              </w:rPr>
            </w:pPr>
            <w:r>
              <w:rPr>
                <w:rFonts w:ascii="Arial" w:cs="Arial" w:eastAsia="Arial" w:hAnsi="Arial"/>
                <w:sz w:val="14"/>
                <w:szCs w:val="14"/>
                <w:color w:val="auto"/>
              </w:rPr>
              <w:t>1,231,816(a)</w:t>
            </w:r>
          </w:p>
        </w:tc>
        <w:tc>
          <w:tcPr>
            <w:tcW w:w="1380" w:type="dxa"/>
            <w:vAlign w:val="bottom"/>
            <w:tcBorders>
              <w:right w:val="single" w:sz="8" w:color="auto"/>
            </w:tcBorders>
            <w:shd w:val="clear" w:color="auto" w:fill="D4DBEB"/>
          </w:tcPr>
          <w:p>
            <w:pPr>
              <w:jc w:val="center"/>
              <w:spacing w:after="0"/>
              <w:rPr>
                <w:sz w:val="20"/>
                <w:szCs w:val="20"/>
                <w:color w:val="auto"/>
              </w:rPr>
            </w:pPr>
            <w:r>
              <w:rPr>
                <w:rFonts w:ascii="Arial" w:cs="Arial" w:eastAsia="Arial" w:hAnsi="Arial"/>
                <w:sz w:val="14"/>
                <w:szCs w:val="14"/>
                <w:color w:val="auto"/>
              </w:rPr>
              <w:t>0</w:t>
            </w:r>
          </w:p>
        </w:tc>
      </w:tr>
      <w:tr>
        <w:trPr>
          <w:trHeight w:val="176"/>
        </w:trPr>
        <w:tc>
          <w:tcPr>
            <w:tcW w:w="1560" w:type="dxa"/>
            <w:vAlign w:val="bottom"/>
            <w:tcBorders>
              <w:left w:val="single" w:sz="8" w:color="auto"/>
              <w:right w:val="single" w:sz="8" w:color="auto"/>
            </w:tcBorders>
            <w:shd w:val="clear" w:color="auto" w:fill="D4DBEB"/>
          </w:tcPr>
          <w:p>
            <w:pPr>
              <w:spacing w:after="0"/>
              <w:rPr>
                <w:sz w:val="15"/>
                <w:szCs w:val="15"/>
                <w:color w:val="auto"/>
              </w:rPr>
            </w:pPr>
          </w:p>
        </w:tc>
        <w:tc>
          <w:tcPr>
            <w:tcW w:w="3280" w:type="dxa"/>
            <w:vAlign w:val="bottom"/>
            <w:tcBorders>
              <w:right w:val="single" w:sz="8" w:color="auto"/>
            </w:tcBorders>
            <w:shd w:val="clear" w:color="auto" w:fill="D4DBEB"/>
          </w:tcPr>
          <w:p>
            <w:pPr>
              <w:ind w:left="20"/>
              <w:spacing w:after="0"/>
              <w:rPr>
                <w:sz w:val="20"/>
                <w:szCs w:val="20"/>
                <w:color w:val="auto"/>
              </w:rPr>
            </w:pPr>
            <w:r>
              <w:rPr>
                <w:rFonts w:ascii="Arial" w:cs="Arial" w:eastAsia="Arial" w:hAnsi="Arial"/>
                <w:sz w:val="14"/>
                <w:szCs w:val="14"/>
                <w:color w:val="auto"/>
              </w:rPr>
              <w:t>ExxonMobil Supplemental Pension Plan</w:t>
            </w:r>
          </w:p>
        </w:tc>
        <w:tc>
          <w:tcPr>
            <w:tcW w:w="1700" w:type="dxa"/>
            <w:vAlign w:val="bottom"/>
            <w:tcBorders>
              <w:right w:val="single" w:sz="8" w:color="auto"/>
            </w:tcBorders>
            <w:shd w:val="clear" w:color="auto" w:fill="D4DBEB"/>
          </w:tcPr>
          <w:p>
            <w:pPr>
              <w:jc w:val="center"/>
              <w:spacing w:after="0"/>
              <w:rPr>
                <w:sz w:val="20"/>
                <w:szCs w:val="20"/>
                <w:color w:val="auto"/>
              </w:rPr>
            </w:pPr>
            <w:r>
              <w:rPr>
                <w:rFonts w:ascii="Arial" w:cs="Arial" w:eastAsia="Arial" w:hAnsi="Arial"/>
                <w:sz w:val="14"/>
                <w:szCs w:val="14"/>
                <w:color w:val="auto"/>
              </w:rPr>
              <w:t>25.34</w:t>
            </w:r>
          </w:p>
        </w:tc>
        <w:tc>
          <w:tcPr>
            <w:tcW w:w="1820" w:type="dxa"/>
            <w:vAlign w:val="bottom"/>
            <w:tcBorders>
              <w:right w:val="single" w:sz="8" w:color="auto"/>
            </w:tcBorders>
            <w:shd w:val="clear" w:color="auto" w:fill="D4DBEB"/>
          </w:tcPr>
          <w:p>
            <w:pPr>
              <w:jc w:val="center"/>
              <w:spacing w:after="0"/>
              <w:rPr>
                <w:sz w:val="20"/>
                <w:szCs w:val="20"/>
                <w:color w:val="auto"/>
              </w:rPr>
            </w:pPr>
            <w:r>
              <w:rPr>
                <w:rFonts w:ascii="Arial" w:cs="Arial" w:eastAsia="Arial" w:hAnsi="Arial"/>
                <w:sz w:val="14"/>
                <w:szCs w:val="14"/>
                <w:color w:val="auto"/>
              </w:rPr>
              <w:t>3,567,004(b)</w:t>
            </w:r>
          </w:p>
        </w:tc>
        <w:tc>
          <w:tcPr>
            <w:tcW w:w="1380" w:type="dxa"/>
            <w:vAlign w:val="bottom"/>
            <w:tcBorders>
              <w:right w:val="single" w:sz="8" w:color="auto"/>
            </w:tcBorders>
            <w:shd w:val="clear" w:color="auto" w:fill="D4DBEB"/>
          </w:tcPr>
          <w:p>
            <w:pPr>
              <w:jc w:val="center"/>
              <w:spacing w:after="0"/>
              <w:rPr>
                <w:sz w:val="20"/>
                <w:szCs w:val="20"/>
                <w:color w:val="auto"/>
              </w:rPr>
            </w:pPr>
            <w:r>
              <w:rPr>
                <w:rFonts w:ascii="Arial" w:cs="Arial" w:eastAsia="Arial" w:hAnsi="Arial"/>
                <w:sz w:val="14"/>
                <w:szCs w:val="14"/>
                <w:color w:val="auto"/>
              </w:rPr>
              <w:t>0</w:t>
            </w:r>
          </w:p>
        </w:tc>
      </w:tr>
      <w:tr>
        <w:trPr>
          <w:trHeight w:val="202"/>
        </w:trPr>
        <w:tc>
          <w:tcPr>
            <w:tcW w:w="1560" w:type="dxa"/>
            <w:vAlign w:val="bottom"/>
            <w:tcBorders>
              <w:left w:val="single" w:sz="8" w:color="auto"/>
              <w:right w:val="single" w:sz="8" w:color="auto"/>
            </w:tcBorders>
            <w:shd w:val="clear" w:color="auto" w:fill="D4DBEB"/>
          </w:tcPr>
          <w:p>
            <w:pPr>
              <w:spacing w:after="0"/>
              <w:rPr>
                <w:sz w:val="17"/>
                <w:szCs w:val="17"/>
                <w:color w:val="auto"/>
              </w:rPr>
            </w:pPr>
          </w:p>
        </w:tc>
        <w:tc>
          <w:tcPr>
            <w:tcW w:w="3280" w:type="dxa"/>
            <w:vAlign w:val="bottom"/>
            <w:tcBorders>
              <w:right w:val="single" w:sz="8" w:color="auto"/>
            </w:tcBorders>
            <w:shd w:val="clear" w:color="auto" w:fill="D4DBEB"/>
          </w:tcPr>
          <w:p>
            <w:pPr>
              <w:ind w:left="20"/>
              <w:spacing w:after="0"/>
              <w:rPr>
                <w:sz w:val="20"/>
                <w:szCs w:val="20"/>
                <w:color w:val="auto"/>
              </w:rPr>
            </w:pPr>
            <w:r>
              <w:rPr>
                <w:rFonts w:ascii="Arial" w:cs="Arial" w:eastAsia="Arial" w:hAnsi="Arial"/>
                <w:sz w:val="14"/>
                <w:szCs w:val="14"/>
                <w:color w:val="auto"/>
              </w:rPr>
              <w:t>ExxonMobil Additional Payments Plan</w:t>
            </w:r>
          </w:p>
        </w:tc>
        <w:tc>
          <w:tcPr>
            <w:tcW w:w="1700" w:type="dxa"/>
            <w:vAlign w:val="bottom"/>
            <w:tcBorders>
              <w:right w:val="single" w:sz="8" w:color="auto"/>
            </w:tcBorders>
            <w:shd w:val="clear" w:color="auto" w:fill="D4DBEB"/>
          </w:tcPr>
          <w:p>
            <w:pPr>
              <w:jc w:val="center"/>
              <w:spacing w:after="0"/>
              <w:rPr>
                <w:sz w:val="20"/>
                <w:szCs w:val="20"/>
                <w:color w:val="auto"/>
              </w:rPr>
            </w:pPr>
            <w:r>
              <w:rPr>
                <w:rFonts w:ascii="Arial" w:cs="Arial" w:eastAsia="Arial" w:hAnsi="Arial"/>
                <w:sz w:val="14"/>
                <w:szCs w:val="14"/>
                <w:color w:val="auto"/>
              </w:rPr>
              <w:t>25.34</w:t>
            </w:r>
          </w:p>
        </w:tc>
        <w:tc>
          <w:tcPr>
            <w:tcW w:w="1820" w:type="dxa"/>
            <w:vAlign w:val="bottom"/>
            <w:tcBorders>
              <w:right w:val="single" w:sz="8" w:color="auto"/>
            </w:tcBorders>
            <w:shd w:val="clear" w:color="auto" w:fill="D4DBEB"/>
          </w:tcPr>
          <w:p>
            <w:pPr>
              <w:jc w:val="center"/>
              <w:spacing w:after="0"/>
              <w:rPr>
                <w:sz w:val="20"/>
                <w:szCs w:val="20"/>
                <w:color w:val="auto"/>
              </w:rPr>
            </w:pPr>
            <w:r>
              <w:rPr>
                <w:rFonts w:ascii="Arial" w:cs="Arial" w:eastAsia="Arial" w:hAnsi="Arial"/>
                <w:sz w:val="14"/>
                <w:szCs w:val="14"/>
                <w:color w:val="auto"/>
              </w:rPr>
              <w:t>7,176,735(b)</w:t>
            </w:r>
          </w:p>
        </w:tc>
        <w:tc>
          <w:tcPr>
            <w:tcW w:w="1380" w:type="dxa"/>
            <w:vAlign w:val="bottom"/>
            <w:tcBorders>
              <w:right w:val="single" w:sz="8" w:color="auto"/>
            </w:tcBorders>
            <w:shd w:val="clear" w:color="auto" w:fill="D4DBEB"/>
          </w:tcPr>
          <w:p>
            <w:pPr>
              <w:jc w:val="center"/>
              <w:spacing w:after="0"/>
              <w:rPr>
                <w:sz w:val="20"/>
                <w:szCs w:val="20"/>
                <w:color w:val="auto"/>
              </w:rPr>
            </w:pPr>
            <w:r>
              <w:rPr>
                <w:rFonts w:ascii="Arial" w:cs="Arial" w:eastAsia="Arial" w:hAnsi="Arial"/>
                <w:sz w:val="14"/>
                <w:szCs w:val="14"/>
                <w:color w:val="auto"/>
              </w:rPr>
              <w:t>0</w:t>
            </w:r>
          </w:p>
        </w:tc>
      </w:tr>
      <w:tr>
        <w:trPr>
          <w:trHeight w:val="230"/>
        </w:trPr>
        <w:tc>
          <w:tcPr>
            <w:tcW w:w="1560" w:type="dxa"/>
            <w:vAlign w:val="bottom"/>
            <w:tcBorders>
              <w:left w:val="single" w:sz="8" w:color="auto"/>
              <w:right w:val="single" w:sz="8" w:color="auto"/>
            </w:tcBorders>
          </w:tcPr>
          <w:p>
            <w:pPr>
              <w:ind w:left="160"/>
              <w:spacing w:after="0"/>
              <w:rPr>
                <w:sz w:val="20"/>
                <w:szCs w:val="20"/>
                <w:color w:val="auto"/>
              </w:rPr>
            </w:pPr>
            <w:r>
              <w:rPr>
                <w:rFonts w:ascii="Arial" w:cs="Arial" w:eastAsia="Arial" w:hAnsi="Arial"/>
                <w:sz w:val="14"/>
                <w:szCs w:val="14"/>
                <w:color w:val="auto"/>
              </w:rPr>
              <w:t>A.P. Swiger</w:t>
            </w:r>
          </w:p>
        </w:tc>
        <w:tc>
          <w:tcPr>
            <w:tcW w:w="3280" w:type="dxa"/>
            <w:vAlign w:val="bottom"/>
            <w:tcBorders>
              <w:right w:val="single" w:sz="8" w:color="auto"/>
            </w:tcBorders>
          </w:tcPr>
          <w:p>
            <w:pPr>
              <w:ind w:left="20"/>
              <w:spacing w:after="0"/>
              <w:rPr>
                <w:sz w:val="20"/>
                <w:szCs w:val="20"/>
                <w:color w:val="auto"/>
              </w:rPr>
            </w:pPr>
            <w:r>
              <w:rPr>
                <w:rFonts w:ascii="Arial" w:cs="Arial" w:eastAsia="Arial" w:hAnsi="Arial"/>
                <w:sz w:val="14"/>
                <w:szCs w:val="14"/>
                <w:color w:val="auto"/>
              </w:rPr>
              <w:t>ExxonMobil Pension Plan</w:t>
            </w:r>
          </w:p>
        </w:tc>
        <w:tc>
          <w:tcPr>
            <w:tcW w:w="1700" w:type="dxa"/>
            <w:vAlign w:val="bottom"/>
            <w:tcBorders>
              <w:right w:val="single" w:sz="8" w:color="auto"/>
            </w:tcBorders>
          </w:tcPr>
          <w:p>
            <w:pPr>
              <w:jc w:val="center"/>
              <w:spacing w:after="0"/>
              <w:rPr>
                <w:sz w:val="20"/>
                <w:szCs w:val="20"/>
                <w:color w:val="auto"/>
              </w:rPr>
            </w:pPr>
            <w:r>
              <w:rPr>
                <w:rFonts w:ascii="Arial" w:cs="Arial" w:eastAsia="Arial" w:hAnsi="Arial"/>
                <w:sz w:val="14"/>
                <w:szCs w:val="14"/>
                <w:color w:val="auto"/>
              </w:rPr>
              <w:t>39.33</w:t>
            </w:r>
          </w:p>
        </w:tc>
        <w:tc>
          <w:tcPr>
            <w:tcW w:w="1820" w:type="dxa"/>
            <w:vAlign w:val="bottom"/>
            <w:tcBorders>
              <w:right w:val="single" w:sz="8" w:color="auto"/>
            </w:tcBorders>
          </w:tcPr>
          <w:p>
            <w:pPr>
              <w:jc w:val="right"/>
              <w:ind w:right="548"/>
              <w:spacing w:after="0"/>
              <w:rPr>
                <w:sz w:val="20"/>
                <w:szCs w:val="20"/>
                <w:color w:val="auto"/>
              </w:rPr>
            </w:pPr>
            <w:r>
              <w:rPr>
                <w:rFonts w:ascii="Arial" w:cs="Arial" w:eastAsia="Arial" w:hAnsi="Arial"/>
                <w:sz w:val="14"/>
                <w:szCs w:val="14"/>
                <w:color w:val="auto"/>
              </w:rPr>
              <w:t>2,524,801</w:t>
            </w:r>
          </w:p>
        </w:tc>
        <w:tc>
          <w:tcPr>
            <w:tcW w:w="1380" w:type="dxa"/>
            <w:vAlign w:val="bottom"/>
            <w:tcBorders>
              <w:right w:val="single" w:sz="8" w:color="auto"/>
            </w:tcBorders>
          </w:tcPr>
          <w:p>
            <w:pPr>
              <w:jc w:val="center"/>
              <w:spacing w:after="0"/>
              <w:rPr>
                <w:sz w:val="20"/>
                <w:szCs w:val="20"/>
                <w:color w:val="auto"/>
              </w:rPr>
            </w:pPr>
            <w:r>
              <w:rPr>
                <w:rFonts w:ascii="Arial" w:cs="Arial" w:eastAsia="Arial" w:hAnsi="Arial"/>
                <w:sz w:val="14"/>
                <w:szCs w:val="14"/>
                <w:color w:val="auto"/>
              </w:rPr>
              <w:t>0</w:t>
            </w:r>
          </w:p>
        </w:tc>
      </w:tr>
      <w:tr>
        <w:trPr>
          <w:trHeight w:val="176"/>
        </w:trPr>
        <w:tc>
          <w:tcPr>
            <w:tcW w:w="1560" w:type="dxa"/>
            <w:vAlign w:val="bottom"/>
            <w:tcBorders>
              <w:left w:val="single" w:sz="8" w:color="auto"/>
              <w:right w:val="single" w:sz="8" w:color="auto"/>
            </w:tcBorders>
          </w:tcPr>
          <w:p>
            <w:pPr>
              <w:spacing w:after="0"/>
              <w:rPr>
                <w:sz w:val="15"/>
                <w:szCs w:val="15"/>
                <w:color w:val="auto"/>
              </w:rPr>
            </w:pPr>
          </w:p>
        </w:tc>
        <w:tc>
          <w:tcPr>
            <w:tcW w:w="3280" w:type="dxa"/>
            <w:vAlign w:val="bottom"/>
            <w:tcBorders>
              <w:right w:val="single" w:sz="8" w:color="auto"/>
            </w:tcBorders>
          </w:tcPr>
          <w:p>
            <w:pPr>
              <w:ind w:left="20"/>
              <w:spacing w:after="0"/>
              <w:rPr>
                <w:sz w:val="20"/>
                <w:szCs w:val="20"/>
                <w:color w:val="auto"/>
              </w:rPr>
            </w:pPr>
            <w:r>
              <w:rPr>
                <w:rFonts w:ascii="Arial" w:cs="Arial" w:eastAsia="Arial" w:hAnsi="Arial"/>
                <w:sz w:val="14"/>
                <w:szCs w:val="14"/>
                <w:color w:val="auto"/>
              </w:rPr>
              <w:t>ExxonMobil Supplemental Pension Plan</w:t>
            </w:r>
          </w:p>
        </w:tc>
        <w:tc>
          <w:tcPr>
            <w:tcW w:w="1700" w:type="dxa"/>
            <w:vAlign w:val="bottom"/>
            <w:tcBorders>
              <w:right w:val="single" w:sz="8" w:color="auto"/>
            </w:tcBorders>
          </w:tcPr>
          <w:p>
            <w:pPr>
              <w:jc w:val="center"/>
              <w:spacing w:after="0"/>
              <w:rPr>
                <w:sz w:val="20"/>
                <w:szCs w:val="20"/>
                <w:color w:val="auto"/>
              </w:rPr>
            </w:pPr>
            <w:r>
              <w:rPr>
                <w:rFonts w:ascii="Arial" w:cs="Arial" w:eastAsia="Arial" w:hAnsi="Arial"/>
                <w:sz w:val="14"/>
                <w:szCs w:val="14"/>
                <w:color w:val="auto"/>
              </w:rPr>
              <w:t>39.33</w:t>
            </w:r>
          </w:p>
        </w:tc>
        <w:tc>
          <w:tcPr>
            <w:tcW w:w="1820" w:type="dxa"/>
            <w:vAlign w:val="bottom"/>
            <w:tcBorders>
              <w:right w:val="single" w:sz="8" w:color="auto"/>
            </w:tcBorders>
          </w:tcPr>
          <w:p>
            <w:pPr>
              <w:jc w:val="right"/>
              <w:ind w:right="548"/>
              <w:spacing w:after="0"/>
              <w:rPr>
                <w:sz w:val="20"/>
                <w:szCs w:val="20"/>
                <w:color w:val="auto"/>
              </w:rPr>
            </w:pPr>
            <w:r>
              <w:rPr>
                <w:rFonts w:ascii="Arial" w:cs="Arial" w:eastAsia="Arial" w:hAnsi="Arial"/>
                <w:sz w:val="14"/>
                <w:szCs w:val="14"/>
                <w:color w:val="auto"/>
              </w:rPr>
              <w:t>10,389,154</w:t>
            </w:r>
          </w:p>
        </w:tc>
        <w:tc>
          <w:tcPr>
            <w:tcW w:w="1380" w:type="dxa"/>
            <w:vAlign w:val="bottom"/>
            <w:tcBorders>
              <w:right w:val="single" w:sz="8" w:color="auto"/>
            </w:tcBorders>
          </w:tcPr>
          <w:p>
            <w:pPr>
              <w:jc w:val="center"/>
              <w:spacing w:after="0"/>
              <w:rPr>
                <w:sz w:val="20"/>
                <w:szCs w:val="20"/>
                <w:color w:val="auto"/>
              </w:rPr>
            </w:pPr>
            <w:r>
              <w:rPr>
                <w:rFonts w:ascii="Arial" w:cs="Arial" w:eastAsia="Arial" w:hAnsi="Arial"/>
                <w:sz w:val="14"/>
                <w:szCs w:val="14"/>
                <w:color w:val="auto"/>
              </w:rPr>
              <w:t>0</w:t>
            </w:r>
          </w:p>
        </w:tc>
      </w:tr>
      <w:tr>
        <w:trPr>
          <w:trHeight w:val="198"/>
        </w:trPr>
        <w:tc>
          <w:tcPr>
            <w:tcW w:w="1560" w:type="dxa"/>
            <w:vAlign w:val="bottom"/>
            <w:tcBorders>
              <w:left w:val="single" w:sz="8" w:color="auto"/>
              <w:right w:val="single" w:sz="8" w:color="auto"/>
            </w:tcBorders>
          </w:tcPr>
          <w:p>
            <w:pPr>
              <w:spacing w:after="0"/>
              <w:rPr>
                <w:sz w:val="17"/>
                <w:szCs w:val="17"/>
                <w:color w:val="auto"/>
              </w:rPr>
            </w:pPr>
          </w:p>
        </w:tc>
        <w:tc>
          <w:tcPr>
            <w:tcW w:w="3280" w:type="dxa"/>
            <w:vAlign w:val="bottom"/>
            <w:tcBorders>
              <w:right w:val="single" w:sz="8" w:color="auto"/>
            </w:tcBorders>
          </w:tcPr>
          <w:p>
            <w:pPr>
              <w:ind w:left="20"/>
              <w:spacing w:after="0"/>
              <w:rPr>
                <w:sz w:val="20"/>
                <w:szCs w:val="20"/>
                <w:color w:val="auto"/>
              </w:rPr>
            </w:pPr>
            <w:r>
              <w:rPr>
                <w:rFonts w:ascii="Arial" w:cs="Arial" w:eastAsia="Arial" w:hAnsi="Arial"/>
                <w:sz w:val="14"/>
                <w:szCs w:val="14"/>
                <w:color w:val="auto"/>
              </w:rPr>
              <w:t>ExxonMobil Additional Payments Plan</w:t>
            </w:r>
          </w:p>
        </w:tc>
        <w:tc>
          <w:tcPr>
            <w:tcW w:w="1700" w:type="dxa"/>
            <w:vAlign w:val="bottom"/>
            <w:tcBorders>
              <w:right w:val="single" w:sz="8" w:color="auto"/>
            </w:tcBorders>
          </w:tcPr>
          <w:p>
            <w:pPr>
              <w:jc w:val="center"/>
              <w:spacing w:after="0"/>
              <w:rPr>
                <w:sz w:val="20"/>
                <w:szCs w:val="20"/>
                <w:color w:val="auto"/>
              </w:rPr>
            </w:pPr>
            <w:r>
              <w:rPr>
                <w:rFonts w:ascii="Arial" w:cs="Arial" w:eastAsia="Arial" w:hAnsi="Arial"/>
                <w:sz w:val="14"/>
                <w:szCs w:val="14"/>
                <w:color w:val="auto"/>
              </w:rPr>
              <w:t>39.33</w:t>
            </w:r>
          </w:p>
        </w:tc>
        <w:tc>
          <w:tcPr>
            <w:tcW w:w="1820" w:type="dxa"/>
            <w:vAlign w:val="bottom"/>
            <w:tcBorders>
              <w:right w:val="single" w:sz="8" w:color="auto"/>
            </w:tcBorders>
          </w:tcPr>
          <w:p>
            <w:pPr>
              <w:jc w:val="right"/>
              <w:ind w:right="548"/>
              <w:spacing w:after="0"/>
              <w:rPr>
                <w:sz w:val="20"/>
                <w:szCs w:val="20"/>
                <w:color w:val="auto"/>
              </w:rPr>
            </w:pPr>
            <w:r>
              <w:rPr>
                <w:rFonts w:ascii="Arial" w:cs="Arial" w:eastAsia="Arial" w:hAnsi="Arial"/>
                <w:sz w:val="14"/>
                <w:szCs w:val="14"/>
                <w:color w:val="auto"/>
              </w:rPr>
              <w:t>18,218,088</w:t>
            </w:r>
          </w:p>
        </w:tc>
        <w:tc>
          <w:tcPr>
            <w:tcW w:w="1380" w:type="dxa"/>
            <w:vAlign w:val="bottom"/>
            <w:tcBorders>
              <w:right w:val="single" w:sz="8" w:color="auto"/>
            </w:tcBorders>
          </w:tcPr>
          <w:p>
            <w:pPr>
              <w:jc w:val="center"/>
              <w:spacing w:after="0"/>
              <w:rPr>
                <w:sz w:val="20"/>
                <w:szCs w:val="20"/>
                <w:color w:val="auto"/>
              </w:rPr>
            </w:pPr>
            <w:r>
              <w:rPr>
                <w:rFonts w:ascii="Arial" w:cs="Arial" w:eastAsia="Arial" w:hAnsi="Arial"/>
                <w:sz w:val="14"/>
                <w:szCs w:val="14"/>
                <w:color w:val="auto"/>
              </w:rPr>
              <w:t>0</w:t>
            </w:r>
          </w:p>
        </w:tc>
      </w:tr>
      <w:tr>
        <w:trPr>
          <w:trHeight w:val="234"/>
        </w:trPr>
        <w:tc>
          <w:tcPr>
            <w:tcW w:w="1560" w:type="dxa"/>
            <w:vAlign w:val="bottom"/>
            <w:tcBorders>
              <w:left w:val="single" w:sz="8" w:color="auto"/>
              <w:right w:val="single" w:sz="8" w:color="auto"/>
            </w:tcBorders>
            <w:shd w:val="clear" w:color="auto" w:fill="D4DBEB"/>
          </w:tcPr>
          <w:p>
            <w:pPr>
              <w:ind w:left="160"/>
              <w:spacing w:after="0"/>
              <w:rPr>
                <w:sz w:val="20"/>
                <w:szCs w:val="20"/>
                <w:color w:val="auto"/>
              </w:rPr>
            </w:pPr>
            <w:r>
              <w:rPr>
                <w:rFonts w:ascii="Arial" w:cs="Arial" w:eastAsia="Arial" w:hAnsi="Arial"/>
                <w:sz w:val="14"/>
                <w:szCs w:val="14"/>
                <w:color w:val="auto"/>
              </w:rPr>
              <w:t>M.W. Albers</w:t>
            </w:r>
          </w:p>
        </w:tc>
        <w:tc>
          <w:tcPr>
            <w:tcW w:w="3280" w:type="dxa"/>
            <w:vAlign w:val="bottom"/>
            <w:tcBorders>
              <w:right w:val="single" w:sz="8" w:color="auto"/>
            </w:tcBorders>
            <w:shd w:val="clear" w:color="auto" w:fill="D4DBEB"/>
          </w:tcPr>
          <w:p>
            <w:pPr>
              <w:ind w:left="20"/>
              <w:spacing w:after="0"/>
              <w:rPr>
                <w:sz w:val="20"/>
                <w:szCs w:val="20"/>
                <w:color w:val="auto"/>
              </w:rPr>
            </w:pPr>
            <w:r>
              <w:rPr>
                <w:rFonts w:ascii="Arial" w:cs="Arial" w:eastAsia="Arial" w:hAnsi="Arial"/>
                <w:sz w:val="14"/>
                <w:szCs w:val="14"/>
                <w:color w:val="auto"/>
              </w:rPr>
              <w:t>ExxonMobil Pension Plan</w:t>
            </w:r>
          </w:p>
        </w:tc>
        <w:tc>
          <w:tcPr>
            <w:tcW w:w="1700" w:type="dxa"/>
            <w:vAlign w:val="bottom"/>
            <w:tcBorders>
              <w:right w:val="single" w:sz="8" w:color="auto"/>
            </w:tcBorders>
            <w:shd w:val="clear" w:color="auto" w:fill="D4DBEB"/>
          </w:tcPr>
          <w:p>
            <w:pPr>
              <w:jc w:val="center"/>
              <w:spacing w:after="0"/>
              <w:rPr>
                <w:sz w:val="20"/>
                <w:szCs w:val="20"/>
                <w:color w:val="auto"/>
              </w:rPr>
            </w:pPr>
            <w:r>
              <w:rPr>
                <w:rFonts w:ascii="Arial" w:cs="Arial" w:eastAsia="Arial" w:hAnsi="Arial"/>
                <w:sz w:val="14"/>
                <w:szCs w:val="14"/>
                <w:color w:val="auto"/>
              </w:rPr>
              <w:t>38.42</w:t>
            </w:r>
          </w:p>
        </w:tc>
        <w:tc>
          <w:tcPr>
            <w:tcW w:w="1820" w:type="dxa"/>
            <w:vAlign w:val="bottom"/>
            <w:tcBorders>
              <w:right w:val="single" w:sz="8" w:color="auto"/>
            </w:tcBorders>
            <w:shd w:val="clear" w:color="auto" w:fill="D4DBEB"/>
          </w:tcPr>
          <w:p>
            <w:pPr>
              <w:jc w:val="right"/>
              <w:ind w:right="548"/>
              <w:spacing w:after="0"/>
              <w:rPr>
                <w:sz w:val="20"/>
                <w:szCs w:val="20"/>
                <w:color w:val="auto"/>
              </w:rPr>
            </w:pPr>
            <w:r>
              <w:rPr>
                <w:rFonts w:ascii="Arial" w:cs="Arial" w:eastAsia="Arial" w:hAnsi="Arial"/>
                <w:sz w:val="14"/>
                <w:szCs w:val="14"/>
                <w:color w:val="auto"/>
              </w:rPr>
              <w:t>2,500,150</w:t>
            </w:r>
          </w:p>
        </w:tc>
        <w:tc>
          <w:tcPr>
            <w:tcW w:w="1380" w:type="dxa"/>
            <w:vAlign w:val="bottom"/>
            <w:tcBorders>
              <w:right w:val="single" w:sz="8" w:color="auto"/>
            </w:tcBorders>
            <w:shd w:val="clear" w:color="auto" w:fill="D4DBEB"/>
          </w:tcPr>
          <w:p>
            <w:pPr>
              <w:jc w:val="center"/>
              <w:spacing w:after="0"/>
              <w:rPr>
                <w:sz w:val="20"/>
                <w:szCs w:val="20"/>
                <w:color w:val="auto"/>
              </w:rPr>
            </w:pPr>
            <w:r>
              <w:rPr>
                <w:rFonts w:ascii="Arial" w:cs="Arial" w:eastAsia="Arial" w:hAnsi="Arial"/>
                <w:sz w:val="14"/>
                <w:szCs w:val="14"/>
                <w:color w:val="auto"/>
              </w:rPr>
              <w:t>0</w:t>
            </w:r>
          </w:p>
        </w:tc>
      </w:tr>
      <w:tr>
        <w:trPr>
          <w:trHeight w:val="176"/>
        </w:trPr>
        <w:tc>
          <w:tcPr>
            <w:tcW w:w="1560" w:type="dxa"/>
            <w:vAlign w:val="bottom"/>
            <w:tcBorders>
              <w:left w:val="single" w:sz="8" w:color="auto"/>
              <w:right w:val="single" w:sz="8" w:color="auto"/>
            </w:tcBorders>
            <w:shd w:val="clear" w:color="auto" w:fill="D4DBEB"/>
          </w:tcPr>
          <w:p>
            <w:pPr>
              <w:spacing w:after="0"/>
              <w:rPr>
                <w:sz w:val="15"/>
                <w:szCs w:val="15"/>
                <w:color w:val="auto"/>
              </w:rPr>
            </w:pPr>
          </w:p>
        </w:tc>
        <w:tc>
          <w:tcPr>
            <w:tcW w:w="3280" w:type="dxa"/>
            <w:vAlign w:val="bottom"/>
            <w:tcBorders>
              <w:right w:val="single" w:sz="8" w:color="auto"/>
            </w:tcBorders>
            <w:shd w:val="clear" w:color="auto" w:fill="D4DBEB"/>
          </w:tcPr>
          <w:p>
            <w:pPr>
              <w:ind w:left="20"/>
              <w:spacing w:after="0"/>
              <w:rPr>
                <w:sz w:val="20"/>
                <w:szCs w:val="20"/>
                <w:color w:val="auto"/>
              </w:rPr>
            </w:pPr>
            <w:r>
              <w:rPr>
                <w:rFonts w:ascii="Arial" w:cs="Arial" w:eastAsia="Arial" w:hAnsi="Arial"/>
                <w:sz w:val="14"/>
                <w:szCs w:val="14"/>
                <w:color w:val="auto"/>
              </w:rPr>
              <w:t>ExxonMobil Supplemental Pension Plan</w:t>
            </w:r>
          </w:p>
        </w:tc>
        <w:tc>
          <w:tcPr>
            <w:tcW w:w="1700" w:type="dxa"/>
            <w:vAlign w:val="bottom"/>
            <w:tcBorders>
              <w:right w:val="single" w:sz="8" w:color="auto"/>
            </w:tcBorders>
            <w:shd w:val="clear" w:color="auto" w:fill="D4DBEB"/>
          </w:tcPr>
          <w:p>
            <w:pPr>
              <w:jc w:val="center"/>
              <w:spacing w:after="0"/>
              <w:rPr>
                <w:sz w:val="20"/>
                <w:szCs w:val="20"/>
                <w:color w:val="auto"/>
              </w:rPr>
            </w:pPr>
            <w:r>
              <w:rPr>
                <w:rFonts w:ascii="Arial" w:cs="Arial" w:eastAsia="Arial" w:hAnsi="Arial"/>
                <w:sz w:val="14"/>
                <w:szCs w:val="14"/>
                <w:color w:val="auto"/>
              </w:rPr>
              <w:t>38.42</w:t>
            </w:r>
          </w:p>
        </w:tc>
        <w:tc>
          <w:tcPr>
            <w:tcW w:w="1820" w:type="dxa"/>
            <w:vAlign w:val="bottom"/>
            <w:tcBorders>
              <w:right w:val="single" w:sz="8" w:color="auto"/>
            </w:tcBorders>
            <w:shd w:val="clear" w:color="auto" w:fill="D4DBEB"/>
          </w:tcPr>
          <w:p>
            <w:pPr>
              <w:jc w:val="right"/>
              <w:ind w:right="548"/>
              <w:spacing w:after="0"/>
              <w:rPr>
                <w:sz w:val="20"/>
                <w:szCs w:val="20"/>
                <w:color w:val="auto"/>
              </w:rPr>
            </w:pPr>
            <w:r>
              <w:rPr>
                <w:rFonts w:ascii="Arial" w:cs="Arial" w:eastAsia="Arial" w:hAnsi="Arial"/>
                <w:sz w:val="14"/>
                <w:szCs w:val="14"/>
                <w:color w:val="auto"/>
              </w:rPr>
              <w:t>10,294,696</w:t>
            </w:r>
          </w:p>
        </w:tc>
        <w:tc>
          <w:tcPr>
            <w:tcW w:w="1380" w:type="dxa"/>
            <w:vAlign w:val="bottom"/>
            <w:tcBorders>
              <w:right w:val="single" w:sz="8" w:color="auto"/>
            </w:tcBorders>
            <w:shd w:val="clear" w:color="auto" w:fill="D4DBEB"/>
          </w:tcPr>
          <w:p>
            <w:pPr>
              <w:jc w:val="center"/>
              <w:spacing w:after="0"/>
              <w:rPr>
                <w:sz w:val="20"/>
                <w:szCs w:val="20"/>
                <w:color w:val="auto"/>
              </w:rPr>
            </w:pPr>
            <w:r>
              <w:rPr>
                <w:rFonts w:ascii="Arial" w:cs="Arial" w:eastAsia="Arial" w:hAnsi="Arial"/>
                <w:sz w:val="14"/>
                <w:szCs w:val="14"/>
                <w:color w:val="auto"/>
              </w:rPr>
              <w:t>0</w:t>
            </w:r>
          </w:p>
        </w:tc>
      </w:tr>
      <w:tr>
        <w:trPr>
          <w:trHeight w:val="202"/>
        </w:trPr>
        <w:tc>
          <w:tcPr>
            <w:tcW w:w="1560" w:type="dxa"/>
            <w:vAlign w:val="bottom"/>
            <w:tcBorders>
              <w:left w:val="single" w:sz="8" w:color="auto"/>
              <w:right w:val="single" w:sz="8" w:color="auto"/>
            </w:tcBorders>
            <w:shd w:val="clear" w:color="auto" w:fill="D4DBEB"/>
          </w:tcPr>
          <w:p>
            <w:pPr>
              <w:spacing w:after="0"/>
              <w:rPr>
                <w:sz w:val="17"/>
                <w:szCs w:val="17"/>
                <w:color w:val="auto"/>
              </w:rPr>
            </w:pPr>
          </w:p>
        </w:tc>
        <w:tc>
          <w:tcPr>
            <w:tcW w:w="3280" w:type="dxa"/>
            <w:vAlign w:val="bottom"/>
            <w:tcBorders>
              <w:right w:val="single" w:sz="8" w:color="auto"/>
            </w:tcBorders>
            <w:shd w:val="clear" w:color="auto" w:fill="D4DBEB"/>
          </w:tcPr>
          <w:p>
            <w:pPr>
              <w:ind w:left="20"/>
              <w:spacing w:after="0"/>
              <w:rPr>
                <w:sz w:val="20"/>
                <w:szCs w:val="20"/>
                <w:color w:val="auto"/>
              </w:rPr>
            </w:pPr>
            <w:r>
              <w:rPr>
                <w:rFonts w:ascii="Arial" w:cs="Arial" w:eastAsia="Arial" w:hAnsi="Arial"/>
                <w:sz w:val="14"/>
                <w:szCs w:val="14"/>
                <w:color w:val="auto"/>
              </w:rPr>
              <w:t>ExxonMobil Additional Payments Plan</w:t>
            </w:r>
          </w:p>
        </w:tc>
        <w:tc>
          <w:tcPr>
            <w:tcW w:w="1700" w:type="dxa"/>
            <w:vAlign w:val="bottom"/>
            <w:tcBorders>
              <w:right w:val="single" w:sz="8" w:color="auto"/>
            </w:tcBorders>
            <w:shd w:val="clear" w:color="auto" w:fill="D4DBEB"/>
          </w:tcPr>
          <w:p>
            <w:pPr>
              <w:jc w:val="center"/>
              <w:spacing w:after="0"/>
              <w:rPr>
                <w:sz w:val="20"/>
                <w:szCs w:val="20"/>
                <w:color w:val="auto"/>
              </w:rPr>
            </w:pPr>
            <w:r>
              <w:rPr>
                <w:rFonts w:ascii="Arial" w:cs="Arial" w:eastAsia="Arial" w:hAnsi="Arial"/>
                <w:sz w:val="14"/>
                <w:szCs w:val="14"/>
                <w:color w:val="auto"/>
              </w:rPr>
              <w:t>38.42</w:t>
            </w:r>
          </w:p>
        </w:tc>
        <w:tc>
          <w:tcPr>
            <w:tcW w:w="1820" w:type="dxa"/>
            <w:vAlign w:val="bottom"/>
            <w:tcBorders>
              <w:right w:val="single" w:sz="8" w:color="auto"/>
            </w:tcBorders>
            <w:shd w:val="clear" w:color="auto" w:fill="D4DBEB"/>
          </w:tcPr>
          <w:p>
            <w:pPr>
              <w:jc w:val="right"/>
              <w:ind w:right="548"/>
              <w:spacing w:after="0"/>
              <w:rPr>
                <w:sz w:val="20"/>
                <w:szCs w:val="20"/>
                <w:color w:val="auto"/>
              </w:rPr>
            </w:pPr>
            <w:r>
              <w:rPr>
                <w:rFonts w:ascii="Arial" w:cs="Arial" w:eastAsia="Arial" w:hAnsi="Arial"/>
                <w:sz w:val="14"/>
                <w:szCs w:val="14"/>
                <w:color w:val="auto"/>
              </w:rPr>
              <w:t>18,030,308</w:t>
            </w:r>
          </w:p>
        </w:tc>
        <w:tc>
          <w:tcPr>
            <w:tcW w:w="1380" w:type="dxa"/>
            <w:vAlign w:val="bottom"/>
            <w:tcBorders>
              <w:right w:val="single" w:sz="8" w:color="auto"/>
            </w:tcBorders>
            <w:shd w:val="clear" w:color="auto" w:fill="D4DBEB"/>
          </w:tcPr>
          <w:p>
            <w:pPr>
              <w:jc w:val="center"/>
              <w:spacing w:after="0"/>
              <w:rPr>
                <w:sz w:val="20"/>
                <w:szCs w:val="20"/>
                <w:color w:val="auto"/>
              </w:rPr>
            </w:pPr>
            <w:r>
              <w:rPr>
                <w:rFonts w:ascii="Arial" w:cs="Arial" w:eastAsia="Arial" w:hAnsi="Arial"/>
                <w:sz w:val="14"/>
                <w:szCs w:val="14"/>
                <w:color w:val="auto"/>
              </w:rPr>
              <w:t>0</w:t>
            </w:r>
          </w:p>
        </w:tc>
      </w:tr>
      <w:tr>
        <w:trPr>
          <w:trHeight w:val="230"/>
        </w:trPr>
        <w:tc>
          <w:tcPr>
            <w:tcW w:w="1560" w:type="dxa"/>
            <w:vAlign w:val="bottom"/>
            <w:tcBorders>
              <w:left w:val="single" w:sz="8" w:color="auto"/>
              <w:right w:val="single" w:sz="8" w:color="auto"/>
            </w:tcBorders>
          </w:tcPr>
          <w:p>
            <w:pPr>
              <w:ind w:left="160"/>
              <w:spacing w:after="0"/>
              <w:rPr>
                <w:sz w:val="20"/>
                <w:szCs w:val="20"/>
                <w:color w:val="auto"/>
              </w:rPr>
            </w:pPr>
            <w:r>
              <w:rPr>
                <w:rFonts w:ascii="Arial" w:cs="Arial" w:eastAsia="Arial" w:hAnsi="Arial"/>
                <w:sz w:val="14"/>
                <w:szCs w:val="14"/>
                <w:color w:val="auto"/>
              </w:rPr>
              <w:t>M.J. Dolan</w:t>
            </w:r>
          </w:p>
        </w:tc>
        <w:tc>
          <w:tcPr>
            <w:tcW w:w="3280" w:type="dxa"/>
            <w:vAlign w:val="bottom"/>
            <w:tcBorders>
              <w:right w:val="single" w:sz="8" w:color="auto"/>
            </w:tcBorders>
          </w:tcPr>
          <w:p>
            <w:pPr>
              <w:ind w:left="20"/>
              <w:spacing w:after="0"/>
              <w:rPr>
                <w:sz w:val="20"/>
                <w:szCs w:val="20"/>
                <w:color w:val="auto"/>
              </w:rPr>
            </w:pPr>
            <w:r>
              <w:rPr>
                <w:rFonts w:ascii="Arial" w:cs="Arial" w:eastAsia="Arial" w:hAnsi="Arial"/>
                <w:sz w:val="14"/>
                <w:szCs w:val="14"/>
                <w:color w:val="auto"/>
              </w:rPr>
              <w:t>ExxonMobil Pension Plan</w:t>
            </w:r>
          </w:p>
        </w:tc>
        <w:tc>
          <w:tcPr>
            <w:tcW w:w="1700" w:type="dxa"/>
            <w:vAlign w:val="bottom"/>
            <w:tcBorders>
              <w:right w:val="single" w:sz="8" w:color="auto"/>
            </w:tcBorders>
          </w:tcPr>
          <w:p>
            <w:pPr>
              <w:jc w:val="center"/>
              <w:spacing w:after="0"/>
              <w:rPr>
                <w:sz w:val="20"/>
                <w:szCs w:val="20"/>
                <w:color w:val="auto"/>
              </w:rPr>
            </w:pPr>
            <w:r>
              <w:rPr>
                <w:rFonts w:ascii="Arial" w:cs="Arial" w:eastAsia="Arial" w:hAnsi="Arial"/>
                <w:sz w:val="14"/>
                <w:szCs w:val="14"/>
                <w:color w:val="auto"/>
              </w:rPr>
              <w:t>37.42</w:t>
            </w:r>
          </w:p>
        </w:tc>
        <w:tc>
          <w:tcPr>
            <w:tcW w:w="1820" w:type="dxa"/>
            <w:vAlign w:val="bottom"/>
            <w:tcBorders>
              <w:right w:val="single" w:sz="8" w:color="auto"/>
            </w:tcBorders>
          </w:tcPr>
          <w:p>
            <w:pPr>
              <w:jc w:val="right"/>
              <w:ind w:right="548"/>
              <w:spacing w:after="0"/>
              <w:rPr>
                <w:sz w:val="20"/>
                <w:szCs w:val="20"/>
                <w:color w:val="auto"/>
              </w:rPr>
            </w:pPr>
            <w:r>
              <w:rPr>
                <w:rFonts w:ascii="Arial" w:cs="Arial" w:eastAsia="Arial" w:hAnsi="Arial"/>
                <w:sz w:val="14"/>
                <w:szCs w:val="14"/>
                <w:color w:val="auto"/>
              </w:rPr>
              <w:t>2,155,530</w:t>
            </w:r>
          </w:p>
        </w:tc>
        <w:tc>
          <w:tcPr>
            <w:tcW w:w="1380" w:type="dxa"/>
            <w:vAlign w:val="bottom"/>
            <w:tcBorders>
              <w:right w:val="single" w:sz="8" w:color="auto"/>
            </w:tcBorders>
          </w:tcPr>
          <w:p>
            <w:pPr>
              <w:jc w:val="center"/>
              <w:spacing w:after="0"/>
              <w:rPr>
                <w:sz w:val="20"/>
                <w:szCs w:val="20"/>
                <w:color w:val="auto"/>
              </w:rPr>
            </w:pPr>
            <w:r>
              <w:rPr>
                <w:rFonts w:ascii="Arial" w:cs="Arial" w:eastAsia="Arial" w:hAnsi="Arial"/>
                <w:sz w:val="14"/>
                <w:szCs w:val="14"/>
                <w:color w:val="auto"/>
              </w:rPr>
              <w:t>0</w:t>
            </w:r>
          </w:p>
        </w:tc>
      </w:tr>
      <w:tr>
        <w:trPr>
          <w:trHeight w:val="176"/>
        </w:trPr>
        <w:tc>
          <w:tcPr>
            <w:tcW w:w="1560" w:type="dxa"/>
            <w:vAlign w:val="bottom"/>
            <w:tcBorders>
              <w:left w:val="single" w:sz="8" w:color="auto"/>
              <w:right w:val="single" w:sz="8" w:color="auto"/>
            </w:tcBorders>
          </w:tcPr>
          <w:p>
            <w:pPr>
              <w:spacing w:after="0"/>
              <w:rPr>
                <w:sz w:val="15"/>
                <w:szCs w:val="15"/>
                <w:color w:val="auto"/>
              </w:rPr>
            </w:pPr>
          </w:p>
        </w:tc>
        <w:tc>
          <w:tcPr>
            <w:tcW w:w="3280" w:type="dxa"/>
            <w:vAlign w:val="bottom"/>
            <w:tcBorders>
              <w:right w:val="single" w:sz="8" w:color="auto"/>
            </w:tcBorders>
          </w:tcPr>
          <w:p>
            <w:pPr>
              <w:ind w:left="20"/>
              <w:spacing w:after="0"/>
              <w:rPr>
                <w:sz w:val="20"/>
                <w:szCs w:val="20"/>
                <w:color w:val="auto"/>
              </w:rPr>
            </w:pPr>
            <w:r>
              <w:rPr>
                <w:rFonts w:ascii="Arial" w:cs="Arial" w:eastAsia="Arial" w:hAnsi="Arial"/>
                <w:sz w:val="14"/>
                <w:szCs w:val="14"/>
                <w:color w:val="auto"/>
              </w:rPr>
              <w:t>ExxonMobil Supplemental Pension Plan</w:t>
            </w:r>
          </w:p>
        </w:tc>
        <w:tc>
          <w:tcPr>
            <w:tcW w:w="1700" w:type="dxa"/>
            <w:vAlign w:val="bottom"/>
            <w:tcBorders>
              <w:right w:val="single" w:sz="8" w:color="auto"/>
            </w:tcBorders>
          </w:tcPr>
          <w:p>
            <w:pPr>
              <w:jc w:val="center"/>
              <w:spacing w:after="0"/>
              <w:rPr>
                <w:sz w:val="20"/>
                <w:szCs w:val="20"/>
                <w:color w:val="auto"/>
              </w:rPr>
            </w:pPr>
            <w:r>
              <w:rPr>
                <w:rFonts w:ascii="Arial" w:cs="Arial" w:eastAsia="Arial" w:hAnsi="Arial"/>
                <w:sz w:val="14"/>
                <w:szCs w:val="14"/>
                <w:color w:val="auto"/>
              </w:rPr>
              <w:t>37.42</w:t>
            </w:r>
          </w:p>
        </w:tc>
        <w:tc>
          <w:tcPr>
            <w:tcW w:w="1820" w:type="dxa"/>
            <w:vAlign w:val="bottom"/>
            <w:tcBorders>
              <w:right w:val="single" w:sz="8" w:color="auto"/>
            </w:tcBorders>
          </w:tcPr>
          <w:p>
            <w:pPr>
              <w:jc w:val="right"/>
              <w:ind w:right="548"/>
              <w:spacing w:after="0"/>
              <w:rPr>
                <w:sz w:val="20"/>
                <w:szCs w:val="20"/>
                <w:color w:val="auto"/>
              </w:rPr>
            </w:pPr>
            <w:r>
              <w:rPr>
                <w:rFonts w:ascii="Arial" w:cs="Arial" w:eastAsia="Arial" w:hAnsi="Arial"/>
                <w:sz w:val="14"/>
                <w:szCs w:val="14"/>
                <w:color w:val="auto"/>
              </w:rPr>
              <w:t>9,904,271</w:t>
            </w:r>
          </w:p>
        </w:tc>
        <w:tc>
          <w:tcPr>
            <w:tcW w:w="1380" w:type="dxa"/>
            <w:vAlign w:val="bottom"/>
            <w:tcBorders>
              <w:right w:val="single" w:sz="8" w:color="auto"/>
            </w:tcBorders>
          </w:tcPr>
          <w:p>
            <w:pPr>
              <w:jc w:val="center"/>
              <w:spacing w:after="0"/>
              <w:rPr>
                <w:sz w:val="20"/>
                <w:szCs w:val="20"/>
                <w:color w:val="auto"/>
              </w:rPr>
            </w:pPr>
            <w:r>
              <w:rPr>
                <w:rFonts w:ascii="Arial" w:cs="Arial" w:eastAsia="Arial" w:hAnsi="Arial"/>
                <w:sz w:val="14"/>
                <w:szCs w:val="14"/>
                <w:color w:val="auto"/>
              </w:rPr>
              <w:t>0</w:t>
            </w:r>
          </w:p>
        </w:tc>
      </w:tr>
      <w:tr>
        <w:trPr>
          <w:trHeight w:val="198"/>
        </w:trPr>
        <w:tc>
          <w:tcPr>
            <w:tcW w:w="1560" w:type="dxa"/>
            <w:vAlign w:val="bottom"/>
            <w:tcBorders>
              <w:left w:val="single" w:sz="8" w:color="auto"/>
              <w:right w:val="single" w:sz="8" w:color="auto"/>
            </w:tcBorders>
          </w:tcPr>
          <w:p>
            <w:pPr>
              <w:spacing w:after="0"/>
              <w:rPr>
                <w:sz w:val="17"/>
                <w:szCs w:val="17"/>
                <w:color w:val="auto"/>
              </w:rPr>
            </w:pPr>
          </w:p>
        </w:tc>
        <w:tc>
          <w:tcPr>
            <w:tcW w:w="3280" w:type="dxa"/>
            <w:vAlign w:val="bottom"/>
            <w:tcBorders>
              <w:right w:val="single" w:sz="8" w:color="auto"/>
            </w:tcBorders>
          </w:tcPr>
          <w:p>
            <w:pPr>
              <w:ind w:left="20"/>
              <w:spacing w:after="0"/>
              <w:rPr>
                <w:sz w:val="20"/>
                <w:szCs w:val="20"/>
                <w:color w:val="auto"/>
              </w:rPr>
            </w:pPr>
            <w:r>
              <w:rPr>
                <w:rFonts w:ascii="Arial" w:cs="Arial" w:eastAsia="Arial" w:hAnsi="Arial"/>
                <w:sz w:val="14"/>
                <w:szCs w:val="14"/>
                <w:color w:val="auto"/>
              </w:rPr>
              <w:t>ExxonMobil Additional Payments Plan</w:t>
            </w:r>
          </w:p>
        </w:tc>
        <w:tc>
          <w:tcPr>
            <w:tcW w:w="1700" w:type="dxa"/>
            <w:vAlign w:val="bottom"/>
            <w:tcBorders>
              <w:right w:val="single" w:sz="8" w:color="auto"/>
            </w:tcBorders>
          </w:tcPr>
          <w:p>
            <w:pPr>
              <w:jc w:val="center"/>
              <w:spacing w:after="0"/>
              <w:rPr>
                <w:sz w:val="20"/>
                <w:szCs w:val="20"/>
                <w:color w:val="auto"/>
              </w:rPr>
            </w:pPr>
            <w:r>
              <w:rPr>
                <w:rFonts w:ascii="Arial" w:cs="Arial" w:eastAsia="Arial" w:hAnsi="Arial"/>
                <w:sz w:val="14"/>
                <w:szCs w:val="14"/>
                <w:color w:val="auto"/>
              </w:rPr>
              <w:t>37.42</w:t>
            </w:r>
          </w:p>
        </w:tc>
        <w:tc>
          <w:tcPr>
            <w:tcW w:w="1820" w:type="dxa"/>
            <w:vAlign w:val="bottom"/>
            <w:tcBorders>
              <w:right w:val="single" w:sz="8" w:color="auto"/>
            </w:tcBorders>
          </w:tcPr>
          <w:p>
            <w:pPr>
              <w:jc w:val="right"/>
              <w:ind w:right="548"/>
              <w:spacing w:after="0"/>
              <w:rPr>
                <w:sz w:val="20"/>
                <w:szCs w:val="20"/>
                <w:color w:val="auto"/>
              </w:rPr>
            </w:pPr>
            <w:r>
              <w:rPr>
                <w:rFonts w:ascii="Arial" w:cs="Arial" w:eastAsia="Arial" w:hAnsi="Arial"/>
                <w:sz w:val="14"/>
                <w:szCs w:val="14"/>
                <w:color w:val="auto"/>
              </w:rPr>
              <w:t>17,719,245</w:t>
            </w:r>
          </w:p>
        </w:tc>
        <w:tc>
          <w:tcPr>
            <w:tcW w:w="1380" w:type="dxa"/>
            <w:vAlign w:val="bottom"/>
            <w:tcBorders>
              <w:right w:val="single" w:sz="8" w:color="auto"/>
            </w:tcBorders>
          </w:tcPr>
          <w:p>
            <w:pPr>
              <w:jc w:val="center"/>
              <w:spacing w:after="0"/>
              <w:rPr>
                <w:sz w:val="20"/>
                <w:szCs w:val="20"/>
                <w:color w:val="auto"/>
              </w:rPr>
            </w:pPr>
            <w:r>
              <w:rPr>
                <w:rFonts w:ascii="Arial" w:cs="Arial" w:eastAsia="Arial" w:hAnsi="Arial"/>
                <w:sz w:val="14"/>
                <w:szCs w:val="14"/>
                <w:color w:val="auto"/>
              </w:rPr>
              <w:t>0</w:t>
            </w:r>
          </w:p>
        </w:tc>
      </w:tr>
      <w:tr>
        <w:trPr>
          <w:trHeight w:val="234"/>
        </w:trPr>
        <w:tc>
          <w:tcPr>
            <w:tcW w:w="1560" w:type="dxa"/>
            <w:vAlign w:val="bottom"/>
            <w:tcBorders>
              <w:left w:val="single" w:sz="8" w:color="auto"/>
              <w:right w:val="single" w:sz="8" w:color="auto"/>
            </w:tcBorders>
            <w:shd w:val="clear" w:color="auto" w:fill="D4DBEB"/>
          </w:tcPr>
          <w:p>
            <w:pPr>
              <w:ind w:left="160"/>
              <w:spacing w:after="0"/>
              <w:rPr>
                <w:sz w:val="20"/>
                <w:szCs w:val="20"/>
                <w:color w:val="auto"/>
              </w:rPr>
            </w:pPr>
            <w:r>
              <w:rPr>
                <w:rFonts w:ascii="Arial" w:cs="Arial" w:eastAsia="Arial" w:hAnsi="Arial"/>
                <w:sz w:val="14"/>
                <w:szCs w:val="14"/>
                <w:color w:val="auto"/>
              </w:rPr>
              <w:t>N.W. Duffin</w:t>
            </w:r>
          </w:p>
        </w:tc>
        <w:tc>
          <w:tcPr>
            <w:tcW w:w="3280" w:type="dxa"/>
            <w:vAlign w:val="bottom"/>
            <w:tcBorders>
              <w:right w:val="single" w:sz="8" w:color="auto"/>
            </w:tcBorders>
            <w:shd w:val="clear" w:color="auto" w:fill="D4DBEB"/>
          </w:tcPr>
          <w:p>
            <w:pPr>
              <w:ind w:left="20"/>
              <w:spacing w:after="0"/>
              <w:rPr>
                <w:sz w:val="20"/>
                <w:szCs w:val="20"/>
                <w:color w:val="auto"/>
              </w:rPr>
            </w:pPr>
            <w:r>
              <w:rPr>
                <w:rFonts w:ascii="Arial" w:cs="Arial" w:eastAsia="Arial" w:hAnsi="Arial"/>
                <w:sz w:val="14"/>
                <w:szCs w:val="14"/>
                <w:color w:val="auto"/>
              </w:rPr>
              <w:t>ExxonMobil Pension Plan</w:t>
            </w:r>
          </w:p>
        </w:tc>
        <w:tc>
          <w:tcPr>
            <w:tcW w:w="1700" w:type="dxa"/>
            <w:vAlign w:val="bottom"/>
            <w:tcBorders>
              <w:right w:val="single" w:sz="8" w:color="auto"/>
            </w:tcBorders>
            <w:shd w:val="clear" w:color="auto" w:fill="D4DBEB"/>
          </w:tcPr>
          <w:p>
            <w:pPr>
              <w:jc w:val="center"/>
              <w:spacing w:after="0"/>
              <w:rPr>
                <w:sz w:val="20"/>
                <w:szCs w:val="20"/>
                <w:color w:val="auto"/>
              </w:rPr>
            </w:pPr>
            <w:r>
              <w:rPr>
                <w:rFonts w:ascii="Arial" w:cs="Arial" w:eastAsia="Arial" w:hAnsi="Arial"/>
                <w:sz w:val="14"/>
                <w:szCs w:val="14"/>
                <w:color w:val="auto"/>
              </w:rPr>
              <w:t>38.25</w:t>
            </w:r>
          </w:p>
        </w:tc>
        <w:tc>
          <w:tcPr>
            <w:tcW w:w="1820" w:type="dxa"/>
            <w:vAlign w:val="bottom"/>
            <w:tcBorders>
              <w:right w:val="single" w:sz="8" w:color="auto"/>
            </w:tcBorders>
            <w:shd w:val="clear" w:color="auto" w:fill="D4DBEB"/>
          </w:tcPr>
          <w:p>
            <w:pPr>
              <w:jc w:val="right"/>
              <w:ind w:right="548"/>
              <w:spacing w:after="0"/>
              <w:rPr>
                <w:sz w:val="20"/>
                <w:szCs w:val="20"/>
                <w:color w:val="auto"/>
              </w:rPr>
            </w:pPr>
            <w:r>
              <w:rPr>
                <w:rFonts w:ascii="Arial" w:cs="Arial" w:eastAsia="Arial" w:hAnsi="Arial"/>
                <w:sz w:val="14"/>
                <w:szCs w:val="14"/>
                <w:color w:val="auto"/>
              </w:rPr>
              <w:t>2,482,052</w:t>
            </w:r>
          </w:p>
        </w:tc>
        <w:tc>
          <w:tcPr>
            <w:tcW w:w="1380" w:type="dxa"/>
            <w:vAlign w:val="bottom"/>
            <w:tcBorders>
              <w:right w:val="single" w:sz="8" w:color="auto"/>
            </w:tcBorders>
            <w:shd w:val="clear" w:color="auto" w:fill="D4DBEB"/>
          </w:tcPr>
          <w:p>
            <w:pPr>
              <w:jc w:val="center"/>
              <w:spacing w:after="0"/>
              <w:rPr>
                <w:sz w:val="20"/>
                <w:szCs w:val="20"/>
                <w:color w:val="auto"/>
              </w:rPr>
            </w:pPr>
            <w:r>
              <w:rPr>
                <w:rFonts w:ascii="Arial" w:cs="Arial" w:eastAsia="Arial" w:hAnsi="Arial"/>
                <w:sz w:val="14"/>
                <w:szCs w:val="14"/>
                <w:color w:val="auto"/>
              </w:rPr>
              <w:t>0</w:t>
            </w:r>
          </w:p>
        </w:tc>
      </w:tr>
      <w:tr>
        <w:trPr>
          <w:trHeight w:val="176"/>
        </w:trPr>
        <w:tc>
          <w:tcPr>
            <w:tcW w:w="1560" w:type="dxa"/>
            <w:vAlign w:val="bottom"/>
            <w:tcBorders>
              <w:left w:val="single" w:sz="8" w:color="auto"/>
              <w:right w:val="single" w:sz="8" w:color="auto"/>
            </w:tcBorders>
            <w:shd w:val="clear" w:color="auto" w:fill="D4DBEB"/>
          </w:tcPr>
          <w:p>
            <w:pPr>
              <w:spacing w:after="0"/>
              <w:rPr>
                <w:sz w:val="15"/>
                <w:szCs w:val="15"/>
                <w:color w:val="auto"/>
              </w:rPr>
            </w:pPr>
          </w:p>
        </w:tc>
        <w:tc>
          <w:tcPr>
            <w:tcW w:w="3280" w:type="dxa"/>
            <w:vAlign w:val="bottom"/>
            <w:tcBorders>
              <w:right w:val="single" w:sz="8" w:color="auto"/>
            </w:tcBorders>
            <w:shd w:val="clear" w:color="auto" w:fill="D4DBEB"/>
          </w:tcPr>
          <w:p>
            <w:pPr>
              <w:ind w:left="20"/>
              <w:spacing w:after="0"/>
              <w:rPr>
                <w:sz w:val="20"/>
                <w:szCs w:val="20"/>
                <w:color w:val="auto"/>
              </w:rPr>
            </w:pPr>
            <w:r>
              <w:rPr>
                <w:rFonts w:ascii="Arial" w:cs="Arial" w:eastAsia="Arial" w:hAnsi="Arial"/>
                <w:sz w:val="14"/>
                <w:szCs w:val="14"/>
                <w:color w:val="auto"/>
              </w:rPr>
              <w:t>ExxonMobil Supplemental Pension Plan</w:t>
            </w:r>
          </w:p>
        </w:tc>
        <w:tc>
          <w:tcPr>
            <w:tcW w:w="1700" w:type="dxa"/>
            <w:vAlign w:val="bottom"/>
            <w:tcBorders>
              <w:right w:val="single" w:sz="8" w:color="auto"/>
            </w:tcBorders>
            <w:shd w:val="clear" w:color="auto" w:fill="D4DBEB"/>
          </w:tcPr>
          <w:p>
            <w:pPr>
              <w:jc w:val="center"/>
              <w:spacing w:after="0"/>
              <w:rPr>
                <w:sz w:val="20"/>
                <w:szCs w:val="20"/>
                <w:color w:val="auto"/>
              </w:rPr>
            </w:pPr>
            <w:r>
              <w:rPr>
                <w:rFonts w:ascii="Arial" w:cs="Arial" w:eastAsia="Arial" w:hAnsi="Arial"/>
                <w:sz w:val="14"/>
                <w:szCs w:val="14"/>
                <w:color w:val="auto"/>
              </w:rPr>
              <w:t>38.25</w:t>
            </w:r>
          </w:p>
        </w:tc>
        <w:tc>
          <w:tcPr>
            <w:tcW w:w="1820" w:type="dxa"/>
            <w:vAlign w:val="bottom"/>
            <w:tcBorders>
              <w:right w:val="single" w:sz="8" w:color="auto"/>
            </w:tcBorders>
            <w:shd w:val="clear" w:color="auto" w:fill="D4DBEB"/>
          </w:tcPr>
          <w:p>
            <w:pPr>
              <w:jc w:val="right"/>
              <w:ind w:right="548"/>
              <w:spacing w:after="0"/>
              <w:rPr>
                <w:sz w:val="20"/>
                <w:szCs w:val="20"/>
                <w:color w:val="auto"/>
              </w:rPr>
            </w:pPr>
            <w:r>
              <w:rPr>
                <w:rFonts w:ascii="Arial" w:cs="Arial" w:eastAsia="Arial" w:hAnsi="Arial"/>
                <w:sz w:val="14"/>
                <w:szCs w:val="14"/>
                <w:color w:val="auto"/>
              </w:rPr>
              <w:t>7,608,445</w:t>
            </w:r>
          </w:p>
        </w:tc>
        <w:tc>
          <w:tcPr>
            <w:tcW w:w="1380" w:type="dxa"/>
            <w:vAlign w:val="bottom"/>
            <w:tcBorders>
              <w:right w:val="single" w:sz="8" w:color="auto"/>
            </w:tcBorders>
            <w:shd w:val="clear" w:color="auto" w:fill="D4DBEB"/>
          </w:tcPr>
          <w:p>
            <w:pPr>
              <w:jc w:val="center"/>
              <w:spacing w:after="0"/>
              <w:rPr>
                <w:sz w:val="20"/>
                <w:szCs w:val="20"/>
                <w:color w:val="auto"/>
              </w:rPr>
            </w:pPr>
            <w:r>
              <w:rPr>
                <w:rFonts w:ascii="Arial" w:cs="Arial" w:eastAsia="Arial" w:hAnsi="Arial"/>
                <w:sz w:val="14"/>
                <w:szCs w:val="14"/>
                <w:color w:val="auto"/>
              </w:rPr>
              <w:t>0</w:t>
            </w:r>
          </w:p>
        </w:tc>
      </w:tr>
      <w:tr>
        <w:trPr>
          <w:trHeight w:val="189"/>
        </w:trPr>
        <w:tc>
          <w:tcPr>
            <w:tcW w:w="1560" w:type="dxa"/>
            <w:vAlign w:val="bottom"/>
            <w:tcBorders>
              <w:left w:val="single" w:sz="8" w:color="auto"/>
              <w:bottom w:val="single" w:sz="8" w:color="auto"/>
              <w:right w:val="single" w:sz="8" w:color="auto"/>
            </w:tcBorders>
            <w:shd w:val="clear" w:color="auto" w:fill="D4DBEB"/>
          </w:tcPr>
          <w:p>
            <w:pPr>
              <w:spacing w:after="0"/>
              <w:rPr>
                <w:sz w:val="16"/>
                <w:szCs w:val="16"/>
                <w:color w:val="auto"/>
              </w:rPr>
            </w:pPr>
          </w:p>
        </w:tc>
        <w:tc>
          <w:tcPr>
            <w:tcW w:w="3280" w:type="dxa"/>
            <w:vAlign w:val="bottom"/>
            <w:tcBorders>
              <w:bottom w:val="single" w:sz="8" w:color="auto"/>
              <w:right w:val="single" w:sz="8" w:color="auto"/>
            </w:tcBorders>
            <w:shd w:val="clear" w:color="auto" w:fill="D4DBEB"/>
          </w:tcPr>
          <w:p>
            <w:pPr>
              <w:ind w:left="20"/>
              <w:spacing w:after="0"/>
              <w:rPr>
                <w:sz w:val="20"/>
                <w:szCs w:val="20"/>
                <w:color w:val="auto"/>
              </w:rPr>
            </w:pPr>
            <w:r>
              <w:rPr>
                <w:rFonts w:ascii="Arial" w:cs="Arial" w:eastAsia="Arial" w:hAnsi="Arial"/>
                <w:sz w:val="14"/>
                <w:szCs w:val="14"/>
                <w:color w:val="auto"/>
              </w:rPr>
              <w:t>ExxonMobil Additional Payments Plan</w:t>
            </w:r>
          </w:p>
        </w:tc>
        <w:tc>
          <w:tcPr>
            <w:tcW w:w="1700" w:type="dxa"/>
            <w:vAlign w:val="bottom"/>
            <w:tcBorders>
              <w:bottom w:val="single" w:sz="8" w:color="auto"/>
              <w:right w:val="single" w:sz="8" w:color="auto"/>
            </w:tcBorders>
            <w:shd w:val="clear" w:color="auto" w:fill="D4DBEB"/>
          </w:tcPr>
          <w:p>
            <w:pPr>
              <w:jc w:val="center"/>
              <w:spacing w:after="0"/>
              <w:rPr>
                <w:sz w:val="20"/>
                <w:szCs w:val="20"/>
                <w:color w:val="auto"/>
              </w:rPr>
            </w:pPr>
            <w:r>
              <w:rPr>
                <w:rFonts w:ascii="Arial" w:cs="Arial" w:eastAsia="Arial" w:hAnsi="Arial"/>
                <w:sz w:val="14"/>
                <w:szCs w:val="14"/>
                <w:color w:val="auto"/>
              </w:rPr>
              <w:t>38.25</w:t>
            </w:r>
          </w:p>
        </w:tc>
        <w:tc>
          <w:tcPr>
            <w:tcW w:w="1820" w:type="dxa"/>
            <w:vAlign w:val="bottom"/>
            <w:tcBorders>
              <w:bottom w:val="single" w:sz="8" w:color="auto"/>
              <w:right w:val="single" w:sz="8" w:color="auto"/>
            </w:tcBorders>
            <w:shd w:val="clear" w:color="auto" w:fill="D4DBEB"/>
          </w:tcPr>
          <w:p>
            <w:pPr>
              <w:jc w:val="right"/>
              <w:ind w:right="548"/>
              <w:spacing w:after="0"/>
              <w:rPr>
                <w:sz w:val="20"/>
                <w:szCs w:val="20"/>
                <w:color w:val="auto"/>
              </w:rPr>
            </w:pPr>
            <w:r>
              <w:rPr>
                <w:rFonts w:ascii="Arial" w:cs="Arial" w:eastAsia="Arial" w:hAnsi="Arial"/>
                <w:sz w:val="14"/>
                <w:szCs w:val="14"/>
                <w:color w:val="auto"/>
              </w:rPr>
              <w:t>12,473,801</w:t>
            </w:r>
          </w:p>
        </w:tc>
        <w:tc>
          <w:tcPr>
            <w:tcW w:w="1380" w:type="dxa"/>
            <w:vAlign w:val="bottom"/>
            <w:tcBorders>
              <w:bottom w:val="single" w:sz="8" w:color="auto"/>
              <w:right w:val="single" w:sz="8" w:color="auto"/>
            </w:tcBorders>
            <w:shd w:val="clear" w:color="auto" w:fill="D4DBEB"/>
          </w:tcPr>
          <w:p>
            <w:pPr>
              <w:jc w:val="center"/>
              <w:spacing w:after="0"/>
              <w:rPr>
                <w:sz w:val="20"/>
                <w:szCs w:val="20"/>
                <w:color w:val="auto"/>
              </w:rPr>
            </w:pPr>
            <w:r>
              <w:rPr>
                <w:rFonts w:ascii="Arial" w:cs="Arial" w:eastAsia="Arial" w:hAnsi="Arial"/>
                <w:sz w:val="14"/>
                <w:szCs w:val="14"/>
                <w:color w:val="auto"/>
              </w:rPr>
              <w:t>0</w:t>
            </w:r>
          </w:p>
        </w:tc>
      </w:tr>
    </w:tbl>
    <w:p>
      <w:pPr>
        <w:spacing w:after="0" w:line="108" w:lineRule="exact"/>
        <w:rPr>
          <w:sz w:val="20"/>
          <w:szCs w:val="20"/>
          <w:color w:val="auto"/>
        </w:rPr>
      </w:pPr>
    </w:p>
    <w:p>
      <w:pPr>
        <w:ind w:left="1140" w:right="100" w:hanging="288"/>
        <w:spacing w:after="0" w:line="258" w:lineRule="auto"/>
        <w:tabs>
          <w:tab w:leader="none" w:pos="1140" w:val="left"/>
        </w:tabs>
        <w:numPr>
          <w:ilvl w:val="0"/>
          <w:numId w:val="81"/>
        </w:numPr>
        <w:rPr>
          <w:rFonts w:ascii="Arial" w:cs="Arial" w:eastAsia="Arial" w:hAnsi="Arial"/>
          <w:sz w:val="14"/>
          <w:szCs w:val="14"/>
          <w:color w:val="auto"/>
        </w:rPr>
      </w:pPr>
      <w:r>
        <w:rPr>
          <w:rFonts w:ascii="Arial" w:cs="Arial" w:eastAsia="Arial" w:hAnsi="Arial"/>
          <w:sz w:val="14"/>
          <w:szCs w:val="14"/>
          <w:color w:val="auto"/>
        </w:rPr>
        <w:t>The Present Value of Accumulated Benefit figure for the ExxonMobil Pension Plan for Mr. Woods is calculated as if he were eligible for early retirement (i.e., at least 55 years of age with at least 15 years of service). Because Mr. Woods is not yet 55 years of age, he would not be eligible to receive a single lump sum payment of his pension benefit if he were to terminate employment at year-end 2017; and, in such circumstance, any annuity benefit he elected to receive would be actuarially reduced.</w:t>
      </w:r>
    </w:p>
    <w:p>
      <w:pPr>
        <w:spacing w:after="0" w:line="77" w:lineRule="exact"/>
        <w:rPr>
          <w:rFonts w:ascii="Arial" w:cs="Arial" w:eastAsia="Arial" w:hAnsi="Arial"/>
          <w:sz w:val="14"/>
          <w:szCs w:val="14"/>
          <w:color w:val="auto"/>
        </w:rPr>
      </w:pPr>
    </w:p>
    <w:p>
      <w:pPr>
        <w:jc w:val="both"/>
        <w:ind w:left="1140" w:right="640" w:hanging="288"/>
        <w:spacing w:after="0" w:line="266" w:lineRule="auto"/>
        <w:tabs>
          <w:tab w:leader="none" w:pos="1140" w:val="left"/>
        </w:tabs>
        <w:numPr>
          <w:ilvl w:val="0"/>
          <w:numId w:val="81"/>
        </w:numPr>
        <w:rPr>
          <w:rFonts w:ascii="Arial" w:cs="Arial" w:eastAsia="Arial" w:hAnsi="Arial"/>
          <w:sz w:val="14"/>
          <w:szCs w:val="14"/>
          <w:color w:val="auto"/>
        </w:rPr>
      </w:pPr>
      <w:r>
        <w:rPr>
          <w:rFonts w:ascii="Arial" w:cs="Arial" w:eastAsia="Arial" w:hAnsi="Arial"/>
          <w:sz w:val="14"/>
          <w:szCs w:val="14"/>
          <w:color w:val="auto"/>
        </w:rPr>
        <w:t>In the event of termination prior to early retirement eligibility, there is no benefit payable under the Supplemental Pension Plan or Additional Payments Plan. The Present Value of Accumulated Benefit figure for these plans for Mr. Woods is calculated as if he were eligible for early retirement, even though he is not eligible as of year-end 2017.</w:t>
      </w:r>
    </w:p>
    <w:p>
      <w:pPr>
        <w:spacing w:after="0" w:line="90" w:lineRule="exact"/>
        <w:rPr>
          <w:sz w:val="20"/>
          <w:szCs w:val="20"/>
          <w:color w:val="auto"/>
        </w:rPr>
      </w:pPr>
    </w:p>
    <w:p>
      <w:pPr>
        <w:ind w:left="880"/>
        <w:spacing w:after="0"/>
        <w:tabs>
          <w:tab w:leader="none" w:pos="2780" w:val="left"/>
        </w:tabs>
        <w:rPr>
          <w:sz w:val="20"/>
          <w:szCs w:val="20"/>
          <w:color w:val="auto"/>
        </w:rPr>
      </w:pPr>
      <w:r>
        <w:rPr>
          <w:rFonts w:ascii="Arial" w:cs="Arial" w:eastAsia="Arial" w:hAnsi="Arial"/>
          <w:sz w:val="18"/>
          <w:szCs w:val="18"/>
          <w:color w:val="auto"/>
        </w:rPr>
        <w:t>50</w:t>
      </w:r>
      <w:r>
        <w:rPr>
          <w:sz w:val="20"/>
          <w:szCs w:val="20"/>
          <w:color w:val="auto"/>
        </w:rPr>
        <w:tab/>
      </w:r>
      <w:r>
        <w:rPr>
          <w:rFonts w:ascii="Times New Roman" w:cs="Times New Roman" w:eastAsia="Times New Roman" w:hAnsi="Times New Roman"/>
          <w:sz w:val="18"/>
          <w:szCs w:val="18"/>
          <w:i w:val="1"/>
          <w:iCs w:val="1"/>
          <w:color w:val="auto"/>
        </w:rPr>
        <w:t>2018 Proxy Statement</w:t>
      </w:r>
    </w:p>
    <w:p>
      <w:pPr>
        <w:sectPr>
          <w:pgSz w:w="11900" w:h="16838" w:orient="portrait"/>
          <w:cols w:equalWidth="0" w:num="1">
            <w:col w:w="10600"/>
          </w:cols>
          <w:pgMar w:left="240" w:top="455" w:right="1059" w:bottom="1440" w:gutter="0" w:footer="0" w:header="0"/>
        </w:sectPr>
      </w:pPr>
    </w:p>
    <w:bookmarkStart w:id="53" w:name="page54"/>
    <w:bookmarkEnd w:id="53"/>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109">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Times New Roman" w:cs="Times New Roman" w:eastAsia="Times New Roman" w:hAnsi="Times New Roman"/>
            <w:sz w:val="18"/>
            <w:szCs w:val="18"/>
            <w:b w:val="1"/>
            <w:bCs w:val="1"/>
            <w:u w:val="single" w:color="auto"/>
            <w:color w:val="0000EE"/>
          </w:rPr>
          <w:t>Table of Contents</w:t>
        </w:r>
      </w:hyperlink>
    </w:p>
    <w:p>
      <w:pPr>
        <w:spacing w:after="0" w:line="305" w:lineRule="exact"/>
        <w:rPr>
          <w:sz w:val="20"/>
          <w:szCs w:val="20"/>
          <w:color w:val="auto"/>
        </w:rPr>
      </w:pPr>
    </w:p>
    <w:p>
      <w:pPr>
        <w:ind w:left="860"/>
        <w:spacing w:after="0"/>
        <w:rPr>
          <w:sz w:val="20"/>
          <w:szCs w:val="20"/>
          <w:color w:val="auto"/>
        </w:rPr>
      </w:pPr>
      <w:r>
        <w:rPr>
          <w:rFonts w:ascii="Arial" w:cs="Arial" w:eastAsia="Arial" w:hAnsi="Arial"/>
          <w:sz w:val="18"/>
          <w:szCs w:val="18"/>
          <w:u w:val="single" w:color="auto"/>
          <w:color w:val="auto"/>
        </w:rPr>
        <w:t>Pension Plans</w:t>
      </w:r>
    </w:p>
    <w:p>
      <w:pPr>
        <w:spacing w:after="0" w:line="117" w:lineRule="exact"/>
        <w:rPr>
          <w:sz w:val="20"/>
          <w:szCs w:val="20"/>
          <w:color w:val="auto"/>
        </w:rPr>
      </w:pPr>
    </w:p>
    <w:p>
      <w:pPr>
        <w:ind w:left="1240" w:right="40" w:hanging="388"/>
        <w:spacing w:after="0" w:line="255" w:lineRule="auto"/>
        <w:tabs>
          <w:tab w:leader="none" w:pos="1240" w:val="left"/>
        </w:tabs>
        <w:numPr>
          <w:ilvl w:val="0"/>
          <w:numId w:val="82"/>
        </w:numPr>
        <w:rPr>
          <w:rFonts w:ascii="Times New Roman" w:cs="Times New Roman" w:eastAsia="Times New Roman" w:hAnsi="Times New Roman"/>
          <w:sz w:val="18"/>
          <w:szCs w:val="18"/>
          <w:color w:val="auto"/>
        </w:rPr>
      </w:pPr>
      <w:r>
        <w:rPr>
          <w:rFonts w:ascii="Arial" w:cs="Arial" w:eastAsia="Arial" w:hAnsi="Arial"/>
          <w:sz w:val="18"/>
          <w:szCs w:val="18"/>
          <w:color w:val="auto"/>
        </w:rPr>
        <w:t>Retirement benefit plans (qualified and nonqualified) provide an annual benefit of 1.6 percent of final average pay per year of service, with the qualified plan having an offset for Social Security benefits. For a description, see page 40. Below are the calculations and forms of payments for each plan:</w:t>
      </w:r>
    </w:p>
    <w:p>
      <w:pPr>
        <w:spacing w:after="0" w:line="193" w:lineRule="exact"/>
        <w:rPr>
          <w:sz w:val="20"/>
          <w:szCs w:val="20"/>
          <w:color w:val="auto"/>
        </w:rPr>
      </w:pPr>
    </w:p>
    <w:tbl>
      <w:tblPr>
        <w:tblLayout w:type="fixed"/>
        <w:tblInd w:w="1270" w:type="dxa"/>
        <w:tblCellMar>
          <w:top w:w="0" w:type="dxa"/>
          <w:left w:w="0" w:type="dxa"/>
          <w:bottom w:w="0" w:type="dxa"/>
          <w:right w:w="0" w:type="dxa"/>
        </w:tblCellMar>
      </w:tblPr>
      <w:tr>
        <w:trPr>
          <w:trHeight w:val="256"/>
        </w:trPr>
        <w:tc>
          <w:tcPr>
            <w:tcW w:w="2200" w:type="dxa"/>
            <w:vAlign w:val="bottom"/>
            <w:tcBorders>
              <w:top w:val="single" w:sz="8" w:color="auto"/>
              <w:left w:val="single" w:sz="8" w:color="auto"/>
              <w:bottom w:val="single" w:sz="8" w:color="auto"/>
              <w:right w:val="single" w:sz="8" w:color="auto"/>
            </w:tcBorders>
          </w:tcPr>
          <w:p>
            <w:pPr>
              <w:ind w:left="140"/>
              <w:spacing w:after="0"/>
              <w:rPr>
                <w:sz w:val="20"/>
                <w:szCs w:val="20"/>
                <w:color w:val="auto"/>
              </w:rPr>
            </w:pPr>
            <w:r>
              <w:rPr>
                <w:rFonts w:ascii="Arial" w:cs="Arial" w:eastAsia="Arial" w:hAnsi="Arial"/>
                <w:sz w:val="14"/>
                <w:szCs w:val="14"/>
                <w:b w:val="1"/>
                <w:bCs w:val="1"/>
                <w:color w:val="auto"/>
              </w:rPr>
              <w:t>Plan Name</w:t>
            </w:r>
          </w:p>
        </w:tc>
        <w:tc>
          <w:tcPr>
            <w:tcW w:w="4000" w:type="dxa"/>
            <w:vAlign w:val="bottom"/>
            <w:tcBorders>
              <w:top w:val="single" w:sz="8" w:color="auto"/>
              <w:bottom w:val="single" w:sz="8" w:color="auto"/>
              <w:right w:val="single" w:sz="8" w:color="auto"/>
            </w:tcBorders>
            <w:gridSpan w:val="2"/>
          </w:tcPr>
          <w:p>
            <w:pPr>
              <w:ind w:left="1620"/>
              <w:spacing w:after="0"/>
              <w:rPr>
                <w:sz w:val="20"/>
                <w:szCs w:val="20"/>
                <w:color w:val="auto"/>
              </w:rPr>
            </w:pPr>
            <w:r>
              <w:rPr>
                <w:rFonts w:ascii="Arial" w:cs="Arial" w:eastAsia="Arial" w:hAnsi="Arial"/>
                <w:sz w:val="14"/>
                <w:szCs w:val="14"/>
                <w:b w:val="1"/>
                <w:bCs w:val="1"/>
                <w:color w:val="auto"/>
              </w:rPr>
              <w:t>Calculation</w:t>
            </w:r>
          </w:p>
        </w:tc>
        <w:tc>
          <w:tcPr>
            <w:tcW w:w="2760" w:type="dxa"/>
            <w:vAlign w:val="bottom"/>
            <w:tcBorders>
              <w:top w:val="single" w:sz="8" w:color="auto"/>
              <w:bottom w:val="single" w:sz="8" w:color="auto"/>
              <w:right w:val="single" w:sz="8" w:color="auto"/>
            </w:tcBorders>
          </w:tcPr>
          <w:p>
            <w:pPr>
              <w:ind w:left="740"/>
              <w:spacing w:after="0"/>
              <w:rPr>
                <w:sz w:val="20"/>
                <w:szCs w:val="20"/>
                <w:color w:val="auto"/>
              </w:rPr>
            </w:pPr>
            <w:r>
              <w:rPr>
                <w:rFonts w:ascii="Arial" w:cs="Arial" w:eastAsia="Arial" w:hAnsi="Arial"/>
                <w:sz w:val="14"/>
                <w:szCs w:val="14"/>
                <w:b w:val="1"/>
                <w:bCs w:val="1"/>
                <w:color w:val="auto"/>
              </w:rPr>
              <w:t>Forms of Payment</w:t>
            </w:r>
          </w:p>
        </w:tc>
      </w:tr>
      <w:tr>
        <w:trPr>
          <w:trHeight w:val="197"/>
        </w:trPr>
        <w:tc>
          <w:tcPr>
            <w:tcW w:w="2200" w:type="dxa"/>
            <w:vAlign w:val="bottom"/>
            <w:tcBorders>
              <w:left w:val="single" w:sz="8" w:color="auto"/>
              <w:right w:val="single" w:sz="8" w:color="auto"/>
            </w:tcBorders>
            <w:shd w:val="clear" w:color="auto" w:fill="D4DBEB"/>
          </w:tcPr>
          <w:p>
            <w:pPr>
              <w:ind w:left="160"/>
              <w:spacing w:after="0"/>
              <w:rPr>
                <w:sz w:val="20"/>
                <w:szCs w:val="20"/>
                <w:color w:val="auto"/>
              </w:rPr>
            </w:pPr>
            <w:r>
              <w:rPr>
                <w:rFonts w:ascii="Arial" w:cs="Arial" w:eastAsia="Arial" w:hAnsi="Arial"/>
                <w:sz w:val="14"/>
                <w:szCs w:val="14"/>
                <w:color w:val="auto"/>
              </w:rPr>
              <w:t>Pension Plan</w:t>
            </w:r>
          </w:p>
        </w:tc>
        <w:tc>
          <w:tcPr>
            <w:tcW w:w="1940" w:type="dxa"/>
            <w:vAlign w:val="bottom"/>
            <w:shd w:val="clear" w:color="auto" w:fill="D4DBEB"/>
          </w:tcPr>
          <w:p>
            <w:pPr>
              <w:ind w:left="40"/>
              <w:spacing w:after="0" w:line="198" w:lineRule="exact"/>
              <w:rPr>
                <w:sz w:val="20"/>
                <w:szCs w:val="20"/>
                <w:color w:val="auto"/>
              </w:rPr>
            </w:pPr>
            <w:r>
              <w:rPr>
                <w:rFonts w:ascii="Arial" w:cs="Arial" w:eastAsia="Arial" w:hAnsi="Arial"/>
                <w:sz w:val="13"/>
                <w:szCs w:val="13"/>
                <w:color w:val="auto"/>
              </w:rPr>
              <w:t>1.6% x final average salary</w:t>
            </w:r>
            <w:r>
              <w:rPr>
                <w:rFonts w:ascii="Arial" w:cs="Arial" w:eastAsia="Arial" w:hAnsi="Arial"/>
                <w:sz w:val="22"/>
                <w:szCs w:val="22"/>
                <w:color w:val="auto"/>
                <w:vertAlign w:val="superscript"/>
              </w:rPr>
              <w:t>(1)</w:t>
            </w:r>
          </w:p>
        </w:tc>
        <w:tc>
          <w:tcPr>
            <w:tcW w:w="2060" w:type="dxa"/>
            <w:vAlign w:val="bottom"/>
            <w:tcBorders>
              <w:right w:val="single" w:sz="8" w:color="auto"/>
            </w:tcBorders>
            <w:shd w:val="clear" w:color="auto" w:fill="D4DBEB"/>
          </w:tcPr>
          <w:p>
            <w:pPr>
              <w:ind w:left="20"/>
              <w:spacing w:after="0"/>
              <w:rPr>
                <w:sz w:val="20"/>
                <w:szCs w:val="20"/>
                <w:color w:val="auto"/>
              </w:rPr>
            </w:pPr>
            <w:r>
              <w:rPr>
                <w:rFonts w:ascii="Arial" w:cs="Arial" w:eastAsia="Arial" w:hAnsi="Arial"/>
                <w:sz w:val="14"/>
                <w:szCs w:val="14"/>
                <w:color w:val="auto"/>
              </w:rPr>
              <w:t>x years credited service, less a</w:t>
            </w:r>
          </w:p>
        </w:tc>
        <w:tc>
          <w:tcPr>
            <w:tcW w:w="2760" w:type="dxa"/>
            <w:vAlign w:val="bottom"/>
            <w:tcBorders>
              <w:right w:val="single" w:sz="8" w:color="auto"/>
            </w:tcBorders>
            <w:shd w:val="clear" w:color="auto" w:fill="D4DBEB"/>
          </w:tcPr>
          <w:p>
            <w:pPr>
              <w:ind w:left="60"/>
              <w:spacing w:after="0"/>
              <w:rPr>
                <w:sz w:val="20"/>
                <w:szCs w:val="20"/>
                <w:color w:val="auto"/>
              </w:rPr>
            </w:pPr>
            <w:r>
              <w:rPr>
                <w:rFonts w:ascii="Arial" w:cs="Arial" w:eastAsia="Arial" w:hAnsi="Arial"/>
                <w:sz w:val="14"/>
                <w:szCs w:val="14"/>
                <w:color w:val="auto"/>
              </w:rPr>
              <w:t>Benefit available as a lump sum or in</w:t>
            </w:r>
          </w:p>
        </w:tc>
      </w:tr>
      <w:tr>
        <w:trPr>
          <w:trHeight w:val="196"/>
        </w:trPr>
        <w:tc>
          <w:tcPr>
            <w:tcW w:w="2200" w:type="dxa"/>
            <w:vAlign w:val="bottom"/>
            <w:tcBorders>
              <w:left w:val="single" w:sz="8" w:color="auto"/>
              <w:bottom w:val="single" w:sz="8" w:color="D4DBEB"/>
              <w:right w:val="single" w:sz="8" w:color="auto"/>
            </w:tcBorders>
            <w:shd w:val="clear" w:color="auto" w:fill="D4DBEB"/>
          </w:tcPr>
          <w:p>
            <w:pPr>
              <w:ind w:left="160"/>
              <w:spacing w:after="0"/>
              <w:rPr>
                <w:sz w:val="20"/>
                <w:szCs w:val="20"/>
                <w:color w:val="auto"/>
              </w:rPr>
            </w:pPr>
            <w:r>
              <w:rPr>
                <w:rFonts w:ascii="Arial" w:cs="Arial" w:eastAsia="Arial" w:hAnsi="Arial"/>
                <w:sz w:val="14"/>
                <w:szCs w:val="14"/>
                <w:color w:val="auto"/>
              </w:rPr>
              <w:t>(qualified)</w:t>
            </w:r>
          </w:p>
        </w:tc>
        <w:tc>
          <w:tcPr>
            <w:tcW w:w="1940" w:type="dxa"/>
            <w:vAlign w:val="bottom"/>
            <w:tcBorders>
              <w:bottom w:val="single" w:sz="8" w:color="D4DBEB"/>
            </w:tcBorders>
            <w:shd w:val="clear" w:color="auto" w:fill="D4DBEB"/>
          </w:tcPr>
          <w:p>
            <w:pPr>
              <w:ind w:left="40"/>
              <w:spacing w:after="0"/>
              <w:rPr>
                <w:sz w:val="20"/>
                <w:szCs w:val="20"/>
                <w:color w:val="auto"/>
              </w:rPr>
            </w:pPr>
            <w:r>
              <w:rPr>
                <w:rFonts w:ascii="Arial" w:cs="Arial" w:eastAsia="Arial" w:hAnsi="Arial"/>
                <w:sz w:val="14"/>
                <w:szCs w:val="14"/>
                <w:color w:val="auto"/>
              </w:rPr>
              <w:t>Social Security offset</w:t>
            </w:r>
          </w:p>
        </w:tc>
        <w:tc>
          <w:tcPr>
            <w:tcW w:w="2060" w:type="dxa"/>
            <w:vAlign w:val="bottom"/>
            <w:tcBorders>
              <w:bottom w:val="single" w:sz="8" w:color="D4DBEB"/>
              <w:right w:val="single" w:sz="8" w:color="auto"/>
            </w:tcBorders>
            <w:shd w:val="clear" w:color="auto" w:fill="D4DBEB"/>
          </w:tcPr>
          <w:p>
            <w:pPr>
              <w:spacing w:after="0"/>
              <w:rPr>
                <w:sz w:val="17"/>
                <w:szCs w:val="17"/>
                <w:color w:val="auto"/>
              </w:rPr>
            </w:pPr>
          </w:p>
        </w:tc>
        <w:tc>
          <w:tcPr>
            <w:tcW w:w="2760" w:type="dxa"/>
            <w:vAlign w:val="bottom"/>
            <w:tcBorders>
              <w:bottom w:val="single" w:sz="8" w:color="D4DBEB"/>
              <w:right w:val="single" w:sz="8" w:color="auto"/>
            </w:tcBorders>
            <w:shd w:val="clear" w:color="auto" w:fill="D4DBEB"/>
          </w:tcPr>
          <w:p>
            <w:pPr>
              <w:ind w:left="60"/>
              <w:spacing w:after="0"/>
              <w:rPr>
                <w:sz w:val="20"/>
                <w:szCs w:val="20"/>
                <w:color w:val="auto"/>
              </w:rPr>
            </w:pPr>
            <w:r>
              <w:rPr>
                <w:rFonts w:ascii="Arial" w:cs="Arial" w:eastAsia="Arial" w:hAnsi="Arial"/>
                <w:sz w:val="14"/>
                <w:szCs w:val="14"/>
                <w:color w:val="auto"/>
              </w:rPr>
              <w:t>various annuity forms</w:t>
            </w:r>
          </w:p>
        </w:tc>
      </w:tr>
      <w:tr>
        <w:trPr>
          <w:trHeight w:val="216"/>
        </w:trPr>
        <w:tc>
          <w:tcPr>
            <w:tcW w:w="2200" w:type="dxa"/>
            <w:vAlign w:val="bottom"/>
            <w:tcBorders>
              <w:left w:val="single" w:sz="8" w:color="auto"/>
              <w:right w:val="single" w:sz="8" w:color="auto"/>
            </w:tcBorders>
          </w:tcPr>
          <w:p>
            <w:pPr>
              <w:ind w:left="160"/>
              <w:spacing w:after="0"/>
              <w:rPr>
                <w:sz w:val="20"/>
                <w:szCs w:val="20"/>
                <w:color w:val="auto"/>
              </w:rPr>
            </w:pPr>
            <w:r>
              <w:rPr>
                <w:rFonts w:ascii="Arial" w:cs="Arial" w:eastAsia="Arial" w:hAnsi="Arial"/>
                <w:sz w:val="14"/>
                <w:szCs w:val="14"/>
                <w:color w:val="auto"/>
              </w:rPr>
              <w:t>Supplemental Pension Plan</w:t>
            </w:r>
          </w:p>
        </w:tc>
        <w:tc>
          <w:tcPr>
            <w:tcW w:w="1940" w:type="dxa"/>
            <w:vAlign w:val="bottom"/>
          </w:tcPr>
          <w:p>
            <w:pPr>
              <w:ind w:left="40"/>
              <w:spacing w:after="0" w:line="217" w:lineRule="exact"/>
              <w:rPr>
                <w:sz w:val="20"/>
                <w:szCs w:val="20"/>
                <w:color w:val="auto"/>
              </w:rPr>
            </w:pPr>
            <w:r>
              <w:rPr>
                <w:rFonts w:ascii="Arial" w:cs="Arial" w:eastAsia="Arial" w:hAnsi="Arial"/>
                <w:sz w:val="14"/>
                <w:szCs w:val="14"/>
                <w:color w:val="auto"/>
              </w:rPr>
              <w:t>1.6% x final average salary</w:t>
            </w:r>
            <w:r>
              <w:rPr>
                <w:rFonts w:ascii="Arial" w:cs="Arial" w:eastAsia="Arial" w:hAnsi="Arial"/>
                <w:sz w:val="24"/>
                <w:szCs w:val="24"/>
                <w:color w:val="auto"/>
                <w:vertAlign w:val="superscript"/>
              </w:rPr>
              <w:t>(1)</w:t>
            </w:r>
          </w:p>
        </w:tc>
        <w:tc>
          <w:tcPr>
            <w:tcW w:w="2060" w:type="dxa"/>
            <w:vAlign w:val="bottom"/>
            <w:tcBorders>
              <w:right w:val="single" w:sz="8" w:color="auto"/>
            </w:tcBorders>
          </w:tcPr>
          <w:p>
            <w:pPr>
              <w:ind w:left="20"/>
              <w:spacing w:after="0"/>
              <w:rPr>
                <w:sz w:val="20"/>
                <w:szCs w:val="20"/>
                <w:color w:val="auto"/>
              </w:rPr>
            </w:pPr>
            <w:r>
              <w:rPr>
                <w:rFonts w:ascii="Arial" w:cs="Arial" w:eastAsia="Arial" w:hAnsi="Arial"/>
                <w:sz w:val="14"/>
                <w:szCs w:val="14"/>
                <w:color w:val="auto"/>
              </w:rPr>
              <w:t>x years credited service</w:t>
            </w:r>
          </w:p>
        </w:tc>
        <w:tc>
          <w:tcPr>
            <w:tcW w:w="2760" w:type="dxa"/>
            <w:vAlign w:val="bottom"/>
            <w:tcBorders>
              <w:right w:val="single" w:sz="8" w:color="auto"/>
            </w:tcBorders>
          </w:tcPr>
          <w:p>
            <w:pPr>
              <w:ind w:left="60"/>
              <w:spacing w:after="0"/>
              <w:rPr>
                <w:sz w:val="20"/>
                <w:szCs w:val="20"/>
                <w:color w:val="auto"/>
              </w:rPr>
            </w:pPr>
            <w:r>
              <w:rPr>
                <w:rFonts w:ascii="Arial" w:cs="Arial" w:eastAsia="Arial" w:hAnsi="Arial"/>
                <w:sz w:val="14"/>
                <w:szCs w:val="14"/>
                <w:color w:val="auto"/>
              </w:rPr>
              <w:t>Paid in the form of an equivalent lump</w:t>
            </w:r>
          </w:p>
        </w:tc>
      </w:tr>
      <w:tr>
        <w:trPr>
          <w:trHeight w:val="194"/>
        </w:trPr>
        <w:tc>
          <w:tcPr>
            <w:tcW w:w="2200" w:type="dxa"/>
            <w:vAlign w:val="bottom"/>
            <w:tcBorders>
              <w:left w:val="single" w:sz="8" w:color="auto"/>
              <w:right w:val="single" w:sz="8" w:color="auto"/>
            </w:tcBorders>
          </w:tcPr>
          <w:p>
            <w:pPr>
              <w:ind w:left="160"/>
              <w:spacing w:after="0"/>
              <w:rPr>
                <w:sz w:val="20"/>
                <w:szCs w:val="20"/>
                <w:color w:val="auto"/>
              </w:rPr>
            </w:pPr>
            <w:r>
              <w:rPr>
                <w:rFonts w:ascii="Arial" w:cs="Arial" w:eastAsia="Arial" w:hAnsi="Arial"/>
                <w:sz w:val="14"/>
                <w:szCs w:val="14"/>
                <w:color w:val="auto"/>
              </w:rPr>
              <w:t>(nonqualified)</w:t>
            </w:r>
          </w:p>
        </w:tc>
        <w:tc>
          <w:tcPr>
            <w:tcW w:w="1940" w:type="dxa"/>
            <w:vAlign w:val="bottom"/>
          </w:tcPr>
          <w:p>
            <w:pPr>
              <w:spacing w:after="0"/>
              <w:rPr>
                <w:sz w:val="16"/>
                <w:szCs w:val="16"/>
                <w:color w:val="auto"/>
              </w:rPr>
            </w:pPr>
          </w:p>
        </w:tc>
        <w:tc>
          <w:tcPr>
            <w:tcW w:w="2060" w:type="dxa"/>
            <w:vAlign w:val="bottom"/>
            <w:tcBorders>
              <w:right w:val="single" w:sz="8" w:color="auto"/>
            </w:tcBorders>
          </w:tcPr>
          <w:p>
            <w:pPr>
              <w:spacing w:after="0"/>
              <w:rPr>
                <w:sz w:val="16"/>
                <w:szCs w:val="16"/>
                <w:color w:val="auto"/>
              </w:rPr>
            </w:pPr>
          </w:p>
        </w:tc>
        <w:tc>
          <w:tcPr>
            <w:tcW w:w="2760" w:type="dxa"/>
            <w:vAlign w:val="bottom"/>
            <w:tcBorders>
              <w:right w:val="single" w:sz="8" w:color="auto"/>
            </w:tcBorders>
          </w:tcPr>
          <w:p>
            <w:pPr>
              <w:ind w:left="60"/>
              <w:spacing w:after="0"/>
              <w:rPr>
                <w:sz w:val="20"/>
                <w:szCs w:val="20"/>
                <w:color w:val="auto"/>
              </w:rPr>
            </w:pPr>
            <w:r>
              <w:rPr>
                <w:rFonts w:ascii="Arial" w:cs="Arial" w:eastAsia="Arial" w:hAnsi="Arial"/>
                <w:sz w:val="14"/>
                <w:szCs w:val="14"/>
                <w:color w:val="auto"/>
              </w:rPr>
              <w:t>sum six months after retirement</w:t>
            </w:r>
          </w:p>
        </w:tc>
      </w:tr>
      <w:tr>
        <w:trPr>
          <w:trHeight w:val="22"/>
        </w:trPr>
        <w:tc>
          <w:tcPr>
            <w:tcW w:w="2200" w:type="dxa"/>
            <w:vAlign w:val="bottom"/>
            <w:tcBorders>
              <w:left w:val="single" w:sz="8" w:color="auto"/>
              <w:right w:val="single" w:sz="8" w:color="auto"/>
            </w:tcBorders>
          </w:tcPr>
          <w:p>
            <w:pPr>
              <w:spacing w:after="0" w:line="20" w:lineRule="exact"/>
              <w:rPr>
                <w:sz w:val="1"/>
                <w:szCs w:val="1"/>
                <w:color w:val="auto"/>
              </w:rPr>
            </w:pPr>
          </w:p>
        </w:tc>
        <w:tc>
          <w:tcPr>
            <w:tcW w:w="4000" w:type="dxa"/>
            <w:vAlign w:val="bottom"/>
            <w:tcBorders>
              <w:right w:val="single" w:sz="8" w:color="auto"/>
            </w:tcBorders>
            <w:gridSpan w:val="2"/>
          </w:tcPr>
          <w:p>
            <w:pPr>
              <w:spacing w:after="0" w:line="20" w:lineRule="exact"/>
              <w:rPr>
                <w:sz w:val="1"/>
                <w:szCs w:val="1"/>
                <w:color w:val="auto"/>
              </w:rPr>
            </w:pPr>
          </w:p>
        </w:tc>
        <w:tc>
          <w:tcPr>
            <w:tcW w:w="2760" w:type="dxa"/>
            <w:vAlign w:val="bottom"/>
            <w:tcBorders>
              <w:right w:val="single" w:sz="8" w:color="auto"/>
            </w:tcBorders>
          </w:tcPr>
          <w:p>
            <w:pPr>
              <w:spacing w:after="0" w:line="20" w:lineRule="exact"/>
              <w:rPr>
                <w:sz w:val="1"/>
                <w:szCs w:val="1"/>
                <w:color w:val="auto"/>
              </w:rPr>
            </w:pPr>
          </w:p>
        </w:tc>
      </w:tr>
      <w:tr>
        <w:trPr>
          <w:trHeight w:val="216"/>
        </w:trPr>
        <w:tc>
          <w:tcPr>
            <w:tcW w:w="2200" w:type="dxa"/>
            <w:vAlign w:val="bottom"/>
            <w:tcBorders>
              <w:left w:val="single" w:sz="8" w:color="auto"/>
              <w:right w:val="single" w:sz="8" w:color="auto"/>
            </w:tcBorders>
            <w:shd w:val="clear" w:color="auto" w:fill="D4DBEB"/>
          </w:tcPr>
          <w:p>
            <w:pPr>
              <w:ind w:left="160"/>
              <w:spacing w:after="0"/>
              <w:rPr>
                <w:sz w:val="20"/>
                <w:szCs w:val="20"/>
                <w:color w:val="auto"/>
              </w:rPr>
            </w:pPr>
            <w:r>
              <w:rPr>
                <w:rFonts w:ascii="Arial" w:cs="Arial" w:eastAsia="Arial" w:hAnsi="Arial"/>
                <w:sz w:val="14"/>
                <w:szCs w:val="14"/>
                <w:color w:val="auto"/>
              </w:rPr>
              <w:t>Additional Payments Plan</w:t>
            </w:r>
          </w:p>
        </w:tc>
        <w:tc>
          <w:tcPr>
            <w:tcW w:w="4000" w:type="dxa"/>
            <w:vAlign w:val="bottom"/>
            <w:tcBorders>
              <w:right w:val="single" w:sz="8" w:color="auto"/>
            </w:tcBorders>
            <w:gridSpan w:val="2"/>
            <w:shd w:val="clear" w:color="auto" w:fill="D4DBEB"/>
          </w:tcPr>
          <w:p>
            <w:pPr>
              <w:ind w:left="40"/>
              <w:spacing w:after="0" w:line="217" w:lineRule="exact"/>
              <w:rPr>
                <w:sz w:val="20"/>
                <w:szCs w:val="20"/>
                <w:color w:val="auto"/>
              </w:rPr>
            </w:pPr>
            <w:r>
              <w:rPr>
                <w:rFonts w:ascii="Arial" w:cs="Arial" w:eastAsia="Arial" w:hAnsi="Arial"/>
                <w:sz w:val="14"/>
                <w:szCs w:val="14"/>
                <w:color w:val="auto"/>
              </w:rPr>
              <w:t>1.6% x average annual bonus</w:t>
            </w:r>
            <w:r>
              <w:rPr>
                <w:rFonts w:ascii="Arial" w:cs="Arial" w:eastAsia="Arial" w:hAnsi="Arial"/>
                <w:sz w:val="24"/>
                <w:szCs w:val="24"/>
                <w:color w:val="auto"/>
                <w:vertAlign w:val="superscript"/>
              </w:rPr>
              <w:t>(2)</w:t>
            </w:r>
            <w:r>
              <w:rPr>
                <w:rFonts w:ascii="Arial" w:cs="Arial" w:eastAsia="Arial" w:hAnsi="Arial"/>
                <w:sz w:val="14"/>
                <w:szCs w:val="14"/>
                <w:color w:val="auto"/>
              </w:rPr>
              <w:t xml:space="preserve"> x years credited service</w:t>
            </w:r>
          </w:p>
        </w:tc>
        <w:tc>
          <w:tcPr>
            <w:tcW w:w="2760" w:type="dxa"/>
            <w:vAlign w:val="bottom"/>
            <w:tcBorders>
              <w:right w:val="single" w:sz="8" w:color="auto"/>
            </w:tcBorders>
            <w:shd w:val="clear" w:color="auto" w:fill="D4DBEB"/>
          </w:tcPr>
          <w:p>
            <w:pPr>
              <w:ind w:left="60"/>
              <w:spacing w:after="0"/>
              <w:rPr>
                <w:sz w:val="20"/>
                <w:szCs w:val="20"/>
                <w:color w:val="auto"/>
              </w:rPr>
            </w:pPr>
            <w:r>
              <w:rPr>
                <w:rFonts w:ascii="Arial" w:cs="Arial" w:eastAsia="Arial" w:hAnsi="Arial"/>
                <w:sz w:val="14"/>
                <w:szCs w:val="14"/>
                <w:color w:val="auto"/>
              </w:rPr>
              <w:t>Paid in the form of an equivalent lump</w:t>
            </w:r>
          </w:p>
        </w:tc>
      </w:tr>
      <w:tr>
        <w:trPr>
          <w:trHeight w:val="189"/>
        </w:trPr>
        <w:tc>
          <w:tcPr>
            <w:tcW w:w="2200" w:type="dxa"/>
            <w:vAlign w:val="bottom"/>
            <w:tcBorders>
              <w:left w:val="single" w:sz="8" w:color="auto"/>
              <w:bottom w:val="single" w:sz="8" w:color="auto"/>
              <w:right w:val="single" w:sz="8" w:color="auto"/>
            </w:tcBorders>
            <w:shd w:val="clear" w:color="auto" w:fill="D4DBEB"/>
          </w:tcPr>
          <w:p>
            <w:pPr>
              <w:ind w:left="160"/>
              <w:spacing w:after="0"/>
              <w:rPr>
                <w:sz w:val="20"/>
                <w:szCs w:val="20"/>
                <w:color w:val="auto"/>
              </w:rPr>
            </w:pPr>
            <w:r>
              <w:rPr>
                <w:rFonts w:ascii="Arial" w:cs="Arial" w:eastAsia="Arial" w:hAnsi="Arial"/>
                <w:sz w:val="14"/>
                <w:szCs w:val="14"/>
                <w:color w:val="auto"/>
              </w:rPr>
              <w:t>(nonqualified)</w:t>
            </w:r>
          </w:p>
        </w:tc>
        <w:tc>
          <w:tcPr>
            <w:tcW w:w="1940" w:type="dxa"/>
            <w:vAlign w:val="bottom"/>
            <w:tcBorders>
              <w:bottom w:val="single" w:sz="8" w:color="auto"/>
            </w:tcBorders>
            <w:shd w:val="clear" w:color="auto" w:fill="D4DBEB"/>
          </w:tcPr>
          <w:p>
            <w:pPr>
              <w:spacing w:after="0"/>
              <w:rPr>
                <w:sz w:val="16"/>
                <w:szCs w:val="16"/>
                <w:color w:val="auto"/>
              </w:rPr>
            </w:pPr>
          </w:p>
        </w:tc>
        <w:tc>
          <w:tcPr>
            <w:tcW w:w="2060" w:type="dxa"/>
            <w:vAlign w:val="bottom"/>
            <w:tcBorders>
              <w:bottom w:val="single" w:sz="8" w:color="auto"/>
              <w:right w:val="single" w:sz="8" w:color="auto"/>
            </w:tcBorders>
            <w:shd w:val="clear" w:color="auto" w:fill="D4DBEB"/>
          </w:tcPr>
          <w:p>
            <w:pPr>
              <w:spacing w:after="0"/>
              <w:rPr>
                <w:sz w:val="16"/>
                <w:szCs w:val="16"/>
                <w:color w:val="auto"/>
              </w:rPr>
            </w:pPr>
          </w:p>
        </w:tc>
        <w:tc>
          <w:tcPr>
            <w:tcW w:w="2760" w:type="dxa"/>
            <w:vAlign w:val="bottom"/>
            <w:tcBorders>
              <w:bottom w:val="single" w:sz="8" w:color="auto"/>
              <w:right w:val="single" w:sz="8" w:color="auto"/>
            </w:tcBorders>
            <w:shd w:val="clear" w:color="auto" w:fill="D4DBEB"/>
          </w:tcPr>
          <w:p>
            <w:pPr>
              <w:ind w:left="60"/>
              <w:spacing w:after="0"/>
              <w:rPr>
                <w:sz w:val="20"/>
                <w:szCs w:val="20"/>
                <w:color w:val="auto"/>
              </w:rPr>
            </w:pPr>
            <w:r>
              <w:rPr>
                <w:rFonts w:ascii="Arial" w:cs="Arial" w:eastAsia="Arial" w:hAnsi="Arial"/>
                <w:sz w:val="14"/>
                <w:szCs w:val="14"/>
                <w:color w:val="auto"/>
              </w:rPr>
              <w:t>sum six months after retirement</w:t>
            </w:r>
          </w:p>
        </w:tc>
      </w:tr>
    </w:tbl>
    <w:p>
      <w:pPr>
        <w:spacing w:after="0" w:line="108" w:lineRule="exact"/>
        <w:rPr>
          <w:sz w:val="20"/>
          <w:szCs w:val="20"/>
          <w:color w:val="auto"/>
        </w:rPr>
      </w:pPr>
    </w:p>
    <w:p>
      <w:pPr>
        <w:ind w:left="1520" w:right="60" w:hanging="290"/>
        <w:spacing w:after="0" w:line="254" w:lineRule="auto"/>
        <w:tabs>
          <w:tab w:leader="none" w:pos="1520" w:val="left"/>
        </w:tabs>
        <w:numPr>
          <w:ilvl w:val="0"/>
          <w:numId w:val="83"/>
        </w:numPr>
        <w:rPr>
          <w:rFonts w:ascii="Arial" w:cs="Arial" w:eastAsia="Arial" w:hAnsi="Arial"/>
          <w:sz w:val="14"/>
          <w:szCs w:val="14"/>
          <w:color w:val="auto"/>
        </w:rPr>
      </w:pPr>
      <w:r>
        <w:rPr>
          <w:rFonts w:ascii="Arial" w:cs="Arial" w:eastAsia="Arial" w:hAnsi="Arial"/>
          <w:sz w:val="14"/>
          <w:szCs w:val="14"/>
          <w:color w:val="auto"/>
        </w:rPr>
        <w:t>Final average salary is the average of the highest 36 consecutive months in the 10 years of service prior to retirement. For the Pension Plan, final average salary included and benefits paid are subject to the limits on compensation ($270,000 for 2017, adjusted each year for inflation) and benefits prescribed by the Internal Revenue Code. For the Supplemental Pension Plan, final average salary is the amount that exceeds the Internal Revenue Code limit. Additionally, the Supplemental Pension Plan benefit includes any benefit amount in excess of the benefit limit prescribed by the Internal Revenue Code.</w:t>
      </w:r>
    </w:p>
    <w:p>
      <w:pPr>
        <w:spacing w:after="0" w:line="79" w:lineRule="exact"/>
        <w:rPr>
          <w:rFonts w:ascii="Arial" w:cs="Arial" w:eastAsia="Arial" w:hAnsi="Arial"/>
          <w:sz w:val="14"/>
          <w:szCs w:val="14"/>
          <w:color w:val="auto"/>
        </w:rPr>
      </w:pPr>
    </w:p>
    <w:p>
      <w:pPr>
        <w:ind w:left="1520" w:right="20" w:hanging="290"/>
        <w:spacing w:after="0" w:line="291" w:lineRule="auto"/>
        <w:tabs>
          <w:tab w:leader="none" w:pos="1520" w:val="left"/>
        </w:tabs>
        <w:numPr>
          <w:ilvl w:val="0"/>
          <w:numId w:val="83"/>
        </w:numPr>
        <w:rPr>
          <w:rFonts w:ascii="Arial" w:cs="Arial" w:eastAsia="Arial" w:hAnsi="Arial"/>
          <w:sz w:val="14"/>
          <w:szCs w:val="14"/>
          <w:color w:val="auto"/>
        </w:rPr>
      </w:pPr>
      <w:r>
        <w:rPr>
          <w:rFonts w:ascii="Arial" w:cs="Arial" w:eastAsia="Arial" w:hAnsi="Arial"/>
          <w:sz w:val="14"/>
          <w:szCs w:val="14"/>
          <w:color w:val="auto"/>
        </w:rPr>
        <w:t>Average annual bonus is the average of the annual bonus for the three highest grants of the last five awarded prior to retirement (including the portion of the annual bonus that is paid at time of grant and the portion that is paid on a delayed basis as described beginning on page 38).</w:t>
      </w:r>
    </w:p>
    <w:p>
      <w:pPr>
        <w:spacing w:after="0" w:line="140" w:lineRule="exact"/>
        <w:rPr>
          <w:sz w:val="20"/>
          <w:szCs w:val="20"/>
          <w:color w:val="auto"/>
        </w:rPr>
      </w:pPr>
    </w:p>
    <w:p>
      <w:pPr>
        <w:ind w:left="860"/>
        <w:spacing w:after="0"/>
        <w:rPr>
          <w:sz w:val="20"/>
          <w:szCs w:val="20"/>
          <w:color w:val="auto"/>
        </w:rPr>
      </w:pPr>
      <w:r>
        <w:rPr>
          <w:rFonts w:ascii="Arial" w:cs="Arial" w:eastAsia="Arial" w:hAnsi="Arial"/>
          <w:sz w:val="18"/>
          <w:szCs w:val="18"/>
          <w:u w:val="single" w:color="auto"/>
          <w:color w:val="auto"/>
        </w:rPr>
        <w:t>Present Value Pension Calculations</w:t>
      </w:r>
    </w:p>
    <w:p>
      <w:pPr>
        <w:spacing w:after="0" w:line="117" w:lineRule="exact"/>
        <w:rPr>
          <w:sz w:val="20"/>
          <w:szCs w:val="20"/>
          <w:color w:val="auto"/>
        </w:rPr>
      </w:pPr>
    </w:p>
    <w:p>
      <w:pPr>
        <w:ind w:left="1240" w:right="200" w:hanging="388"/>
        <w:spacing w:after="0" w:line="255" w:lineRule="auto"/>
        <w:tabs>
          <w:tab w:leader="none" w:pos="1240" w:val="left"/>
        </w:tabs>
        <w:numPr>
          <w:ilvl w:val="0"/>
          <w:numId w:val="84"/>
        </w:numPr>
        <w:rPr>
          <w:rFonts w:ascii="Times New Roman" w:cs="Times New Roman" w:eastAsia="Times New Roman" w:hAnsi="Times New Roman"/>
          <w:sz w:val="18"/>
          <w:szCs w:val="18"/>
          <w:color w:val="auto"/>
        </w:rPr>
      </w:pPr>
      <w:r>
        <w:rPr>
          <w:rFonts w:ascii="Arial" w:cs="Arial" w:eastAsia="Arial" w:hAnsi="Arial"/>
          <w:sz w:val="18"/>
          <w:szCs w:val="18"/>
          <w:color w:val="auto"/>
        </w:rPr>
        <w:t>The present value of accumulated benefits is determined by converting the annuity values earned as of year end to lump sum values payable at age 60 (or at the employee’s actual age, if older) using the applicable mortality tables and interest rates.</w:t>
      </w:r>
    </w:p>
    <w:p>
      <w:pPr>
        <w:spacing w:after="0" w:line="68" w:lineRule="exact"/>
        <w:rPr>
          <w:rFonts w:ascii="Times New Roman" w:cs="Times New Roman" w:eastAsia="Times New Roman" w:hAnsi="Times New Roman"/>
          <w:sz w:val="18"/>
          <w:szCs w:val="18"/>
          <w:color w:val="auto"/>
        </w:rPr>
      </w:pPr>
    </w:p>
    <w:p>
      <w:pPr>
        <w:ind w:left="1240" w:right="40" w:hanging="388"/>
        <w:spacing w:after="0" w:line="255" w:lineRule="auto"/>
        <w:tabs>
          <w:tab w:leader="none" w:pos="1240" w:val="left"/>
        </w:tabs>
        <w:numPr>
          <w:ilvl w:val="0"/>
          <w:numId w:val="84"/>
        </w:numPr>
        <w:rPr>
          <w:rFonts w:ascii="Times New Roman" w:cs="Times New Roman" w:eastAsia="Times New Roman" w:hAnsi="Times New Roman"/>
          <w:sz w:val="18"/>
          <w:szCs w:val="18"/>
          <w:color w:val="auto"/>
        </w:rPr>
      </w:pPr>
      <w:r>
        <w:rPr>
          <w:rFonts w:ascii="Arial" w:cs="Arial" w:eastAsia="Arial" w:hAnsi="Arial"/>
          <w:sz w:val="18"/>
          <w:szCs w:val="18"/>
          <w:color w:val="auto"/>
        </w:rPr>
        <w:t>The value shown in the Pension Benefits table is the accumulated benefit as of year-end 2017 and the value shown in the Summary Compensation Table on page 45 represents the annual increase in the value of the pension between year-end 2016 and 2017.</w:t>
      </w:r>
    </w:p>
    <w:p>
      <w:pPr>
        <w:spacing w:after="0" w:line="68" w:lineRule="exact"/>
        <w:rPr>
          <w:rFonts w:ascii="Times New Roman" w:cs="Times New Roman" w:eastAsia="Times New Roman" w:hAnsi="Times New Roman"/>
          <w:sz w:val="18"/>
          <w:szCs w:val="18"/>
          <w:color w:val="auto"/>
        </w:rPr>
      </w:pPr>
    </w:p>
    <w:p>
      <w:pPr>
        <w:ind w:left="1240" w:right="160" w:hanging="388"/>
        <w:spacing w:after="0" w:line="273" w:lineRule="auto"/>
        <w:tabs>
          <w:tab w:leader="none" w:pos="1240" w:val="left"/>
        </w:tabs>
        <w:numPr>
          <w:ilvl w:val="0"/>
          <w:numId w:val="84"/>
        </w:numPr>
        <w:rPr>
          <w:rFonts w:ascii="Times New Roman" w:cs="Times New Roman" w:eastAsia="Times New Roman" w:hAnsi="Times New Roman"/>
          <w:sz w:val="18"/>
          <w:szCs w:val="18"/>
          <w:color w:val="auto"/>
        </w:rPr>
      </w:pPr>
      <w:r>
        <w:rPr>
          <w:rFonts w:ascii="Arial" w:cs="Arial" w:eastAsia="Arial" w:hAnsi="Arial"/>
          <w:sz w:val="18"/>
          <w:szCs w:val="18"/>
          <w:color w:val="auto"/>
        </w:rPr>
        <w:t>The lump sum interest rates used to calculate the accumulated benefits in the Pension Benefits table and Summary Compensation Table were:</w:t>
      </w:r>
    </w:p>
    <w:p>
      <w:pPr>
        <w:ind w:left="1440" w:hanging="203"/>
        <w:spacing w:after="0" w:line="255" w:lineRule="auto"/>
        <w:rPr>
          <w:rFonts w:ascii="Times New Roman" w:cs="Times New Roman" w:eastAsia="Times New Roman" w:hAnsi="Times New Roman"/>
          <w:sz w:val="18"/>
          <w:szCs w:val="18"/>
          <w:color w:val="auto"/>
        </w:rPr>
      </w:pPr>
      <w:r>
        <w:rPr>
          <w:rFonts w:ascii="Arial" w:cs="Arial" w:eastAsia="Arial" w:hAnsi="Arial"/>
          <w:sz w:val="18"/>
          <w:szCs w:val="18"/>
          <w:color w:val="auto"/>
        </w:rPr>
        <w:t>– For plan participants who had attained age 50 with at least 10 years of service before January 1, 2008 (including all Named Executive Officers except Mr. Woods), the lump sum interest rates for an employee who worked through the end of 2016 was 2.25 percent and through the end of 2017 was 2.75 percent.</w:t>
      </w:r>
    </w:p>
    <w:p>
      <w:pPr>
        <w:spacing w:after="0" w:line="15" w:lineRule="exact"/>
        <w:rPr>
          <w:rFonts w:ascii="Times New Roman" w:cs="Times New Roman" w:eastAsia="Times New Roman" w:hAnsi="Times New Roman"/>
          <w:sz w:val="18"/>
          <w:szCs w:val="18"/>
          <w:color w:val="auto"/>
        </w:rPr>
      </w:pPr>
    </w:p>
    <w:p>
      <w:pPr>
        <w:jc w:val="both"/>
        <w:ind w:left="1440" w:right="200" w:hanging="203"/>
        <w:spacing w:after="0" w:line="248" w:lineRule="auto"/>
        <w:rPr>
          <w:rFonts w:ascii="Times New Roman" w:cs="Times New Roman" w:eastAsia="Times New Roman" w:hAnsi="Times New Roman"/>
          <w:sz w:val="18"/>
          <w:szCs w:val="18"/>
          <w:color w:val="auto"/>
        </w:rPr>
      </w:pPr>
      <w:r>
        <w:rPr>
          <w:rFonts w:ascii="Arial" w:cs="Arial" w:eastAsia="Arial" w:hAnsi="Arial"/>
          <w:sz w:val="18"/>
          <w:szCs w:val="18"/>
          <w:color w:val="auto"/>
        </w:rPr>
        <w:t>– For other participants (including Mr. Woods), the plan specifies short-, medium-, and long-term interest rate assumptions for this purpose. The lump sum interest rates for an employee who worked through the end of 2016 were 1.43 percent, 3.31 percent, and 4.24 percent, respectively, and through the end of 2017 were 1.95 percent, 3.58 percent, and 4.36 percent, respectively.</w:t>
      </w:r>
    </w:p>
    <w:p>
      <w:pPr>
        <w:spacing w:after="0" w:line="22" w:lineRule="exact"/>
        <w:rPr>
          <w:rFonts w:ascii="Times New Roman" w:cs="Times New Roman" w:eastAsia="Times New Roman" w:hAnsi="Times New Roman"/>
          <w:sz w:val="18"/>
          <w:szCs w:val="18"/>
          <w:color w:val="auto"/>
        </w:rPr>
      </w:pPr>
    </w:p>
    <w:p>
      <w:pPr>
        <w:ind w:left="1240"/>
        <w:spacing w:after="0"/>
        <w:rPr>
          <w:rFonts w:ascii="Times New Roman" w:cs="Times New Roman" w:eastAsia="Times New Roman" w:hAnsi="Times New Roman"/>
          <w:sz w:val="18"/>
          <w:szCs w:val="18"/>
          <w:color w:val="auto"/>
        </w:rPr>
      </w:pPr>
      <w:r>
        <w:rPr>
          <w:rFonts w:ascii="Arial" w:cs="Arial" w:eastAsia="Arial" w:hAnsi="Arial"/>
          <w:sz w:val="18"/>
          <w:szCs w:val="18"/>
          <w:color w:val="auto"/>
        </w:rPr>
        <w:t>– The actual lump sum conversion factors that will apply when each executive retires may be different.</w:t>
      </w:r>
    </w:p>
    <w:p>
      <w:pPr>
        <w:spacing w:after="0" w:line="117" w:lineRule="exact"/>
        <w:rPr>
          <w:rFonts w:ascii="Times New Roman" w:cs="Times New Roman" w:eastAsia="Times New Roman" w:hAnsi="Times New Roman"/>
          <w:sz w:val="18"/>
          <w:szCs w:val="18"/>
          <w:color w:val="auto"/>
        </w:rPr>
      </w:pPr>
    </w:p>
    <w:p>
      <w:pPr>
        <w:ind w:left="1240" w:right="140" w:hanging="388"/>
        <w:spacing w:after="0" w:line="245" w:lineRule="auto"/>
        <w:tabs>
          <w:tab w:leader="none" w:pos="1240" w:val="left"/>
        </w:tabs>
        <w:numPr>
          <w:ilvl w:val="0"/>
          <w:numId w:val="84"/>
        </w:numPr>
        <w:rPr>
          <w:rFonts w:ascii="Times New Roman" w:cs="Times New Roman" w:eastAsia="Times New Roman" w:hAnsi="Times New Roman"/>
          <w:sz w:val="18"/>
          <w:szCs w:val="18"/>
          <w:color w:val="auto"/>
        </w:rPr>
      </w:pPr>
      <w:r>
        <w:rPr>
          <w:rFonts w:ascii="Arial" w:cs="Arial" w:eastAsia="Arial" w:hAnsi="Arial"/>
          <w:sz w:val="18"/>
          <w:szCs w:val="18"/>
          <w:color w:val="auto"/>
        </w:rPr>
        <w:t>For employees not age 60, these age 60 lump sum values are discounted to present values based on the time difference between the individual’s age at year-end 2017 and age 60 (and at year-end 2016 and age 60 for the annual increase in pension calculation in the Summary Compensation Table) using the interest rates for valuing financial reporting of pension obligations as of each year end. The discount rate for determining the present value of benefits was 4.25 percent as of year-end 2016 and 3.8 percent as of year-end 2017.</w:t>
      </w:r>
    </w:p>
    <w:p>
      <w:pPr>
        <w:spacing w:after="0" w:line="172" w:lineRule="exact"/>
        <w:rPr>
          <w:sz w:val="20"/>
          <w:szCs w:val="20"/>
          <w:color w:val="auto"/>
        </w:rPr>
      </w:pPr>
    </w:p>
    <w:p>
      <w:pPr>
        <w:ind w:left="860"/>
        <w:spacing w:after="0"/>
        <w:rPr>
          <w:sz w:val="20"/>
          <w:szCs w:val="20"/>
          <w:color w:val="auto"/>
        </w:rPr>
      </w:pPr>
      <w:r>
        <w:rPr>
          <w:rFonts w:ascii="Arial" w:cs="Arial" w:eastAsia="Arial" w:hAnsi="Arial"/>
          <w:sz w:val="18"/>
          <w:szCs w:val="18"/>
          <w:u w:val="single" w:color="auto"/>
          <w:color w:val="auto"/>
        </w:rPr>
        <w:t>Effect of Early Retirement or Death</w:t>
      </w:r>
    </w:p>
    <w:p>
      <w:pPr>
        <w:spacing w:after="0" w:line="117" w:lineRule="exact"/>
        <w:rPr>
          <w:sz w:val="20"/>
          <w:szCs w:val="20"/>
          <w:color w:val="auto"/>
        </w:rPr>
      </w:pPr>
    </w:p>
    <w:p>
      <w:pPr>
        <w:ind w:left="1240" w:right="100" w:hanging="388"/>
        <w:spacing w:after="0" w:line="275" w:lineRule="auto"/>
        <w:tabs>
          <w:tab w:leader="none" w:pos="1240" w:val="left"/>
        </w:tabs>
        <w:numPr>
          <w:ilvl w:val="0"/>
          <w:numId w:val="85"/>
        </w:numPr>
        <w:rPr>
          <w:rFonts w:ascii="Times New Roman" w:cs="Times New Roman" w:eastAsia="Times New Roman" w:hAnsi="Times New Roman"/>
          <w:sz w:val="18"/>
          <w:szCs w:val="18"/>
          <w:color w:val="auto"/>
        </w:rPr>
      </w:pPr>
      <w:r>
        <w:rPr>
          <w:rFonts w:ascii="Arial" w:cs="Arial" w:eastAsia="Arial" w:hAnsi="Arial"/>
          <w:sz w:val="18"/>
          <w:szCs w:val="18"/>
          <w:color w:val="auto"/>
        </w:rPr>
        <w:t>The Named Executive Officers have not received any additional service credit. Actual service is reflected in the table on page 50.</w:t>
      </w:r>
    </w:p>
    <w:p>
      <w:pPr>
        <w:spacing w:after="0" w:line="51" w:lineRule="exact"/>
        <w:rPr>
          <w:rFonts w:ascii="Times New Roman" w:cs="Times New Roman" w:eastAsia="Times New Roman" w:hAnsi="Times New Roman"/>
          <w:sz w:val="18"/>
          <w:szCs w:val="18"/>
          <w:color w:val="auto"/>
        </w:rPr>
      </w:pPr>
    </w:p>
    <w:p>
      <w:pPr>
        <w:ind w:left="1240" w:right="20" w:hanging="388"/>
        <w:spacing w:after="0" w:line="255" w:lineRule="auto"/>
        <w:tabs>
          <w:tab w:leader="none" w:pos="1240" w:val="left"/>
        </w:tabs>
        <w:numPr>
          <w:ilvl w:val="0"/>
          <w:numId w:val="85"/>
        </w:numPr>
        <w:rPr>
          <w:rFonts w:ascii="Times New Roman" w:cs="Times New Roman" w:eastAsia="Times New Roman" w:hAnsi="Times New Roman"/>
          <w:sz w:val="18"/>
          <w:szCs w:val="18"/>
          <w:color w:val="auto"/>
        </w:rPr>
      </w:pPr>
      <w:r>
        <w:rPr>
          <w:rFonts w:ascii="Arial" w:cs="Arial" w:eastAsia="Arial" w:hAnsi="Arial"/>
          <w:sz w:val="18"/>
          <w:szCs w:val="18"/>
          <w:color w:val="auto"/>
        </w:rPr>
        <w:t>All three pension plans require completion of 15 years of service and attainment of age 55 to be eligible for early retirement. All Named Executive Officers have satisfied this requirement except for Mr. Woods who does not currently meet the age requirement.</w:t>
      </w:r>
    </w:p>
    <w:p>
      <w:pPr>
        <w:spacing w:after="0" w:line="96" w:lineRule="exact"/>
        <w:rPr>
          <w:sz w:val="20"/>
          <w:szCs w:val="20"/>
          <w:color w:val="auto"/>
        </w:rPr>
      </w:pPr>
    </w:p>
    <w:tbl>
      <w:tblPr>
        <w:tblLayout w:type="fixed"/>
        <w:tblInd w:w="6960" w:type="dxa"/>
        <w:tblCellMar>
          <w:top w:w="0" w:type="dxa"/>
          <w:left w:w="0" w:type="dxa"/>
          <w:bottom w:w="0" w:type="dxa"/>
          <w:right w:w="0" w:type="dxa"/>
        </w:tblCellMar>
      </w:tblPr>
      <w:tr>
        <w:trPr>
          <w:trHeight w:val="243"/>
        </w:trPr>
        <w:tc>
          <w:tcPr>
            <w:tcW w:w="2440" w:type="dxa"/>
            <w:vAlign w:val="bottom"/>
          </w:tcPr>
          <w:p>
            <w:pPr>
              <w:spacing w:after="0"/>
              <w:rPr>
                <w:sz w:val="20"/>
                <w:szCs w:val="20"/>
                <w:color w:val="auto"/>
              </w:rPr>
            </w:pPr>
            <w:r>
              <w:rPr>
                <w:rFonts w:ascii="Times New Roman" w:cs="Times New Roman" w:eastAsia="Times New Roman" w:hAnsi="Times New Roman"/>
                <w:sz w:val="18"/>
                <w:szCs w:val="18"/>
                <w:i w:val="1"/>
                <w:iCs w:val="1"/>
                <w:color w:val="auto"/>
              </w:rPr>
              <w:t>2018 Proxy Statement</w:t>
            </w:r>
          </w:p>
        </w:tc>
        <w:tc>
          <w:tcPr>
            <w:tcW w:w="1060" w:type="dxa"/>
            <w:vAlign w:val="bottom"/>
          </w:tcPr>
          <w:p>
            <w:pPr>
              <w:jc w:val="right"/>
              <w:spacing w:after="0"/>
              <w:rPr>
                <w:sz w:val="20"/>
                <w:szCs w:val="20"/>
                <w:color w:val="auto"/>
              </w:rPr>
            </w:pPr>
            <w:r>
              <w:rPr>
                <w:rFonts w:ascii="Arial" w:cs="Arial" w:eastAsia="Arial" w:hAnsi="Arial"/>
                <w:sz w:val="18"/>
                <w:szCs w:val="18"/>
                <w:color w:val="auto"/>
              </w:rPr>
              <w:t>51</w:t>
            </w:r>
          </w:p>
        </w:tc>
      </w:tr>
    </w:tbl>
    <w:p>
      <w:pPr>
        <w:sectPr>
          <w:pgSz w:w="11900" w:h="16838" w:orient="portrait"/>
          <w:cols w:equalWidth="0" w:num="1">
            <w:col w:w="10580"/>
          </w:cols>
          <w:pgMar w:left="240" w:top="455" w:right="1079" w:bottom="1440" w:gutter="0" w:footer="0" w:header="0"/>
        </w:sectPr>
      </w:pPr>
    </w:p>
    <w:bookmarkStart w:id="54" w:name="page55"/>
    <w:bookmarkEnd w:id="54"/>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110">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Times New Roman" w:cs="Times New Roman" w:eastAsia="Times New Roman" w:hAnsi="Times New Roman"/>
            <w:sz w:val="18"/>
            <w:szCs w:val="18"/>
            <w:b w:val="1"/>
            <w:bCs w:val="1"/>
            <w:u w:val="single" w:color="auto"/>
            <w:color w:val="0000EE"/>
          </w:rPr>
          <w:t>Table of Contents</w:t>
        </w:r>
      </w:hyperlink>
    </w:p>
    <w:p>
      <w:pPr>
        <w:spacing w:after="0" w:line="305" w:lineRule="exact"/>
        <w:rPr>
          <w:sz w:val="20"/>
          <w:szCs w:val="20"/>
          <w:color w:val="auto"/>
        </w:rPr>
      </w:pPr>
    </w:p>
    <w:p>
      <w:pPr>
        <w:ind w:left="1240" w:right="60" w:hanging="388"/>
        <w:spacing w:after="0" w:line="248" w:lineRule="auto"/>
        <w:tabs>
          <w:tab w:leader="none" w:pos="1240" w:val="left"/>
        </w:tabs>
        <w:numPr>
          <w:ilvl w:val="0"/>
          <w:numId w:val="86"/>
        </w:numPr>
        <w:rPr>
          <w:rFonts w:ascii="Times New Roman" w:cs="Times New Roman" w:eastAsia="Times New Roman" w:hAnsi="Times New Roman"/>
          <w:sz w:val="18"/>
          <w:szCs w:val="18"/>
          <w:color w:val="auto"/>
        </w:rPr>
      </w:pPr>
      <w:r>
        <w:rPr>
          <w:rFonts w:ascii="Arial" w:cs="Arial" w:eastAsia="Arial" w:hAnsi="Arial"/>
          <w:sz w:val="18"/>
          <w:szCs w:val="18"/>
          <w:color w:val="auto"/>
        </w:rPr>
        <w:t>The early retirement benefit under the pension plans consists of an annuity benefit that is undiscounted for retirement ages of 60 years or over, with a discount of 5 percent for each year under age 60. In addition, the Social Security offset is waived for annuity payments scheduled to be paid prior to age 62. The benefit is eligible to be paid in the form of a lump sum.</w:t>
      </w:r>
    </w:p>
    <w:p>
      <w:pPr>
        <w:spacing w:after="0" w:line="75" w:lineRule="exact"/>
        <w:rPr>
          <w:rFonts w:ascii="Times New Roman" w:cs="Times New Roman" w:eastAsia="Times New Roman" w:hAnsi="Times New Roman"/>
          <w:sz w:val="18"/>
          <w:szCs w:val="18"/>
          <w:color w:val="auto"/>
        </w:rPr>
      </w:pPr>
    </w:p>
    <w:p>
      <w:pPr>
        <w:ind w:left="1240" w:right="360" w:hanging="388"/>
        <w:spacing w:after="0" w:line="255" w:lineRule="auto"/>
        <w:tabs>
          <w:tab w:leader="none" w:pos="1240" w:val="left"/>
        </w:tabs>
        <w:numPr>
          <w:ilvl w:val="0"/>
          <w:numId w:val="86"/>
        </w:numPr>
        <w:rPr>
          <w:rFonts w:ascii="Times New Roman" w:cs="Times New Roman" w:eastAsia="Times New Roman" w:hAnsi="Times New Roman"/>
          <w:sz w:val="18"/>
          <w:szCs w:val="18"/>
          <w:color w:val="auto"/>
        </w:rPr>
      </w:pPr>
      <w:r>
        <w:rPr>
          <w:rFonts w:ascii="Arial" w:cs="Arial" w:eastAsia="Arial" w:hAnsi="Arial"/>
          <w:sz w:val="18"/>
          <w:szCs w:val="18"/>
          <w:color w:val="auto"/>
        </w:rPr>
        <w:t>In the event of termination prior to early retirement eligibility, there is no benefit payable under the Supplemental Pension Plan or Additional Payments Plan, and the pension benefit payable from the ExxonMobil Pension Plan is actuarially discounted.</w:t>
      </w:r>
    </w:p>
    <w:p>
      <w:pPr>
        <w:spacing w:after="0" w:line="68" w:lineRule="exact"/>
        <w:rPr>
          <w:rFonts w:ascii="Times New Roman" w:cs="Times New Roman" w:eastAsia="Times New Roman" w:hAnsi="Times New Roman"/>
          <w:sz w:val="18"/>
          <w:szCs w:val="18"/>
          <w:color w:val="auto"/>
        </w:rPr>
      </w:pPr>
    </w:p>
    <w:p>
      <w:pPr>
        <w:ind w:left="1240" w:right="180" w:hanging="388"/>
        <w:spacing w:after="0" w:line="243" w:lineRule="auto"/>
        <w:tabs>
          <w:tab w:leader="none" w:pos="1240" w:val="left"/>
        </w:tabs>
        <w:numPr>
          <w:ilvl w:val="0"/>
          <w:numId w:val="86"/>
        </w:numPr>
        <w:rPr>
          <w:rFonts w:ascii="Times New Roman" w:cs="Times New Roman" w:eastAsia="Times New Roman" w:hAnsi="Times New Roman"/>
          <w:sz w:val="18"/>
          <w:szCs w:val="18"/>
          <w:color w:val="auto"/>
        </w:rPr>
      </w:pPr>
      <w:r>
        <w:rPr>
          <w:rFonts w:ascii="Arial" w:cs="Arial" w:eastAsia="Arial" w:hAnsi="Arial"/>
          <w:sz w:val="18"/>
          <w:szCs w:val="18"/>
          <w:color w:val="auto"/>
        </w:rPr>
        <w:t>In the event of death after early retirement eligibility, the retirement benefit is payable to the participant’s beneficiary. Prior to early retirement eligibility, if a participant has at least 15 years of service, the actuarially determined present value of the benefit accrued prior to death is payable to the participant’s beneficiary. Under the qualified Pension Plan, if a participant has less than 15 years of service at the time of death, the survivor benefit, payable to the participant’s surviving spouse, is 50 percent of the actuarially discounted vested termination benefit payable under the qualified joint and survivor annuity option.</w:t>
      </w:r>
    </w:p>
    <w:p>
      <w:pPr>
        <w:spacing w:after="0" w:line="171" w:lineRule="exact"/>
        <w:rPr>
          <w:sz w:val="20"/>
          <w:szCs w:val="20"/>
          <w:color w:val="auto"/>
        </w:rPr>
      </w:pPr>
    </w:p>
    <w:p>
      <w:pPr>
        <w:ind w:left="860"/>
        <w:spacing w:after="0"/>
        <w:rPr>
          <w:sz w:val="20"/>
          <w:szCs w:val="20"/>
          <w:color w:val="auto"/>
        </w:rPr>
      </w:pPr>
      <w:r>
        <w:rPr>
          <w:rFonts w:ascii="Arial" w:cs="Arial" w:eastAsia="Arial" w:hAnsi="Arial"/>
          <w:sz w:val="18"/>
          <w:szCs w:val="18"/>
          <w:b w:val="1"/>
          <w:bCs w:val="1"/>
          <w:color w:val="auto"/>
        </w:rPr>
        <w:t>Nonqualified Deferred Compensation for 2017</w:t>
      </w:r>
    </w:p>
    <w:p>
      <w:pPr>
        <w:spacing w:after="0" w:line="244" w:lineRule="exact"/>
        <w:rPr>
          <w:sz w:val="20"/>
          <w:szCs w:val="20"/>
          <w:color w:val="auto"/>
        </w:rPr>
      </w:pPr>
    </w:p>
    <w:tbl>
      <w:tblPr>
        <w:tblLayout w:type="fixed"/>
        <w:tblInd w:w="870" w:type="dxa"/>
        <w:tblCellMar>
          <w:top w:w="0" w:type="dxa"/>
          <w:left w:w="0" w:type="dxa"/>
          <w:bottom w:w="0" w:type="dxa"/>
          <w:right w:w="0" w:type="dxa"/>
        </w:tblCellMar>
      </w:tblPr>
      <w:tr>
        <w:trPr>
          <w:trHeight w:val="160"/>
        </w:trPr>
        <w:tc>
          <w:tcPr>
            <w:tcW w:w="2540" w:type="dxa"/>
            <w:vAlign w:val="bottom"/>
            <w:tcBorders>
              <w:top w:val="single" w:sz="8" w:color="auto"/>
              <w:left w:val="single" w:sz="8" w:color="auto"/>
              <w:right w:val="single" w:sz="8" w:color="auto"/>
            </w:tcBorders>
          </w:tcPr>
          <w:p>
            <w:pPr>
              <w:spacing w:after="0"/>
              <w:rPr>
                <w:sz w:val="13"/>
                <w:szCs w:val="13"/>
                <w:color w:val="auto"/>
              </w:rPr>
            </w:pPr>
          </w:p>
        </w:tc>
        <w:tc>
          <w:tcPr>
            <w:tcW w:w="1480" w:type="dxa"/>
            <w:vAlign w:val="bottom"/>
            <w:tcBorders>
              <w:top w:val="single" w:sz="8" w:color="auto"/>
              <w:right w:val="single" w:sz="8" w:color="auto"/>
            </w:tcBorders>
          </w:tcPr>
          <w:p>
            <w:pPr>
              <w:jc w:val="center"/>
              <w:ind w:left="228"/>
              <w:spacing w:after="0"/>
              <w:rPr>
                <w:sz w:val="20"/>
                <w:szCs w:val="20"/>
                <w:color w:val="auto"/>
              </w:rPr>
            </w:pPr>
            <w:r>
              <w:rPr>
                <w:rFonts w:ascii="Arial" w:cs="Arial" w:eastAsia="Arial" w:hAnsi="Arial"/>
                <w:sz w:val="14"/>
                <w:szCs w:val="14"/>
                <w:b w:val="1"/>
                <w:bCs w:val="1"/>
                <w:color w:val="auto"/>
              </w:rPr>
              <w:t>Executive</w:t>
            </w:r>
          </w:p>
        </w:tc>
        <w:tc>
          <w:tcPr>
            <w:tcW w:w="1460" w:type="dxa"/>
            <w:vAlign w:val="bottom"/>
            <w:tcBorders>
              <w:top w:val="single" w:sz="8" w:color="auto"/>
              <w:right w:val="single" w:sz="8" w:color="auto"/>
            </w:tcBorders>
          </w:tcPr>
          <w:p>
            <w:pPr>
              <w:jc w:val="center"/>
              <w:ind w:left="228"/>
              <w:spacing w:after="0"/>
              <w:rPr>
                <w:sz w:val="20"/>
                <w:szCs w:val="20"/>
                <w:color w:val="auto"/>
              </w:rPr>
            </w:pPr>
            <w:r>
              <w:rPr>
                <w:rFonts w:ascii="Arial" w:cs="Arial" w:eastAsia="Arial" w:hAnsi="Arial"/>
                <w:sz w:val="14"/>
                <w:szCs w:val="14"/>
                <w:b w:val="1"/>
                <w:bCs w:val="1"/>
                <w:color w:val="auto"/>
              </w:rPr>
              <w:t>Registrant</w:t>
            </w:r>
          </w:p>
        </w:tc>
        <w:tc>
          <w:tcPr>
            <w:tcW w:w="1480" w:type="dxa"/>
            <w:vAlign w:val="bottom"/>
            <w:tcBorders>
              <w:top w:val="single" w:sz="8" w:color="auto"/>
              <w:right w:val="single" w:sz="8" w:color="auto"/>
            </w:tcBorders>
          </w:tcPr>
          <w:p>
            <w:pPr>
              <w:jc w:val="center"/>
              <w:ind w:left="248"/>
              <w:spacing w:after="0"/>
              <w:rPr>
                <w:sz w:val="20"/>
                <w:szCs w:val="20"/>
                <w:color w:val="auto"/>
              </w:rPr>
            </w:pPr>
            <w:r>
              <w:rPr>
                <w:rFonts w:ascii="Arial" w:cs="Arial" w:eastAsia="Arial" w:hAnsi="Arial"/>
                <w:sz w:val="14"/>
                <w:szCs w:val="14"/>
                <w:b w:val="1"/>
                <w:bCs w:val="1"/>
                <w:color w:val="auto"/>
              </w:rPr>
              <w:t>Aggregate</w:t>
            </w:r>
          </w:p>
        </w:tc>
        <w:tc>
          <w:tcPr>
            <w:tcW w:w="1660" w:type="dxa"/>
            <w:vAlign w:val="bottom"/>
            <w:tcBorders>
              <w:top w:val="single" w:sz="8" w:color="auto"/>
              <w:right w:val="single" w:sz="8" w:color="auto"/>
            </w:tcBorders>
          </w:tcPr>
          <w:p>
            <w:pPr>
              <w:jc w:val="center"/>
              <w:ind w:left="248"/>
              <w:spacing w:after="0"/>
              <w:rPr>
                <w:sz w:val="20"/>
                <w:szCs w:val="20"/>
                <w:color w:val="auto"/>
              </w:rPr>
            </w:pPr>
            <w:r>
              <w:rPr>
                <w:rFonts w:ascii="Arial" w:cs="Arial" w:eastAsia="Arial" w:hAnsi="Arial"/>
                <w:sz w:val="14"/>
                <w:szCs w:val="14"/>
                <w:b w:val="1"/>
                <w:bCs w:val="1"/>
                <w:color w:val="auto"/>
              </w:rPr>
              <w:t>Aggregate</w:t>
            </w:r>
          </w:p>
        </w:tc>
        <w:tc>
          <w:tcPr>
            <w:tcW w:w="1120" w:type="dxa"/>
            <w:vAlign w:val="bottom"/>
            <w:tcBorders>
              <w:top w:val="single" w:sz="8" w:color="auto"/>
              <w:right w:val="single" w:sz="8" w:color="auto"/>
            </w:tcBorders>
          </w:tcPr>
          <w:p>
            <w:pPr>
              <w:jc w:val="center"/>
              <w:ind w:left="208"/>
              <w:spacing w:after="0"/>
              <w:rPr>
                <w:sz w:val="20"/>
                <w:szCs w:val="20"/>
                <w:color w:val="auto"/>
              </w:rPr>
            </w:pPr>
            <w:r>
              <w:rPr>
                <w:rFonts w:ascii="Arial" w:cs="Arial" w:eastAsia="Arial" w:hAnsi="Arial"/>
                <w:sz w:val="14"/>
                <w:szCs w:val="14"/>
                <w:b w:val="1"/>
                <w:bCs w:val="1"/>
                <w:color w:val="auto"/>
              </w:rPr>
              <w:t>Aggregate</w:t>
            </w:r>
          </w:p>
        </w:tc>
      </w:tr>
      <w:tr>
        <w:trPr>
          <w:trHeight w:val="162"/>
        </w:trPr>
        <w:tc>
          <w:tcPr>
            <w:tcW w:w="2540" w:type="dxa"/>
            <w:vAlign w:val="bottom"/>
            <w:tcBorders>
              <w:left w:val="single" w:sz="8" w:color="auto"/>
              <w:right w:val="single" w:sz="8" w:color="auto"/>
            </w:tcBorders>
          </w:tcPr>
          <w:p>
            <w:pPr>
              <w:spacing w:after="0"/>
              <w:rPr>
                <w:sz w:val="14"/>
                <w:szCs w:val="14"/>
                <w:color w:val="auto"/>
              </w:rPr>
            </w:pPr>
          </w:p>
        </w:tc>
        <w:tc>
          <w:tcPr>
            <w:tcW w:w="1480" w:type="dxa"/>
            <w:vAlign w:val="bottom"/>
            <w:tcBorders>
              <w:right w:val="single" w:sz="8" w:color="auto"/>
            </w:tcBorders>
          </w:tcPr>
          <w:p>
            <w:pPr>
              <w:jc w:val="center"/>
              <w:ind w:left="228"/>
              <w:spacing w:after="0"/>
              <w:rPr>
                <w:sz w:val="20"/>
                <w:szCs w:val="20"/>
                <w:color w:val="auto"/>
              </w:rPr>
            </w:pPr>
            <w:r>
              <w:rPr>
                <w:rFonts w:ascii="Arial" w:cs="Arial" w:eastAsia="Arial" w:hAnsi="Arial"/>
                <w:sz w:val="14"/>
                <w:szCs w:val="14"/>
                <w:b w:val="1"/>
                <w:bCs w:val="1"/>
                <w:color w:val="auto"/>
              </w:rPr>
              <w:t>Contributions in</w:t>
            </w:r>
          </w:p>
        </w:tc>
        <w:tc>
          <w:tcPr>
            <w:tcW w:w="1460" w:type="dxa"/>
            <w:vAlign w:val="bottom"/>
            <w:tcBorders>
              <w:right w:val="single" w:sz="8" w:color="auto"/>
            </w:tcBorders>
          </w:tcPr>
          <w:p>
            <w:pPr>
              <w:jc w:val="center"/>
              <w:ind w:left="228"/>
              <w:spacing w:after="0"/>
              <w:rPr>
                <w:sz w:val="20"/>
                <w:szCs w:val="20"/>
                <w:color w:val="auto"/>
              </w:rPr>
            </w:pPr>
            <w:r>
              <w:rPr>
                <w:rFonts w:ascii="Arial" w:cs="Arial" w:eastAsia="Arial" w:hAnsi="Arial"/>
                <w:sz w:val="14"/>
                <w:szCs w:val="14"/>
                <w:b w:val="1"/>
                <w:bCs w:val="1"/>
                <w:color w:val="auto"/>
              </w:rPr>
              <w:t>Contributions in</w:t>
            </w:r>
          </w:p>
        </w:tc>
        <w:tc>
          <w:tcPr>
            <w:tcW w:w="1480" w:type="dxa"/>
            <w:vAlign w:val="bottom"/>
            <w:tcBorders>
              <w:right w:val="single" w:sz="8" w:color="auto"/>
            </w:tcBorders>
          </w:tcPr>
          <w:p>
            <w:pPr>
              <w:jc w:val="center"/>
              <w:ind w:left="248"/>
              <w:spacing w:after="0"/>
              <w:rPr>
                <w:sz w:val="20"/>
                <w:szCs w:val="20"/>
                <w:color w:val="auto"/>
              </w:rPr>
            </w:pPr>
            <w:r>
              <w:rPr>
                <w:rFonts w:ascii="Arial" w:cs="Arial" w:eastAsia="Arial" w:hAnsi="Arial"/>
                <w:sz w:val="14"/>
                <w:szCs w:val="14"/>
                <w:b w:val="1"/>
                <w:bCs w:val="1"/>
                <w:color w:val="auto"/>
              </w:rPr>
              <w:t>Earnings in</w:t>
            </w:r>
          </w:p>
        </w:tc>
        <w:tc>
          <w:tcPr>
            <w:tcW w:w="1660" w:type="dxa"/>
            <w:vAlign w:val="bottom"/>
            <w:tcBorders>
              <w:right w:val="single" w:sz="8" w:color="auto"/>
            </w:tcBorders>
          </w:tcPr>
          <w:p>
            <w:pPr>
              <w:jc w:val="center"/>
              <w:ind w:left="228"/>
              <w:spacing w:after="0"/>
              <w:rPr>
                <w:sz w:val="20"/>
                <w:szCs w:val="20"/>
                <w:color w:val="auto"/>
              </w:rPr>
            </w:pPr>
            <w:r>
              <w:rPr>
                <w:rFonts w:ascii="Arial" w:cs="Arial" w:eastAsia="Arial" w:hAnsi="Arial"/>
                <w:sz w:val="14"/>
                <w:szCs w:val="14"/>
                <w:b w:val="1"/>
                <w:bCs w:val="1"/>
                <w:color w:val="auto"/>
              </w:rPr>
              <w:t>Withdrawals/</w:t>
            </w:r>
          </w:p>
        </w:tc>
        <w:tc>
          <w:tcPr>
            <w:tcW w:w="1120" w:type="dxa"/>
            <w:vAlign w:val="bottom"/>
            <w:tcBorders>
              <w:right w:val="single" w:sz="8" w:color="auto"/>
            </w:tcBorders>
          </w:tcPr>
          <w:p>
            <w:pPr>
              <w:jc w:val="center"/>
              <w:ind w:left="208"/>
              <w:spacing w:after="0"/>
              <w:rPr>
                <w:sz w:val="20"/>
                <w:szCs w:val="20"/>
                <w:color w:val="auto"/>
              </w:rPr>
            </w:pPr>
            <w:r>
              <w:rPr>
                <w:rFonts w:ascii="Arial" w:cs="Arial" w:eastAsia="Arial" w:hAnsi="Arial"/>
                <w:sz w:val="14"/>
                <w:szCs w:val="14"/>
                <w:b w:val="1"/>
                <w:bCs w:val="1"/>
                <w:color w:val="auto"/>
              </w:rPr>
              <w:t>Balance at</w:t>
            </w:r>
          </w:p>
        </w:tc>
      </w:tr>
      <w:tr>
        <w:trPr>
          <w:trHeight w:val="162"/>
        </w:trPr>
        <w:tc>
          <w:tcPr>
            <w:tcW w:w="2540" w:type="dxa"/>
            <w:vAlign w:val="bottom"/>
            <w:tcBorders>
              <w:left w:val="single" w:sz="8" w:color="auto"/>
              <w:right w:val="single" w:sz="8" w:color="auto"/>
            </w:tcBorders>
          </w:tcPr>
          <w:p>
            <w:pPr>
              <w:spacing w:after="0"/>
              <w:rPr>
                <w:sz w:val="14"/>
                <w:szCs w:val="14"/>
                <w:color w:val="auto"/>
              </w:rPr>
            </w:pPr>
          </w:p>
        </w:tc>
        <w:tc>
          <w:tcPr>
            <w:tcW w:w="1480" w:type="dxa"/>
            <w:vAlign w:val="bottom"/>
            <w:tcBorders>
              <w:right w:val="single" w:sz="8" w:color="auto"/>
            </w:tcBorders>
          </w:tcPr>
          <w:p>
            <w:pPr>
              <w:jc w:val="center"/>
              <w:ind w:left="208"/>
              <w:spacing w:after="0"/>
              <w:rPr>
                <w:sz w:val="20"/>
                <w:szCs w:val="20"/>
                <w:color w:val="auto"/>
              </w:rPr>
            </w:pPr>
            <w:r>
              <w:rPr>
                <w:rFonts w:ascii="Arial" w:cs="Arial" w:eastAsia="Arial" w:hAnsi="Arial"/>
                <w:sz w:val="14"/>
                <w:szCs w:val="14"/>
                <w:b w:val="1"/>
                <w:bCs w:val="1"/>
                <w:color w:val="auto"/>
              </w:rPr>
              <w:t>Last FY</w:t>
            </w:r>
          </w:p>
        </w:tc>
        <w:tc>
          <w:tcPr>
            <w:tcW w:w="1460" w:type="dxa"/>
            <w:vAlign w:val="bottom"/>
            <w:tcBorders>
              <w:right w:val="single" w:sz="8" w:color="auto"/>
            </w:tcBorders>
          </w:tcPr>
          <w:p>
            <w:pPr>
              <w:jc w:val="center"/>
              <w:ind w:left="228"/>
              <w:spacing w:after="0"/>
              <w:rPr>
                <w:sz w:val="20"/>
                <w:szCs w:val="20"/>
                <w:color w:val="auto"/>
              </w:rPr>
            </w:pPr>
            <w:r>
              <w:rPr>
                <w:rFonts w:ascii="Arial" w:cs="Arial" w:eastAsia="Arial" w:hAnsi="Arial"/>
                <w:sz w:val="14"/>
                <w:szCs w:val="14"/>
                <w:b w:val="1"/>
                <w:bCs w:val="1"/>
                <w:color w:val="auto"/>
              </w:rPr>
              <w:t>Last FY</w:t>
            </w:r>
          </w:p>
        </w:tc>
        <w:tc>
          <w:tcPr>
            <w:tcW w:w="1480" w:type="dxa"/>
            <w:vAlign w:val="bottom"/>
            <w:tcBorders>
              <w:right w:val="single" w:sz="8" w:color="auto"/>
            </w:tcBorders>
          </w:tcPr>
          <w:p>
            <w:pPr>
              <w:jc w:val="center"/>
              <w:ind w:left="248"/>
              <w:spacing w:after="0"/>
              <w:rPr>
                <w:sz w:val="20"/>
                <w:szCs w:val="20"/>
                <w:color w:val="auto"/>
              </w:rPr>
            </w:pPr>
            <w:r>
              <w:rPr>
                <w:rFonts w:ascii="Arial" w:cs="Arial" w:eastAsia="Arial" w:hAnsi="Arial"/>
                <w:sz w:val="14"/>
                <w:szCs w:val="14"/>
                <w:b w:val="1"/>
                <w:bCs w:val="1"/>
                <w:color w:val="auto"/>
              </w:rPr>
              <w:t>Last FY</w:t>
            </w:r>
          </w:p>
        </w:tc>
        <w:tc>
          <w:tcPr>
            <w:tcW w:w="1660" w:type="dxa"/>
            <w:vAlign w:val="bottom"/>
            <w:tcBorders>
              <w:right w:val="single" w:sz="8" w:color="auto"/>
            </w:tcBorders>
          </w:tcPr>
          <w:p>
            <w:pPr>
              <w:jc w:val="center"/>
              <w:ind w:left="248"/>
              <w:spacing w:after="0"/>
              <w:rPr>
                <w:sz w:val="20"/>
                <w:szCs w:val="20"/>
                <w:color w:val="auto"/>
              </w:rPr>
            </w:pPr>
            <w:r>
              <w:rPr>
                <w:rFonts w:ascii="Arial" w:cs="Arial" w:eastAsia="Arial" w:hAnsi="Arial"/>
                <w:sz w:val="14"/>
                <w:szCs w:val="14"/>
                <w:b w:val="1"/>
                <w:bCs w:val="1"/>
                <w:color w:val="auto"/>
              </w:rPr>
              <w:t>Distributions</w:t>
            </w:r>
          </w:p>
        </w:tc>
        <w:tc>
          <w:tcPr>
            <w:tcW w:w="1120" w:type="dxa"/>
            <w:vAlign w:val="bottom"/>
            <w:tcBorders>
              <w:right w:val="single" w:sz="8" w:color="auto"/>
            </w:tcBorders>
          </w:tcPr>
          <w:p>
            <w:pPr>
              <w:jc w:val="center"/>
              <w:ind w:left="208"/>
              <w:spacing w:after="0"/>
              <w:rPr>
                <w:sz w:val="20"/>
                <w:szCs w:val="20"/>
                <w:color w:val="auto"/>
              </w:rPr>
            </w:pPr>
            <w:r>
              <w:rPr>
                <w:rFonts w:ascii="Arial" w:cs="Arial" w:eastAsia="Arial" w:hAnsi="Arial"/>
                <w:sz w:val="14"/>
                <w:szCs w:val="14"/>
                <w:b w:val="1"/>
                <w:bCs w:val="1"/>
                <w:color w:val="auto"/>
              </w:rPr>
              <w:t>Last FYE</w:t>
            </w:r>
          </w:p>
        </w:tc>
      </w:tr>
      <w:tr>
        <w:trPr>
          <w:trHeight w:val="203"/>
        </w:trPr>
        <w:tc>
          <w:tcPr>
            <w:tcW w:w="2540" w:type="dxa"/>
            <w:vAlign w:val="bottom"/>
            <w:tcBorders>
              <w:left w:val="single" w:sz="8" w:color="auto"/>
              <w:bottom w:val="single" w:sz="8" w:color="auto"/>
              <w:right w:val="single" w:sz="8" w:color="auto"/>
            </w:tcBorders>
          </w:tcPr>
          <w:p>
            <w:pPr>
              <w:ind w:left="140"/>
              <w:spacing w:after="0"/>
              <w:rPr>
                <w:sz w:val="20"/>
                <w:szCs w:val="20"/>
                <w:color w:val="auto"/>
              </w:rPr>
            </w:pPr>
            <w:r>
              <w:rPr>
                <w:rFonts w:ascii="Arial" w:cs="Arial" w:eastAsia="Arial" w:hAnsi="Arial"/>
                <w:sz w:val="14"/>
                <w:szCs w:val="14"/>
                <w:b w:val="1"/>
                <w:bCs w:val="1"/>
                <w:color w:val="auto"/>
              </w:rPr>
              <w:t>Name</w:t>
            </w:r>
          </w:p>
        </w:tc>
        <w:tc>
          <w:tcPr>
            <w:tcW w:w="1480" w:type="dxa"/>
            <w:vAlign w:val="bottom"/>
            <w:tcBorders>
              <w:bottom w:val="single" w:sz="8" w:color="auto"/>
              <w:right w:val="single" w:sz="8" w:color="auto"/>
            </w:tcBorders>
          </w:tcPr>
          <w:p>
            <w:pPr>
              <w:jc w:val="center"/>
              <w:ind w:left="228"/>
              <w:spacing w:after="0"/>
              <w:rPr>
                <w:sz w:val="20"/>
                <w:szCs w:val="20"/>
                <w:color w:val="auto"/>
              </w:rPr>
            </w:pPr>
            <w:r>
              <w:rPr>
                <w:rFonts w:ascii="Arial" w:cs="Arial" w:eastAsia="Arial" w:hAnsi="Arial"/>
                <w:sz w:val="14"/>
                <w:szCs w:val="14"/>
                <w:b w:val="1"/>
                <w:bCs w:val="1"/>
                <w:color w:val="auto"/>
              </w:rPr>
              <w:t>($)</w:t>
            </w:r>
          </w:p>
        </w:tc>
        <w:tc>
          <w:tcPr>
            <w:tcW w:w="1460" w:type="dxa"/>
            <w:vAlign w:val="bottom"/>
            <w:tcBorders>
              <w:bottom w:val="single" w:sz="8" w:color="auto"/>
              <w:right w:val="single" w:sz="8" w:color="auto"/>
            </w:tcBorders>
          </w:tcPr>
          <w:p>
            <w:pPr>
              <w:jc w:val="center"/>
              <w:ind w:left="228"/>
              <w:spacing w:after="0"/>
              <w:rPr>
                <w:sz w:val="20"/>
                <w:szCs w:val="20"/>
                <w:color w:val="auto"/>
              </w:rPr>
            </w:pPr>
            <w:r>
              <w:rPr>
                <w:rFonts w:ascii="Arial" w:cs="Arial" w:eastAsia="Arial" w:hAnsi="Arial"/>
                <w:sz w:val="14"/>
                <w:szCs w:val="14"/>
                <w:b w:val="1"/>
                <w:bCs w:val="1"/>
                <w:color w:val="auto"/>
                <w:w w:val="93"/>
              </w:rPr>
              <w:t>($)</w:t>
            </w:r>
          </w:p>
        </w:tc>
        <w:tc>
          <w:tcPr>
            <w:tcW w:w="1480" w:type="dxa"/>
            <w:vAlign w:val="bottom"/>
            <w:tcBorders>
              <w:bottom w:val="single" w:sz="8" w:color="auto"/>
              <w:right w:val="single" w:sz="8" w:color="auto"/>
            </w:tcBorders>
          </w:tcPr>
          <w:p>
            <w:pPr>
              <w:jc w:val="center"/>
              <w:ind w:left="248"/>
              <w:spacing w:after="0"/>
              <w:rPr>
                <w:sz w:val="20"/>
                <w:szCs w:val="20"/>
                <w:color w:val="auto"/>
              </w:rPr>
            </w:pPr>
            <w:r>
              <w:rPr>
                <w:rFonts w:ascii="Arial" w:cs="Arial" w:eastAsia="Arial" w:hAnsi="Arial"/>
                <w:sz w:val="14"/>
                <w:szCs w:val="14"/>
                <w:b w:val="1"/>
                <w:bCs w:val="1"/>
                <w:color w:val="auto"/>
                <w:w w:val="93"/>
              </w:rPr>
              <w:t>($)</w:t>
            </w:r>
          </w:p>
        </w:tc>
        <w:tc>
          <w:tcPr>
            <w:tcW w:w="1660" w:type="dxa"/>
            <w:vAlign w:val="bottom"/>
            <w:tcBorders>
              <w:bottom w:val="single" w:sz="8" w:color="auto"/>
              <w:right w:val="single" w:sz="8" w:color="auto"/>
            </w:tcBorders>
          </w:tcPr>
          <w:p>
            <w:pPr>
              <w:jc w:val="center"/>
              <w:ind w:left="248"/>
              <w:spacing w:after="0"/>
              <w:rPr>
                <w:sz w:val="20"/>
                <w:szCs w:val="20"/>
                <w:color w:val="auto"/>
              </w:rPr>
            </w:pPr>
            <w:r>
              <w:rPr>
                <w:rFonts w:ascii="Arial" w:cs="Arial" w:eastAsia="Arial" w:hAnsi="Arial"/>
                <w:sz w:val="14"/>
                <w:szCs w:val="14"/>
                <w:b w:val="1"/>
                <w:bCs w:val="1"/>
                <w:color w:val="auto"/>
              </w:rPr>
              <w:t>($)</w:t>
            </w:r>
          </w:p>
        </w:tc>
        <w:tc>
          <w:tcPr>
            <w:tcW w:w="1120" w:type="dxa"/>
            <w:vAlign w:val="bottom"/>
            <w:tcBorders>
              <w:bottom w:val="single" w:sz="8" w:color="auto"/>
              <w:right w:val="single" w:sz="8" w:color="auto"/>
            </w:tcBorders>
          </w:tcPr>
          <w:p>
            <w:pPr>
              <w:jc w:val="center"/>
              <w:ind w:left="208"/>
              <w:spacing w:after="0"/>
              <w:rPr>
                <w:sz w:val="20"/>
                <w:szCs w:val="20"/>
                <w:color w:val="auto"/>
              </w:rPr>
            </w:pPr>
            <w:r>
              <w:rPr>
                <w:rFonts w:ascii="Arial" w:cs="Arial" w:eastAsia="Arial" w:hAnsi="Arial"/>
                <w:sz w:val="14"/>
                <w:szCs w:val="14"/>
                <w:b w:val="1"/>
                <w:bCs w:val="1"/>
                <w:color w:val="auto"/>
                <w:w w:val="93"/>
              </w:rPr>
              <w:t>($)</w:t>
            </w:r>
          </w:p>
        </w:tc>
      </w:tr>
      <w:tr>
        <w:trPr>
          <w:trHeight w:val="238"/>
        </w:trPr>
        <w:tc>
          <w:tcPr>
            <w:tcW w:w="2540" w:type="dxa"/>
            <w:vAlign w:val="bottom"/>
            <w:tcBorders>
              <w:left w:val="single" w:sz="8" w:color="auto"/>
              <w:right w:val="single" w:sz="8" w:color="auto"/>
            </w:tcBorders>
            <w:shd w:val="clear" w:color="auto" w:fill="D4DBEB"/>
          </w:tcPr>
          <w:p>
            <w:pPr>
              <w:ind w:left="160"/>
              <w:spacing w:after="0"/>
              <w:rPr>
                <w:sz w:val="20"/>
                <w:szCs w:val="20"/>
                <w:color w:val="auto"/>
              </w:rPr>
            </w:pPr>
            <w:r>
              <w:rPr>
                <w:rFonts w:ascii="Arial" w:cs="Arial" w:eastAsia="Arial" w:hAnsi="Arial"/>
                <w:sz w:val="14"/>
                <w:szCs w:val="14"/>
                <w:color w:val="auto"/>
              </w:rPr>
              <w:t>D.W. Woods</w:t>
            </w:r>
          </w:p>
        </w:tc>
        <w:tc>
          <w:tcPr>
            <w:tcW w:w="1480" w:type="dxa"/>
            <w:vAlign w:val="bottom"/>
            <w:tcBorders>
              <w:right w:val="single" w:sz="8" w:color="auto"/>
            </w:tcBorders>
            <w:shd w:val="clear" w:color="auto" w:fill="D4DBEB"/>
          </w:tcPr>
          <w:p>
            <w:pPr>
              <w:jc w:val="center"/>
              <w:ind w:left="208"/>
              <w:spacing w:after="0"/>
              <w:rPr>
                <w:sz w:val="20"/>
                <w:szCs w:val="20"/>
                <w:color w:val="auto"/>
              </w:rPr>
            </w:pPr>
            <w:r>
              <w:rPr>
                <w:rFonts w:ascii="Arial" w:cs="Arial" w:eastAsia="Arial" w:hAnsi="Arial"/>
                <w:sz w:val="14"/>
                <w:szCs w:val="14"/>
                <w:color w:val="auto"/>
              </w:rPr>
              <w:t>0</w:t>
            </w:r>
          </w:p>
        </w:tc>
        <w:tc>
          <w:tcPr>
            <w:tcW w:w="1460" w:type="dxa"/>
            <w:vAlign w:val="bottom"/>
            <w:tcBorders>
              <w:right w:val="single" w:sz="8" w:color="auto"/>
            </w:tcBorders>
            <w:shd w:val="clear" w:color="auto" w:fill="D4DBEB"/>
          </w:tcPr>
          <w:p>
            <w:pPr>
              <w:jc w:val="center"/>
              <w:ind w:left="228"/>
              <w:spacing w:after="0"/>
              <w:rPr>
                <w:sz w:val="20"/>
                <w:szCs w:val="20"/>
                <w:color w:val="auto"/>
              </w:rPr>
            </w:pPr>
            <w:r>
              <w:rPr>
                <w:rFonts w:ascii="Arial" w:cs="Arial" w:eastAsia="Arial" w:hAnsi="Arial"/>
                <w:sz w:val="14"/>
                <w:szCs w:val="14"/>
                <w:color w:val="auto"/>
              </w:rPr>
              <w:t>65,100</w:t>
            </w:r>
          </w:p>
        </w:tc>
        <w:tc>
          <w:tcPr>
            <w:tcW w:w="1480" w:type="dxa"/>
            <w:vAlign w:val="bottom"/>
            <w:tcBorders>
              <w:right w:val="single" w:sz="8" w:color="auto"/>
            </w:tcBorders>
            <w:shd w:val="clear" w:color="auto" w:fill="D4DBEB"/>
          </w:tcPr>
          <w:p>
            <w:pPr>
              <w:jc w:val="right"/>
              <w:ind w:right="288"/>
              <w:spacing w:after="0"/>
              <w:rPr>
                <w:sz w:val="20"/>
                <w:szCs w:val="20"/>
                <w:color w:val="auto"/>
              </w:rPr>
            </w:pPr>
            <w:r>
              <w:rPr>
                <w:rFonts w:ascii="Arial" w:cs="Arial" w:eastAsia="Arial" w:hAnsi="Arial"/>
                <w:sz w:val="14"/>
                <w:szCs w:val="14"/>
                <w:color w:val="auto"/>
              </w:rPr>
              <w:t>9,844</w:t>
            </w:r>
          </w:p>
        </w:tc>
        <w:tc>
          <w:tcPr>
            <w:tcW w:w="1660" w:type="dxa"/>
            <w:vAlign w:val="bottom"/>
            <w:tcBorders>
              <w:right w:val="single" w:sz="8" w:color="auto"/>
            </w:tcBorders>
            <w:shd w:val="clear" w:color="auto" w:fill="D4DBEB"/>
          </w:tcPr>
          <w:p>
            <w:pPr>
              <w:jc w:val="center"/>
              <w:ind w:left="228"/>
              <w:spacing w:after="0"/>
              <w:rPr>
                <w:sz w:val="20"/>
                <w:szCs w:val="20"/>
                <w:color w:val="auto"/>
              </w:rPr>
            </w:pPr>
            <w:r>
              <w:rPr>
                <w:rFonts w:ascii="Arial" w:cs="Arial" w:eastAsia="Arial" w:hAnsi="Arial"/>
                <w:sz w:val="14"/>
                <w:szCs w:val="14"/>
                <w:color w:val="auto"/>
              </w:rPr>
              <w:t>0</w:t>
            </w:r>
          </w:p>
        </w:tc>
        <w:tc>
          <w:tcPr>
            <w:tcW w:w="1120" w:type="dxa"/>
            <w:vAlign w:val="bottom"/>
            <w:tcBorders>
              <w:right w:val="single" w:sz="8" w:color="auto"/>
            </w:tcBorders>
            <w:shd w:val="clear" w:color="auto" w:fill="D4DBEB"/>
          </w:tcPr>
          <w:p>
            <w:pPr>
              <w:jc w:val="right"/>
              <w:ind w:right="8"/>
              <w:spacing w:after="0"/>
              <w:rPr>
                <w:sz w:val="20"/>
                <w:szCs w:val="20"/>
                <w:color w:val="auto"/>
              </w:rPr>
            </w:pPr>
            <w:r>
              <w:rPr>
                <w:rFonts w:ascii="Arial" w:cs="Arial" w:eastAsia="Arial" w:hAnsi="Arial"/>
                <w:sz w:val="14"/>
                <w:szCs w:val="14"/>
                <w:color w:val="auto"/>
              </w:rPr>
              <w:t>359,389</w:t>
            </w:r>
          </w:p>
        </w:tc>
      </w:tr>
      <w:tr>
        <w:trPr>
          <w:trHeight w:val="253"/>
        </w:trPr>
        <w:tc>
          <w:tcPr>
            <w:tcW w:w="2540" w:type="dxa"/>
            <w:vAlign w:val="bottom"/>
            <w:tcBorders>
              <w:left w:val="single" w:sz="8" w:color="auto"/>
              <w:right w:val="single" w:sz="8" w:color="auto"/>
            </w:tcBorders>
          </w:tcPr>
          <w:p>
            <w:pPr>
              <w:ind w:left="160"/>
              <w:spacing w:after="0"/>
              <w:rPr>
                <w:sz w:val="20"/>
                <w:szCs w:val="20"/>
                <w:color w:val="auto"/>
              </w:rPr>
            </w:pPr>
            <w:r>
              <w:rPr>
                <w:rFonts w:ascii="Arial" w:cs="Arial" w:eastAsia="Arial" w:hAnsi="Arial"/>
                <w:sz w:val="14"/>
                <w:szCs w:val="14"/>
                <w:color w:val="auto"/>
              </w:rPr>
              <w:t>A.P. Swiger</w:t>
            </w:r>
          </w:p>
        </w:tc>
        <w:tc>
          <w:tcPr>
            <w:tcW w:w="1480" w:type="dxa"/>
            <w:vAlign w:val="bottom"/>
            <w:tcBorders>
              <w:right w:val="single" w:sz="8" w:color="auto"/>
            </w:tcBorders>
          </w:tcPr>
          <w:p>
            <w:pPr>
              <w:jc w:val="center"/>
              <w:ind w:left="208"/>
              <w:spacing w:after="0"/>
              <w:rPr>
                <w:sz w:val="20"/>
                <w:szCs w:val="20"/>
                <w:color w:val="auto"/>
              </w:rPr>
            </w:pPr>
            <w:r>
              <w:rPr>
                <w:rFonts w:ascii="Arial" w:cs="Arial" w:eastAsia="Arial" w:hAnsi="Arial"/>
                <w:sz w:val="14"/>
                <w:szCs w:val="14"/>
                <w:color w:val="auto"/>
              </w:rPr>
              <w:t>0</w:t>
            </w:r>
          </w:p>
        </w:tc>
        <w:tc>
          <w:tcPr>
            <w:tcW w:w="1460" w:type="dxa"/>
            <w:vAlign w:val="bottom"/>
            <w:tcBorders>
              <w:right w:val="single" w:sz="8" w:color="auto"/>
            </w:tcBorders>
          </w:tcPr>
          <w:p>
            <w:pPr>
              <w:jc w:val="center"/>
              <w:ind w:left="228"/>
              <w:spacing w:after="0"/>
              <w:rPr>
                <w:sz w:val="20"/>
                <w:szCs w:val="20"/>
                <w:color w:val="auto"/>
              </w:rPr>
            </w:pPr>
            <w:r>
              <w:rPr>
                <w:rFonts w:ascii="Arial" w:cs="Arial" w:eastAsia="Arial" w:hAnsi="Arial"/>
                <w:sz w:val="14"/>
                <w:szCs w:val="14"/>
                <w:color w:val="auto"/>
              </w:rPr>
              <w:t>74,725</w:t>
            </w:r>
          </w:p>
        </w:tc>
        <w:tc>
          <w:tcPr>
            <w:tcW w:w="1480" w:type="dxa"/>
            <w:vAlign w:val="bottom"/>
            <w:tcBorders>
              <w:right w:val="single" w:sz="8" w:color="auto"/>
            </w:tcBorders>
          </w:tcPr>
          <w:p>
            <w:pPr>
              <w:jc w:val="right"/>
              <w:ind w:right="288"/>
              <w:spacing w:after="0"/>
              <w:rPr>
                <w:sz w:val="20"/>
                <w:szCs w:val="20"/>
                <w:color w:val="auto"/>
              </w:rPr>
            </w:pPr>
            <w:r>
              <w:rPr>
                <w:rFonts w:ascii="Arial" w:cs="Arial" w:eastAsia="Arial" w:hAnsi="Arial"/>
                <w:sz w:val="14"/>
                <w:szCs w:val="14"/>
                <w:color w:val="auto"/>
              </w:rPr>
              <w:t>27,206</w:t>
            </w:r>
          </w:p>
        </w:tc>
        <w:tc>
          <w:tcPr>
            <w:tcW w:w="1660" w:type="dxa"/>
            <w:vAlign w:val="bottom"/>
            <w:tcBorders>
              <w:right w:val="single" w:sz="8" w:color="auto"/>
            </w:tcBorders>
          </w:tcPr>
          <w:p>
            <w:pPr>
              <w:jc w:val="center"/>
              <w:ind w:left="228"/>
              <w:spacing w:after="0"/>
              <w:rPr>
                <w:sz w:val="20"/>
                <w:szCs w:val="20"/>
                <w:color w:val="auto"/>
              </w:rPr>
            </w:pPr>
            <w:r>
              <w:rPr>
                <w:rFonts w:ascii="Arial" w:cs="Arial" w:eastAsia="Arial" w:hAnsi="Arial"/>
                <w:sz w:val="14"/>
                <w:szCs w:val="14"/>
                <w:color w:val="auto"/>
              </w:rPr>
              <w:t>0</w:t>
            </w:r>
          </w:p>
        </w:tc>
        <w:tc>
          <w:tcPr>
            <w:tcW w:w="1120" w:type="dxa"/>
            <w:vAlign w:val="bottom"/>
            <w:tcBorders>
              <w:right w:val="single" w:sz="8" w:color="auto"/>
            </w:tcBorders>
          </w:tcPr>
          <w:p>
            <w:pPr>
              <w:jc w:val="right"/>
              <w:ind w:right="8"/>
              <w:spacing w:after="0"/>
              <w:rPr>
                <w:sz w:val="20"/>
                <w:szCs w:val="20"/>
                <w:color w:val="auto"/>
              </w:rPr>
            </w:pPr>
            <w:r>
              <w:rPr>
                <w:rFonts w:ascii="Arial" w:cs="Arial" w:eastAsia="Arial" w:hAnsi="Arial"/>
                <w:sz w:val="14"/>
                <w:szCs w:val="14"/>
                <w:color w:val="auto"/>
              </w:rPr>
              <w:t>923,327</w:t>
            </w:r>
          </w:p>
        </w:tc>
      </w:tr>
      <w:tr>
        <w:trPr>
          <w:trHeight w:val="261"/>
        </w:trPr>
        <w:tc>
          <w:tcPr>
            <w:tcW w:w="2540" w:type="dxa"/>
            <w:vAlign w:val="bottom"/>
            <w:tcBorders>
              <w:left w:val="single" w:sz="8" w:color="auto"/>
              <w:right w:val="single" w:sz="8" w:color="auto"/>
            </w:tcBorders>
            <w:shd w:val="clear" w:color="auto" w:fill="D4DBEB"/>
          </w:tcPr>
          <w:p>
            <w:pPr>
              <w:ind w:left="160"/>
              <w:spacing w:after="0"/>
              <w:rPr>
                <w:sz w:val="20"/>
                <w:szCs w:val="20"/>
                <w:color w:val="auto"/>
              </w:rPr>
            </w:pPr>
            <w:r>
              <w:rPr>
                <w:rFonts w:ascii="Arial" w:cs="Arial" w:eastAsia="Arial" w:hAnsi="Arial"/>
                <w:sz w:val="14"/>
                <w:szCs w:val="14"/>
                <w:color w:val="auto"/>
              </w:rPr>
              <w:t>M.W. Albers</w:t>
            </w:r>
          </w:p>
        </w:tc>
        <w:tc>
          <w:tcPr>
            <w:tcW w:w="1480" w:type="dxa"/>
            <w:vAlign w:val="bottom"/>
            <w:tcBorders>
              <w:right w:val="single" w:sz="8" w:color="auto"/>
            </w:tcBorders>
            <w:shd w:val="clear" w:color="auto" w:fill="D4DBEB"/>
          </w:tcPr>
          <w:p>
            <w:pPr>
              <w:jc w:val="center"/>
              <w:ind w:left="208"/>
              <w:spacing w:after="0"/>
              <w:rPr>
                <w:sz w:val="20"/>
                <w:szCs w:val="20"/>
                <w:color w:val="auto"/>
              </w:rPr>
            </w:pPr>
            <w:r>
              <w:rPr>
                <w:rFonts w:ascii="Arial" w:cs="Arial" w:eastAsia="Arial" w:hAnsi="Arial"/>
                <w:sz w:val="14"/>
                <w:szCs w:val="14"/>
                <w:color w:val="auto"/>
              </w:rPr>
              <w:t>0</w:t>
            </w:r>
          </w:p>
        </w:tc>
        <w:tc>
          <w:tcPr>
            <w:tcW w:w="1460" w:type="dxa"/>
            <w:vAlign w:val="bottom"/>
            <w:tcBorders>
              <w:right w:val="single" w:sz="8" w:color="auto"/>
            </w:tcBorders>
            <w:shd w:val="clear" w:color="auto" w:fill="D4DBEB"/>
          </w:tcPr>
          <w:p>
            <w:pPr>
              <w:jc w:val="center"/>
              <w:ind w:left="228"/>
              <w:spacing w:after="0"/>
              <w:rPr>
                <w:sz w:val="20"/>
                <w:szCs w:val="20"/>
                <w:color w:val="auto"/>
              </w:rPr>
            </w:pPr>
            <w:r>
              <w:rPr>
                <w:rFonts w:ascii="Arial" w:cs="Arial" w:eastAsia="Arial" w:hAnsi="Arial"/>
                <w:sz w:val="14"/>
                <w:szCs w:val="14"/>
                <w:color w:val="auto"/>
              </w:rPr>
              <w:t>74,725</w:t>
            </w:r>
          </w:p>
        </w:tc>
        <w:tc>
          <w:tcPr>
            <w:tcW w:w="1480" w:type="dxa"/>
            <w:vAlign w:val="bottom"/>
            <w:tcBorders>
              <w:right w:val="single" w:sz="8" w:color="auto"/>
            </w:tcBorders>
            <w:shd w:val="clear" w:color="auto" w:fill="D4DBEB"/>
          </w:tcPr>
          <w:p>
            <w:pPr>
              <w:jc w:val="right"/>
              <w:ind w:right="288"/>
              <w:spacing w:after="0"/>
              <w:rPr>
                <w:sz w:val="20"/>
                <w:szCs w:val="20"/>
                <w:color w:val="auto"/>
              </w:rPr>
            </w:pPr>
            <w:r>
              <w:rPr>
                <w:rFonts w:ascii="Arial" w:cs="Arial" w:eastAsia="Arial" w:hAnsi="Arial"/>
                <w:sz w:val="14"/>
                <w:szCs w:val="14"/>
                <w:color w:val="auto"/>
              </w:rPr>
              <w:t>22,257</w:t>
            </w:r>
          </w:p>
        </w:tc>
        <w:tc>
          <w:tcPr>
            <w:tcW w:w="1660" w:type="dxa"/>
            <w:vAlign w:val="bottom"/>
            <w:tcBorders>
              <w:right w:val="single" w:sz="8" w:color="auto"/>
            </w:tcBorders>
            <w:shd w:val="clear" w:color="auto" w:fill="D4DBEB"/>
          </w:tcPr>
          <w:p>
            <w:pPr>
              <w:jc w:val="center"/>
              <w:ind w:left="228"/>
              <w:spacing w:after="0"/>
              <w:rPr>
                <w:sz w:val="20"/>
                <w:szCs w:val="20"/>
                <w:color w:val="auto"/>
              </w:rPr>
            </w:pPr>
            <w:r>
              <w:rPr>
                <w:rFonts w:ascii="Arial" w:cs="Arial" w:eastAsia="Arial" w:hAnsi="Arial"/>
                <w:sz w:val="14"/>
                <w:szCs w:val="14"/>
                <w:color w:val="auto"/>
              </w:rPr>
              <w:t>0</w:t>
            </w:r>
          </w:p>
        </w:tc>
        <w:tc>
          <w:tcPr>
            <w:tcW w:w="1120" w:type="dxa"/>
            <w:vAlign w:val="bottom"/>
            <w:tcBorders>
              <w:right w:val="single" w:sz="8" w:color="auto"/>
            </w:tcBorders>
            <w:shd w:val="clear" w:color="auto" w:fill="D4DBEB"/>
          </w:tcPr>
          <w:p>
            <w:pPr>
              <w:jc w:val="right"/>
              <w:ind w:right="8"/>
              <w:spacing w:after="0"/>
              <w:rPr>
                <w:sz w:val="20"/>
                <w:szCs w:val="20"/>
                <w:color w:val="auto"/>
              </w:rPr>
            </w:pPr>
            <w:r>
              <w:rPr>
                <w:rFonts w:ascii="Arial" w:cs="Arial" w:eastAsia="Arial" w:hAnsi="Arial"/>
                <w:sz w:val="14"/>
                <w:szCs w:val="14"/>
                <w:color w:val="auto"/>
              </w:rPr>
              <w:t>764,203</w:t>
            </w:r>
          </w:p>
        </w:tc>
      </w:tr>
      <w:tr>
        <w:trPr>
          <w:trHeight w:val="253"/>
        </w:trPr>
        <w:tc>
          <w:tcPr>
            <w:tcW w:w="2540" w:type="dxa"/>
            <w:vAlign w:val="bottom"/>
            <w:tcBorders>
              <w:left w:val="single" w:sz="8" w:color="auto"/>
              <w:right w:val="single" w:sz="8" w:color="auto"/>
            </w:tcBorders>
          </w:tcPr>
          <w:p>
            <w:pPr>
              <w:ind w:left="160"/>
              <w:spacing w:after="0"/>
              <w:rPr>
                <w:sz w:val="20"/>
                <w:szCs w:val="20"/>
                <w:color w:val="auto"/>
              </w:rPr>
            </w:pPr>
            <w:r>
              <w:rPr>
                <w:rFonts w:ascii="Arial" w:cs="Arial" w:eastAsia="Arial" w:hAnsi="Arial"/>
                <w:sz w:val="14"/>
                <w:szCs w:val="14"/>
                <w:color w:val="auto"/>
              </w:rPr>
              <w:t>M.J. Dolan</w:t>
            </w:r>
          </w:p>
        </w:tc>
        <w:tc>
          <w:tcPr>
            <w:tcW w:w="1480" w:type="dxa"/>
            <w:vAlign w:val="bottom"/>
            <w:tcBorders>
              <w:right w:val="single" w:sz="8" w:color="auto"/>
            </w:tcBorders>
          </w:tcPr>
          <w:p>
            <w:pPr>
              <w:jc w:val="center"/>
              <w:ind w:left="208"/>
              <w:spacing w:after="0"/>
              <w:rPr>
                <w:sz w:val="20"/>
                <w:szCs w:val="20"/>
                <w:color w:val="auto"/>
              </w:rPr>
            </w:pPr>
            <w:r>
              <w:rPr>
                <w:rFonts w:ascii="Arial" w:cs="Arial" w:eastAsia="Arial" w:hAnsi="Arial"/>
                <w:sz w:val="14"/>
                <w:szCs w:val="14"/>
                <w:color w:val="auto"/>
              </w:rPr>
              <w:t>0</w:t>
            </w:r>
          </w:p>
        </w:tc>
        <w:tc>
          <w:tcPr>
            <w:tcW w:w="1460" w:type="dxa"/>
            <w:vAlign w:val="bottom"/>
            <w:tcBorders>
              <w:right w:val="single" w:sz="8" w:color="auto"/>
            </w:tcBorders>
          </w:tcPr>
          <w:p>
            <w:pPr>
              <w:jc w:val="center"/>
              <w:ind w:left="228"/>
              <w:spacing w:after="0"/>
              <w:rPr>
                <w:sz w:val="20"/>
                <w:szCs w:val="20"/>
                <w:color w:val="auto"/>
              </w:rPr>
            </w:pPr>
            <w:r>
              <w:rPr>
                <w:rFonts w:ascii="Arial" w:cs="Arial" w:eastAsia="Arial" w:hAnsi="Arial"/>
                <w:sz w:val="14"/>
                <w:szCs w:val="14"/>
                <w:color w:val="auto"/>
              </w:rPr>
              <w:t>81,200</w:t>
            </w:r>
          </w:p>
        </w:tc>
        <w:tc>
          <w:tcPr>
            <w:tcW w:w="1480" w:type="dxa"/>
            <w:vAlign w:val="bottom"/>
            <w:tcBorders>
              <w:right w:val="single" w:sz="8" w:color="auto"/>
            </w:tcBorders>
          </w:tcPr>
          <w:p>
            <w:pPr>
              <w:jc w:val="right"/>
              <w:ind w:right="288"/>
              <w:spacing w:after="0"/>
              <w:rPr>
                <w:sz w:val="20"/>
                <w:szCs w:val="20"/>
                <w:color w:val="auto"/>
              </w:rPr>
            </w:pPr>
            <w:r>
              <w:rPr>
                <w:rFonts w:ascii="Arial" w:cs="Arial" w:eastAsia="Arial" w:hAnsi="Arial"/>
                <w:sz w:val="14"/>
                <w:szCs w:val="14"/>
                <w:color w:val="auto"/>
              </w:rPr>
              <w:t>30,185</w:t>
            </w:r>
          </w:p>
        </w:tc>
        <w:tc>
          <w:tcPr>
            <w:tcW w:w="1660" w:type="dxa"/>
            <w:vAlign w:val="bottom"/>
            <w:tcBorders>
              <w:right w:val="single" w:sz="8" w:color="auto"/>
            </w:tcBorders>
          </w:tcPr>
          <w:p>
            <w:pPr>
              <w:jc w:val="center"/>
              <w:ind w:left="228"/>
              <w:spacing w:after="0"/>
              <w:rPr>
                <w:sz w:val="20"/>
                <w:szCs w:val="20"/>
                <w:color w:val="auto"/>
              </w:rPr>
            </w:pPr>
            <w:r>
              <w:rPr>
                <w:rFonts w:ascii="Arial" w:cs="Arial" w:eastAsia="Arial" w:hAnsi="Arial"/>
                <w:sz w:val="14"/>
                <w:szCs w:val="14"/>
                <w:color w:val="auto"/>
              </w:rPr>
              <w:t>0</w:t>
            </w:r>
          </w:p>
        </w:tc>
        <w:tc>
          <w:tcPr>
            <w:tcW w:w="1120" w:type="dxa"/>
            <w:vAlign w:val="bottom"/>
            <w:tcBorders>
              <w:right w:val="single" w:sz="8" w:color="auto"/>
            </w:tcBorders>
          </w:tcPr>
          <w:p>
            <w:pPr>
              <w:jc w:val="right"/>
              <w:ind w:right="8"/>
              <w:spacing w:after="0"/>
              <w:rPr>
                <w:sz w:val="20"/>
                <w:szCs w:val="20"/>
                <w:color w:val="auto"/>
              </w:rPr>
            </w:pPr>
            <w:r>
              <w:rPr>
                <w:rFonts w:ascii="Arial" w:cs="Arial" w:eastAsia="Arial" w:hAnsi="Arial"/>
                <w:sz w:val="14"/>
                <w:szCs w:val="14"/>
                <w:color w:val="auto"/>
              </w:rPr>
              <w:t>1,022,723</w:t>
            </w:r>
          </w:p>
        </w:tc>
      </w:tr>
      <w:tr>
        <w:trPr>
          <w:trHeight w:val="257"/>
        </w:trPr>
        <w:tc>
          <w:tcPr>
            <w:tcW w:w="2540" w:type="dxa"/>
            <w:vAlign w:val="bottom"/>
            <w:tcBorders>
              <w:left w:val="single" w:sz="8" w:color="auto"/>
              <w:bottom w:val="single" w:sz="8" w:color="auto"/>
              <w:right w:val="single" w:sz="8" w:color="auto"/>
            </w:tcBorders>
            <w:shd w:val="clear" w:color="auto" w:fill="D4DBEB"/>
          </w:tcPr>
          <w:p>
            <w:pPr>
              <w:ind w:left="160"/>
              <w:spacing w:after="0"/>
              <w:rPr>
                <w:sz w:val="20"/>
                <w:szCs w:val="20"/>
                <w:color w:val="auto"/>
              </w:rPr>
            </w:pPr>
            <w:r>
              <w:rPr>
                <w:rFonts w:ascii="Arial" w:cs="Arial" w:eastAsia="Arial" w:hAnsi="Arial"/>
                <w:sz w:val="14"/>
                <w:szCs w:val="14"/>
                <w:color w:val="auto"/>
              </w:rPr>
              <w:t>N.W. Duffin</w:t>
            </w:r>
          </w:p>
        </w:tc>
        <w:tc>
          <w:tcPr>
            <w:tcW w:w="1480" w:type="dxa"/>
            <w:vAlign w:val="bottom"/>
            <w:tcBorders>
              <w:bottom w:val="single" w:sz="8" w:color="auto"/>
              <w:right w:val="single" w:sz="8" w:color="auto"/>
            </w:tcBorders>
            <w:shd w:val="clear" w:color="auto" w:fill="D4DBEB"/>
          </w:tcPr>
          <w:p>
            <w:pPr>
              <w:jc w:val="center"/>
              <w:ind w:left="208"/>
              <w:spacing w:after="0"/>
              <w:rPr>
                <w:sz w:val="20"/>
                <w:szCs w:val="20"/>
                <w:color w:val="auto"/>
              </w:rPr>
            </w:pPr>
            <w:r>
              <w:rPr>
                <w:rFonts w:ascii="Arial" w:cs="Arial" w:eastAsia="Arial" w:hAnsi="Arial"/>
                <w:sz w:val="14"/>
                <w:szCs w:val="14"/>
                <w:color w:val="auto"/>
              </w:rPr>
              <w:t>0</w:t>
            </w:r>
          </w:p>
        </w:tc>
        <w:tc>
          <w:tcPr>
            <w:tcW w:w="1460" w:type="dxa"/>
            <w:vAlign w:val="bottom"/>
            <w:tcBorders>
              <w:bottom w:val="single" w:sz="8" w:color="auto"/>
              <w:right w:val="single" w:sz="8" w:color="auto"/>
            </w:tcBorders>
            <w:shd w:val="clear" w:color="auto" w:fill="D4DBEB"/>
          </w:tcPr>
          <w:p>
            <w:pPr>
              <w:jc w:val="center"/>
              <w:ind w:left="228"/>
              <w:spacing w:after="0"/>
              <w:rPr>
                <w:sz w:val="20"/>
                <w:szCs w:val="20"/>
                <w:color w:val="auto"/>
              </w:rPr>
            </w:pPr>
            <w:r>
              <w:rPr>
                <w:rFonts w:ascii="Arial" w:cs="Arial" w:eastAsia="Arial" w:hAnsi="Arial"/>
                <w:sz w:val="14"/>
                <w:szCs w:val="14"/>
                <w:color w:val="auto"/>
              </w:rPr>
              <w:t>55,528</w:t>
            </w:r>
          </w:p>
        </w:tc>
        <w:tc>
          <w:tcPr>
            <w:tcW w:w="1480" w:type="dxa"/>
            <w:vAlign w:val="bottom"/>
            <w:tcBorders>
              <w:bottom w:val="single" w:sz="8" w:color="auto"/>
              <w:right w:val="single" w:sz="8" w:color="auto"/>
            </w:tcBorders>
            <w:shd w:val="clear" w:color="auto" w:fill="D4DBEB"/>
          </w:tcPr>
          <w:p>
            <w:pPr>
              <w:jc w:val="right"/>
              <w:ind w:right="288"/>
              <w:spacing w:after="0"/>
              <w:rPr>
                <w:sz w:val="20"/>
                <w:szCs w:val="20"/>
                <w:color w:val="auto"/>
              </w:rPr>
            </w:pPr>
            <w:r>
              <w:rPr>
                <w:rFonts w:ascii="Arial" w:cs="Arial" w:eastAsia="Arial" w:hAnsi="Arial"/>
                <w:sz w:val="14"/>
                <w:szCs w:val="14"/>
                <w:color w:val="auto"/>
              </w:rPr>
              <w:t>15,107</w:t>
            </w:r>
          </w:p>
        </w:tc>
        <w:tc>
          <w:tcPr>
            <w:tcW w:w="1660" w:type="dxa"/>
            <w:vAlign w:val="bottom"/>
            <w:tcBorders>
              <w:bottom w:val="single" w:sz="8" w:color="auto"/>
              <w:right w:val="single" w:sz="8" w:color="auto"/>
            </w:tcBorders>
            <w:shd w:val="clear" w:color="auto" w:fill="D4DBEB"/>
          </w:tcPr>
          <w:p>
            <w:pPr>
              <w:jc w:val="center"/>
              <w:ind w:left="228"/>
              <w:spacing w:after="0"/>
              <w:rPr>
                <w:sz w:val="20"/>
                <w:szCs w:val="20"/>
                <w:color w:val="auto"/>
              </w:rPr>
            </w:pPr>
            <w:r>
              <w:rPr>
                <w:rFonts w:ascii="Arial" w:cs="Arial" w:eastAsia="Arial" w:hAnsi="Arial"/>
                <w:sz w:val="14"/>
                <w:szCs w:val="14"/>
                <w:color w:val="auto"/>
              </w:rPr>
              <w:t>0</w:t>
            </w:r>
          </w:p>
        </w:tc>
        <w:tc>
          <w:tcPr>
            <w:tcW w:w="1120" w:type="dxa"/>
            <w:vAlign w:val="bottom"/>
            <w:tcBorders>
              <w:bottom w:val="single" w:sz="8" w:color="auto"/>
              <w:right w:val="single" w:sz="8" w:color="auto"/>
            </w:tcBorders>
            <w:shd w:val="clear" w:color="auto" w:fill="D4DBEB"/>
          </w:tcPr>
          <w:p>
            <w:pPr>
              <w:jc w:val="right"/>
              <w:ind w:right="8"/>
              <w:spacing w:after="0"/>
              <w:rPr>
                <w:sz w:val="20"/>
                <w:szCs w:val="20"/>
                <w:color w:val="auto"/>
              </w:rPr>
            </w:pPr>
            <w:r>
              <w:rPr>
                <w:rFonts w:ascii="Arial" w:cs="Arial" w:eastAsia="Arial" w:hAnsi="Arial"/>
                <w:sz w:val="14"/>
                <w:szCs w:val="14"/>
                <w:color w:val="auto"/>
              </w:rPr>
              <w:t>523,267</w:t>
            </w:r>
          </w:p>
        </w:tc>
      </w:tr>
    </w:tbl>
    <w:p>
      <w:pPr>
        <w:spacing w:after="0" w:line="99" w:lineRule="exact"/>
        <w:rPr>
          <w:sz w:val="20"/>
          <w:szCs w:val="20"/>
          <w:color w:val="auto"/>
        </w:rPr>
      </w:pPr>
    </w:p>
    <w:p>
      <w:pPr>
        <w:ind w:left="1240" w:right="360" w:hanging="388"/>
        <w:spacing w:after="0" w:line="275" w:lineRule="auto"/>
        <w:tabs>
          <w:tab w:leader="none" w:pos="1240" w:val="left"/>
        </w:tabs>
        <w:numPr>
          <w:ilvl w:val="0"/>
          <w:numId w:val="87"/>
        </w:numPr>
        <w:rPr>
          <w:rFonts w:ascii="Times New Roman" w:cs="Times New Roman" w:eastAsia="Times New Roman" w:hAnsi="Times New Roman"/>
          <w:sz w:val="18"/>
          <w:szCs w:val="18"/>
          <w:color w:val="auto"/>
        </w:rPr>
      </w:pPr>
      <w:r>
        <w:rPr>
          <w:rFonts w:ascii="Arial" w:cs="Arial" w:eastAsia="Arial" w:hAnsi="Arial"/>
          <w:sz w:val="18"/>
          <w:szCs w:val="18"/>
          <w:color w:val="auto"/>
        </w:rPr>
        <w:t>The table above shows the value of the Company credits under ExxonMobil’s nonqualified Supplemental Savings Plan. For a description of the nonqualified Supplemental Savings Plan, see page 40.</w:t>
      </w:r>
    </w:p>
    <w:p>
      <w:pPr>
        <w:spacing w:after="0" w:line="51" w:lineRule="exact"/>
        <w:rPr>
          <w:rFonts w:ascii="Times New Roman" w:cs="Times New Roman" w:eastAsia="Times New Roman" w:hAnsi="Times New Roman"/>
          <w:sz w:val="18"/>
          <w:szCs w:val="18"/>
          <w:color w:val="auto"/>
        </w:rPr>
      </w:pPr>
    </w:p>
    <w:p>
      <w:pPr>
        <w:ind w:left="1240" w:right="120" w:hanging="388"/>
        <w:spacing w:after="0" w:line="255" w:lineRule="auto"/>
        <w:tabs>
          <w:tab w:leader="none" w:pos="1240" w:val="left"/>
        </w:tabs>
        <w:numPr>
          <w:ilvl w:val="0"/>
          <w:numId w:val="87"/>
        </w:numPr>
        <w:rPr>
          <w:rFonts w:ascii="Times New Roman" w:cs="Times New Roman" w:eastAsia="Times New Roman" w:hAnsi="Times New Roman"/>
          <w:sz w:val="18"/>
          <w:szCs w:val="18"/>
          <w:color w:val="auto"/>
        </w:rPr>
      </w:pPr>
      <w:r>
        <w:rPr>
          <w:rFonts w:ascii="Arial" w:cs="Arial" w:eastAsia="Arial" w:hAnsi="Arial"/>
          <w:sz w:val="18"/>
          <w:szCs w:val="18"/>
          <w:color w:val="auto"/>
        </w:rPr>
        <w:t>The nonqualified savings plan provides employees with the 7-percent, Company-matching contribution to which they would otherwise be entitled under the qualified plan if not for limitations on covered compensation and total contributions under the Internal Revenue Code.</w:t>
      </w:r>
    </w:p>
    <w:p>
      <w:pPr>
        <w:spacing w:after="0" w:line="68" w:lineRule="exact"/>
        <w:rPr>
          <w:rFonts w:ascii="Times New Roman" w:cs="Times New Roman" w:eastAsia="Times New Roman" w:hAnsi="Times New Roman"/>
          <w:sz w:val="18"/>
          <w:szCs w:val="18"/>
          <w:color w:val="auto"/>
        </w:rPr>
      </w:pPr>
    </w:p>
    <w:p>
      <w:pPr>
        <w:ind w:left="1240" w:right="140" w:hanging="388"/>
        <w:spacing w:after="0" w:line="275" w:lineRule="auto"/>
        <w:tabs>
          <w:tab w:leader="none" w:pos="1240" w:val="left"/>
        </w:tabs>
        <w:numPr>
          <w:ilvl w:val="0"/>
          <w:numId w:val="87"/>
        </w:numPr>
        <w:rPr>
          <w:rFonts w:ascii="Times New Roman" w:cs="Times New Roman" w:eastAsia="Times New Roman" w:hAnsi="Times New Roman"/>
          <w:sz w:val="18"/>
          <w:szCs w:val="18"/>
          <w:color w:val="auto"/>
        </w:rPr>
      </w:pPr>
      <w:r>
        <w:rPr>
          <w:rFonts w:ascii="Arial" w:cs="Arial" w:eastAsia="Arial" w:hAnsi="Arial"/>
          <w:sz w:val="18"/>
          <w:szCs w:val="18"/>
          <w:color w:val="auto"/>
        </w:rPr>
        <w:t>The rate at which the nonqualified savings plan account bears interest during the term of a participant’s employment is 120 percent of the long-term Applicable Federal Rate.</w:t>
      </w:r>
    </w:p>
    <w:p>
      <w:pPr>
        <w:spacing w:after="0" w:line="51" w:lineRule="exact"/>
        <w:rPr>
          <w:rFonts w:ascii="Times New Roman" w:cs="Times New Roman" w:eastAsia="Times New Roman" w:hAnsi="Times New Roman"/>
          <w:sz w:val="18"/>
          <w:szCs w:val="18"/>
          <w:color w:val="auto"/>
        </w:rPr>
      </w:pPr>
    </w:p>
    <w:p>
      <w:pPr>
        <w:ind w:left="1240" w:right="160" w:hanging="388"/>
        <w:spacing w:after="0" w:line="245" w:lineRule="auto"/>
        <w:tabs>
          <w:tab w:leader="none" w:pos="1240" w:val="left"/>
        </w:tabs>
        <w:numPr>
          <w:ilvl w:val="0"/>
          <w:numId w:val="87"/>
        </w:numPr>
        <w:rPr>
          <w:rFonts w:ascii="Times New Roman" w:cs="Times New Roman" w:eastAsia="Times New Roman" w:hAnsi="Times New Roman"/>
          <w:sz w:val="18"/>
          <w:szCs w:val="18"/>
          <w:color w:val="auto"/>
        </w:rPr>
      </w:pPr>
      <w:r>
        <w:rPr>
          <w:rFonts w:ascii="Arial" w:cs="Arial" w:eastAsia="Arial" w:hAnsi="Arial"/>
          <w:sz w:val="18"/>
          <w:szCs w:val="18"/>
          <w:color w:val="auto"/>
        </w:rPr>
        <w:t>The Company credits for 2017 are also included in the Summary Compensation Table under the column labeled All Other Compensation. The aggregate balance at the last fiscal year end shown above includes amounts reported as Company contributions in the Summary Compensation Table of the current proxy statement and proxy statements from prior years as follows: $149,567 for Mr. Woods; $381,238 for Mr. Swiger; $438,550 for Mr. Albers; $566,913 for Mr. Dolan; and $55,528 for Mr. Duffin.</w:t>
      </w:r>
    </w:p>
    <w:p>
      <w:pPr>
        <w:spacing w:after="0" w:line="170" w:lineRule="exact"/>
        <w:rPr>
          <w:sz w:val="20"/>
          <w:szCs w:val="20"/>
          <w:color w:val="auto"/>
        </w:rPr>
      </w:pPr>
    </w:p>
    <w:p>
      <w:pPr>
        <w:ind w:left="860"/>
        <w:spacing w:after="0"/>
        <w:rPr>
          <w:sz w:val="20"/>
          <w:szCs w:val="20"/>
          <w:color w:val="auto"/>
        </w:rPr>
      </w:pPr>
      <w:r>
        <w:rPr>
          <w:rFonts w:ascii="Arial" w:cs="Arial" w:eastAsia="Arial" w:hAnsi="Arial"/>
          <w:sz w:val="18"/>
          <w:szCs w:val="18"/>
          <w:b w:val="1"/>
          <w:bCs w:val="1"/>
          <w:color w:val="auto"/>
        </w:rPr>
        <w:t>Administrative Services for Retired Employee Directors</w:t>
      </w:r>
    </w:p>
    <w:p>
      <w:pPr>
        <w:spacing w:after="0" w:line="119" w:lineRule="exact"/>
        <w:rPr>
          <w:sz w:val="20"/>
          <w:szCs w:val="20"/>
          <w:color w:val="auto"/>
        </w:rPr>
      </w:pPr>
    </w:p>
    <w:p>
      <w:pPr>
        <w:ind w:left="1240" w:right="320" w:hanging="388"/>
        <w:spacing w:after="0" w:line="245" w:lineRule="auto"/>
        <w:tabs>
          <w:tab w:leader="none" w:pos="1240" w:val="left"/>
        </w:tabs>
        <w:numPr>
          <w:ilvl w:val="0"/>
          <w:numId w:val="88"/>
        </w:numPr>
        <w:rPr>
          <w:rFonts w:ascii="Times New Roman" w:cs="Times New Roman" w:eastAsia="Times New Roman" w:hAnsi="Times New Roman"/>
          <w:sz w:val="18"/>
          <w:szCs w:val="18"/>
          <w:color w:val="auto"/>
        </w:rPr>
      </w:pPr>
      <w:r>
        <w:rPr>
          <w:rFonts w:ascii="Arial" w:cs="Arial" w:eastAsia="Arial" w:hAnsi="Arial"/>
          <w:sz w:val="18"/>
          <w:szCs w:val="18"/>
          <w:color w:val="auto"/>
        </w:rPr>
        <w:t>The Company provides certain administrative support to retired employee directors, generally involving, but not limited to, assistance with correspondence and travel arrangements relating to activities the retired directors are involved with that continue from their employment, such as board positions with nonprofit organizations. Given the nature of the support provided, a retired director’s spouse may also benefit from the support provided. Retired employee directors are also allowed to use vacant office space at headquarters.</w:t>
      </w:r>
    </w:p>
    <w:p>
      <w:pPr>
        <w:spacing w:after="0" w:line="77" w:lineRule="exact"/>
        <w:rPr>
          <w:rFonts w:ascii="Times New Roman" w:cs="Times New Roman" w:eastAsia="Times New Roman" w:hAnsi="Times New Roman"/>
          <w:sz w:val="18"/>
          <w:szCs w:val="18"/>
          <w:color w:val="auto"/>
        </w:rPr>
      </w:pPr>
    </w:p>
    <w:p>
      <w:pPr>
        <w:jc w:val="both"/>
        <w:ind w:left="1240" w:right="200" w:hanging="388"/>
        <w:spacing w:after="0" w:line="255" w:lineRule="auto"/>
        <w:tabs>
          <w:tab w:leader="none" w:pos="1240" w:val="left"/>
        </w:tabs>
        <w:numPr>
          <w:ilvl w:val="0"/>
          <w:numId w:val="88"/>
        </w:numPr>
        <w:rPr>
          <w:rFonts w:ascii="Times New Roman" w:cs="Times New Roman" w:eastAsia="Times New Roman" w:hAnsi="Times New Roman"/>
          <w:sz w:val="18"/>
          <w:szCs w:val="18"/>
          <w:color w:val="auto"/>
        </w:rPr>
      </w:pPr>
      <w:r>
        <w:rPr>
          <w:rFonts w:ascii="Arial" w:cs="Arial" w:eastAsia="Arial" w:hAnsi="Arial"/>
          <w:sz w:val="18"/>
          <w:szCs w:val="18"/>
          <w:color w:val="auto"/>
        </w:rPr>
        <w:t>The aggregate incremental cost of providing these services to all current beneficiaries is approximately $65,000 per year. This amount represents the cost of compensation and benefits for support personnel allocated based on their estimated time dedicated to providing this service, as well as other miscellaneous office support costs.</w:t>
      </w:r>
    </w:p>
    <w:p>
      <w:pPr>
        <w:spacing w:after="0" w:line="68" w:lineRule="exact"/>
        <w:rPr>
          <w:rFonts w:ascii="Times New Roman" w:cs="Times New Roman" w:eastAsia="Times New Roman" w:hAnsi="Times New Roman"/>
          <w:sz w:val="18"/>
          <w:szCs w:val="18"/>
          <w:color w:val="auto"/>
        </w:rPr>
      </w:pPr>
    </w:p>
    <w:p>
      <w:pPr>
        <w:ind w:left="1240" w:right="460" w:hanging="388"/>
        <w:spacing w:after="0" w:line="275" w:lineRule="auto"/>
        <w:tabs>
          <w:tab w:leader="none" w:pos="1240" w:val="left"/>
        </w:tabs>
        <w:numPr>
          <w:ilvl w:val="0"/>
          <w:numId w:val="88"/>
        </w:numPr>
        <w:rPr>
          <w:rFonts w:ascii="Times New Roman" w:cs="Times New Roman" w:eastAsia="Times New Roman" w:hAnsi="Times New Roman"/>
          <w:sz w:val="18"/>
          <w:szCs w:val="18"/>
          <w:color w:val="auto"/>
        </w:rPr>
      </w:pPr>
      <w:r>
        <w:rPr>
          <w:rFonts w:ascii="Arial" w:cs="Arial" w:eastAsia="Arial" w:hAnsi="Arial"/>
          <w:sz w:val="18"/>
          <w:szCs w:val="18"/>
          <w:color w:val="auto"/>
        </w:rPr>
        <w:t>It is not possible to estimate the future cost that may be incurred by the Company for providing these services to Mr. Woods, who is currently the only employee director.</w:t>
      </w:r>
    </w:p>
    <w:p>
      <w:pPr>
        <w:spacing w:after="0" w:line="78" w:lineRule="exact"/>
        <w:rPr>
          <w:sz w:val="20"/>
          <w:szCs w:val="20"/>
          <w:color w:val="auto"/>
        </w:rPr>
      </w:pPr>
    </w:p>
    <w:p>
      <w:pPr>
        <w:ind w:left="880"/>
        <w:spacing w:after="0"/>
        <w:tabs>
          <w:tab w:leader="none" w:pos="2780" w:val="left"/>
        </w:tabs>
        <w:rPr>
          <w:sz w:val="20"/>
          <w:szCs w:val="20"/>
          <w:color w:val="auto"/>
        </w:rPr>
      </w:pPr>
      <w:r>
        <w:rPr>
          <w:rFonts w:ascii="Arial" w:cs="Arial" w:eastAsia="Arial" w:hAnsi="Arial"/>
          <w:sz w:val="18"/>
          <w:szCs w:val="18"/>
          <w:color w:val="auto"/>
        </w:rPr>
        <w:t>52</w:t>
      </w:r>
      <w:r>
        <w:rPr>
          <w:sz w:val="20"/>
          <w:szCs w:val="20"/>
          <w:color w:val="auto"/>
        </w:rPr>
        <w:tab/>
      </w:r>
      <w:r>
        <w:rPr>
          <w:rFonts w:ascii="Times New Roman" w:cs="Times New Roman" w:eastAsia="Times New Roman" w:hAnsi="Times New Roman"/>
          <w:sz w:val="18"/>
          <w:szCs w:val="18"/>
          <w:i w:val="1"/>
          <w:iCs w:val="1"/>
          <w:color w:val="auto"/>
        </w:rPr>
        <w:t>2018 Proxy Statement</w:t>
      </w:r>
    </w:p>
    <w:p>
      <w:pPr>
        <w:sectPr>
          <w:pgSz w:w="11900" w:h="16838" w:orient="portrait"/>
          <w:cols w:equalWidth="0" w:num="1">
            <w:col w:w="10600"/>
          </w:cols>
          <w:pgMar w:left="240" w:top="455" w:right="1059" w:bottom="1440" w:gutter="0" w:footer="0" w:header="0"/>
        </w:sectPr>
      </w:pPr>
    </w:p>
    <w:bookmarkStart w:id="55" w:name="page56"/>
    <w:bookmarkEnd w:id="55"/>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pic:cNvPicPr>
                      <a:picLocks noChangeAspect="1" noChangeArrowheads="1"/>
                    </pic:cNvPicPr>
                  </pic:nvPicPr>
                  <pic:blipFill>
                    <a:blip r:embed="rId111">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Times New Roman" w:cs="Times New Roman" w:eastAsia="Times New Roman" w:hAnsi="Times New Roman"/>
            <w:sz w:val="18"/>
            <w:szCs w:val="18"/>
            <w:b w:val="1"/>
            <w:bCs w:val="1"/>
            <w:u w:val="single" w:color="auto"/>
            <w:color w:val="0000EE"/>
          </w:rPr>
          <w:t>Table of Contents</w:t>
        </w:r>
      </w:hyperlink>
    </w:p>
    <w:p>
      <w:pPr>
        <w:spacing w:after="0" w:line="303" w:lineRule="exact"/>
        <w:rPr>
          <w:sz w:val="20"/>
          <w:szCs w:val="20"/>
          <w:color w:val="auto"/>
        </w:rPr>
      </w:pPr>
    </w:p>
    <w:p>
      <w:pPr>
        <w:ind w:left="860"/>
        <w:spacing w:after="0"/>
        <w:rPr>
          <w:sz w:val="20"/>
          <w:szCs w:val="20"/>
          <w:color w:val="auto"/>
        </w:rPr>
      </w:pPr>
      <w:r>
        <w:rPr>
          <w:rFonts w:ascii="Arial" w:cs="Arial" w:eastAsia="Arial" w:hAnsi="Arial"/>
          <w:sz w:val="18"/>
          <w:szCs w:val="18"/>
          <w:b w:val="1"/>
          <w:bCs w:val="1"/>
          <w:color w:val="auto"/>
        </w:rPr>
        <w:t>Health Care Benefits</w:t>
      </w:r>
    </w:p>
    <w:p>
      <w:pPr>
        <w:spacing w:after="0" w:line="119" w:lineRule="exact"/>
        <w:rPr>
          <w:sz w:val="20"/>
          <w:szCs w:val="20"/>
          <w:color w:val="auto"/>
        </w:rPr>
      </w:pPr>
    </w:p>
    <w:p>
      <w:pPr>
        <w:ind w:left="1240" w:right="220" w:hanging="388"/>
        <w:spacing w:after="0" w:line="255" w:lineRule="auto"/>
        <w:tabs>
          <w:tab w:leader="none" w:pos="1240" w:val="left"/>
        </w:tabs>
        <w:numPr>
          <w:ilvl w:val="0"/>
          <w:numId w:val="89"/>
        </w:numPr>
        <w:rPr>
          <w:rFonts w:ascii="Times New Roman" w:cs="Times New Roman" w:eastAsia="Times New Roman" w:hAnsi="Times New Roman"/>
          <w:sz w:val="18"/>
          <w:szCs w:val="18"/>
          <w:color w:val="auto"/>
        </w:rPr>
      </w:pPr>
      <w:r>
        <w:rPr>
          <w:rFonts w:ascii="Arial" w:cs="Arial" w:eastAsia="Arial" w:hAnsi="Arial"/>
          <w:sz w:val="18"/>
          <w:szCs w:val="18"/>
          <w:color w:val="auto"/>
        </w:rPr>
        <w:t>Executives and their families are eligible to participate in the Company’s health care programs, including medical, dental, prescription drug, and vision care, on the same basis as all other U.S. employees. No special provisions apply.</w:t>
      </w:r>
    </w:p>
    <w:p>
      <w:pPr>
        <w:spacing w:after="0" w:line="161" w:lineRule="exact"/>
        <w:rPr>
          <w:sz w:val="20"/>
          <w:szCs w:val="20"/>
          <w:color w:val="auto"/>
        </w:rPr>
      </w:pPr>
    </w:p>
    <w:p>
      <w:pPr>
        <w:ind w:left="860"/>
        <w:spacing w:after="0"/>
        <w:rPr>
          <w:sz w:val="20"/>
          <w:szCs w:val="20"/>
          <w:color w:val="auto"/>
        </w:rPr>
      </w:pPr>
      <w:r>
        <w:rPr>
          <w:rFonts w:ascii="Arial" w:cs="Arial" w:eastAsia="Arial" w:hAnsi="Arial"/>
          <w:sz w:val="18"/>
          <w:szCs w:val="18"/>
          <w:b w:val="1"/>
          <w:bCs w:val="1"/>
          <w:color w:val="auto"/>
        </w:rPr>
        <w:t>Unused Vacation</w:t>
      </w:r>
    </w:p>
    <w:p>
      <w:pPr>
        <w:spacing w:after="0" w:line="119" w:lineRule="exact"/>
        <w:rPr>
          <w:sz w:val="20"/>
          <w:szCs w:val="20"/>
          <w:color w:val="auto"/>
        </w:rPr>
      </w:pPr>
    </w:p>
    <w:p>
      <w:pPr>
        <w:ind w:left="1240" w:right="40" w:hanging="388"/>
        <w:spacing w:after="0" w:line="255" w:lineRule="auto"/>
        <w:tabs>
          <w:tab w:leader="none" w:pos="1240" w:val="left"/>
        </w:tabs>
        <w:numPr>
          <w:ilvl w:val="0"/>
          <w:numId w:val="90"/>
        </w:numPr>
        <w:rPr>
          <w:rFonts w:ascii="Times New Roman" w:cs="Times New Roman" w:eastAsia="Times New Roman" w:hAnsi="Times New Roman"/>
          <w:sz w:val="18"/>
          <w:szCs w:val="18"/>
          <w:color w:val="auto"/>
        </w:rPr>
      </w:pPr>
      <w:r>
        <w:rPr>
          <w:rFonts w:ascii="Arial" w:cs="Arial" w:eastAsia="Arial" w:hAnsi="Arial"/>
          <w:sz w:val="18"/>
          <w:szCs w:val="18"/>
          <w:color w:val="auto"/>
        </w:rPr>
        <w:t>U.S. salaried employees are entitled to payment of salary for any accumulated but unused vacation days at retirement or other termination of employment. Payment for unused vacation is included in final payments of earned salary, if applicable.</w:t>
      </w:r>
    </w:p>
    <w:p>
      <w:pPr>
        <w:spacing w:after="0" w:line="161" w:lineRule="exact"/>
        <w:rPr>
          <w:sz w:val="20"/>
          <w:szCs w:val="20"/>
          <w:color w:val="auto"/>
        </w:rPr>
      </w:pPr>
    </w:p>
    <w:p>
      <w:pPr>
        <w:ind w:left="860"/>
        <w:spacing w:after="0"/>
        <w:rPr>
          <w:sz w:val="20"/>
          <w:szCs w:val="20"/>
          <w:color w:val="auto"/>
        </w:rPr>
      </w:pPr>
      <w:r>
        <w:rPr>
          <w:rFonts w:ascii="Arial" w:cs="Arial" w:eastAsia="Arial" w:hAnsi="Arial"/>
          <w:sz w:val="18"/>
          <w:szCs w:val="18"/>
          <w:b w:val="1"/>
          <w:bCs w:val="1"/>
          <w:color w:val="auto"/>
        </w:rPr>
        <w:t>Termination and Change in Control</w:t>
      </w:r>
    </w:p>
    <w:p>
      <w:pPr>
        <w:spacing w:after="0" w:line="119" w:lineRule="exact"/>
        <w:rPr>
          <w:sz w:val="20"/>
          <w:szCs w:val="20"/>
          <w:color w:val="auto"/>
        </w:rPr>
      </w:pPr>
    </w:p>
    <w:p>
      <w:pPr>
        <w:ind w:left="1240" w:right="480" w:hanging="388"/>
        <w:spacing w:after="0" w:line="275" w:lineRule="auto"/>
        <w:tabs>
          <w:tab w:leader="none" w:pos="1240" w:val="left"/>
        </w:tabs>
        <w:numPr>
          <w:ilvl w:val="0"/>
          <w:numId w:val="91"/>
        </w:numPr>
        <w:rPr>
          <w:rFonts w:ascii="Times New Roman" w:cs="Times New Roman" w:eastAsia="Times New Roman" w:hAnsi="Times New Roman"/>
          <w:sz w:val="18"/>
          <w:szCs w:val="18"/>
          <w:color w:val="auto"/>
        </w:rPr>
      </w:pPr>
      <w:r>
        <w:rPr>
          <w:rFonts w:ascii="Arial" w:cs="Arial" w:eastAsia="Arial" w:hAnsi="Arial"/>
          <w:sz w:val="18"/>
          <w:szCs w:val="18"/>
          <w:color w:val="auto"/>
        </w:rPr>
        <w:t>The Named Executive Officers are not entitled to any additional payments or benefits relating to termination of employment other than the retirement benefits previously described.</w:t>
      </w:r>
    </w:p>
    <w:p>
      <w:pPr>
        <w:spacing w:after="0" w:line="51" w:lineRule="exact"/>
        <w:rPr>
          <w:rFonts w:ascii="Times New Roman" w:cs="Times New Roman" w:eastAsia="Times New Roman" w:hAnsi="Times New Roman"/>
          <w:sz w:val="18"/>
          <w:szCs w:val="18"/>
          <w:color w:val="auto"/>
        </w:rPr>
      </w:pPr>
    </w:p>
    <w:p>
      <w:pPr>
        <w:ind w:left="1240" w:right="700" w:hanging="388"/>
        <w:spacing w:after="0" w:line="275" w:lineRule="auto"/>
        <w:tabs>
          <w:tab w:leader="none" w:pos="1240" w:val="left"/>
        </w:tabs>
        <w:numPr>
          <w:ilvl w:val="0"/>
          <w:numId w:val="91"/>
        </w:numPr>
        <w:rPr>
          <w:rFonts w:ascii="Times New Roman" w:cs="Times New Roman" w:eastAsia="Times New Roman" w:hAnsi="Times New Roman"/>
          <w:sz w:val="18"/>
          <w:szCs w:val="18"/>
          <w:color w:val="auto"/>
        </w:rPr>
      </w:pPr>
      <w:r>
        <w:rPr>
          <w:rFonts w:ascii="Arial" w:cs="Arial" w:eastAsia="Arial" w:hAnsi="Arial"/>
          <w:sz w:val="18"/>
          <w:szCs w:val="18"/>
          <w:color w:val="auto"/>
        </w:rPr>
        <w:t>The Named Executive Officers do not have employment contracts, a severance program, or any benefits or payments triggered by a change in control.</w:t>
      </w:r>
    </w:p>
    <w:p>
      <w:pPr>
        <w:spacing w:after="0" w:line="51" w:lineRule="exact"/>
        <w:rPr>
          <w:rFonts w:ascii="Times New Roman" w:cs="Times New Roman" w:eastAsia="Times New Roman" w:hAnsi="Times New Roman"/>
          <w:sz w:val="18"/>
          <w:szCs w:val="18"/>
          <w:color w:val="auto"/>
        </w:rPr>
      </w:pPr>
    </w:p>
    <w:p>
      <w:pPr>
        <w:ind w:left="1240" w:hanging="388"/>
        <w:spacing w:after="0"/>
        <w:tabs>
          <w:tab w:leader="none" w:pos="1240" w:val="left"/>
        </w:tabs>
        <w:numPr>
          <w:ilvl w:val="0"/>
          <w:numId w:val="91"/>
        </w:numPr>
        <w:rPr>
          <w:rFonts w:ascii="Times New Roman" w:cs="Times New Roman" w:eastAsia="Times New Roman" w:hAnsi="Times New Roman"/>
          <w:sz w:val="18"/>
          <w:szCs w:val="18"/>
          <w:color w:val="auto"/>
        </w:rPr>
      </w:pPr>
      <w:r>
        <w:rPr>
          <w:rFonts w:ascii="Arial" w:cs="Arial" w:eastAsia="Arial" w:hAnsi="Arial"/>
          <w:sz w:val="18"/>
          <w:szCs w:val="18"/>
          <w:color w:val="auto"/>
        </w:rPr>
        <w:t>For more details on ExxonMobil’s clawback policy and forfeiture provisions, see page 43.</w:t>
      </w:r>
    </w:p>
    <w:p>
      <w:pPr>
        <w:spacing w:after="0" w:line="222" w:lineRule="exact"/>
        <w:rPr>
          <w:sz w:val="20"/>
          <w:szCs w:val="20"/>
          <w:color w:val="auto"/>
        </w:rPr>
      </w:pPr>
    </w:p>
    <w:p>
      <w:pPr>
        <w:ind w:left="860"/>
        <w:spacing w:after="0"/>
        <w:rPr>
          <w:sz w:val="20"/>
          <w:szCs w:val="20"/>
          <w:color w:val="auto"/>
        </w:rPr>
      </w:pPr>
      <w:r>
        <w:rPr>
          <w:rFonts w:ascii="Arial" w:cs="Arial" w:eastAsia="Arial" w:hAnsi="Arial"/>
          <w:sz w:val="18"/>
          <w:szCs w:val="18"/>
          <w:b w:val="1"/>
          <w:bCs w:val="1"/>
          <w:color w:val="auto"/>
        </w:rPr>
        <w:t>Payments in the Event of Death</w:t>
      </w:r>
    </w:p>
    <w:p>
      <w:pPr>
        <w:spacing w:after="0" w:line="119" w:lineRule="exact"/>
        <w:rPr>
          <w:sz w:val="20"/>
          <w:szCs w:val="20"/>
          <w:color w:val="auto"/>
        </w:rPr>
      </w:pPr>
    </w:p>
    <w:p>
      <w:pPr>
        <w:ind w:left="1240" w:right="320" w:hanging="388"/>
        <w:spacing w:after="0" w:line="275" w:lineRule="auto"/>
        <w:tabs>
          <w:tab w:leader="none" w:pos="1240" w:val="left"/>
        </w:tabs>
        <w:numPr>
          <w:ilvl w:val="0"/>
          <w:numId w:val="92"/>
        </w:numPr>
        <w:rPr>
          <w:rFonts w:ascii="Times New Roman" w:cs="Times New Roman" w:eastAsia="Times New Roman" w:hAnsi="Times New Roman"/>
          <w:sz w:val="18"/>
          <w:szCs w:val="18"/>
          <w:color w:val="auto"/>
        </w:rPr>
      </w:pPr>
      <w:r>
        <w:rPr>
          <w:rFonts w:ascii="Arial" w:cs="Arial" w:eastAsia="Arial" w:hAnsi="Arial"/>
          <w:sz w:val="18"/>
          <w:szCs w:val="18"/>
          <w:color w:val="auto"/>
        </w:rPr>
        <w:t>The only event that results in the acceleration of the vesting period for outstanding performance share awards is death.</w:t>
      </w:r>
    </w:p>
    <w:p>
      <w:pPr>
        <w:spacing w:after="0" w:line="51" w:lineRule="exact"/>
        <w:rPr>
          <w:rFonts w:ascii="Times New Roman" w:cs="Times New Roman" w:eastAsia="Times New Roman" w:hAnsi="Times New Roman"/>
          <w:sz w:val="18"/>
          <w:szCs w:val="18"/>
          <w:color w:val="auto"/>
        </w:rPr>
      </w:pPr>
    </w:p>
    <w:p>
      <w:pPr>
        <w:ind w:left="1240" w:right="80" w:hanging="388"/>
        <w:spacing w:after="0" w:line="248" w:lineRule="auto"/>
        <w:tabs>
          <w:tab w:leader="none" w:pos="1240" w:val="left"/>
        </w:tabs>
        <w:numPr>
          <w:ilvl w:val="0"/>
          <w:numId w:val="92"/>
        </w:numPr>
        <w:rPr>
          <w:rFonts w:ascii="Times New Roman" w:cs="Times New Roman" w:eastAsia="Times New Roman" w:hAnsi="Times New Roman"/>
          <w:sz w:val="18"/>
          <w:szCs w:val="18"/>
          <w:color w:val="auto"/>
        </w:rPr>
      </w:pPr>
      <w:r>
        <w:rPr>
          <w:rFonts w:ascii="Arial" w:cs="Arial" w:eastAsia="Arial" w:hAnsi="Arial"/>
          <w:sz w:val="18"/>
          <w:szCs w:val="18"/>
          <w:color w:val="auto"/>
        </w:rPr>
        <w:t>Also in the event of death, an executive’s estate or beneficiaries would be entitled to receive the applicable pension death benefits as described beginning on page 51, a distribution of the executive’s savings plan balances, and payment of Company-provided life insurance or death benefits as described beginning on page 47. At year-end 2017, the amount of Company-provided life insurance for each Named Executive Officer is as follows:</w:t>
      </w:r>
    </w:p>
    <w:p>
      <w:pPr>
        <w:spacing w:after="0" w:line="200" w:lineRule="exact"/>
        <w:rPr>
          <w:sz w:val="20"/>
          <w:szCs w:val="20"/>
          <w:color w:val="auto"/>
        </w:rPr>
      </w:pPr>
    </w:p>
    <w:tbl>
      <w:tblPr>
        <w:tblLayout w:type="fixed"/>
        <w:tblInd w:w="1290" w:type="dxa"/>
        <w:tblCellMar>
          <w:top w:w="0" w:type="dxa"/>
          <w:left w:w="0" w:type="dxa"/>
          <w:bottom w:w="0" w:type="dxa"/>
          <w:right w:w="0" w:type="dxa"/>
        </w:tblCellMar>
      </w:tblPr>
      <w:tr>
        <w:trPr>
          <w:trHeight w:val="256"/>
        </w:trPr>
        <w:tc>
          <w:tcPr>
            <w:tcW w:w="2660" w:type="dxa"/>
            <w:vAlign w:val="bottom"/>
            <w:tcBorders>
              <w:top w:val="single" w:sz="8" w:color="auto"/>
              <w:left w:val="single" w:sz="8" w:color="auto"/>
              <w:bottom w:val="single" w:sz="8" w:color="auto"/>
              <w:right w:val="single" w:sz="8" w:color="auto"/>
            </w:tcBorders>
          </w:tcPr>
          <w:p>
            <w:pPr>
              <w:ind w:left="160"/>
              <w:spacing w:after="0"/>
              <w:rPr>
                <w:sz w:val="20"/>
                <w:szCs w:val="20"/>
                <w:color w:val="auto"/>
              </w:rPr>
            </w:pPr>
            <w:r>
              <w:rPr>
                <w:rFonts w:ascii="Arial" w:cs="Arial" w:eastAsia="Arial" w:hAnsi="Arial"/>
                <w:sz w:val="14"/>
                <w:szCs w:val="14"/>
                <w:b w:val="1"/>
                <w:bCs w:val="1"/>
                <w:color w:val="auto"/>
              </w:rPr>
              <w:t>Name</w:t>
            </w:r>
          </w:p>
        </w:tc>
        <w:tc>
          <w:tcPr>
            <w:tcW w:w="2780" w:type="dxa"/>
            <w:vAlign w:val="bottom"/>
            <w:tcBorders>
              <w:top w:val="single" w:sz="8" w:color="auto"/>
              <w:bottom w:val="single" w:sz="8" w:color="auto"/>
              <w:right w:val="single" w:sz="8" w:color="auto"/>
            </w:tcBorders>
          </w:tcPr>
          <w:p>
            <w:pPr>
              <w:jc w:val="center"/>
              <w:spacing w:after="0"/>
              <w:rPr>
                <w:sz w:val="20"/>
                <w:szCs w:val="20"/>
                <w:color w:val="auto"/>
              </w:rPr>
            </w:pPr>
            <w:r>
              <w:rPr>
                <w:rFonts w:ascii="Arial" w:cs="Arial" w:eastAsia="Arial" w:hAnsi="Arial"/>
                <w:sz w:val="14"/>
                <w:szCs w:val="14"/>
                <w:b w:val="1"/>
                <w:bCs w:val="1"/>
                <w:color w:val="auto"/>
              </w:rPr>
              <w:t>Life Insurance Benefit ($)</w:t>
            </w:r>
          </w:p>
        </w:tc>
      </w:tr>
      <w:tr>
        <w:trPr>
          <w:trHeight w:val="238"/>
        </w:trPr>
        <w:tc>
          <w:tcPr>
            <w:tcW w:w="2660" w:type="dxa"/>
            <w:vAlign w:val="bottom"/>
            <w:tcBorders>
              <w:left w:val="single" w:sz="8" w:color="auto"/>
              <w:right w:val="single" w:sz="8" w:color="auto"/>
            </w:tcBorders>
            <w:shd w:val="clear" w:color="auto" w:fill="D4DBEB"/>
          </w:tcPr>
          <w:p>
            <w:pPr>
              <w:ind w:left="180"/>
              <w:spacing w:after="0"/>
              <w:rPr>
                <w:sz w:val="20"/>
                <w:szCs w:val="20"/>
                <w:color w:val="auto"/>
              </w:rPr>
            </w:pPr>
            <w:r>
              <w:rPr>
                <w:rFonts w:ascii="Arial" w:cs="Arial" w:eastAsia="Arial" w:hAnsi="Arial"/>
                <w:sz w:val="14"/>
                <w:szCs w:val="14"/>
                <w:color w:val="auto"/>
              </w:rPr>
              <w:t>D.W. Woods</w:t>
            </w:r>
          </w:p>
        </w:tc>
        <w:tc>
          <w:tcPr>
            <w:tcW w:w="2780" w:type="dxa"/>
            <w:vAlign w:val="bottom"/>
            <w:tcBorders>
              <w:right w:val="single" w:sz="8" w:color="auto"/>
            </w:tcBorders>
            <w:shd w:val="clear" w:color="auto" w:fill="D4DBEB"/>
          </w:tcPr>
          <w:p>
            <w:pPr>
              <w:jc w:val="center"/>
              <w:spacing w:after="0"/>
              <w:rPr>
                <w:sz w:val="20"/>
                <w:szCs w:val="20"/>
                <w:color w:val="auto"/>
              </w:rPr>
            </w:pPr>
            <w:r>
              <w:rPr>
                <w:rFonts w:ascii="Arial" w:cs="Arial" w:eastAsia="Arial" w:hAnsi="Arial"/>
                <w:sz w:val="14"/>
                <w:szCs w:val="14"/>
                <w:color w:val="auto"/>
              </w:rPr>
              <w:t>2,400,000</w:t>
            </w:r>
          </w:p>
        </w:tc>
      </w:tr>
      <w:tr>
        <w:trPr>
          <w:trHeight w:val="253"/>
        </w:trPr>
        <w:tc>
          <w:tcPr>
            <w:tcW w:w="2660" w:type="dxa"/>
            <w:vAlign w:val="bottom"/>
            <w:tcBorders>
              <w:left w:val="single" w:sz="8" w:color="auto"/>
              <w:right w:val="single" w:sz="8" w:color="auto"/>
            </w:tcBorders>
          </w:tcPr>
          <w:p>
            <w:pPr>
              <w:ind w:left="180"/>
              <w:spacing w:after="0"/>
              <w:rPr>
                <w:sz w:val="20"/>
                <w:szCs w:val="20"/>
                <w:color w:val="auto"/>
              </w:rPr>
            </w:pPr>
            <w:r>
              <w:rPr>
                <w:rFonts w:ascii="Arial" w:cs="Arial" w:eastAsia="Arial" w:hAnsi="Arial"/>
                <w:sz w:val="14"/>
                <w:szCs w:val="14"/>
                <w:color w:val="auto"/>
              </w:rPr>
              <w:t>A.P. Swiger</w:t>
            </w:r>
          </w:p>
        </w:tc>
        <w:tc>
          <w:tcPr>
            <w:tcW w:w="2780" w:type="dxa"/>
            <w:vAlign w:val="bottom"/>
            <w:tcBorders>
              <w:right w:val="single" w:sz="8" w:color="auto"/>
            </w:tcBorders>
          </w:tcPr>
          <w:p>
            <w:pPr>
              <w:jc w:val="center"/>
              <w:spacing w:after="0"/>
              <w:rPr>
                <w:sz w:val="20"/>
                <w:szCs w:val="20"/>
                <w:color w:val="auto"/>
              </w:rPr>
            </w:pPr>
            <w:r>
              <w:rPr>
                <w:rFonts w:ascii="Arial" w:cs="Arial" w:eastAsia="Arial" w:hAnsi="Arial"/>
                <w:sz w:val="14"/>
                <w:szCs w:val="14"/>
                <w:color w:val="auto"/>
              </w:rPr>
              <w:t>5,400,000</w:t>
            </w:r>
          </w:p>
        </w:tc>
      </w:tr>
      <w:tr>
        <w:trPr>
          <w:trHeight w:val="261"/>
        </w:trPr>
        <w:tc>
          <w:tcPr>
            <w:tcW w:w="2660" w:type="dxa"/>
            <w:vAlign w:val="bottom"/>
            <w:tcBorders>
              <w:left w:val="single" w:sz="8" w:color="auto"/>
              <w:right w:val="single" w:sz="8" w:color="auto"/>
            </w:tcBorders>
            <w:shd w:val="clear" w:color="auto" w:fill="D4DBEB"/>
          </w:tcPr>
          <w:p>
            <w:pPr>
              <w:ind w:left="180"/>
              <w:spacing w:after="0"/>
              <w:rPr>
                <w:sz w:val="20"/>
                <w:szCs w:val="20"/>
                <w:color w:val="auto"/>
              </w:rPr>
            </w:pPr>
            <w:r>
              <w:rPr>
                <w:rFonts w:ascii="Arial" w:cs="Arial" w:eastAsia="Arial" w:hAnsi="Arial"/>
                <w:sz w:val="14"/>
                <w:szCs w:val="14"/>
                <w:color w:val="auto"/>
              </w:rPr>
              <w:t>M.W. Albers</w:t>
            </w:r>
          </w:p>
        </w:tc>
        <w:tc>
          <w:tcPr>
            <w:tcW w:w="2780" w:type="dxa"/>
            <w:vAlign w:val="bottom"/>
            <w:tcBorders>
              <w:right w:val="single" w:sz="8" w:color="auto"/>
            </w:tcBorders>
            <w:shd w:val="clear" w:color="auto" w:fill="D4DBEB"/>
          </w:tcPr>
          <w:p>
            <w:pPr>
              <w:jc w:val="center"/>
              <w:spacing w:after="0"/>
              <w:rPr>
                <w:sz w:val="20"/>
                <w:szCs w:val="20"/>
                <w:color w:val="auto"/>
              </w:rPr>
            </w:pPr>
            <w:r>
              <w:rPr>
                <w:rFonts w:ascii="Arial" w:cs="Arial" w:eastAsia="Arial" w:hAnsi="Arial"/>
                <w:sz w:val="14"/>
                <w:szCs w:val="14"/>
                <w:color w:val="auto"/>
              </w:rPr>
              <w:t>5,400,000</w:t>
            </w:r>
          </w:p>
        </w:tc>
      </w:tr>
      <w:tr>
        <w:trPr>
          <w:trHeight w:val="253"/>
        </w:trPr>
        <w:tc>
          <w:tcPr>
            <w:tcW w:w="2660" w:type="dxa"/>
            <w:vAlign w:val="bottom"/>
            <w:tcBorders>
              <w:left w:val="single" w:sz="8" w:color="auto"/>
              <w:right w:val="single" w:sz="8" w:color="auto"/>
            </w:tcBorders>
          </w:tcPr>
          <w:p>
            <w:pPr>
              <w:ind w:left="180"/>
              <w:spacing w:after="0"/>
              <w:rPr>
                <w:sz w:val="20"/>
                <w:szCs w:val="20"/>
                <w:color w:val="auto"/>
              </w:rPr>
            </w:pPr>
            <w:r>
              <w:rPr>
                <w:rFonts w:ascii="Arial" w:cs="Arial" w:eastAsia="Arial" w:hAnsi="Arial"/>
                <w:sz w:val="14"/>
                <w:szCs w:val="14"/>
                <w:color w:val="auto"/>
              </w:rPr>
              <w:t>M.J. Dolan</w:t>
            </w:r>
          </w:p>
        </w:tc>
        <w:tc>
          <w:tcPr>
            <w:tcW w:w="2780" w:type="dxa"/>
            <w:vAlign w:val="bottom"/>
            <w:tcBorders>
              <w:right w:val="single" w:sz="8" w:color="auto"/>
            </w:tcBorders>
          </w:tcPr>
          <w:p>
            <w:pPr>
              <w:jc w:val="center"/>
              <w:spacing w:after="0"/>
              <w:rPr>
                <w:sz w:val="20"/>
                <w:szCs w:val="20"/>
                <w:color w:val="auto"/>
              </w:rPr>
            </w:pPr>
            <w:r>
              <w:rPr>
                <w:rFonts w:ascii="Arial" w:cs="Arial" w:eastAsia="Arial" w:hAnsi="Arial"/>
                <w:sz w:val="14"/>
                <w:szCs w:val="14"/>
                <w:color w:val="auto"/>
              </w:rPr>
              <w:t>5,760,000</w:t>
            </w:r>
          </w:p>
        </w:tc>
      </w:tr>
      <w:tr>
        <w:trPr>
          <w:trHeight w:val="257"/>
        </w:trPr>
        <w:tc>
          <w:tcPr>
            <w:tcW w:w="2660" w:type="dxa"/>
            <w:vAlign w:val="bottom"/>
            <w:tcBorders>
              <w:left w:val="single" w:sz="8" w:color="auto"/>
              <w:bottom w:val="single" w:sz="8" w:color="auto"/>
              <w:right w:val="single" w:sz="8" w:color="auto"/>
            </w:tcBorders>
            <w:shd w:val="clear" w:color="auto" w:fill="D4DBEB"/>
          </w:tcPr>
          <w:p>
            <w:pPr>
              <w:ind w:left="180"/>
              <w:spacing w:after="0"/>
              <w:rPr>
                <w:sz w:val="20"/>
                <w:szCs w:val="20"/>
                <w:color w:val="auto"/>
              </w:rPr>
            </w:pPr>
            <w:r>
              <w:rPr>
                <w:rFonts w:ascii="Arial" w:cs="Arial" w:eastAsia="Arial" w:hAnsi="Arial"/>
                <w:sz w:val="14"/>
                <w:szCs w:val="14"/>
                <w:color w:val="auto"/>
              </w:rPr>
              <w:t>N.W. Duffin</w:t>
            </w:r>
          </w:p>
        </w:tc>
        <w:tc>
          <w:tcPr>
            <w:tcW w:w="2780" w:type="dxa"/>
            <w:vAlign w:val="bottom"/>
            <w:tcBorders>
              <w:bottom w:val="single" w:sz="8" w:color="auto"/>
              <w:right w:val="single" w:sz="8" w:color="auto"/>
            </w:tcBorders>
            <w:shd w:val="clear" w:color="auto" w:fill="D4DBEB"/>
          </w:tcPr>
          <w:p>
            <w:pPr>
              <w:jc w:val="center"/>
              <w:spacing w:after="0"/>
              <w:rPr>
                <w:sz w:val="20"/>
                <w:szCs w:val="20"/>
                <w:color w:val="auto"/>
              </w:rPr>
            </w:pPr>
            <w:r>
              <w:rPr>
                <w:rFonts w:ascii="Arial" w:cs="Arial" w:eastAsia="Arial" w:hAnsi="Arial"/>
                <w:sz w:val="14"/>
                <w:szCs w:val="14"/>
                <w:color w:val="auto"/>
              </w:rPr>
              <w:t>4,284,000</w:t>
            </w:r>
          </w:p>
        </w:tc>
      </w:tr>
    </w:tbl>
    <w:p>
      <w:pPr>
        <w:spacing w:after="0" w:line="126" w:lineRule="exact"/>
        <w:rPr>
          <w:sz w:val="20"/>
          <w:szCs w:val="20"/>
          <w:color w:val="auto"/>
        </w:rPr>
      </w:pPr>
    </w:p>
    <w:tbl>
      <w:tblPr>
        <w:tblLayout w:type="fixed"/>
        <w:tblInd w:w="6960" w:type="dxa"/>
        <w:tblCellMar>
          <w:top w:w="0" w:type="dxa"/>
          <w:left w:w="0" w:type="dxa"/>
          <w:bottom w:w="0" w:type="dxa"/>
          <w:right w:w="0" w:type="dxa"/>
        </w:tblCellMar>
      </w:tblPr>
      <w:tr>
        <w:trPr>
          <w:trHeight w:val="243"/>
        </w:trPr>
        <w:tc>
          <w:tcPr>
            <w:tcW w:w="2440" w:type="dxa"/>
            <w:vAlign w:val="bottom"/>
          </w:tcPr>
          <w:p>
            <w:pPr>
              <w:spacing w:after="0"/>
              <w:rPr>
                <w:sz w:val="20"/>
                <w:szCs w:val="20"/>
                <w:color w:val="auto"/>
              </w:rPr>
            </w:pPr>
            <w:r>
              <w:rPr>
                <w:rFonts w:ascii="Times New Roman" w:cs="Times New Roman" w:eastAsia="Times New Roman" w:hAnsi="Times New Roman"/>
                <w:sz w:val="18"/>
                <w:szCs w:val="18"/>
                <w:i w:val="1"/>
                <w:iCs w:val="1"/>
                <w:color w:val="auto"/>
              </w:rPr>
              <w:t>2018 Proxy Statement</w:t>
            </w:r>
          </w:p>
        </w:tc>
        <w:tc>
          <w:tcPr>
            <w:tcW w:w="1060" w:type="dxa"/>
            <w:vAlign w:val="bottom"/>
          </w:tcPr>
          <w:p>
            <w:pPr>
              <w:jc w:val="right"/>
              <w:spacing w:after="0"/>
              <w:rPr>
                <w:sz w:val="20"/>
                <w:szCs w:val="20"/>
                <w:color w:val="auto"/>
              </w:rPr>
            </w:pPr>
            <w:r>
              <w:rPr>
                <w:rFonts w:ascii="Arial" w:cs="Arial" w:eastAsia="Arial" w:hAnsi="Arial"/>
                <w:sz w:val="18"/>
                <w:szCs w:val="18"/>
                <w:color w:val="auto"/>
              </w:rPr>
              <w:t>53</w:t>
            </w:r>
          </w:p>
        </w:tc>
      </w:tr>
    </w:tbl>
    <w:p>
      <w:pPr>
        <w:sectPr>
          <w:pgSz w:w="11900" w:h="16838" w:orient="portrait"/>
          <w:cols w:equalWidth="0" w:num="1">
            <w:col w:w="10460"/>
          </w:cols>
          <w:pgMar w:left="240" w:top="455" w:right="1199" w:bottom="1440" w:gutter="0" w:footer="0" w:header="0"/>
        </w:sectPr>
      </w:pPr>
    </w:p>
    <w:bookmarkStart w:id="56" w:name="page57"/>
    <w:bookmarkEnd w:id="56"/>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05" name="Picture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pic:cNvPicPr>
                      <a:picLocks noChangeAspect="1" noChangeArrowheads="1"/>
                    </pic:cNvPicPr>
                  </pic:nvPicPr>
                  <pic:blipFill>
                    <a:blip r:embed="rId112">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Times New Roman" w:cs="Times New Roman" w:eastAsia="Times New Roman" w:hAnsi="Times New Roman"/>
            <w:sz w:val="18"/>
            <w:szCs w:val="18"/>
            <w:b w:val="1"/>
            <w:bCs w:val="1"/>
            <w:u w:val="single" w:color="auto"/>
            <w:color w:val="0000EE"/>
          </w:rPr>
          <w:t>Table of Contents</w:t>
        </w:r>
      </w:hyperlink>
    </w:p>
    <w:p>
      <w:pPr>
        <w:spacing w:after="0" w:line="300" w:lineRule="exact"/>
        <w:rPr>
          <w:sz w:val="20"/>
          <w:szCs w:val="20"/>
          <w:color w:val="auto"/>
        </w:rPr>
      </w:pPr>
    </w:p>
    <w:p>
      <w:pPr>
        <w:ind w:left="860"/>
        <w:spacing w:after="0"/>
        <w:rPr>
          <w:sz w:val="20"/>
          <w:szCs w:val="20"/>
          <w:color w:val="auto"/>
        </w:rPr>
      </w:pPr>
      <w:r>
        <w:rPr>
          <w:rFonts w:ascii="Arial" w:cs="Arial" w:eastAsia="Arial" w:hAnsi="Arial"/>
          <w:sz w:val="23"/>
          <w:szCs w:val="23"/>
          <w:b w:val="1"/>
          <w:bCs w:val="1"/>
          <w:color w:val="2B4C9B"/>
        </w:rPr>
        <w:t>SHAREHOLDER PROPOSALS</w:t>
      </w:r>
    </w:p>
    <w:p>
      <w:pPr>
        <w:spacing w:after="0" w:line="389" w:lineRule="exact"/>
        <w:rPr>
          <w:sz w:val="20"/>
          <w:szCs w:val="20"/>
          <w:color w:val="auto"/>
        </w:rPr>
      </w:pPr>
    </w:p>
    <w:p>
      <w:pPr>
        <w:ind w:left="860" w:right="180"/>
        <w:spacing w:after="0" w:line="245" w:lineRule="auto"/>
        <w:rPr>
          <w:sz w:val="20"/>
          <w:szCs w:val="20"/>
          <w:color w:val="auto"/>
        </w:rPr>
      </w:pPr>
      <w:r>
        <w:rPr>
          <w:rFonts w:ascii="Arial" w:cs="Arial" w:eastAsia="Arial" w:hAnsi="Arial"/>
          <w:sz w:val="18"/>
          <w:szCs w:val="18"/>
          <w:color w:val="auto"/>
        </w:rPr>
        <w:t>We expect Items 4 through 7 to be presented by shareholders at the annual meeting. Following SEC rules, other than minor formatting changes, we are reprinting the proposals and supporting statements as they were submitted to us. We take no responsibility for them. Upon oral or written request to the Secretary at the address listed under Contact Information on page 4, we will provide information about the sponsors’ shareholdings, as well as the names, addresses, and shareholdings of any co-sponsors.</w:t>
      </w:r>
    </w:p>
    <w:p>
      <w:pPr>
        <w:spacing w:after="0" w:line="170" w:lineRule="exact"/>
        <w:rPr>
          <w:sz w:val="20"/>
          <w:szCs w:val="20"/>
          <w:color w:val="auto"/>
        </w:rPr>
      </w:pPr>
    </w:p>
    <w:p>
      <w:pPr>
        <w:ind w:left="860"/>
        <w:spacing w:after="0"/>
        <w:rPr>
          <w:sz w:val="20"/>
          <w:szCs w:val="20"/>
          <w:color w:val="auto"/>
        </w:rPr>
      </w:pPr>
      <w:r>
        <w:rPr>
          <w:rFonts w:ascii="Arial" w:cs="Arial" w:eastAsia="Arial" w:hAnsi="Arial"/>
          <w:sz w:val="18"/>
          <w:szCs w:val="18"/>
          <w:b w:val="1"/>
          <w:bCs w:val="1"/>
          <w:color w:val="2B4C9B"/>
        </w:rPr>
        <w:t>The Board recommends you vote AGAINST Items 4 through 7 for the reasons we give after each one.</w:t>
      </w:r>
    </w:p>
    <w:p>
      <w:pPr>
        <w:spacing w:after="0" w:line="200" w:lineRule="exact"/>
        <w:rPr>
          <w:sz w:val="20"/>
          <w:szCs w:val="20"/>
          <w:color w:val="auto"/>
        </w:rPr>
      </w:pPr>
    </w:p>
    <w:p>
      <w:pPr>
        <w:spacing w:after="0" w:line="221" w:lineRule="exact"/>
        <w:rPr>
          <w:sz w:val="20"/>
          <w:szCs w:val="20"/>
          <w:color w:val="auto"/>
        </w:rPr>
      </w:pPr>
    </w:p>
    <w:p>
      <w:pPr>
        <w:ind w:left="860"/>
        <w:spacing w:after="0"/>
        <w:rPr>
          <w:sz w:val="20"/>
          <w:szCs w:val="20"/>
          <w:color w:val="auto"/>
        </w:rPr>
      </w:pPr>
      <w:r>
        <w:rPr>
          <w:rFonts w:ascii="Arial" w:cs="Arial" w:eastAsia="Arial" w:hAnsi="Arial"/>
          <w:sz w:val="20"/>
          <w:szCs w:val="20"/>
          <w:b w:val="1"/>
          <w:bCs w:val="1"/>
          <w:color w:val="auto"/>
        </w:rPr>
        <w:t>Item 4 – Independent Chairman</w:t>
      </w:r>
    </w:p>
    <w:p>
      <w:pPr>
        <w:spacing w:after="0" w:line="103" w:lineRule="exact"/>
        <w:rPr>
          <w:sz w:val="20"/>
          <w:szCs w:val="20"/>
          <w:color w:val="auto"/>
        </w:rPr>
      </w:pPr>
    </w:p>
    <w:p>
      <w:pPr>
        <w:ind w:left="860" w:right="420"/>
        <w:spacing w:after="0" w:line="276" w:lineRule="auto"/>
        <w:rPr>
          <w:sz w:val="20"/>
          <w:szCs w:val="20"/>
          <w:color w:val="auto"/>
        </w:rPr>
      </w:pPr>
      <w:r>
        <w:rPr>
          <w:rFonts w:ascii="Arial" w:cs="Arial" w:eastAsia="Arial" w:hAnsi="Arial"/>
          <w:sz w:val="18"/>
          <w:szCs w:val="18"/>
          <w:color w:val="auto"/>
        </w:rPr>
        <w:t>This proposal was submitted by The Kestrel Foundation, 111 Commercial Street, Suite 302, Portland, ME 04101, the beneficial owner of 320 shares and lead proponent of a filing group.</w:t>
      </w:r>
    </w:p>
    <w:p>
      <w:pPr>
        <w:spacing w:after="0" w:line="143" w:lineRule="exact"/>
        <w:rPr>
          <w:sz w:val="20"/>
          <w:szCs w:val="20"/>
          <w:color w:val="auto"/>
        </w:rPr>
      </w:pPr>
    </w:p>
    <w:p>
      <w:pPr>
        <w:ind w:left="860"/>
        <w:spacing w:after="0" w:line="256"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RESOLVED:</w:t>
      </w:r>
      <w:r>
        <w:rPr>
          <w:rFonts w:ascii="Arial" w:cs="Arial" w:eastAsia="Arial" w:hAnsi="Arial"/>
          <w:sz w:val="18"/>
          <w:szCs w:val="18"/>
          <w:color w:val="auto"/>
        </w:rPr>
        <w:t xml:space="preserve"> The shareholders request the Board of Directors to adopt as policy, and amend the bylaws as necessary, to require the Chair of the Board of Directors, whenever possible, to be an independent member of the Board. This policy would be phased in for the next CEO transition.</w:t>
      </w:r>
    </w:p>
    <w:p>
      <w:pPr>
        <w:spacing w:after="0" w:line="163" w:lineRule="exact"/>
        <w:rPr>
          <w:sz w:val="20"/>
          <w:szCs w:val="20"/>
          <w:color w:val="auto"/>
        </w:rPr>
      </w:pPr>
    </w:p>
    <w:p>
      <w:pPr>
        <w:ind w:left="860"/>
        <w:spacing w:after="0" w:line="255" w:lineRule="auto"/>
        <w:rPr>
          <w:sz w:val="20"/>
          <w:szCs w:val="20"/>
          <w:color w:val="auto"/>
        </w:rPr>
      </w:pPr>
      <w:r>
        <w:rPr>
          <w:rFonts w:ascii="Arial" w:cs="Arial" w:eastAsia="Arial" w:hAnsi="Arial"/>
          <w:sz w:val="18"/>
          <w:szCs w:val="18"/>
          <w:color w:val="auto"/>
        </w:rPr>
        <w:t>If the Board determines that a Chair who was independent when selected is no longer independent, the Board shall select a new Chair who satisfies the requirements of the policy within a reasonable amount of time. Compliance with this policy is waived if no independent director is available and willing to serve as Chair.</w:t>
      </w:r>
    </w:p>
    <w:p>
      <w:pPr>
        <w:spacing w:after="0" w:line="162" w:lineRule="exact"/>
        <w:rPr>
          <w:sz w:val="20"/>
          <w:szCs w:val="20"/>
          <w:color w:val="auto"/>
        </w:rPr>
      </w:pPr>
    </w:p>
    <w:p>
      <w:pPr>
        <w:ind w:left="860"/>
        <w:spacing w:after="0"/>
        <w:rPr>
          <w:sz w:val="20"/>
          <w:szCs w:val="20"/>
          <w:color w:val="auto"/>
        </w:rPr>
      </w:pPr>
      <w:r>
        <w:rPr>
          <w:rFonts w:ascii="Arial" w:cs="Arial" w:eastAsia="Arial" w:hAnsi="Arial"/>
          <w:sz w:val="18"/>
          <w:szCs w:val="18"/>
          <w:b w:val="1"/>
          <w:bCs w:val="1"/>
          <w:color w:val="auto"/>
        </w:rPr>
        <w:t>Supporting Statement:</w:t>
      </w:r>
    </w:p>
    <w:p>
      <w:pPr>
        <w:spacing w:after="0" w:line="106" w:lineRule="exact"/>
        <w:rPr>
          <w:sz w:val="20"/>
          <w:szCs w:val="20"/>
          <w:color w:val="auto"/>
        </w:rPr>
      </w:pPr>
    </w:p>
    <w:p>
      <w:pPr>
        <w:ind w:left="860"/>
        <w:spacing w:after="0"/>
        <w:rPr>
          <w:sz w:val="20"/>
          <w:szCs w:val="20"/>
          <w:color w:val="auto"/>
        </w:rPr>
      </w:pPr>
      <w:r>
        <w:rPr>
          <w:rFonts w:ascii="Arial" w:cs="Arial" w:eastAsia="Arial" w:hAnsi="Arial"/>
          <w:sz w:val="18"/>
          <w:szCs w:val="18"/>
          <w:color w:val="auto"/>
        </w:rPr>
        <w:t>We believe:</w:t>
      </w:r>
    </w:p>
    <w:p>
      <w:pPr>
        <w:spacing w:after="0" w:line="117" w:lineRule="exact"/>
        <w:rPr>
          <w:sz w:val="20"/>
          <w:szCs w:val="20"/>
          <w:color w:val="auto"/>
        </w:rPr>
      </w:pPr>
    </w:p>
    <w:p>
      <w:pPr>
        <w:ind w:left="1240" w:hanging="388"/>
        <w:spacing w:after="0"/>
        <w:tabs>
          <w:tab w:leader="none" w:pos="1240" w:val="left"/>
        </w:tabs>
        <w:numPr>
          <w:ilvl w:val="0"/>
          <w:numId w:val="93"/>
        </w:numPr>
        <w:rPr>
          <w:rFonts w:ascii="Times New Roman" w:cs="Times New Roman" w:eastAsia="Times New Roman" w:hAnsi="Times New Roman"/>
          <w:sz w:val="18"/>
          <w:szCs w:val="18"/>
          <w:color w:val="auto"/>
        </w:rPr>
      </w:pPr>
      <w:r>
        <w:rPr>
          <w:rFonts w:ascii="Arial" w:cs="Arial" w:eastAsia="Arial" w:hAnsi="Arial"/>
          <w:sz w:val="18"/>
          <w:szCs w:val="18"/>
          <w:color w:val="auto"/>
        </w:rPr>
        <w:t>The role of the CEO and management is to run the company.</w:t>
      </w:r>
    </w:p>
    <w:p>
      <w:pPr>
        <w:spacing w:after="0" w:line="129" w:lineRule="exact"/>
        <w:rPr>
          <w:rFonts w:ascii="Times New Roman" w:cs="Times New Roman" w:eastAsia="Times New Roman" w:hAnsi="Times New Roman"/>
          <w:sz w:val="18"/>
          <w:szCs w:val="18"/>
          <w:color w:val="auto"/>
        </w:rPr>
      </w:pPr>
    </w:p>
    <w:p>
      <w:pPr>
        <w:ind w:left="1240" w:hanging="388"/>
        <w:spacing w:after="0"/>
        <w:tabs>
          <w:tab w:leader="none" w:pos="1240" w:val="left"/>
        </w:tabs>
        <w:numPr>
          <w:ilvl w:val="0"/>
          <w:numId w:val="93"/>
        </w:numPr>
        <w:rPr>
          <w:rFonts w:ascii="Times New Roman" w:cs="Times New Roman" w:eastAsia="Times New Roman" w:hAnsi="Times New Roman"/>
          <w:sz w:val="18"/>
          <w:szCs w:val="18"/>
          <w:color w:val="auto"/>
        </w:rPr>
      </w:pPr>
      <w:r>
        <w:rPr>
          <w:rFonts w:ascii="Arial" w:cs="Arial" w:eastAsia="Arial" w:hAnsi="Arial"/>
          <w:sz w:val="18"/>
          <w:szCs w:val="18"/>
          <w:color w:val="auto"/>
        </w:rPr>
        <w:t>The role of the Board of Directors is to provide independent oversight of management and the CEO.</w:t>
      </w:r>
    </w:p>
    <w:p>
      <w:pPr>
        <w:spacing w:after="0" w:line="129" w:lineRule="exact"/>
        <w:rPr>
          <w:rFonts w:ascii="Times New Roman" w:cs="Times New Roman" w:eastAsia="Times New Roman" w:hAnsi="Times New Roman"/>
          <w:sz w:val="18"/>
          <w:szCs w:val="18"/>
          <w:color w:val="auto"/>
        </w:rPr>
      </w:pPr>
    </w:p>
    <w:p>
      <w:pPr>
        <w:ind w:left="1240" w:hanging="388"/>
        <w:spacing w:after="0"/>
        <w:tabs>
          <w:tab w:leader="none" w:pos="1240" w:val="left"/>
        </w:tabs>
        <w:numPr>
          <w:ilvl w:val="0"/>
          <w:numId w:val="93"/>
        </w:numPr>
        <w:rPr>
          <w:rFonts w:ascii="Times New Roman" w:cs="Times New Roman" w:eastAsia="Times New Roman" w:hAnsi="Times New Roman"/>
          <w:sz w:val="18"/>
          <w:szCs w:val="18"/>
          <w:color w:val="auto"/>
        </w:rPr>
      </w:pPr>
      <w:r>
        <w:rPr>
          <w:rFonts w:ascii="Arial" w:cs="Arial" w:eastAsia="Arial" w:hAnsi="Arial"/>
          <w:sz w:val="18"/>
          <w:szCs w:val="18"/>
          <w:color w:val="auto"/>
        </w:rPr>
        <w:t>There is a potential conflict of interest for a CEO to be her/his own overseer as Chair while managing the business.</w:t>
      </w:r>
    </w:p>
    <w:p>
      <w:pPr>
        <w:spacing w:after="0" w:line="224" w:lineRule="exact"/>
        <w:rPr>
          <w:sz w:val="20"/>
          <w:szCs w:val="20"/>
          <w:color w:val="auto"/>
        </w:rPr>
      </w:pPr>
    </w:p>
    <w:p>
      <w:pPr>
        <w:ind w:left="860" w:right="260"/>
        <w:spacing w:after="0" w:line="276" w:lineRule="auto"/>
        <w:rPr>
          <w:sz w:val="20"/>
          <w:szCs w:val="20"/>
          <w:color w:val="auto"/>
        </w:rPr>
      </w:pPr>
      <w:r>
        <w:rPr>
          <w:rFonts w:ascii="Arial" w:cs="Arial" w:eastAsia="Arial" w:hAnsi="Arial"/>
          <w:sz w:val="18"/>
          <w:szCs w:val="18"/>
          <w:color w:val="auto"/>
        </w:rPr>
        <w:t>ExxonMobil’s CEO Darren Woods serves both as CEO and Chair of the Company’s Board of Directors. We believe the combination of these two roles in a single person weakens a corporation’s governance structure.</w:t>
      </w:r>
    </w:p>
    <w:p>
      <w:pPr>
        <w:spacing w:after="0" w:line="145" w:lineRule="exact"/>
        <w:rPr>
          <w:sz w:val="20"/>
          <w:szCs w:val="20"/>
          <w:color w:val="auto"/>
        </w:rPr>
      </w:pPr>
    </w:p>
    <w:p>
      <w:pPr>
        <w:ind w:left="860" w:right="120"/>
        <w:spacing w:after="0" w:line="276" w:lineRule="auto"/>
        <w:rPr>
          <w:sz w:val="20"/>
          <w:szCs w:val="20"/>
          <w:color w:val="auto"/>
        </w:rPr>
      </w:pPr>
      <w:r>
        <w:rPr>
          <w:rFonts w:ascii="Arial" w:cs="Arial" w:eastAsia="Arial" w:hAnsi="Arial"/>
          <w:sz w:val="18"/>
          <w:szCs w:val="18"/>
          <w:color w:val="auto"/>
        </w:rPr>
        <w:t>Chairing and overseeing the Board is a time intensive responsibility. A separate Chair also frees the CEO to manage the company and build effective business strategies.</w:t>
      </w:r>
    </w:p>
    <w:p>
      <w:pPr>
        <w:spacing w:after="0" w:line="145" w:lineRule="exact"/>
        <w:rPr>
          <w:sz w:val="20"/>
          <w:szCs w:val="20"/>
          <w:color w:val="auto"/>
        </w:rPr>
      </w:pPr>
    </w:p>
    <w:p>
      <w:pPr>
        <w:ind w:left="860" w:right="300"/>
        <w:spacing w:after="0" w:line="255" w:lineRule="auto"/>
        <w:rPr>
          <w:sz w:val="20"/>
          <w:szCs w:val="20"/>
          <w:color w:val="auto"/>
        </w:rPr>
      </w:pPr>
      <w:r>
        <w:rPr>
          <w:rFonts w:ascii="Arial" w:cs="Arial" w:eastAsia="Arial" w:hAnsi="Arial"/>
          <w:sz w:val="18"/>
          <w:szCs w:val="18"/>
          <w:color w:val="auto"/>
        </w:rPr>
        <w:t>As Andrew Grove, Intel’s former chair, stated, ‘The separation of the two jobs goes to the heart of the conception of a corporation. Is a company a sandbox for the CEO, or is the CEO an employee? If he’s an employee, he needs a boss, and that boss is the Board. The Chairman runs the Board. How can the CEO be his own boss?’</w:t>
      </w:r>
    </w:p>
    <w:p>
      <w:pPr>
        <w:spacing w:after="0" w:line="164" w:lineRule="exact"/>
        <w:rPr>
          <w:sz w:val="20"/>
          <w:szCs w:val="20"/>
          <w:color w:val="auto"/>
        </w:rPr>
      </w:pPr>
    </w:p>
    <w:p>
      <w:pPr>
        <w:ind w:left="860" w:right="120"/>
        <w:spacing w:after="0" w:line="248" w:lineRule="auto"/>
        <w:rPr>
          <w:sz w:val="20"/>
          <w:szCs w:val="20"/>
          <w:color w:val="auto"/>
        </w:rPr>
      </w:pPr>
      <w:r>
        <w:rPr>
          <w:rFonts w:ascii="Arial" w:cs="Arial" w:eastAsia="Arial" w:hAnsi="Arial"/>
          <w:sz w:val="18"/>
          <w:szCs w:val="18"/>
          <w:color w:val="auto"/>
        </w:rPr>
        <w:t>In our view, shareholders are best served by an independent Board Chair who can provide a balance of power between the CEO and the Board. The primary duty of a Board of Directors is to oversee the management of a company on behalf of shareholders. A combined CEO / Chair creates a potential conflict of interest, resulting in excessive management influence on the Board and weaker oversight of management.</w:t>
      </w:r>
    </w:p>
    <w:p>
      <w:pPr>
        <w:spacing w:after="0" w:line="171" w:lineRule="exact"/>
        <w:rPr>
          <w:sz w:val="20"/>
          <w:szCs w:val="20"/>
          <w:color w:val="auto"/>
        </w:rPr>
      </w:pPr>
    </w:p>
    <w:p>
      <w:pPr>
        <w:ind w:left="860" w:right="300"/>
        <w:spacing w:after="0" w:line="276" w:lineRule="auto"/>
        <w:rPr>
          <w:sz w:val="20"/>
          <w:szCs w:val="20"/>
          <w:color w:val="auto"/>
        </w:rPr>
      </w:pPr>
      <w:r>
        <w:rPr>
          <w:rFonts w:ascii="Arial" w:cs="Arial" w:eastAsia="Arial" w:hAnsi="Arial"/>
          <w:sz w:val="18"/>
          <w:szCs w:val="18"/>
          <w:color w:val="auto"/>
        </w:rPr>
        <w:t>Numerous institutional investors recommend separation of these two roles. For example, California’s Public Employee Retirement System’s Principles &amp; Guidelines encourage separation, even with a lead director in place.</w:t>
      </w:r>
    </w:p>
    <w:p>
      <w:pPr>
        <w:spacing w:after="0" w:line="145" w:lineRule="exact"/>
        <w:rPr>
          <w:sz w:val="20"/>
          <w:szCs w:val="20"/>
          <w:color w:val="auto"/>
        </w:rPr>
      </w:pPr>
    </w:p>
    <w:p>
      <w:pPr>
        <w:ind w:left="860" w:right="480"/>
        <w:spacing w:after="0" w:line="276" w:lineRule="auto"/>
        <w:rPr>
          <w:sz w:val="20"/>
          <w:szCs w:val="20"/>
          <w:color w:val="auto"/>
        </w:rPr>
      </w:pPr>
      <w:r>
        <w:rPr>
          <w:rFonts w:ascii="Arial" w:cs="Arial" w:eastAsia="Arial" w:hAnsi="Arial"/>
          <w:sz w:val="18"/>
          <w:szCs w:val="18"/>
          <w:color w:val="auto"/>
        </w:rPr>
        <w:t>According to ISS ‘2015 Board Practices’, (April 2015), 53% of S&amp;P 1,500 firms separate these two positions and the number of companies separating these roles is growing.</w:t>
      </w:r>
    </w:p>
    <w:p>
      <w:pPr>
        <w:spacing w:after="0" w:line="78" w:lineRule="exact"/>
        <w:rPr>
          <w:sz w:val="20"/>
          <w:szCs w:val="20"/>
          <w:color w:val="auto"/>
        </w:rPr>
      </w:pPr>
    </w:p>
    <w:p>
      <w:pPr>
        <w:ind w:left="880"/>
        <w:spacing w:after="0"/>
        <w:tabs>
          <w:tab w:leader="none" w:pos="2780" w:val="left"/>
        </w:tabs>
        <w:rPr>
          <w:sz w:val="20"/>
          <w:szCs w:val="20"/>
          <w:color w:val="auto"/>
        </w:rPr>
      </w:pPr>
      <w:r>
        <w:rPr>
          <w:rFonts w:ascii="Arial" w:cs="Arial" w:eastAsia="Arial" w:hAnsi="Arial"/>
          <w:sz w:val="18"/>
          <w:szCs w:val="18"/>
          <w:color w:val="auto"/>
        </w:rPr>
        <w:t>54</w:t>
      </w:r>
      <w:r>
        <w:rPr>
          <w:sz w:val="20"/>
          <w:szCs w:val="20"/>
          <w:color w:val="auto"/>
        </w:rPr>
        <w:tab/>
      </w:r>
      <w:r>
        <w:rPr>
          <w:rFonts w:ascii="Times New Roman" w:cs="Times New Roman" w:eastAsia="Times New Roman" w:hAnsi="Times New Roman"/>
          <w:sz w:val="18"/>
          <w:szCs w:val="18"/>
          <w:i w:val="1"/>
          <w:iCs w:val="1"/>
          <w:color w:val="auto"/>
        </w:rPr>
        <w:t>2018 Proxy Statement</w:t>
      </w:r>
    </w:p>
    <w:p>
      <w:pPr>
        <w:sectPr>
          <w:pgSz w:w="11900" w:h="16838" w:orient="portrait"/>
          <w:cols w:equalWidth="0" w:num="1">
            <w:col w:w="10540"/>
          </w:cols>
          <w:pgMar w:left="240" w:top="455" w:right="1119" w:bottom="1440" w:gutter="0" w:footer="0" w:header="0"/>
        </w:sectPr>
      </w:pPr>
    </w:p>
    <w:bookmarkStart w:id="57" w:name="page58"/>
    <w:bookmarkEnd w:id="57"/>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06" name="Picture 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
                    <pic:cNvPicPr>
                      <a:picLocks noChangeAspect="1" noChangeArrowheads="1"/>
                    </pic:cNvPicPr>
                  </pic:nvPicPr>
                  <pic:blipFill>
                    <a:blip r:embed="rId113">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Times New Roman" w:cs="Times New Roman" w:eastAsia="Times New Roman" w:hAnsi="Times New Roman"/>
            <w:sz w:val="18"/>
            <w:szCs w:val="18"/>
            <w:b w:val="1"/>
            <w:bCs w:val="1"/>
            <w:u w:val="single" w:color="auto"/>
            <w:color w:val="0000EE"/>
          </w:rPr>
          <w:t>Table of Contents</w:t>
        </w:r>
      </w:hyperlink>
    </w:p>
    <w:p>
      <w:pPr>
        <w:spacing w:after="0" w:line="305" w:lineRule="exact"/>
        <w:rPr>
          <w:sz w:val="20"/>
          <w:szCs w:val="20"/>
          <w:color w:val="auto"/>
        </w:rPr>
      </w:pPr>
    </w:p>
    <w:p>
      <w:pPr>
        <w:ind w:left="860" w:right="200"/>
        <w:spacing w:after="0" w:line="255" w:lineRule="auto"/>
        <w:rPr>
          <w:sz w:val="20"/>
          <w:szCs w:val="20"/>
          <w:color w:val="auto"/>
        </w:rPr>
      </w:pPr>
      <w:r>
        <w:rPr>
          <w:rFonts w:ascii="Arial" w:cs="Arial" w:eastAsia="Arial" w:hAnsi="Arial"/>
          <w:sz w:val="18"/>
          <w:szCs w:val="18"/>
          <w:color w:val="auto"/>
        </w:rPr>
        <w:t>With the appointment of a new CEO, and with the unprecedented rate of change facing companies regarding climate change and the role of energy companies, it is an important time to ensure our company’s governance is the best it can be.</w:t>
      </w:r>
    </w:p>
    <w:p>
      <w:pPr>
        <w:spacing w:after="0" w:line="164" w:lineRule="exact"/>
        <w:rPr>
          <w:sz w:val="20"/>
          <w:szCs w:val="20"/>
          <w:color w:val="auto"/>
        </w:rPr>
      </w:pPr>
    </w:p>
    <w:p>
      <w:pPr>
        <w:ind w:left="860"/>
        <w:spacing w:after="0"/>
        <w:rPr>
          <w:sz w:val="20"/>
          <w:szCs w:val="20"/>
          <w:color w:val="auto"/>
        </w:rPr>
      </w:pPr>
      <w:r>
        <w:rPr>
          <w:rFonts w:ascii="Arial" w:cs="Arial" w:eastAsia="Arial" w:hAnsi="Arial"/>
          <w:sz w:val="18"/>
          <w:szCs w:val="18"/>
          <w:color w:val="auto"/>
        </w:rPr>
        <w:t>The shareholder resolution urging separation of CEO and Chair to ExxonMobil received 38.3% vote in 2017.</w:t>
      </w:r>
    </w:p>
    <w:p>
      <w:pPr>
        <w:spacing w:after="0" w:line="212" w:lineRule="exact"/>
        <w:rPr>
          <w:sz w:val="20"/>
          <w:szCs w:val="20"/>
          <w:color w:val="auto"/>
        </w:rPr>
      </w:pPr>
    </w:p>
    <w:p>
      <w:pPr>
        <w:ind w:left="860"/>
        <w:spacing w:after="0"/>
        <w:rPr>
          <w:sz w:val="20"/>
          <w:szCs w:val="20"/>
          <w:color w:val="auto"/>
        </w:rPr>
      </w:pPr>
      <w:r>
        <w:rPr>
          <w:rFonts w:ascii="Arial" w:cs="Arial" w:eastAsia="Arial" w:hAnsi="Arial"/>
          <w:sz w:val="18"/>
          <w:szCs w:val="18"/>
          <w:color w:val="auto"/>
        </w:rPr>
        <w:t>To simplify the transition, this new policy, if enacted, would be phased in when a next CEO is chosen.”</w:t>
      </w:r>
    </w:p>
    <w:p>
      <w:pPr>
        <w:spacing w:after="0" w:line="210" w:lineRule="exact"/>
        <w:rPr>
          <w:sz w:val="20"/>
          <w:szCs w:val="20"/>
          <w:color w:val="auto"/>
        </w:rPr>
      </w:pPr>
    </w:p>
    <w:p>
      <w:pPr>
        <w:ind w:left="860"/>
        <w:spacing w:after="0"/>
        <w:rPr>
          <w:sz w:val="20"/>
          <w:szCs w:val="20"/>
          <w:color w:val="auto"/>
        </w:rPr>
      </w:pPr>
      <w:r>
        <w:rPr>
          <w:rFonts w:ascii="Arial" w:cs="Arial" w:eastAsia="Arial" w:hAnsi="Arial"/>
          <w:sz w:val="18"/>
          <w:szCs w:val="18"/>
          <w:b w:val="1"/>
          <w:bCs w:val="1"/>
          <w:color w:val="auto"/>
        </w:rPr>
        <w:t>The Board recommends you vote AGAINST this proposal for the following reasons:</w:t>
      </w:r>
    </w:p>
    <w:p>
      <w:pPr>
        <w:spacing w:after="0" w:line="106" w:lineRule="exact"/>
        <w:rPr>
          <w:sz w:val="20"/>
          <w:szCs w:val="20"/>
          <w:color w:val="auto"/>
        </w:rPr>
      </w:pPr>
    </w:p>
    <w:p>
      <w:pPr>
        <w:ind w:left="860" w:right="140"/>
        <w:spacing w:after="0" w:line="248" w:lineRule="auto"/>
        <w:rPr>
          <w:sz w:val="20"/>
          <w:szCs w:val="20"/>
          <w:color w:val="auto"/>
        </w:rPr>
      </w:pPr>
      <w:r>
        <w:rPr>
          <w:rFonts w:ascii="Arial" w:cs="Arial" w:eastAsia="Arial" w:hAnsi="Arial"/>
          <w:sz w:val="18"/>
          <w:szCs w:val="18"/>
          <w:color w:val="auto"/>
        </w:rPr>
        <w:t>The Board agrees with the importance of a strong, independent Board to represent the interests of shareholders. The Board also agrees that it is responsible for effective oversight of Management, including the CEO. However, the Board does not agree that the combined Chairman/CEO position weakens corporate governance, impedes its ability to provide effective oversight, or that it constitutes a conflict.</w:t>
      </w:r>
    </w:p>
    <w:p>
      <w:pPr>
        <w:spacing w:after="0" w:line="171" w:lineRule="exact"/>
        <w:rPr>
          <w:sz w:val="20"/>
          <w:szCs w:val="20"/>
          <w:color w:val="auto"/>
        </w:rPr>
      </w:pPr>
    </w:p>
    <w:p>
      <w:pPr>
        <w:ind w:left="860"/>
        <w:spacing w:after="0" w:line="248" w:lineRule="auto"/>
        <w:rPr>
          <w:sz w:val="20"/>
          <w:szCs w:val="20"/>
          <w:color w:val="auto"/>
        </w:rPr>
      </w:pPr>
      <w:r>
        <w:rPr>
          <w:rFonts w:ascii="Arial" w:cs="Arial" w:eastAsia="Arial" w:hAnsi="Arial"/>
          <w:sz w:val="18"/>
          <w:szCs w:val="18"/>
          <w:color w:val="auto"/>
        </w:rPr>
        <w:t>The Board believes it is important to preserve flexibility in choosing the best leadership structure for the Company to best serve the long-term interests of shareholders. The Board carefully considers the merits of separating or combining the Chairman and CEO positions and whether the Chairmanship should be held by an independent director, whenever a CEO change occurs.</w:t>
      </w:r>
    </w:p>
    <w:p>
      <w:pPr>
        <w:spacing w:after="0" w:line="171" w:lineRule="exact"/>
        <w:rPr>
          <w:sz w:val="20"/>
          <w:szCs w:val="20"/>
          <w:color w:val="auto"/>
        </w:rPr>
      </w:pPr>
    </w:p>
    <w:p>
      <w:pPr>
        <w:ind w:left="860" w:right="160"/>
        <w:spacing w:after="0" w:line="255" w:lineRule="auto"/>
        <w:rPr>
          <w:sz w:val="20"/>
          <w:szCs w:val="20"/>
          <w:color w:val="auto"/>
        </w:rPr>
      </w:pPr>
      <w:r>
        <w:rPr>
          <w:rFonts w:ascii="Arial" w:cs="Arial" w:eastAsia="Arial" w:hAnsi="Arial"/>
          <w:sz w:val="18"/>
          <w:szCs w:val="18"/>
          <w:color w:val="auto"/>
        </w:rPr>
        <w:t>The Board is comprised entirely of independent directors, except the CEO. Each independent director has access to the CEO and other Company executives on request, may call meetings of the independent directors, and may request agenda topics to be added or dealt with in more detail at meetings of the full Board or an appropriate committee.</w:t>
      </w:r>
    </w:p>
    <w:p>
      <w:pPr>
        <w:spacing w:after="0" w:line="164" w:lineRule="exact"/>
        <w:rPr>
          <w:sz w:val="20"/>
          <w:szCs w:val="20"/>
          <w:color w:val="auto"/>
        </w:rPr>
      </w:pPr>
    </w:p>
    <w:p>
      <w:pPr>
        <w:ind w:left="860" w:right="680"/>
        <w:spacing w:after="0" w:line="276" w:lineRule="auto"/>
        <w:rPr>
          <w:sz w:val="20"/>
          <w:szCs w:val="20"/>
          <w:color w:val="auto"/>
        </w:rPr>
      </w:pPr>
      <w:r>
        <w:rPr>
          <w:rFonts w:ascii="Arial" w:cs="Arial" w:eastAsia="Arial" w:hAnsi="Arial"/>
          <w:sz w:val="18"/>
          <w:szCs w:val="18"/>
          <w:color w:val="auto"/>
        </w:rPr>
        <w:t>At the present time, the Board believes that independent Board leadership is effectively provided by the Presiding Director, who:</w:t>
      </w:r>
    </w:p>
    <w:p>
      <w:pPr>
        <w:spacing w:after="0" w:line="51" w:lineRule="exact"/>
        <w:rPr>
          <w:sz w:val="20"/>
          <w:szCs w:val="20"/>
          <w:color w:val="auto"/>
        </w:rPr>
      </w:pPr>
    </w:p>
    <w:p>
      <w:pPr>
        <w:ind w:left="1240" w:right="300" w:hanging="388"/>
        <w:spacing w:after="0" w:line="275" w:lineRule="auto"/>
        <w:tabs>
          <w:tab w:leader="none" w:pos="1240" w:val="left"/>
        </w:tabs>
        <w:numPr>
          <w:ilvl w:val="0"/>
          <w:numId w:val="94"/>
        </w:numPr>
        <w:rPr>
          <w:rFonts w:ascii="Times New Roman" w:cs="Times New Roman" w:eastAsia="Times New Roman" w:hAnsi="Times New Roman"/>
          <w:sz w:val="18"/>
          <w:szCs w:val="18"/>
          <w:color w:val="auto"/>
        </w:rPr>
      </w:pPr>
      <w:r>
        <w:rPr>
          <w:rFonts w:ascii="Arial" w:cs="Arial" w:eastAsia="Arial" w:hAnsi="Arial"/>
          <w:sz w:val="18"/>
          <w:szCs w:val="18"/>
          <w:color w:val="auto"/>
        </w:rPr>
        <w:t>Has the authority to call, chair, and determine the agenda for executive sessions of the independent directors and provide feedback to the Chairman;</w:t>
      </w:r>
    </w:p>
    <w:p>
      <w:pPr>
        <w:spacing w:after="0" w:line="51" w:lineRule="exact"/>
        <w:rPr>
          <w:rFonts w:ascii="Times New Roman" w:cs="Times New Roman" w:eastAsia="Times New Roman" w:hAnsi="Times New Roman"/>
          <w:sz w:val="18"/>
          <w:szCs w:val="18"/>
          <w:color w:val="auto"/>
        </w:rPr>
      </w:pPr>
    </w:p>
    <w:p>
      <w:pPr>
        <w:ind w:left="1240" w:hanging="388"/>
        <w:spacing w:after="0"/>
        <w:tabs>
          <w:tab w:leader="none" w:pos="1240" w:val="left"/>
        </w:tabs>
        <w:numPr>
          <w:ilvl w:val="0"/>
          <w:numId w:val="94"/>
        </w:numPr>
        <w:rPr>
          <w:rFonts w:ascii="Times New Roman" w:cs="Times New Roman" w:eastAsia="Times New Roman" w:hAnsi="Times New Roman"/>
          <w:sz w:val="18"/>
          <w:szCs w:val="18"/>
          <w:color w:val="auto"/>
        </w:rPr>
      </w:pPr>
      <w:r>
        <w:rPr>
          <w:rFonts w:ascii="Arial" w:cs="Arial" w:eastAsia="Arial" w:hAnsi="Arial"/>
          <w:sz w:val="18"/>
          <w:szCs w:val="18"/>
          <w:color w:val="auto"/>
        </w:rPr>
        <w:t>Chairs Board meetings in the absence of the Chairman; and</w:t>
      </w:r>
    </w:p>
    <w:p>
      <w:pPr>
        <w:spacing w:after="0" w:line="129" w:lineRule="exact"/>
        <w:rPr>
          <w:rFonts w:ascii="Times New Roman" w:cs="Times New Roman" w:eastAsia="Times New Roman" w:hAnsi="Times New Roman"/>
          <w:sz w:val="18"/>
          <w:szCs w:val="18"/>
          <w:color w:val="auto"/>
        </w:rPr>
      </w:pPr>
    </w:p>
    <w:p>
      <w:pPr>
        <w:ind w:left="1240" w:hanging="388"/>
        <w:spacing w:after="0"/>
        <w:tabs>
          <w:tab w:leader="none" w:pos="1240" w:val="left"/>
        </w:tabs>
        <w:numPr>
          <w:ilvl w:val="0"/>
          <w:numId w:val="94"/>
        </w:numPr>
        <w:rPr>
          <w:rFonts w:ascii="Times New Roman" w:cs="Times New Roman" w:eastAsia="Times New Roman" w:hAnsi="Times New Roman"/>
          <w:sz w:val="18"/>
          <w:szCs w:val="18"/>
          <w:color w:val="auto"/>
        </w:rPr>
      </w:pPr>
      <w:r>
        <w:rPr>
          <w:rFonts w:ascii="Arial" w:cs="Arial" w:eastAsia="Arial" w:hAnsi="Arial"/>
          <w:sz w:val="18"/>
          <w:szCs w:val="18"/>
          <w:color w:val="auto"/>
        </w:rPr>
        <w:t>Works with the Chairman on schedules and agendas for Board meetings.</w:t>
      </w:r>
    </w:p>
    <w:p>
      <w:pPr>
        <w:spacing w:after="0" w:line="224" w:lineRule="exact"/>
        <w:rPr>
          <w:sz w:val="20"/>
          <w:szCs w:val="20"/>
          <w:color w:val="auto"/>
        </w:rPr>
      </w:pPr>
    </w:p>
    <w:p>
      <w:pPr>
        <w:ind w:left="860" w:right="240"/>
        <w:spacing w:after="0" w:line="276" w:lineRule="auto"/>
        <w:rPr>
          <w:sz w:val="20"/>
          <w:szCs w:val="20"/>
          <w:color w:val="auto"/>
        </w:rPr>
      </w:pPr>
      <w:r>
        <w:rPr>
          <w:rFonts w:ascii="Arial" w:cs="Arial" w:eastAsia="Arial" w:hAnsi="Arial"/>
          <w:sz w:val="18"/>
          <w:szCs w:val="18"/>
          <w:color w:val="auto"/>
        </w:rPr>
        <w:t>The Compensation Committee, comprised of independent directors, reviews the CEO performance and establishes his compensation, the result of which is reviewed with the full Board, absent the Chairman.</w:t>
      </w:r>
    </w:p>
    <w:p>
      <w:pPr>
        <w:spacing w:after="0" w:line="145" w:lineRule="exact"/>
        <w:rPr>
          <w:sz w:val="20"/>
          <w:szCs w:val="20"/>
          <w:color w:val="auto"/>
        </w:rPr>
      </w:pPr>
    </w:p>
    <w:p>
      <w:pPr>
        <w:ind w:left="860" w:right="100"/>
        <w:spacing w:after="0" w:line="248" w:lineRule="auto"/>
        <w:rPr>
          <w:sz w:val="20"/>
          <w:szCs w:val="20"/>
          <w:color w:val="auto"/>
        </w:rPr>
      </w:pPr>
      <w:r>
        <w:rPr>
          <w:rFonts w:ascii="Arial" w:cs="Arial" w:eastAsia="Arial" w:hAnsi="Arial"/>
          <w:sz w:val="18"/>
          <w:szCs w:val="18"/>
          <w:color w:val="auto"/>
        </w:rPr>
        <w:t xml:space="preserve">The </w:t>
      </w:r>
      <w:r>
        <w:rPr>
          <w:rFonts w:ascii="Arial" w:cs="Arial" w:eastAsia="Arial" w:hAnsi="Arial"/>
          <w:sz w:val="18"/>
          <w:szCs w:val="18"/>
          <w:i w:val="1"/>
          <w:iCs w:val="1"/>
          <w:color w:val="auto"/>
        </w:rPr>
        <w:t>2017 Spencer Stuart Board Index</w:t>
      </w:r>
      <w:r>
        <w:rPr>
          <w:rFonts w:ascii="Arial" w:cs="Arial" w:eastAsia="Arial" w:hAnsi="Arial"/>
          <w:sz w:val="18"/>
          <w:szCs w:val="18"/>
          <w:color w:val="auto"/>
        </w:rPr>
        <w:t xml:space="preserve"> notes that only 28 percent of S&amp;P 500 companies have a truly independent chairman, i.e., one that meets the NYSE rules for independence. It also notes that the number of independent chairs has remained steady over the past several years. Separately, no prevailing empirical evidence supports the merits of independent chairs.</w:t>
      </w:r>
    </w:p>
    <w:p>
      <w:pPr>
        <w:spacing w:after="0" w:line="378" w:lineRule="exact"/>
        <w:rPr>
          <w:sz w:val="20"/>
          <w:szCs w:val="20"/>
          <w:color w:val="auto"/>
        </w:rPr>
      </w:pPr>
    </w:p>
    <w:p>
      <w:pPr>
        <w:ind w:left="860"/>
        <w:spacing w:after="0"/>
        <w:rPr>
          <w:sz w:val="20"/>
          <w:szCs w:val="20"/>
          <w:color w:val="auto"/>
        </w:rPr>
      </w:pPr>
      <w:r>
        <w:rPr>
          <w:rFonts w:ascii="Arial" w:cs="Arial" w:eastAsia="Arial" w:hAnsi="Arial"/>
          <w:sz w:val="20"/>
          <w:szCs w:val="20"/>
          <w:b w:val="1"/>
          <w:bCs w:val="1"/>
          <w:color w:val="auto"/>
        </w:rPr>
        <w:t>Item 5 – Special Shareholder Meetings</w:t>
      </w:r>
    </w:p>
    <w:p>
      <w:pPr>
        <w:spacing w:after="0" w:line="103" w:lineRule="exact"/>
        <w:rPr>
          <w:sz w:val="20"/>
          <w:szCs w:val="20"/>
          <w:color w:val="auto"/>
        </w:rPr>
      </w:pPr>
    </w:p>
    <w:p>
      <w:pPr>
        <w:ind w:left="860" w:right="40"/>
        <w:spacing w:after="0" w:line="276" w:lineRule="auto"/>
        <w:rPr>
          <w:sz w:val="20"/>
          <w:szCs w:val="20"/>
          <w:color w:val="auto"/>
        </w:rPr>
      </w:pPr>
      <w:r>
        <w:rPr>
          <w:rFonts w:ascii="Arial" w:cs="Arial" w:eastAsia="Arial" w:hAnsi="Arial"/>
          <w:sz w:val="18"/>
          <w:szCs w:val="18"/>
          <w:color w:val="auto"/>
        </w:rPr>
        <w:t>This proposal was submitted by Kenneth Steiner, 14 Stoner Ave., 2M, Great Neck, NY 11021, the beneficial owner of 500 shares.</w:t>
      </w:r>
    </w:p>
    <w:p>
      <w:pPr>
        <w:spacing w:after="0" w:line="143" w:lineRule="exact"/>
        <w:rPr>
          <w:sz w:val="20"/>
          <w:szCs w:val="20"/>
          <w:color w:val="auto"/>
        </w:rPr>
      </w:pPr>
    </w:p>
    <w:p>
      <w:pPr>
        <w:jc w:val="center"/>
        <w:ind w:right="-879"/>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Proposal [5] – Special Shareholder Meeting</w:t>
      </w:r>
    </w:p>
    <w:p>
      <w:pPr>
        <w:spacing w:after="0" w:line="214" w:lineRule="exact"/>
        <w:rPr>
          <w:sz w:val="20"/>
          <w:szCs w:val="20"/>
          <w:color w:val="auto"/>
        </w:rPr>
      </w:pPr>
    </w:p>
    <w:p>
      <w:pPr>
        <w:ind w:left="860"/>
        <w:spacing w:after="0" w:line="248" w:lineRule="auto"/>
        <w:rPr>
          <w:sz w:val="20"/>
          <w:szCs w:val="20"/>
          <w:color w:val="auto"/>
        </w:rPr>
      </w:pPr>
      <w:r>
        <w:rPr>
          <w:rFonts w:ascii="Arial" w:cs="Arial" w:eastAsia="Arial" w:hAnsi="Arial"/>
          <w:sz w:val="18"/>
          <w:szCs w:val="18"/>
          <w:color w:val="auto"/>
        </w:rPr>
        <w:t>Resolved, Shareowners ask our board to take the steps necessary (unilaterally if possible) to amend our bylaws and each appropriate governing document to give holders in the aggregate of 10% of our outstanding common stock the power to call a special shareowner meeting (or the closest percentage to 10% according to state law). This proposal does not impact our board’s current power to call a special meeting.</w:t>
      </w:r>
    </w:p>
    <w:p>
      <w:pPr>
        <w:spacing w:after="0" w:line="171" w:lineRule="exact"/>
        <w:rPr>
          <w:sz w:val="20"/>
          <w:szCs w:val="20"/>
          <w:color w:val="auto"/>
        </w:rPr>
      </w:pPr>
    </w:p>
    <w:p>
      <w:pPr>
        <w:ind w:left="860" w:right="120"/>
        <w:spacing w:after="0" w:line="306" w:lineRule="auto"/>
        <w:rPr>
          <w:sz w:val="20"/>
          <w:szCs w:val="20"/>
          <w:color w:val="auto"/>
        </w:rPr>
      </w:pPr>
      <w:r>
        <w:rPr>
          <w:rFonts w:ascii="Arial" w:cs="Arial" w:eastAsia="Arial" w:hAnsi="Arial"/>
          <w:sz w:val="17"/>
          <w:szCs w:val="17"/>
          <w:color w:val="auto"/>
        </w:rPr>
        <w:t>Special meetings allow shareowners to vote on important matters, such as electing new directors that can arise between annual meetings. This proposal topic won more than 70%-support at Edwards Lifesciences and SunEdison in 2013.</w:t>
      </w:r>
    </w:p>
    <w:p>
      <w:pPr>
        <w:spacing w:after="0" w:line="55" w:lineRule="exact"/>
        <w:rPr>
          <w:sz w:val="20"/>
          <w:szCs w:val="20"/>
          <w:color w:val="auto"/>
        </w:rPr>
      </w:pPr>
    </w:p>
    <w:tbl>
      <w:tblPr>
        <w:tblLayout w:type="fixed"/>
        <w:tblInd w:w="6960" w:type="dxa"/>
        <w:tblCellMar>
          <w:top w:w="0" w:type="dxa"/>
          <w:left w:w="0" w:type="dxa"/>
          <w:bottom w:w="0" w:type="dxa"/>
          <w:right w:w="0" w:type="dxa"/>
        </w:tblCellMar>
      </w:tblPr>
      <w:tr>
        <w:trPr>
          <w:trHeight w:val="243"/>
        </w:trPr>
        <w:tc>
          <w:tcPr>
            <w:tcW w:w="2440" w:type="dxa"/>
            <w:vAlign w:val="bottom"/>
          </w:tcPr>
          <w:p>
            <w:pPr>
              <w:spacing w:after="0"/>
              <w:rPr>
                <w:sz w:val="20"/>
                <w:szCs w:val="20"/>
                <w:color w:val="auto"/>
              </w:rPr>
            </w:pPr>
            <w:r>
              <w:rPr>
                <w:rFonts w:ascii="Times New Roman" w:cs="Times New Roman" w:eastAsia="Times New Roman" w:hAnsi="Times New Roman"/>
                <w:sz w:val="18"/>
                <w:szCs w:val="18"/>
                <w:i w:val="1"/>
                <w:iCs w:val="1"/>
                <w:color w:val="auto"/>
              </w:rPr>
              <w:t>2018 Proxy Statement</w:t>
            </w:r>
          </w:p>
        </w:tc>
        <w:tc>
          <w:tcPr>
            <w:tcW w:w="1060" w:type="dxa"/>
            <w:vAlign w:val="bottom"/>
          </w:tcPr>
          <w:p>
            <w:pPr>
              <w:jc w:val="right"/>
              <w:spacing w:after="0"/>
              <w:rPr>
                <w:sz w:val="20"/>
                <w:szCs w:val="20"/>
                <w:color w:val="auto"/>
              </w:rPr>
            </w:pPr>
            <w:r>
              <w:rPr>
                <w:rFonts w:ascii="Arial" w:cs="Arial" w:eastAsia="Arial" w:hAnsi="Arial"/>
                <w:sz w:val="18"/>
                <w:szCs w:val="18"/>
                <w:color w:val="auto"/>
              </w:rPr>
              <w:t>55</w:t>
            </w:r>
          </w:p>
        </w:tc>
      </w:tr>
    </w:tbl>
    <w:p>
      <w:pPr>
        <w:sectPr>
          <w:pgSz w:w="11900" w:h="16838" w:orient="portrait"/>
          <w:cols w:equalWidth="0" w:num="1">
            <w:col w:w="10540"/>
          </w:cols>
          <w:pgMar w:left="240" w:top="455" w:right="1119" w:bottom="1440" w:gutter="0" w:footer="0" w:header="0"/>
        </w:sectPr>
      </w:pPr>
    </w:p>
    <w:bookmarkStart w:id="58" w:name="page59"/>
    <w:bookmarkEnd w:id="58"/>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07" name="Picture 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
                    <pic:cNvPicPr>
                      <a:picLocks noChangeAspect="1" noChangeArrowheads="1"/>
                    </pic:cNvPicPr>
                  </pic:nvPicPr>
                  <pic:blipFill>
                    <a:blip r:embed="rId114">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Times New Roman" w:cs="Times New Roman" w:eastAsia="Times New Roman" w:hAnsi="Times New Roman"/>
            <w:sz w:val="18"/>
            <w:szCs w:val="18"/>
            <w:b w:val="1"/>
            <w:bCs w:val="1"/>
            <w:u w:val="single" w:color="auto"/>
            <w:color w:val="0000EE"/>
          </w:rPr>
          <w:t>Table of Contents</w:t>
        </w:r>
      </w:hyperlink>
    </w:p>
    <w:p>
      <w:pPr>
        <w:spacing w:after="0" w:line="305" w:lineRule="exact"/>
        <w:rPr>
          <w:sz w:val="20"/>
          <w:szCs w:val="20"/>
          <w:color w:val="auto"/>
        </w:rPr>
      </w:pPr>
    </w:p>
    <w:p>
      <w:pPr>
        <w:ind w:left="860" w:right="160"/>
        <w:spacing w:after="0" w:line="248" w:lineRule="auto"/>
        <w:rPr>
          <w:sz w:val="20"/>
          <w:szCs w:val="20"/>
          <w:color w:val="auto"/>
        </w:rPr>
      </w:pPr>
      <w:r>
        <w:rPr>
          <w:rFonts w:ascii="Arial" w:cs="Arial" w:eastAsia="Arial" w:hAnsi="Arial"/>
          <w:sz w:val="18"/>
          <w:szCs w:val="18"/>
          <w:color w:val="auto"/>
        </w:rPr>
        <w:t>A shareholder right to call a special meeting and to act by written consent and are 2 complimentary ways to bring an important matter to the attention of both management and shareholders outside the annual meeting cycle such as the election of directors. More than 100 Fortune 500 companies provide for shareholders to call special meetings and to act by written consent.</w:t>
      </w:r>
    </w:p>
    <w:p>
      <w:pPr>
        <w:spacing w:after="0" w:line="198" w:lineRule="exact"/>
        <w:rPr>
          <w:sz w:val="20"/>
          <w:szCs w:val="20"/>
          <w:color w:val="auto"/>
        </w:rPr>
      </w:pPr>
    </w:p>
    <w:p>
      <w:pPr>
        <w:ind w:left="860" w:right="180"/>
        <w:spacing w:after="0" w:line="255" w:lineRule="auto"/>
        <w:rPr>
          <w:sz w:val="20"/>
          <w:szCs w:val="20"/>
          <w:color w:val="auto"/>
        </w:rPr>
      </w:pPr>
      <w:r>
        <w:rPr>
          <w:rFonts w:ascii="Arial" w:cs="Arial" w:eastAsia="Arial" w:hAnsi="Arial"/>
          <w:sz w:val="18"/>
          <w:szCs w:val="18"/>
          <w:color w:val="auto"/>
        </w:rPr>
        <w:t>This proposal topic won 40%-support at the 2017 Exxon annual meeting. This 40%-support could have been higher (for instance 45%) if small shareholders had the same access to independent corporate governance recommendations as large shareholders.</w:t>
      </w:r>
    </w:p>
    <w:p>
      <w:pPr>
        <w:spacing w:after="0" w:line="191" w:lineRule="exact"/>
        <w:rPr>
          <w:sz w:val="20"/>
          <w:szCs w:val="20"/>
          <w:color w:val="auto"/>
        </w:rPr>
      </w:pPr>
    </w:p>
    <w:p>
      <w:pPr>
        <w:ind w:left="860"/>
        <w:spacing w:after="0" w:line="255" w:lineRule="auto"/>
        <w:rPr>
          <w:sz w:val="20"/>
          <w:szCs w:val="20"/>
          <w:color w:val="auto"/>
        </w:rPr>
      </w:pPr>
      <w:r>
        <w:rPr>
          <w:rFonts w:ascii="Arial" w:cs="Arial" w:eastAsia="Arial" w:hAnsi="Arial"/>
          <w:sz w:val="18"/>
          <w:szCs w:val="18"/>
          <w:color w:val="auto"/>
        </w:rPr>
        <w:t>A shareholder ability to call a special meeting would put shareholders in a better position to ask for improvement in our board of directors after the 2018 annual meeting. For instance, directors could be given more appropriate assignments on our Board of Directors. Company performance and the stock price can benefit from such an improvement.</w:t>
      </w:r>
    </w:p>
    <w:p>
      <w:pPr>
        <w:spacing w:after="0" w:line="191" w:lineRule="exact"/>
        <w:rPr>
          <w:sz w:val="20"/>
          <w:szCs w:val="20"/>
          <w:color w:val="auto"/>
        </w:rPr>
      </w:pPr>
    </w:p>
    <w:p>
      <w:pPr>
        <w:jc w:val="both"/>
        <w:ind w:left="860" w:right="320"/>
        <w:spacing w:after="0" w:line="277" w:lineRule="auto"/>
        <w:rPr>
          <w:sz w:val="20"/>
          <w:szCs w:val="20"/>
          <w:color w:val="auto"/>
        </w:rPr>
      </w:pPr>
      <w:r>
        <w:rPr>
          <w:rFonts w:ascii="Arial" w:cs="Arial" w:eastAsia="Arial" w:hAnsi="Arial"/>
          <w:sz w:val="17"/>
          <w:szCs w:val="17"/>
          <w:color w:val="auto"/>
        </w:rPr>
        <w:t>For instance Steven Reinemund and Kenneth Frazier each received 12-times as many negative votes as some of our directors. Mr. Reinemund and Mr. Frazier were both on an important board committee. Perhaps serious consideration should be given to keep directors off such board committees when they receive such shareholder dissatisfaction.</w:t>
      </w:r>
    </w:p>
    <w:p>
      <w:pPr>
        <w:spacing w:after="0" w:line="174" w:lineRule="exact"/>
        <w:rPr>
          <w:sz w:val="20"/>
          <w:szCs w:val="20"/>
          <w:color w:val="auto"/>
        </w:rPr>
      </w:pPr>
    </w:p>
    <w:p>
      <w:pPr>
        <w:jc w:val="center"/>
        <w:ind w:right="-919"/>
        <w:spacing w:after="0"/>
        <w:rPr>
          <w:sz w:val="20"/>
          <w:szCs w:val="20"/>
          <w:color w:val="auto"/>
        </w:rPr>
      </w:pPr>
      <w:r>
        <w:rPr>
          <w:rFonts w:ascii="Arial" w:cs="Arial" w:eastAsia="Arial" w:hAnsi="Arial"/>
          <w:sz w:val="18"/>
          <w:szCs w:val="18"/>
          <w:color w:val="auto"/>
        </w:rPr>
        <w:t>Please vote to increase management accountability to shareholders:</w:t>
      </w:r>
    </w:p>
    <w:p>
      <w:pPr>
        <w:spacing w:after="0" w:line="237" w:lineRule="exact"/>
        <w:rPr>
          <w:sz w:val="20"/>
          <w:szCs w:val="20"/>
          <w:color w:val="auto"/>
        </w:rPr>
      </w:pPr>
    </w:p>
    <w:p>
      <w:pPr>
        <w:ind w:left="3840"/>
        <w:spacing w:after="0"/>
        <w:rPr>
          <w:sz w:val="20"/>
          <w:szCs w:val="20"/>
          <w:color w:val="auto"/>
        </w:rPr>
      </w:pPr>
      <w:r>
        <w:rPr>
          <w:rFonts w:ascii="Arial" w:cs="Arial" w:eastAsia="Arial" w:hAnsi="Arial"/>
          <w:sz w:val="18"/>
          <w:szCs w:val="18"/>
          <w:b w:val="1"/>
          <w:bCs w:val="1"/>
          <w:color w:val="auto"/>
        </w:rPr>
        <w:t>Special Shareholder Meeting – Proposal [5]</w:t>
      </w:r>
      <w:r>
        <w:rPr>
          <w:rFonts w:ascii="Arial" w:cs="Arial" w:eastAsia="Arial" w:hAnsi="Arial"/>
          <w:sz w:val="18"/>
          <w:szCs w:val="18"/>
          <w:color w:val="auto"/>
        </w:rPr>
        <w:t>”</w:t>
      </w:r>
    </w:p>
    <w:p>
      <w:pPr>
        <w:spacing w:after="0" w:line="239" w:lineRule="exact"/>
        <w:rPr>
          <w:sz w:val="20"/>
          <w:szCs w:val="20"/>
          <w:color w:val="auto"/>
        </w:rPr>
      </w:pPr>
    </w:p>
    <w:p>
      <w:pPr>
        <w:ind w:left="860"/>
        <w:spacing w:after="0"/>
        <w:rPr>
          <w:sz w:val="20"/>
          <w:szCs w:val="20"/>
          <w:color w:val="auto"/>
        </w:rPr>
      </w:pPr>
      <w:r>
        <w:rPr>
          <w:rFonts w:ascii="Arial" w:cs="Arial" w:eastAsia="Arial" w:hAnsi="Arial"/>
          <w:sz w:val="18"/>
          <w:szCs w:val="18"/>
          <w:b w:val="1"/>
          <w:bCs w:val="1"/>
          <w:color w:val="auto"/>
        </w:rPr>
        <w:t>The Board recommends you vote AGAINST this proposal for the following reasons:</w:t>
      </w:r>
    </w:p>
    <w:p>
      <w:pPr>
        <w:spacing w:after="0" w:line="119" w:lineRule="exact"/>
        <w:rPr>
          <w:sz w:val="20"/>
          <w:szCs w:val="20"/>
          <w:color w:val="auto"/>
        </w:rPr>
      </w:pPr>
    </w:p>
    <w:p>
      <w:pPr>
        <w:jc w:val="both"/>
        <w:ind w:left="860" w:right="120"/>
        <w:spacing w:after="0" w:line="255" w:lineRule="auto"/>
        <w:rPr>
          <w:sz w:val="20"/>
          <w:szCs w:val="20"/>
          <w:color w:val="auto"/>
        </w:rPr>
      </w:pPr>
      <w:r>
        <w:rPr>
          <w:rFonts w:ascii="Arial" w:cs="Arial" w:eastAsia="Arial" w:hAnsi="Arial"/>
          <w:sz w:val="18"/>
          <w:szCs w:val="18"/>
          <w:color w:val="auto"/>
        </w:rPr>
        <w:t>The Board believes it is important that shareholders have a meaningful right to call special shareholder meetings, a right that ExxonMobil currently provides. A special meeting of ExxonMobil shareholders may be called by holders of not less than 10 percent of outstanding shares, in accordance with New Jersey law, upon a showing of good cause.</w:t>
      </w:r>
    </w:p>
    <w:p>
      <w:pPr>
        <w:spacing w:after="0" w:line="191" w:lineRule="exact"/>
        <w:rPr>
          <w:sz w:val="20"/>
          <w:szCs w:val="20"/>
          <w:color w:val="auto"/>
        </w:rPr>
      </w:pPr>
    </w:p>
    <w:p>
      <w:pPr>
        <w:ind w:left="860" w:right="280"/>
        <w:spacing w:after="0" w:line="255" w:lineRule="auto"/>
        <w:rPr>
          <w:sz w:val="20"/>
          <w:szCs w:val="20"/>
          <w:color w:val="auto"/>
        </w:rPr>
      </w:pPr>
      <w:r>
        <w:rPr>
          <w:rFonts w:ascii="Arial" w:cs="Arial" w:eastAsia="Arial" w:hAnsi="Arial"/>
          <w:sz w:val="18"/>
          <w:szCs w:val="18"/>
          <w:color w:val="auto"/>
        </w:rPr>
        <w:t>By requiring a showing of good cause to call a special meeting, New Jersey law balances the interests of all parties by allowing shareholders to call a meeting for a legitimate purpose while protecting against the potential for abuse. The Board believes this proposal is therefore unnecessary.</w:t>
      </w:r>
    </w:p>
    <w:p>
      <w:pPr>
        <w:spacing w:after="0" w:line="200" w:lineRule="exact"/>
        <w:rPr>
          <w:sz w:val="20"/>
          <w:szCs w:val="20"/>
          <w:color w:val="auto"/>
        </w:rPr>
      </w:pPr>
    </w:p>
    <w:p>
      <w:pPr>
        <w:spacing w:after="0" w:line="239" w:lineRule="exact"/>
        <w:rPr>
          <w:sz w:val="20"/>
          <w:szCs w:val="20"/>
          <w:color w:val="auto"/>
        </w:rPr>
      </w:pPr>
    </w:p>
    <w:p>
      <w:pPr>
        <w:ind w:left="860"/>
        <w:spacing w:after="0"/>
        <w:rPr>
          <w:sz w:val="20"/>
          <w:szCs w:val="20"/>
          <w:color w:val="auto"/>
        </w:rPr>
      </w:pPr>
      <w:r>
        <w:rPr>
          <w:rFonts w:ascii="Arial" w:cs="Arial" w:eastAsia="Arial" w:hAnsi="Arial"/>
          <w:sz w:val="20"/>
          <w:szCs w:val="20"/>
          <w:b w:val="1"/>
          <w:bCs w:val="1"/>
          <w:color w:val="auto"/>
        </w:rPr>
        <w:t>Item 6 – Board Diversity Matrix</w:t>
      </w:r>
    </w:p>
    <w:p>
      <w:pPr>
        <w:spacing w:after="0" w:line="116" w:lineRule="exact"/>
        <w:rPr>
          <w:sz w:val="20"/>
          <w:szCs w:val="20"/>
          <w:color w:val="auto"/>
        </w:rPr>
      </w:pPr>
    </w:p>
    <w:p>
      <w:pPr>
        <w:ind w:left="860" w:right="360"/>
        <w:spacing w:after="0" w:line="276" w:lineRule="auto"/>
        <w:rPr>
          <w:sz w:val="20"/>
          <w:szCs w:val="20"/>
          <w:color w:val="auto"/>
        </w:rPr>
      </w:pPr>
      <w:r>
        <w:rPr>
          <w:rFonts w:ascii="Arial" w:cs="Arial" w:eastAsia="Arial" w:hAnsi="Arial"/>
          <w:sz w:val="18"/>
          <w:szCs w:val="18"/>
          <w:color w:val="auto"/>
        </w:rPr>
        <w:t>This proposal was submitted by the City of New York Retirement Systems, 1 Centre Street, New York, NY 10007, the beneficial owner of 7,837,594 shares.</w:t>
      </w:r>
    </w:p>
    <w:p>
      <w:pPr>
        <w:spacing w:after="0" w:line="170" w:lineRule="exact"/>
        <w:rPr>
          <w:sz w:val="20"/>
          <w:szCs w:val="20"/>
          <w:color w:val="auto"/>
        </w:rPr>
      </w:pPr>
    </w:p>
    <w:p>
      <w:pPr>
        <w:ind w:left="860" w:right="20"/>
        <w:spacing w:after="0" w:line="245" w:lineRule="auto"/>
        <w:rPr>
          <w:sz w:val="20"/>
          <w:szCs w:val="20"/>
          <w:color w:val="auto"/>
        </w:rPr>
      </w:pPr>
      <w:r>
        <w:rPr>
          <w:rFonts w:ascii="Arial" w:cs="Arial" w:eastAsia="Arial" w:hAnsi="Arial"/>
          <w:sz w:val="18"/>
          <w:szCs w:val="18"/>
          <w:color w:val="auto"/>
        </w:rPr>
        <w:t>“RESOLVED</w:t>
      </w:r>
      <w:r>
        <w:rPr>
          <w:rFonts w:ascii="Arial" w:cs="Arial" w:eastAsia="Arial" w:hAnsi="Arial"/>
          <w:sz w:val="18"/>
          <w:szCs w:val="18"/>
          <w:b w:val="1"/>
          <w:bCs w:val="1"/>
          <w:color w:val="auto"/>
        </w:rPr>
        <w:t>:</w:t>
      </w:r>
      <w:r>
        <w:rPr>
          <w:rFonts w:ascii="Arial" w:cs="Arial" w:eastAsia="Arial" w:hAnsi="Arial"/>
          <w:sz w:val="18"/>
          <w:szCs w:val="18"/>
          <w:color w:val="auto"/>
        </w:rPr>
        <w:t xml:space="preserve"> Shareholders of Exxon Mobil Corporation (‘Exxon’) request that its Board of Directors (the ‘Board’) disclose to shareholders each director’s/nominee’s gender and race/ethnicity, as well as skills, experience, and attributes that are most relevant in light of Exxon’s overall business, long-term strategy and risks, presented in a matrix form. The requested matrix shall not include any attributes the Board identifies as minimum qualifications for all Board candidates in compliance with SEC Regulation S-K.</w:t>
      </w:r>
    </w:p>
    <w:p>
      <w:pPr>
        <w:spacing w:after="0" w:line="202" w:lineRule="exact"/>
        <w:rPr>
          <w:sz w:val="20"/>
          <w:szCs w:val="20"/>
          <w:color w:val="auto"/>
        </w:rPr>
      </w:pPr>
    </w:p>
    <w:p>
      <w:pPr>
        <w:ind w:left="860" w:right="100"/>
        <w:spacing w:after="0" w:line="276" w:lineRule="auto"/>
        <w:rPr>
          <w:sz w:val="20"/>
          <w:szCs w:val="20"/>
          <w:color w:val="auto"/>
        </w:rPr>
      </w:pPr>
      <w:r>
        <w:rPr>
          <w:rFonts w:ascii="Arial" w:cs="Arial" w:eastAsia="Arial" w:hAnsi="Arial"/>
          <w:sz w:val="18"/>
          <w:szCs w:val="18"/>
          <w:color w:val="auto"/>
        </w:rPr>
        <w:t>The requested matrix shall be presented to shareholders in Exxon’s annual proxy statement and on its website within six months of the date of the annual meeting, and updated annually.</w:t>
      </w:r>
    </w:p>
    <w:p>
      <w:pPr>
        <w:spacing w:after="0" w:line="172" w:lineRule="exact"/>
        <w:rPr>
          <w:sz w:val="20"/>
          <w:szCs w:val="20"/>
          <w:color w:val="auto"/>
        </w:rPr>
      </w:pPr>
    </w:p>
    <w:p>
      <w:pPr>
        <w:ind w:left="860"/>
        <w:spacing w:after="0"/>
        <w:rPr>
          <w:sz w:val="20"/>
          <w:szCs w:val="20"/>
          <w:color w:val="auto"/>
        </w:rPr>
      </w:pPr>
      <w:r>
        <w:rPr>
          <w:rFonts w:ascii="Arial" w:cs="Arial" w:eastAsia="Arial" w:hAnsi="Arial"/>
          <w:sz w:val="18"/>
          <w:szCs w:val="18"/>
          <w:color w:val="auto"/>
        </w:rPr>
        <w:t>SUPPORTING STATEMENT</w:t>
      </w:r>
    </w:p>
    <w:p>
      <w:pPr>
        <w:spacing w:after="0" w:line="117" w:lineRule="exact"/>
        <w:rPr>
          <w:sz w:val="20"/>
          <w:szCs w:val="20"/>
          <w:color w:val="auto"/>
        </w:rPr>
      </w:pPr>
    </w:p>
    <w:p>
      <w:pPr>
        <w:ind w:left="860" w:right="300"/>
        <w:spacing w:after="0" w:line="245" w:lineRule="auto"/>
        <w:rPr>
          <w:sz w:val="20"/>
          <w:szCs w:val="20"/>
          <w:color w:val="auto"/>
        </w:rPr>
      </w:pPr>
      <w:r>
        <w:rPr>
          <w:rFonts w:ascii="Arial" w:cs="Arial" w:eastAsia="Arial" w:hAnsi="Arial"/>
          <w:sz w:val="18"/>
          <w:szCs w:val="18"/>
          <w:color w:val="auto"/>
        </w:rPr>
        <w:t>We believe a diverse board – in terms of relevant skills and experience AND gender and race/ethnicity – is a good indicator of a well-functioning board. Among other benefits, diverse boards can better manage risk by avoiding ‘groupthink’ – a cognitive bias whereby ‘homogeneous, cohesive groups’ tend toward standard agreement with known business associates and not challenge ‘basic premises’ (</w:t>
      </w:r>
      <w:r>
        <w:rPr>
          <w:rFonts w:ascii="Arial" w:cs="Arial" w:eastAsia="Arial" w:hAnsi="Arial"/>
          <w:sz w:val="18"/>
          <w:szCs w:val="18"/>
          <w:u w:val="single" w:color="auto"/>
          <w:color w:val="auto"/>
        </w:rPr>
        <w:t>http://www.ieo-imf.org/ieo/files/</w:t>
      </w:r>
      <w:r>
        <w:rPr>
          <w:rFonts w:ascii="Arial" w:cs="Arial" w:eastAsia="Arial" w:hAnsi="Arial"/>
          <w:sz w:val="18"/>
          <w:szCs w:val="18"/>
          <w:color w:val="auto"/>
        </w:rPr>
        <w:t xml:space="preserve"> </w:t>
      </w:r>
      <w:r>
        <w:rPr>
          <w:rFonts w:ascii="Arial" w:cs="Arial" w:eastAsia="Arial" w:hAnsi="Arial"/>
          <w:sz w:val="18"/>
          <w:szCs w:val="18"/>
          <w:u w:val="single" w:color="auto"/>
          <w:color w:val="auto"/>
        </w:rPr>
        <w:t>completedevaluations/01102011Crisis_IV._Why_Did_the_IMF_Fail_to_Give_Clear_Warning.pdf</w:t>
      </w:r>
      <w:r>
        <w:rPr>
          <w:rFonts w:ascii="Arial" w:cs="Arial" w:eastAsia="Arial" w:hAnsi="Arial"/>
          <w:sz w:val="18"/>
          <w:szCs w:val="18"/>
          <w:color w:val="auto"/>
        </w:rPr>
        <w:t>).</w:t>
      </w:r>
    </w:p>
    <w:p>
      <w:pPr>
        <w:spacing w:after="0" w:line="118" w:lineRule="exact"/>
        <w:rPr>
          <w:sz w:val="20"/>
          <w:szCs w:val="20"/>
          <w:color w:val="auto"/>
        </w:rPr>
      </w:pPr>
    </w:p>
    <w:p>
      <w:pPr>
        <w:ind w:left="880"/>
        <w:spacing w:after="0"/>
        <w:tabs>
          <w:tab w:leader="none" w:pos="2780" w:val="left"/>
        </w:tabs>
        <w:rPr>
          <w:sz w:val="20"/>
          <w:szCs w:val="20"/>
          <w:color w:val="auto"/>
        </w:rPr>
      </w:pPr>
      <w:r>
        <w:rPr>
          <w:rFonts w:ascii="Arial" w:cs="Arial" w:eastAsia="Arial" w:hAnsi="Arial"/>
          <w:sz w:val="18"/>
          <w:szCs w:val="18"/>
          <w:color w:val="auto"/>
        </w:rPr>
        <w:t>56</w:t>
      </w:r>
      <w:r>
        <w:rPr>
          <w:sz w:val="20"/>
          <w:szCs w:val="20"/>
          <w:color w:val="auto"/>
        </w:rPr>
        <w:tab/>
      </w:r>
      <w:r>
        <w:rPr>
          <w:rFonts w:ascii="Times New Roman" w:cs="Times New Roman" w:eastAsia="Times New Roman" w:hAnsi="Times New Roman"/>
          <w:sz w:val="18"/>
          <w:szCs w:val="18"/>
          <w:i w:val="1"/>
          <w:iCs w:val="1"/>
          <w:color w:val="auto"/>
        </w:rPr>
        <w:t>2018 Proxy Statement</w:t>
      </w:r>
    </w:p>
    <w:p>
      <w:pPr>
        <w:sectPr>
          <w:pgSz w:w="11900" w:h="16838" w:orient="portrait"/>
          <w:cols w:equalWidth="0" w:num="1">
            <w:col w:w="10520"/>
          </w:cols>
          <w:pgMar w:left="240" w:top="455" w:right="1139" w:bottom="1440" w:gutter="0" w:footer="0" w:header="0"/>
        </w:sectPr>
      </w:pPr>
    </w:p>
    <w:bookmarkStart w:id="59" w:name="page60"/>
    <w:bookmarkEnd w:id="59"/>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08" name="Picture 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
                    <pic:cNvPicPr>
                      <a:picLocks noChangeAspect="1" noChangeArrowheads="1"/>
                    </pic:cNvPicPr>
                  </pic:nvPicPr>
                  <pic:blipFill>
                    <a:blip r:embed="rId115">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Times New Roman" w:cs="Times New Roman" w:eastAsia="Times New Roman" w:hAnsi="Times New Roman"/>
            <w:sz w:val="18"/>
            <w:szCs w:val="18"/>
            <w:b w:val="1"/>
            <w:bCs w:val="1"/>
            <w:u w:val="single" w:color="auto"/>
            <w:color w:val="0000EE"/>
          </w:rPr>
          <w:t>Table of Contents</w:t>
        </w:r>
      </w:hyperlink>
    </w:p>
    <w:p>
      <w:pPr>
        <w:spacing w:after="0" w:line="305" w:lineRule="exact"/>
        <w:rPr>
          <w:sz w:val="20"/>
          <w:szCs w:val="20"/>
          <w:color w:val="auto"/>
        </w:rPr>
      </w:pPr>
    </w:p>
    <w:p>
      <w:pPr>
        <w:ind w:left="860" w:right="260"/>
        <w:spacing w:after="0" w:line="248" w:lineRule="auto"/>
        <w:rPr>
          <w:sz w:val="20"/>
          <w:szCs w:val="20"/>
          <w:color w:val="auto"/>
        </w:rPr>
      </w:pPr>
      <w:r>
        <w:rPr>
          <w:rFonts w:ascii="Arial" w:cs="Arial" w:eastAsia="Arial" w:hAnsi="Arial"/>
          <w:sz w:val="18"/>
          <w:szCs w:val="18"/>
          <w:color w:val="auto"/>
        </w:rPr>
        <w:t>Research by McKinsey suggests that companies with greater gender and ethnic board diversity have stronger financial performance (</w:t>
      </w:r>
      <w:r>
        <w:rPr>
          <w:rFonts w:ascii="Arial" w:cs="Arial" w:eastAsia="Arial" w:hAnsi="Arial"/>
          <w:sz w:val="18"/>
          <w:szCs w:val="18"/>
          <w:u w:val="single" w:color="auto"/>
          <w:color w:val="auto"/>
        </w:rPr>
        <w:t>https://www.mckinsey.com/business-functions/organization/our-insights/why-diversity-matters</w:t>
      </w:r>
      <w:r>
        <w:rPr>
          <w:rFonts w:ascii="Arial" w:cs="Arial" w:eastAsia="Arial" w:hAnsi="Arial"/>
          <w:sz w:val="18"/>
          <w:szCs w:val="18"/>
          <w:color w:val="auto"/>
        </w:rPr>
        <w:t>). MSCI research suggests that gender diverse boards have fewer instances of bribery, corruption, and fraud (</w:t>
      </w:r>
      <w:r>
        <w:rPr>
          <w:rFonts w:ascii="Arial" w:cs="Arial" w:eastAsia="Arial" w:hAnsi="Arial"/>
          <w:sz w:val="18"/>
          <w:szCs w:val="18"/>
          <w:u w:val="single" w:color="auto"/>
          <w:color w:val="auto"/>
        </w:rPr>
        <w:t>https://www.msci.com/documents/10199/04b6f646-d638-4878-9c61-4eb91748a82b</w:t>
      </w:r>
      <w:r>
        <w:rPr>
          <w:rFonts w:ascii="Arial" w:cs="Arial" w:eastAsia="Arial" w:hAnsi="Arial"/>
          <w:sz w:val="18"/>
          <w:szCs w:val="18"/>
          <w:color w:val="auto"/>
        </w:rPr>
        <w:t>).</w:t>
      </w:r>
    </w:p>
    <w:p>
      <w:pPr>
        <w:spacing w:after="0" w:line="171" w:lineRule="exact"/>
        <w:rPr>
          <w:sz w:val="20"/>
          <w:szCs w:val="20"/>
          <w:color w:val="auto"/>
        </w:rPr>
      </w:pPr>
    </w:p>
    <w:p>
      <w:pPr>
        <w:ind w:left="860"/>
        <w:spacing w:after="0"/>
        <w:rPr>
          <w:sz w:val="20"/>
          <w:szCs w:val="20"/>
          <w:color w:val="auto"/>
        </w:rPr>
      </w:pPr>
      <w:r>
        <w:rPr>
          <w:rFonts w:ascii="Arial" w:cs="Arial" w:eastAsia="Arial" w:hAnsi="Arial"/>
          <w:sz w:val="18"/>
          <w:szCs w:val="18"/>
          <w:color w:val="auto"/>
        </w:rPr>
        <w:t>Many boards recognize the importance of, and disclose information on, their boards’ gender and racial/ethnic diversity:</w:t>
      </w:r>
    </w:p>
    <w:p>
      <w:pPr>
        <w:spacing w:after="0" w:line="117" w:lineRule="exact"/>
        <w:rPr>
          <w:sz w:val="20"/>
          <w:szCs w:val="20"/>
          <w:color w:val="auto"/>
        </w:rPr>
      </w:pPr>
    </w:p>
    <w:p>
      <w:pPr>
        <w:ind w:left="1240" w:right="60" w:hanging="388"/>
        <w:spacing w:after="0" w:line="248" w:lineRule="auto"/>
        <w:tabs>
          <w:tab w:leader="none" w:pos="1240" w:val="left"/>
        </w:tabs>
        <w:numPr>
          <w:ilvl w:val="0"/>
          <w:numId w:val="95"/>
        </w:numPr>
        <w:rPr>
          <w:rFonts w:ascii="Times New Roman" w:cs="Times New Roman" w:eastAsia="Times New Roman" w:hAnsi="Times New Roman"/>
          <w:sz w:val="18"/>
          <w:szCs w:val="18"/>
          <w:color w:val="auto"/>
        </w:rPr>
      </w:pPr>
      <w:r>
        <w:rPr>
          <w:rFonts w:ascii="Arial" w:cs="Arial" w:eastAsia="Arial" w:hAnsi="Arial"/>
          <w:sz w:val="18"/>
          <w:szCs w:val="18"/>
          <w:color w:val="auto"/>
        </w:rPr>
        <w:t xml:space="preserve">According to a 2017 PwC survey of 886 directors, 68% believe gender diversity is very important and 42% believe racial diversity is very important. Among those who responded that diversity is important, 82% said it improved board performance and 59% said it improved company performance. </w:t>
      </w:r>
      <w:r>
        <w:rPr>
          <w:rFonts w:ascii="Arial" w:cs="Arial" w:eastAsia="Arial" w:hAnsi="Arial"/>
          <w:sz w:val="18"/>
          <w:szCs w:val="18"/>
          <w:u w:val="single" w:color="auto"/>
          <w:color w:val="auto"/>
        </w:rPr>
        <w:t>(https://www.pwc.com/us/en/governance-insights-center/annual-corporate-directors-survey/assets/pwc-2017-annual-corporate--directors--survey.pdf)</w:t>
      </w:r>
    </w:p>
    <w:p>
      <w:pPr>
        <w:spacing w:after="0" w:line="75" w:lineRule="exact"/>
        <w:rPr>
          <w:rFonts w:ascii="Times New Roman" w:cs="Times New Roman" w:eastAsia="Times New Roman" w:hAnsi="Times New Roman"/>
          <w:sz w:val="18"/>
          <w:szCs w:val="18"/>
          <w:color w:val="auto"/>
        </w:rPr>
      </w:pPr>
    </w:p>
    <w:p>
      <w:pPr>
        <w:ind w:left="1240" w:right="20" w:hanging="388"/>
        <w:spacing w:after="0" w:line="255" w:lineRule="auto"/>
        <w:tabs>
          <w:tab w:leader="none" w:pos="1240" w:val="left"/>
        </w:tabs>
        <w:numPr>
          <w:ilvl w:val="0"/>
          <w:numId w:val="95"/>
        </w:numPr>
        <w:rPr>
          <w:rFonts w:ascii="Times New Roman" w:cs="Times New Roman" w:eastAsia="Times New Roman" w:hAnsi="Times New Roman"/>
          <w:sz w:val="18"/>
          <w:szCs w:val="18"/>
          <w:color w:val="auto"/>
        </w:rPr>
      </w:pPr>
      <w:r>
        <w:rPr>
          <w:rFonts w:ascii="Arial" w:cs="Arial" w:eastAsia="Arial" w:hAnsi="Arial"/>
          <w:sz w:val="18"/>
          <w:szCs w:val="18"/>
          <w:color w:val="auto"/>
        </w:rPr>
        <w:t xml:space="preserve">According to a 2017 Equilar study of 500 large companies, 45.1% disclosed board composition by gender and 39.8% disclosed composition in terms of race/ethnicity. </w:t>
      </w:r>
      <w:r>
        <w:rPr>
          <w:rFonts w:ascii="Arial" w:cs="Arial" w:eastAsia="Arial" w:hAnsi="Arial"/>
          <w:sz w:val="18"/>
          <w:szCs w:val="18"/>
          <w:u w:val="single" w:color="auto"/>
          <w:color w:val="auto"/>
        </w:rPr>
        <w:t>(http://semlerbrossy.com/wp-content/uploads/Equilar-Board-Composition-and-Director-Recruiting-Trends-SEP-2017.pdf)</w:t>
      </w:r>
    </w:p>
    <w:p>
      <w:pPr>
        <w:spacing w:after="0" w:line="163" w:lineRule="exact"/>
        <w:rPr>
          <w:sz w:val="20"/>
          <w:szCs w:val="20"/>
          <w:color w:val="auto"/>
        </w:rPr>
      </w:pPr>
    </w:p>
    <w:p>
      <w:pPr>
        <w:ind w:left="860" w:right="720"/>
        <w:spacing w:after="0" w:line="276" w:lineRule="auto"/>
        <w:rPr>
          <w:sz w:val="20"/>
          <w:szCs w:val="20"/>
          <w:color w:val="auto"/>
        </w:rPr>
      </w:pPr>
      <w:r>
        <w:rPr>
          <w:rFonts w:ascii="Arial" w:cs="Arial" w:eastAsia="Arial" w:hAnsi="Arial"/>
          <w:sz w:val="18"/>
          <w:szCs w:val="18"/>
          <w:color w:val="auto"/>
        </w:rPr>
        <w:t>In its 2017 proxy statement, Exxon provides no overview of how its directors’ different qualifications fit together to effectively fulfill their oversight responsibilities, nor did it explicitly disclose their gender and race.</w:t>
      </w:r>
    </w:p>
    <w:p>
      <w:pPr>
        <w:spacing w:after="0" w:line="145" w:lineRule="exact"/>
        <w:rPr>
          <w:sz w:val="20"/>
          <w:szCs w:val="20"/>
          <w:color w:val="auto"/>
        </w:rPr>
      </w:pPr>
    </w:p>
    <w:p>
      <w:pPr>
        <w:ind w:left="860" w:right="60"/>
        <w:spacing w:after="0" w:line="248" w:lineRule="auto"/>
        <w:rPr>
          <w:sz w:val="20"/>
          <w:szCs w:val="20"/>
          <w:color w:val="auto"/>
        </w:rPr>
      </w:pPr>
      <w:r>
        <w:rPr>
          <w:rFonts w:ascii="Arial" w:cs="Arial" w:eastAsia="Arial" w:hAnsi="Arial"/>
          <w:sz w:val="18"/>
          <w:szCs w:val="18"/>
          <w:color w:val="auto"/>
        </w:rPr>
        <w:t>Providing a Board matrix will give Exxon shareholders a ‘big-picture’ view of Exxon directors’ attributes and how they fit together, thereby enabling shareholders to (a) assess how well-suited individual director nominees are for the company in light of (i) the company’s evolving business strategy and risks and (ii) the overall mix of director skills and experiences; (b) identify any gaps in skills, experience or other characteristics; and (c) make better informed proxy voting decisions.</w:t>
      </w:r>
    </w:p>
    <w:p>
      <w:pPr>
        <w:spacing w:after="0" w:line="171" w:lineRule="exact"/>
        <w:rPr>
          <w:sz w:val="20"/>
          <w:szCs w:val="20"/>
          <w:color w:val="auto"/>
        </w:rPr>
      </w:pPr>
    </w:p>
    <w:p>
      <w:pPr>
        <w:ind w:left="860" w:right="20"/>
        <w:spacing w:after="0" w:line="245" w:lineRule="auto"/>
        <w:rPr>
          <w:sz w:val="20"/>
          <w:szCs w:val="20"/>
          <w:color w:val="auto"/>
        </w:rPr>
      </w:pPr>
      <w:r>
        <w:rPr>
          <w:rFonts w:ascii="Arial" w:cs="Arial" w:eastAsia="Arial" w:hAnsi="Arial"/>
          <w:sz w:val="18"/>
          <w:szCs w:val="18"/>
          <w:color w:val="auto"/>
        </w:rPr>
        <w:t xml:space="preserve">Use of a matrix to present director qualifications is recommended by the National Association of Corporate Directors </w:t>
      </w:r>
      <w:r>
        <w:rPr>
          <w:rFonts w:ascii="Arial" w:cs="Arial" w:eastAsia="Arial" w:hAnsi="Arial"/>
          <w:sz w:val="18"/>
          <w:szCs w:val="18"/>
          <w:u w:val="single" w:color="auto"/>
          <w:color w:val="auto"/>
        </w:rPr>
        <w:t>(https://www.nacdonline.org/Resources/Article.cfm?ItemNumber=35337)</w:t>
      </w:r>
      <w:r>
        <w:rPr>
          <w:rFonts w:ascii="Arial" w:cs="Arial" w:eastAsia="Arial" w:hAnsi="Arial"/>
          <w:sz w:val="18"/>
          <w:szCs w:val="18"/>
          <w:color w:val="auto"/>
        </w:rPr>
        <w:t xml:space="preserve">, among other business and investor groups. The EY Center for Board Matters recently reported that 16% of S&amp;P 500 companies disclosed a director skills matrix in 2017 </w:t>
      </w:r>
      <w:r>
        <w:rPr>
          <w:rFonts w:ascii="Arial" w:cs="Arial" w:eastAsia="Arial" w:hAnsi="Arial"/>
          <w:sz w:val="18"/>
          <w:szCs w:val="18"/>
          <w:u w:val="single" w:color="auto"/>
          <w:color w:val="auto"/>
        </w:rPr>
        <w:t>(http://www.ey.com/Publication/vwLUAssets/EY-board-matters-quarterly-june-2017/$FILE/EY-board-matters-quarterly-june-2017.pdf)</w:t>
      </w:r>
      <w:r>
        <w:rPr>
          <w:rFonts w:ascii="Arial" w:cs="Arial" w:eastAsia="Arial" w:hAnsi="Arial"/>
          <w:sz w:val="18"/>
          <w:szCs w:val="18"/>
          <w:color w:val="auto"/>
        </w:rPr>
        <w:t>.</w:t>
      </w:r>
    </w:p>
    <w:p>
      <w:pPr>
        <w:spacing w:after="0" w:line="172" w:lineRule="exact"/>
        <w:rPr>
          <w:sz w:val="20"/>
          <w:szCs w:val="20"/>
          <w:color w:val="auto"/>
        </w:rPr>
      </w:pPr>
    </w:p>
    <w:p>
      <w:pPr>
        <w:ind w:left="860" w:right="40"/>
        <w:spacing w:after="0" w:line="277" w:lineRule="auto"/>
        <w:rPr>
          <w:sz w:val="20"/>
          <w:szCs w:val="20"/>
          <w:color w:val="auto"/>
        </w:rPr>
      </w:pPr>
      <w:r>
        <w:rPr>
          <w:rFonts w:ascii="Arial" w:cs="Arial" w:eastAsia="Arial" w:hAnsi="Arial"/>
          <w:sz w:val="17"/>
          <w:szCs w:val="17"/>
          <w:color w:val="auto"/>
        </w:rPr>
        <w:t xml:space="preserve">The specific matrix approach that we are requesting, with gender and race/ethnicity as essential dimensions, is consistent with the request in a March 31, 2015 rulemaking petition to the U.S. Securities and Exchange Commission seeking mandatory matrix disclosure by all U.S. public companies </w:t>
      </w:r>
      <w:r>
        <w:rPr>
          <w:rFonts w:ascii="Arial" w:cs="Arial" w:eastAsia="Arial" w:hAnsi="Arial"/>
          <w:sz w:val="17"/>
          <w:szCs w:val="17"/>
          <w:u w:val="single" w:color="auto"/>
          <w:color w:val="auto"/>
        </w:rPr>
        <w:t>(https://www.sec.gov/rules/petitions/2015/petn4-682.pdf)</w:t>
      </w:r>
      <w:r>
        <w:rPr>
          <w:rFonts w:ascii="Arial" w:cs="Arial" w:eastAsia="Arial" w:hAnsi="Arial"/>
          <w:sz w:val="17"/>
          <w:szCs w:val="17"/>
          <w:color w:val="auto"/>
        </w:rPr>
        <w:t>.</w:t>
      </w:r>
    </w:p>
    <w:p>
      <w:pPr>
        <w:spacing w:after="0" w:line="147" w:lineRule="exact"/>
        <w:rPr>
          <w:sz w:val="20"/>
          <w:szCs w:val="20"/>
          <w:color w:val="auto"/>
        </w:rPr>
      </w:pPr>
    </w:p>
    <w:p>
      <w:pPr>
        <w:ind w:left="860"/>
        <w:spacing w:after="0"/>
        <w:rPr>
          <w:sz w:val="20"/>
          <w:szCs w:val="20"/>
          <w:color w:val="auto"/>
        </w:rPr>
      </w:pPr>
      <w:r>
        <w:rPr>
          <w:rFonts w:ascii="Arial" w:cs="Arial" w:eastAsia="Arial" w:hAnsi="Arial"/>
          <w:sz w:val="18"/>
          <w:szCs w:val="18"/>
          <w:color w:val="auto"/>
        </w:rPr>
        <w:t>We urge shareholders to vote FOR this proposal.”</w:t>
      </w:r>
    </w:p>
    <w:p>
      <w:pPr>
        <w:spacing w:after="0" w:line="210" w:lineRule="exact"/>
        <w:rPr>
          <w:sz w:val="20"/>
          <w:szCs w:val="20"/>
          <w:color w:val="auto"/>
        </w:rPr>
      </w:pPr>
    </w:p>
    <w:p>
      <w:pPr>
        <w:ind w:left="860"/>
        <w:spacing w:after="0"/>
        <w:rPr>
          <w:sz w:val="20"/>
          <w:szCs w:val="20"/>
          <w:color w:val="auto"/>
        </w:rPr>
      </w:pPr>
      <w:r>
        <w:rPr>
          <w:rFonts w:ascii="Arial" w:cs="Arial" w:eastAsia="Arial" w:hAnsi="Arial"/>
          <w:sz w:val="18"/>
          <w:szCs w:val="18"/>
          <w:b w:val="1"/>
          <w:bCs w:val="1"/>
          <w:color w:val="auto"/>
        </w:rPr>
        <w:t>The Board recommends you vote AGAINST this proposal for the following reasons:</w:t>
      </w:r>
    </w:p>
    <w:p>
      <w:pPr>
        <w:spacing w:after="0" w:line="106" w:lineRule="exact"/>
        <w:rPr>
          <w:sz w:val="20"/>
          <w:szCs w:val="20"/>
          <w:color w:val="auto"/>
        </w:rPr>
      </w:pPr>
    </w:p>
    <w:p>
      <w:pPr>
        <w:ind w:left="860" w:right="100"/>
        <w:spacing w:after="0" w:line="243" w:lineRule="auto"/>
        <w:rPr>
          <w:sz w:val="20"/>
          <w:szCs w:val="20"/>
          <w:color w:val="auto"/>
        </w:rPr>
      </w:pPr>
      <w:r>
        <w:rPr>
          <w:rFonts w:ascii="Arial" w:cs="Arial" w:eastAsia="Arial" w:hAnsi="Arial"/>
          <w:sz w:val="18"/>
          <w:szCs w:val="18"/>
          <w:color w:val="auto"/>
        </w:rPr>
        <w:t>The Board agrees that diversity, including gender and ethnicity, is a key attribute of the composition and competency of a board, and believes that this is relevant information for shareholders. This is why we have traditionally provided detailed information regarding our Board members in our proxy statement and on our website. Our proxy statement also: a) provides the description of the qualifications that the Board seeks in its directors; b) emphasizes the importance of diversity in our candidate search process; and c) provides a summary of the Board’s collective competencies and diversity. We believe the breadth of our disclosures meaningfully addresses the proposal.</w:t>
      </w:r>
    </w:p>
    <w:p>
      <w:pPr>
        <w:spacing w:after="0" w:line="174" w:lineRule="exact"/>
        <w:rPr>
          <w:sz w:val="20"/>
          <w:szCs w:val="20"/>
          <w:color w:val="auto"/>
        </w:rPr>
      </w:pPr>
    </w:p>
    <w:p>
      <w:pPr>
        <w:ind w:left="860"/>
        <w:spacing w:after="0" w:line="241" w:lineRule="auto"/>
        <w:rPr>
          <w:sz w:val="20"/>
          <w:szCs w:val="20"/>
          <w:color w:val="auto"/>
        </w:rPr>
      </w:pPr>
      <w:r>
        <w:rPr>
          <w:rFonts w:ascii="Arial" w:cs="Arial" w:eastAsia="Arial" w:hAnsi="Arial"/>
          <w:sz w:val="18"/>
          <w:szCs w:val="18"/>
          <w:color w:val="auto"/>
        </w:rPr>
        <w:t xml:space="preserve">Diversity of life experiences and backgrounds, as well as gender and ethnic diversity, is an important consideration in identifying and assessing board candidates, as is a thorough assessment of a candidate’s experiences, qualifications, and attributes. The success of our Board refreshment process, from the standpoint of diversity, is seen in the results. Female members comprise 27 percent of our current Board, above the S&amp;P average of 22 percent. The Board’s ethnic minority representation of 18 percent also exceeds the average S&amp;P performance of 17 percent. Additionally, five of the last ten most recently elected independent directors were women or ethnic minorities (S&amp;P data sourced from </w:t>
      </w:r>
      <w:r>
        <w:rPr>
          <w:rFonts w:ascii="Arial" w:cs="Arial" w:eastAsia="Arial" w:hAnsi="Arial"/>
          <w:sz w:val="18"/>
          <w:szCs w:val="18"/>
          <w:i w:val="1"/>
          <w:iCs w:val="1"/>
          <w:color w:val="auto"/>
        </w:rPr>
        <w:t>2017 Spencer</w:t>
      </w:r>
      <w:r>
        <w:rPr>
          <w:rFonts w:ascii="Arial" w:cs="Arial" w:eastAsia="Arial" w:hAnsi="Arial"/>
          <w:sz w:val="18"/>
          <w:szCs w:val="18"/>
          <w:color w:val="auto"/>
        </w:rPr>
        <w:t xml:space="preserve"> </w:t>
      </w:r>
      <w:r>
        <w:rPr>
          <w:rFonts w:ascii="Arial" w:cs="Arial" w:eastAsia="Arial" w:hAnsi="Arial"/>
          <w:sz w:val="18"/>
          <w:szCs w:val="18"/>
          <w:i w:val="1"/>
          <w:iCs w:val="1"/>
          <w:color w:val="auto"/>
        </w:rPr>
        <w:t>Stuart Board Index</w:t>
      </w:r>
      <w:r>
        <w:rPr>
          <w:rFonts w:ascii="Arial" w:cs="Arial" w:eastAsia="Arial" w:hAnsi="Arial"/>
          <w:sz w:val="18"/>
          <w:szCs w:val="18"/>
          <w:color w:val="auto"/>
        </w:rPr>
        <w:t>).</w:t>
      </w:r>
    </w:p>
    <w:p>
      <w:pPr>
        <w:spacing w:after="0" w:line="112" w:lineRule="exact"/>
        <w:rPr>
          <w:sz w:val="20"/>
          <w:szCs w:val="20"/>
          <w:color w:val="auto"/>
        </w:rPr>
      </w:pPr>
    </w:p>
    <w:tbl>
      <w:tblPr>
        <w:tblLayout w:type="fixed"/>
        <w:tblInd w:w="6960" w:type="dxa"/>
        <w:tblCellMar>
          <w:top w:w="0" w:type="dxa"/>
          <w:left w:w="0" w:type="dxa"/>
          <w:bottom w:w="0" w:type="dxa"/>
          <w:right w:w="0" w:type="dxa"/>
        </w:tblCellMar>
      </w:tblPr>
      <w:tr>
        <w:trPr>
          <w:trHeight w:val="243"/>
        </w:trPr>
        <w:tc>
          <w:tcPr>
            <w:tcW w:w="2440" w:type="dxa"/>
            <w:vAlign w:val="bottom"/>
          </w:tcPr>
          <w:p>
            <w:pPr>
              <w:spacing w:after="0"/>
              <w:rPr>
                <w:sz w:val="20"/>
                <w:szCs w:val="20"/>
                <w:color w:val="auto"/>
              </w:rPr>
            </w:pPr>
            <w:r>
              <w:rPr>
                <w:rFonts w:ascii="Times New Roman" w:cs="Times New Roman" w:eastAsia="Times New Roman" w:hAnsi="Times New Roman"/>
                <w:sz w:val="18"/>
                <w:szCs w:val="18"/>
                <w:i w:val="1"/>
                <w:iCs w:val="1"/>
                <w:color w:val="auto"/>
              </w:rPr>
              <w:t>2018 Proxy Statement</w:t>
            </w:r>
          </w:p>
        </w:tc>
        <w:tc>
          <w:tcPr>
            <w:tcW w:w="1060" w:type="dxa"/>
            <w:vAlign w:val="bottom"/>
          </w:tcPr>
          <w:p>
            <w:pPr>
              <w:jc w:val="right"/>
              <w:spacing w:after="0"/>
              <w:rPr>
                <w:sz w:val="20"/>
                <w:szCs w:val="20"/>
                <w:color w:val="auto"/>
              </w:rPr>
            </w:pPr>
            <w:r>
              <w:rPr>
                <w:rFonts w:ascii="Arial" w:cs="Arial" w:eastAsia="Arial" w:hAnsi="Arial"/>
                <w:sz w:val="18"/>
                <w:szCs w:val="18"/>
                <w:color w:val="auto"/>
              </w:rPr>
              <w:t>57</w:t>
            </w:r>
          </w:p>
        </w:tc>
      </w:tr>
    </w:tbl>
    <w:p>
      <w:pPr>
        <w:sectPr>
          <w:pgSz w:w="11900" w:h="16838" w:orient="portrait"/>
          <w:cols w:equalWidth="0" w:num="1">
            <w:col w:w="10560"/>
          </w:cols>
          <w:pgMar w:left="240" w:top="455" w:right="1099" w:bottom="1440" w:gutter="0" w:footer="0" w:header="0"/>
        </w:sectPr>
      </w:pPr>
    </w:p>
    <w:bookmarkStart w:id="60" w:name="page61"/>
    <w:bookmarkEnd w:id="60"/>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09" name="Picture 1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
                    <pic:cNvPicPr>
                      <a:picLocks noChangeAspect="1" noChangeArrowheads="1"/>
                    </pic:cNvPicPr>
                  </pic:nvPicPr>
                  <pic:blipFill>
                    <a:blip r:embed="rId116">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Times New Roman" w:cs="Times New Roman" w:eastAsia="Times New Roman" w:hAnsi="Times New Roman"/>
            <w:sz w:val="18"/>
            <w:szCs w:val="18"/>
            <w:b w:val="1"/>
            <w:bCs w:val="1"/>
            <w:u w:val="single" w:color="auto"/>
            <w:color w:val="0000EE"/>
          </w:rPr>
          <w:t>Table of Contents</w:t>
        </w:r>
      </w:hyperlink>
    </w:p>
    <w:p>
      <w:pPr>
        <w:spacing w:after="0" w:line="305" w:lineRule="exact"/>
        <w:rPr>
          <w:sz w:val="20"/>
          <w:szCs w:val="20"/>
          <w:color w:val="auto"/>
        </w:rPr>
      </w:pPr>
    </w:p>
    <w:p>
      <w:pPr>
        <w:ind w:left="860" w:right="360"/>
        <w:spacing w:after="0" w:line="248" w:lineRule="auto"/>
        <w:rPr>
          <w:sz w:val="20"/>
          <w:szCs w:val="20"/>
          <w:color w:val="auto"/>
        </w:rPr>
      </w:pPr>
      <w:r>
        <w:rPr>
          <w:rFonts w:ascii="Arial" w:cs="Arial" w:eastAsia="Arial" w:hAnsi="Arial"/>
          <w:sz w:val="18"/>
          <w:szCs w:val="18"/>
          <w:color w:val="auto"/>
        </w:rPr>
        <w:t xml:space="preserve">ExxonMobil’s Board selection process has been successful in identifying and attracting a diverse slate of very experienced and qualified individuals. The quality of ExxonMobil’s Board has been recognized by third-party experts (JamesDruryPartners – </w:t>
      </w:r>
      <w:r>
        <w:rPr>
          <w:rFonts w:ascii="Arial" w:cs="Arial" w:eastAsia="Arial" w:hAnsi="Arial"/>
          <w:sz w:val="18"/>
          <w:szCs w:val="18"/>
          <w:i w:val="1"/>
          <w:iCs w:val="1"/>
          <w:color w:val="auto"/>
        </w:rPr>
        <w:t>The Weight of America’s Boards</w:t>
      </w:r>
      <w:r>
        <w:rPr>
          <w:rFonts w:ascii="Arial" w:cs="Arial" w:eastAsia="Arial" w:hAnsi="Arial"/>
          <w:sz w:val="18"/>
          <w:szCs w:val="18"/>
          <w:color w:val="auto"/>
        </w:rPr>
        <w:t xml:space="preserve"> – 2016). Our Board also enjoys significant support in the mid 90-percentile from shareholders over the past five years.</w:t>
      </w:r>
    </w:p>
    <w:p>
      <w:pPr>
        <w:spacing w:after="0" w:line="378" w:lineRule="exact"/>
        <w:rPr>
          <w:sz w:val="20"/>
          <w:szCs w:val="20"/>
          <w:color w:val="auto"/>
        </w:rPr>
      </w:pPr>
    </w:p>
    <w:p>
      <w:pPr>
        <w:ind w:left="860"/>
        <w:spacing w:after="0"/>
        <w:rPr>
          <w:sz w:val="20"/>
          <w:szCs w:val="20"/>
          <w:color w:val="auto"/>
        </w:rPr>
      </w:pPr>
      <w:r>
        <w:rPr>
          <w:rFonts w:ascii="Arial" w:cs="Arial" w:eastAsia="Arial" w:hAnsi="Arial"/>
          <w:sz w:val="20"/>
          <w:szCs w:val="20"/>
          <w:b w:val="1"/>
          <w:bCs w:val="1"/>
          <w:color w:val="auto"/>
        </w:rPr>
        <w:t>Item 7 – Report on Lobbying</w:t>
      </w:r>
    </w:p>
    <w:p>
      <w:pPr>
        <w:spacing w:after="0" w:line="103" w:lineRule="exact"/>
        <w:rPr>
          <w:sz w:val="20"/>
          <w:szCs w:val="20"/>
          <w:color w:val="auto"/>
        </w:rPr>
      </w:pPr>
    </w:p>
    <w:p>
      <w:pPr>
        <w:ind w:left="860" w:right="140"/>
        <w:spacing w:after="0" w:line="276" w:lineRule="auto"/>
        <w:rPr>
          <w:sz w:val="20"/>
          <w:szCs w:val="20"/>
          <w:color w:val="auto"/>
        </w:rPr>
      </w:pPr>
      <w:r>
        <w:rPr>
          <w:rFonts w:ascii="Arial" w:cs="Arial" w:eastAsia="Arial" w:hAnsi="Arial"/>
          <w:sz w:val="18"/>
          <w:szCs w:val="18"/>
          <w:color w:val="auto"/>
        </w:rPr>
        <w:t>This proposal was submitted by the United Steelworkers, 60 Boulevard of the Allies, Pittsburgh, PA 15222, the beneficial owner of 116 shares and lead proponent of a filing group.</w:t>
      </w:r>
    </w:p>
    <w:p>
      <w:pPr>
        <w:spacing w:after="0" w:line="143" w:lineRule="exact"/>
        <w:rPr>
          <w:sz w:val="20"/>
          <w:szCs w:val="20"/>
          <w:color w:val="auto"/>
        </w:rPr>
      </w:pPr>
    </w:p>
    <w:p>
      <w:pPr>
        <w:ind w:left="860" w:right="140"/>
        <w:spacing w:after="0" w:line="278"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Whereas,</w:t>
      </w:r>
      <w:r>
        <w:rPr>
          <w:rFonts w:ascii="Arial" w:cs="Arial" w:eastAsia="Arial" w:hAnsi="Arial"/>
          <w:sz w:val="18"/>
          <w:szCs w:val="18"/>
          <w:color w:val="auto"/>
        </w:rPr>
        <w:t xml:space="preserve"> we believe in full disclosure of ExxonMobil’s direct and indirect lobbying activities and expenditures to assess whether ExxonMobil’s lobbying is consistent with its expressed goals and in the best interests of shareholders.</w:t>
      </w:r>
    </w:p>
    <w:p>
      <w:pPr>
        <w:spacing w:after="0" w:line="142" w:lineRule="exact"/>
        <w:rPr>
          <w:sz w:val="20"/>
          <w:szCs w:val="20"/>
          <w:color w:val="auto"/>
        </w:rPr>
      </w:pPr>
    </w:p>
    <w:p>
      <w:pPr>
        <w:ind w:left="860"/>
        <w:spacing w:after="0"/>
        <w:rPr>
          <w:sz w:val="20"/>
          <w:szCs w:val="20"/>
          <w:color w:val="auto"/>
        </w:rPr>
      </w:pPr>
      <w:r>
        <w:rPr>
          <w:rFonts w:ascii="Arial" w:cs="Arial" w:eastAsia="Arial" w:hAnsi="Arial"/>
          <w:sz w:val="18"/>
          <w:szCs w:val="18"/>
          <w:b w:val="1"/>
          <w:bCs w:val="1"/>
          <w:color w:val="auto"/>
        </w:rPr>
        <w:t xml:space="preserve">Resolved, </w:t>
      </w:r>
      <w:r>
        <w:rPr>
          <w:rFonts w:ascii="Arial" w:cs="Arial" w:eastAsia="Arial" w:hAnsi="Arial"/>
          <w:sz w:val="18"/>
          <w:szCs w:val="18"/>
          <w:color w:val="auto"/>
        </w:rPr>
        <w:t>the shareholders of ExxonMobil request the preparation of a report, updated annually, disclosing:</w:t>
      </w:r>
    </w:p>
    <w:p>
      <w:pPr>
        <w:spacing w:after="0" w:line="119" w:lineRule="exact"/>
        <w:rPr>
          <w:sz w:val="20"/>
          <w:szCs w:val="20"/>
          <w:color w:val="auto"/>
        </w:rPr>
      </w:pPr>
    </w:p>
    <w:p>
      <w:pPr>
        <w:ind w:left="1240" w:right="1260" w:hanging="388"/>
        <w:spacing w:after="0" w:line="276" w:lineRule="auto"/>
        <w:tabs>
          <w:tab w:leader="none" w:pos="1240" w:val="left"/>
        </w:tabs>
        <w:numPr>
          <w:ilvl w:val="0"/>
          <w:numId w:val="96"/>
        </w:numPr>
        <w:rPr>
          <w:rFonts w:ascii="Arial" w:cs="Arial" w:eastAsia="Arial" w:hAnsi="Arial"/>
          <w:sz w:val="18"/>
          <w:szCs w:val="18"/>
          <w:color w:val="auto"/>
        </w:rPr>
      </w:pPr>
      <w:r>
        <w:rPr>
          <w:rFonts w:ascii="Arial" w:cs="Arial" w:eastAsia="Arial" w:hAnsi="Arial"/>
          <w:sz w:val="18"/>
          <w:szCs w:val="18"/>
          <w:color w:val="auto"/>
        </w:rPr>
        <w:t>Company policy and procedures governing lobbying, both direct and indirect, and grassroots lobbying communications.</w:t>
      </w:r>
    </w:p>
    <w:p>
      <w:pPr>
        <w:spacing w:after="0" w:line="50" w:lineRule="exact"/>
        <w:rPr>
          <w:rFonts w:ascii="Arial" w:cs="Arial" w:eastAsia="Arial" w:hAnsi="Arial"/>
          <w:sz w:val="18"/>
          <w:szCs w:val="18"/>
          <w:color w:val="auto"/>
        </w:rPr>
      </w:pPr>
    </w:p>
    <w:p>
      <w:pPr>
        <w:ind w:left="1240" w:right="160" w:hanging="388"/>
        <w:spacing w:after="0" w:line="276" w:lineRule="auto"/>
        <w:tabs>
          <w:tab w:leader="none" w:pos="1240" w:val="left"/>
        </w:tabs>
        <w:numPr>
          <w:ilvl w:val="0"/>
          <w:numId w:val="96"/>
        </w:numPr>
        <w:rPr>
          <w:rFonts w:ascii="Arial" w:cs="Arial" w:eastAsia="Arial" w:hAnsi="Arial"/>
          <w:sz w:val="18"/>
          <w:szCs w:val="18"/>
          <w:color w:val="auto"/>
        </w:rPr>
      </w:pPr>
      <w:r>
        <w:rPr>
          <w:rFonts w:ascii="Arial" w:cs="Arial" w:eastAsia="Arial" w:hAnsi="Arial"/>
          <w:sz w:val="18"/>
          <w:szCs w:val="18"/>
          <w:color w:val="auto"/>
        </w:rPr>
        <w:t>Payments by ExxonMobil used for (a) direct or indirect lobbying or (b) grassroots lobbying communications, in each case including the amount of the payment and the recipient.</w:t>
      </w:r>
    </w:p>
    <w:p>
      <w:pPr>
        <w:spacing w:after="0" w:line="50" w:lineRule="exact"/>
        <w:rPr>
          <w:rFonts w:ascii="Arial" w:cs="Arial" w:eastAsia="Arial" w:hAnsi="Arial"/>
          <w:sz w:val="18"/>
          <w:szCs w:val="18"/>
          <w:color w:val="auto"/>
        </w:rPr>
      </w:pPr>
    </w:p>
    <w:p>
      <w:pPr>
        <w:ind w:left="1240" w:right="800" w:hanging="388"/>
        <w:spacing w:after="0" w:line="276" w:lineRule="auto"/>
        <w:tabs>
          <w:tab w:leader="none" w:pos="1240" w:val="left"/>
        </w:tabs>
        <w:numPr>
          <w:ilvl w:val="0"/>
          <w:numId w:val="96"/>
        </w:numPr>
        <w:rPr>
          <w:rFonts w:ascii="Arial" w:cs="Arial" w:eastAsia="Arial" w:hAnsi="Arial"/>
          <w:sz w:val="18"/>
          <w:szCs w:val="18"/>
          <w:color w:val="auto"/>
        </w:rPr>
      </w:pPr>
      <w:r>
        <w:rPr>
          <w:rFonts w:ascii="Arial" w:cs="Arial" w:eastAsia="Arial" w:hAnsi="Arial"/>
          <w:sz w:val="18"/>
          <w:szCs w:val="18"/>
          <w:color w:val="auto"/>
        </w:rPr>
        <w:t>ExxonMobil’s membership in and payments to any tax-exempt organization that writes and endorses model legislation.</w:t>
      </w:r>
    </w:p>
    <w:p>
      <w:pPr>
        <w:spacing w:after="0" w:line="50" w:lineRule="exact"/>
        <w:rPr>
          <w:rFonts w:ascii="Arial" w:cs="Arial" w:eastAsia="Arial" w:hAnsi="Arial"/>
          <w:sz w:val="18"/>
          <w:szCs w:val="18"/>
          <w:color w:val="auto"/>
        </w:rPr>
      </w:pPr>
    </w:p>
    <w:p>
      <w:pPr>
        <w:ind w:left="1240" w:hanging="388"/>
        <w:spacing w:after="0" w:line="276" w:lineRule="auto"/>
        <w:tabs>
          <w:tab w:leader="none" w:pos="1240" w:val="left"/>
        </w:tabs>
        <w:numPr>
          <w:ilvl w:val="0"/>
          <w:numId w:val="96"/>
        </w:numPr>
        <w:rPr>
          <w:rFonts w:ascii="Arial" w:cs="Arial" w:eastAsia="Arial" w:hAnsi="Arial"/>
          <w:sz w:val="18"/>
          <w:szCs w:val="18"/>
          <w:color w:val="auto"/>
        </w:rPr>
      </w:pPr>
      <w:r>
        <w:rPr>
          <w:rFonts w:ascii="Arial" w:cs="Arial" w:eastAsia="Arial" w:hAnsi="Arial"/>
          <w:sz w:val="18"/>
          <w:szCs w:val="18"/>
          <w:color w:val="auto"/>
        </w:rPr>
        <w:t>Description of management’s and the Board’s decision making process and oversight for making payments described in sections 2 and 3 above.</w:t>
      </w:r>
    </w:p>
    <w:p>
      <w:pPr>
        <w:spacing w:after="0" w:line="145" w:lineRule="exact"/>
        <w:rPr>
          <w:sz w:val="20"/>
          <w:szCs w:val="20"/>
          <w:color w:val="auto"/>
        </w:rPr>
      </w:pPr>
    </w:p>
    <w:p>
      <w:pPr>
        <w:ind w:left="860" w:right="20"/>
        <w:spacing w:after="0" w:line="248" w:lineRule="auto"/>
        <w:rPr>
          <w:sz w:val="20"/>
          <w:szCs w:val="20"/>
          <w:color w:val="auto"/>
        </w:rPr>
      </w:pPr>
      <w:r>
        <w:rPr>
          <w:rFonts w:ascii="Arial" w:cs="Arial" w:eastAsia="Arial" w:hAnsi="Arial"/>
          <w:sz w:val="18"/>
          <w:szCs w:val="18"/>
          <w:color w:val="auto"/>
        </w:rPr>
        <w:t>For purposes of this proposal, a ‘grassroots lobbying communication’ is a communication directed to the general public that (a) refers to specific legislation or regulation, (b) reflects a view on the legislation or regulation and (c) encourages the recipient of the communication to take action with respect to the legislation or regulation. ‘Indirect lobbying’ is lobbying engaged in by a trade association or other organization of which ExxonMobil is a member.</w:t>
      </w:r>
    </w:p>
    <w:p>
      <w:pPr>
        <w:spacing w:after="0" w:line="171" w:lineRule="exact"/>
        <w:rPr>
          <w:sz w:val="20"/>
          <w:szCs w:val="20"/>
          <w:color w:val="auto"/>
        </w:rPr>
      </w:pPr>
    </w:p>
    <w:p>
      <w:pPr>
        <w:ind w:left="860" w:right="140"/>
        <w:spacing w:after="0" w:line="276" w:lineRule="auto"/>
        <w:rPr>
          <w:sz w:val="20"/>
          <w:szCs w:val="20"/>
          <w:color w:val="auto"/>
        </w:rPr>
      </w:pPr>
      <w:r>
        <w:rPr>
          <w:rFonts w:ascii="Arial" w:cs="Arial" w:eastAsia="Arial" w:hAnsi="Arial"/>
          <w:sz w:val="18"/>
          <w:szCs w:val="18"/>
          <w:color w:val="auto"/>
        </w:rPr>
        <w:t>Both ‘direct and indirect lobbying’ and ‘grassroots lobbying communications’ include efforts at the local, state and federal levels.</w:t>
      </w:r>
    </w:p>
    <w:p>
      <w:pPr>
        <w:spacing w:after="0" w:line="145" w:lineRule="exact"/>
        <w:rPr>
          <w:sz w:val="20"/>
          <w:szCs w:val="20"/>
          <w:color w:val="auto"/>
        </w:rPr>
      </w:pPr>
    </w:p>
    <w:p>
      <w:pPr>
        <w:ind w:left="860" w:right="60"/>
        <w:spacing w:after="0" w:line="276" w:lineRule="auto"/>
        <w:rPr>
          <w:sz w:val="20"/>
          <w:szCs w:val="20"/>
          <w:color w:val="auto"/>
        </w:rPr>
      </w:pPr>
      <w:r>
        <w:rPr>
          <w:rFonts w:ascii="Arial" w:cs="Arial" w:eastAsia="Arial" w:hAnsi="Arial"/>
          <w:sz w:val="18"/>
          <w:szCs w:val="18"/>
          <w:color w:val="auto"/>
        </w:rPr>
        <w:t>The report shall be presented to the Audit Committee or other relevant oversight committees and posted on ExxonMobil’s website.</w:t>
      </w:r>
    </w:p>
    <w:p>
      <w:pPr>
        <w:spacing w:after="0" w:line="143" w:lineRule="exact"/>
        <w:rPr>
          <w:sz w:val="20"/>
          <w:szCs w:val="20"/>
          <w:color w:val="auto"/>
        </w:rPr>
      </w:pPr>
    </w:p>
    <w:p>
      <w:pPr>
        <w:ind w:left="860"/>
        <w:spacing w:after="0"/>
        <w:rPr>
          <w:sz w:val="20"/>
          <w:szCs w:val="20"/>
          <w:color w:val="auto"/>
        </w:rPr>
      </w:pPr>
      <w:r>
        <w:rPr>
          <w:rFonts w:ascii="Arial" w:cs="Arial" w:eastAsia="Arial" w:hAnsi="Arial"/>
          <w:sz w:val="18"/>
          <w:szCs w:val="18"/>
          <w:b w:val="1"/>
          <w:bCs w:val="1"/>
          <w:color w:val="auto"/>
        </w:rPr>
        <w:t>Supporting Statement</w:t>
      </w:r>
    </w:p>
    <w:p>
      <w:pPr>
        <w:spacing w:after="0" w:line="106" w:lineRule="exact"/>
        <w:rPr>
          <w:sz w:val="20"/>
          <w:szCs w:val="20"/>
          <w:color w:val="auto"/>
        </w:rPr>
      </w:pPr>
    </w:p>
    <w:p>
      <w:pPr>
        <w:ind w:left="860" w:right="100"/>
        <w:spacing w:after="0" w:line="241" w:lineRule="auto"/>
        <w:rPr>
          <w:sz w:val="20"/>
          <w:szCs w:val="20"/>
          <w:color w:val="auto"/>
        </w:rPr>
      </w:pPr>
      <w:r>
        <w:rPr>
          <w:rFonts w:ascii="Arial" w:cs="Arial" w:eastAsia="Arial" w:hAnsi="Arial"/>
          <w:sz w:val="18"/>
          <w:szCs w:val="18"/>
          <w:color w:val="auto"/>
        </w:rPr>
        <w:t xml:space="preserve">We encourage transparency and accountability in ExxonMobil’s use of corporate funds to influence legislation and regulation. Since 2010, ExxonMobil has spent over $ 94 million on federal lobbying. These figures do not include lobbying expenditures to influence legislation in states, where ExxonMobil also lobbies in 33 states (‘Amid Federal Gridlock, Lobbying Rises in the States,’ </w:t>
      </w:r>
      <w:r>
        <w:rPr>
          <w:rFonts w:ascii="Arial" w:cs="Arial" w:eastAsia="Arial" w:hAnsi="Arial"/>
          <w:sz w:val="18"/>
          <w:szCs w:val="18"/>
          <w:i w:val="1"/>
          <w:iCs w:val="1"/>
          <w:color w:val="auto"/>
        </w:rPr>
        <w:t>Center for Public Integrity</w:t>
      </w:r>
      <w:r>
        <w:rPr>
          <w:rFonts w:ascii="Arial" w:cs="Arial" w:eastAsia="Arial" w:hAnsi="Arial"/>
          <w:sz w:val="18"/>
          <w:szCs w:val="18"/>
          <w:color w:val="auto"/>
        </w:rPr>
        <w:t xml:space="preserve">, February 11, 2016), but disclosure is uneven or absent. For example, ExxonMobil has spent over $ 3.6 million lobbying in California since 2010, and its lobbying on California’s cap and trade bill attracted media attention (‘Businesses Spent Millions Lobbying Before Cap-and-Trade Vote,’ </w:t>
      </w:r>
      <w:r>
        <w:rPr>
          <w:rFonts w:ascii="Arial" w:cs="Arial" w:eastAsia="Arial" w:hAnsi="Arial"/>
          <w:sz w:val="18"/>
          <w:szCs w:val="18"/>
          <w:i w:val="1"/>
          <w:iCs w:val="1"/>
          <w:color w:val="auto"/>
        </w:rPr>
        <w:t>E&amp;E News</w:t>
      </w:r>
      <w:r>
        <w:rPr>
          <w:rFonts w:ascii="Arial" w:cs="Arial" w:eastAsia="Arial" w:hAnsi="Arial"/>
          <w:sz w:val="18"/>
          <w:szCs w:val="18"/>
          <w:color w:val="auto"/>
        </w:rPr>
        <w:t>, July 26, 2017).</w:t>
      </w:r>
    </w:p>
    <w:p>
      <w:pPr>
        <w:spacing w:after="0" w:line="179" w:lineRule="exact"/>
        <w:rPr>
          <w:sz w:val="20"/>
          <w:szCs w:val="20"/>
          <w:color w:val="auto"/>
        </w:rPr>
      </w:pPr>
    </w:p>
    <w:p>
      <w:pPr>
        <w:ind w:left="860" w:right="120"/>
        <w:spacing w:after="0" w:line="243" w:lineRule="auto"/>
        <w:rPr>
          <w:sz w:val="20"/>
          <w:szCs w:val="20"/>
          <w:color w:val="auto"/>
        </w:rPr>
      </w:pPr>
      <w:r>
        <w:rPr>
          <w:rFonts w:ascii="Arial" w:cs="Arial" w:eastAsia="Arial" w:hAnsi="Arial"/>
          <w:sz w:val="18"/>
          <w:szCs w:val="18"/>
          <w:color w:val="auto"/>
        </w:rPr>
        <w:t xml:space="preserve">ExxonMobil is a member of the American Petroleum Institute (API), Business Roundtable and National Association of Manufacturers, which together spent over $74 million on lobbying for 2015 and 2016. ExxonMobil does not disclose its memberships in, or payments to, trade associations, or the amounts used for lobbying. We are concerned that ExxonMobil’s lack of trade association lobbying disclosure presents reputational risks. For example, API and ExxonMobil have drawn scrutiny for lobbying against stricter benzene regulation (‘Oil Companies Leaking Benzene Lobbied against Pollution Rules,’ </w:t>
      </w:r>
      <w:r>
        <w:rPr>
          <w:rFonts w:ascii="Arial" w:cs="Arial" w:eastAsia="Arial" w:hAnsi="Arial"/>
          <w:sz w:val="18"/>
          <w:szCs w:val="18"/>
          <w:i w:val="1"/>
          <w:iCs w:val="1"/>
          <w:color w:val="auto"/>
        </w:rPr>
        <w:t>International Business Times</w:t>
      </w:r>
      <w:r>
        <w:rPr>
          <w:rFonts w:ascii="Arial" w:cs="Arial" w:eastAsia="Arial" w:hAnsi="Arial"/>
          <w:sz w:val="18"/>
          <w:szCs w:val="18"/>
          <w:color w:val="auto"/>
        </w:rPr>
        <w:t>, September 6, 2017).</w:t>
      </w:r>
    </w:p>
    <w:p>
      <w:pPr>
        <w:spacing w:after="0" w:line="107" w:lineRule="exact"/>
        <w:rPr>
          <w:sz w:val="20"/>
          <w:szCs w:val="20"/>
          <w:color w:val="auto"/>
        </w:rPr>
      </w:pPr>
    </w:p>
    <w:p>
      <w:pPr>
        <w:ind w:left="880"/>
        <w:spacing w:after="0"/>
        <w:tabs>
          <w:tab w:leader="none" w:pos="2780" w:val="left"/>
        </w:tabs>
        <w:rPr>
          <w:sz w:val="20"/>
          <w:szCs w:val="20"/>
          <w:color w:val="auto"/>
        </w:rPr>
      </w:pPr>
      <w:r>
        <w:rPr>
          <w:rFonts w:ascii="Arial" w:cs="Arial" w:eastAsia="Arial" w:hAnsi="Arial"/>
          <w:sz w:val="18"/>
          <w:szCs w:val="18"/>
          <w:color w:val="auto"/>
        </w:rPr>
        <w:t>58</w:t>
      </w:r>
      <w:r>
        <w:rPr>
          <w:sz w:val="20"/>
          <w:szCs w:val="20"/>
          <w:color w:val="auto"/>
        </w:rPr>
        <w:tab/>
      </w:r>
      <w:r>
        <w:rPr>
          <w:rFonts w:ascii="Times New Roman" w:cs="Times New Roman" w:eastAsia="Times New Roman" w:hAnsi="Times New Roman"/>
          <w:sz w:val="18"/>
          <w:szCs w:val="18"/>
          <w:i w:val="1"/>
          <w:iCs w:val="1"/>
          <w:color w:val="auto"/>
        </w:rPr>
        <w:t>2018 Proxy Statement</w:t>
      </w:r>
    </w:p>
    <w:p>
      <w:pPr>
        <w:sectPr>
          <w:pgSz w:w="11900" w:h="16838" w:orient="portrait"/>
          <w:cols w:equalWidth="0" w:num="1">
            <w:col w:w="10560"/>
          </w:cols>
          <w:pgMar w:left="240" w:top="455" w:right="1099" w:bottom="1440" w:gutter="0" w:footer="0" w:header="0"/>
        </w:sectPr>
      </w:pPr>
    </w:p>
    <w:bookmarkStart w:id="61" w:name="page62"/>
    <w:bookmarkEnd w:id="61"/>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10" name="Picture 1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
                    <pic:cNvPicPr>
                      <a:picLocks noChangeAspect="1" noChangeArrowheads="1"/>
                    </pic:cNvPicPr>
                  </pic:nvPicPr>
                  <pic:blipFill>
                    <a:blip r:embed="rId117">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Times New Roman" w:cs="Times New Roman" w:eastAsia="Times New Roman" w:hAnsi="Times New Roman"/>
            <w:sz w:val="18"/>
            <w:szCs w:val="18"/>
            <w:b w:val="1"/>
            <w:bCs w:val="1"/>
            <w:u w:val="single" w:color="auto"/>
            <w:color w:val="0000EE"/>
          </w:rPr>
          <w:t>Table of Contents</w:t>
        </w:r>
      </w:hyperlink>
    </w:p>
    <w:p>
      <w:pPr>
        <w:spacing w:after="0" w:line="305" w:lineRule="exact"/>
        <w:rPr>
          <w:sz w:val="20"/>
          <w:szCs w:val="20"/>
          <w:color w:val="auto"/>
        </w:rPr>
      </w:pPr>
    </w:p>
    <w:p>
      <w:pPr>
        <w:ind w:left="860" w:right="200"/>
        <w:spacing w:after="0" w:line="255" w:lineRule="auto"/>
        <w:rPr>
          <w:sz w:val="20"/>
          <w:szCs w:val="20"/>
          <w:color w:val="auto"/>
        </w:rPr>
      </w:pPr>
      <w:r>
        <w:rPr>
          <w:rFonts w:ascii="Arial" w:cs="Arial" w:eastAsia="Arial" w:hAnsi="Arial"/>
          <w:sz w:val="18"/>
          <w:szCs w:val="18"/>
          <w:color w:val="auto"/>
        </w:rPr>
        <w:t xml:space="preserve">And ExxonMobil is a member of the American Legislative Exchange Council (ALEC), and its ALEC membership has drawn media focus (‘Exxon Continued Paying Millions to Climate-Change Deniers under Rex Tillerson,’ </w:t>
      </w:r>
      <w:r>
        <w:rPr>
          <w:rFonts w:ascii="Arial" w:cs="Arial" w:eastAsia="Arial" w:hAnsi="Arial"/>
          <w:sz w:val="18"/>
          <w:szCs w:val="18"/>
          <w:i w:val="1"/>
          <w:iCs w:val="1"/>
          <w:color w:val="auto"/>
        </w:rPr>
        <w:t>Huffington Post</w:t>
      </w:r>
      <w:r>
        <w:rPr>
          <w:rFonts w:ascii="Arial" w:cs="Arial" w:eastAsia="Arial" w:hAnsi="Arial"/>
          <w:sz w:val="18"/>
          <w:szCs w:val="18"/>
          <w:color w:val="auto"/>
        </w:rPr>
        <w:t>, January 9, 2017). Over 100 companies have publicly left ALEC, including BP, ConocoPhillips and Shell.”</w:t>
      </w:r>
    </w:p>
    <w:p>
      <w:pPr>
        <w:spacing w:after="0" w:line="162" w:lineRule="exact"/>
        <w:rPr>
          <w:sz w:val="20"/>
          <w:szCs w:val="20"/>
          <w:color w:val="auto"/>
        </w:rPr>
      </w:pPr>
    </w:p>
    <w:p>
      <w:pPr>
        <w:ind w:left="860"/>
        <w:spacing w:after="0"/>
        <w:rPr>
          <w:sz w:val="20"/>
          <w:szCs w:val="20"/>
          <w:color w:val="auto"/>
        </w:rPr>
      </w:pPr>
      <w:r>
        <w:rPr>
          <w:rFonts w:ascii="Arial" w:cs="Arial" w:eastAsia="Arial" w:hAnsi="Arial"/>
          <w:sz w:val="18"/>
          <w:szCs w:val="18"/>
          <w:b w:val="1"/>
          <w:bCs w:val="1"/>
          <w:color w:val="auto"/>
        </w:rPr>
        <w:t>The Board recommends you vote AGAINST this proposal for the following reasons:</w:t>
      </w:r>
    </w:p>
    <w:p>
      <w:pPr>
        <w:spacing w:after="0" w:line="106" w:lineRule="exact"/>
        <w:rPr>
          <w:sz w:val="20"/>
          <w:szCs w:val="20"/>
          <w:color w:val="auto"/>
        </w:rPr>
      </w:pPr>
    </w:p>
    <w:p>
      <w:pPr>
        <w:ind w:left="860" w:right="360"/>
        <w:spacing w:after="0" w:line="255" w:lineRule="auto"/>
        <w:rPr>
          <w:sz w:val="20"/>
          <w:szCs w:val="20"/>
          <w:color w:val="auto"/>
        </w:rPr>
      </w:pPr>
      <w:r>
        <w:rPr>
          <w:rFonts w:ascii="Arial" w:cs="Arial" w:eastAsia="Arial" w:hAnsi="Arial"/>
          <w:sz w:val="18"/>
          <w:szCs w:val="18"/>
          <w:color w:val="auto"/>
        </w:rPr>
        <w:t>The Board fully supports accountability and appropriate transparency and disclosure of lobbying activities and expenditures. As a result, the Company currently makes its positions on key issues available to the public. In addition, lobbying expenses and the specific issues lobbied are also publicly available.</w:t>
      </w:r>
    </w:p>
    <w:p>
      <w:pPr>
        <w:spacing w:after="0" w:line="164" w:lineRule="exact"/>
        <w:rPr>
          <w:sz w:val="20"/>
          <w:szCs w:val="20"/>
          <w:color w:val="auto"/>
        </w:rPr>
      </w:pPr>
    </w:p>
    <w:p>
      <w:pPr>
        <w:ind w:left="860" w:right="40"/>
        <w:spacing w:after="0" w:line="248" w:lineRule="auto"/>
        <w:rPr>
          <w:sz w:val="20"/>
          <w:szCs w:val="20"/>
          <w:color w:val="auto"/>
        </w:rPr>
      </w:pPr>
      <w:r>
        <w:rPr>
          <w:rFonts w:ascii="Arial" w:cs="Arial" w:eastAsia="Arial" w:hAnsi="Arial"/>
          <w:sz w:val="18"/>
          <w:szCs w:val="18"/>
          <w:color w:val="auto"/>
        </w:rPr>
        <w:t>These efforts comply fully with the spirit and letter of all federal and state lobby disclosure requirements. We believe these existing disclosure laws are appropriately broad and provide the necessary transparency. As such, ExxonMobil believes that the Congress, Executive Branch, and state and local governments are the appropriate recipients of the proponent’s specific positions on lobbying disclosure laws, and any reforms they seek.</w:t>
      </w:r>
    </w:p>
    <w:p>
      <w:pPr>
        <w:spacing w:after="0" w:line="171" w:lineRule="exact"/>
        <w:rPr>
          <w:sz w:val="20"/>
          <w:szCs w:val="20"/>
          <w:color w:val="auto"/>
        </w:rPr>
      </w:pPr>
    </w:p>
    <w:p>
      <w:pPr>
        <w:ind w:left="860" w:right="20"/>
        <w:spacing w:after="0" w:line="248" w:lineRule="auto"/>
        <w:rPr>
          <w:sz w:val="20"/>
          <w:szCs w:val="20"/>
          <w:color w:val="auto"/>
        </w:rPr>
      </w:pPr>
      <w:r>
        <w:rPr>
          <w:rFonts w:ascii="Arial" w:cs="Arial" w:eastAsia="Arial" w:hAnsi="Arial"/>
          <w:sz w:val="18"/>
          <w:szCs w:val="18"/>
          <w:color w:val="auto"/>
        </w:rPr>
        <w:t xml:space="preserve">Under our </w:t>
      </w:r>
      <w:r>
        <w:rPr>
          <w:rFonts w:ascii="Arial" w:cs="Arial" w:eastAsia="Arial" w:hAnsi="Arial"/>
          <w:sz w:val="18"/>
          <w:szCs w:val="18"/>
          <w:i w:val="1"/>
          <w:iCs w:val="1"/>
          <w:color w:val="auto"/>
        </w:rPr>
        <w:t>Political Activities Policy and Guidelines,</w:t>
      </w:r>
      <w:r>
        <w:rPr>
          <w:rFonts w:ascii="Arial" w:cs="Arial" w:eastAsia="Arial" w:hAnsi="Arial"/>
          <w:sz w:val="18"/>
          <w:szCs w:val="18"/>
          <w:color w:val="auto"/>
        </w:rPr>
        <w:t xml:space="preserve"> certain employees are authorized to act on behalf of the Company to execute the political activities of the Company, including lobbying. Lobbying is viewed by the Corporation as a political activity in support of business interests. The policy and guidelines are viewable and lobbying activities are described in the Political Contributions and Lobbying section on </w:t>
      </w:r>
      <w:r>
        <w:rPr>
          <w:rFonts w:ascii="Arial" w:cs="Arial" w:eastAsia="Arial" w:hAnsi="Arial"/>
          <w:sz w:val="18"/>
          <w:szCs w:val="18"/>
          <w:i w:val="1"/>
          <w:iCs w:val="1"/>
          <w:color w:val="auto"/>
        </w:rPr>
        <w:t>exxonmobil.com</w:t>
      </w:r>
      <w:r>
        <w:rPr>
          <w:rFonts w:ascii="Arial" w:cs="Arial" w:eastAsia="Arial" w:hAnsi="Arial"/>
          <w:sz w:val="18"/>
          <w:szCs w:val="18"/>
          <w:color w:val="auto"/>
        </w:rPr>
        <w:t>.</w:t>
      </w:r>
    </w:p>
    <w:p>
      <w:pPr>
        <w:spacing w:after="0" w:line="171" w:lineRule="exact"/>
        <w:rPr>
          <w:sz w:val="20"/>
          <w:szCs w:val="20"/>
          <w:color w:val="auto"/>
        </w:rPr>
      </w:pPr>
    </w:p>
    <w:p>
      <w:pPr>
        <w:ind w:left="860" w:right="420"/>
        <w:spacing w:after="0" w:line="277" w:lineRule="auto"/>
        <w:rPr>
          <w:sz w:val="20"/>
          <w:szCs w:val="20"/>
          <w:color w:val="auto"/>
        </w:rPr>
      </w:pPr>
      <w:r>
        <w:rPr>
          <w:rFonts w:ascii="Arial" w:cs="Arial" w:eastAsia="Arial" w:hAnsi="Arial"/>
          <w:sz w:val="17"/>
          <w:szCs w:val="17"/>
          <w:color w:val="auto"/>
        </w:rPr>
        <w:t>ExxonMobil has an established process to determine public policy issues that are important to the Company, which includes reviews by both the Management Committee and the Board. We calibrate our lobbying and advocacy efforts accordingly. The Company’s positions on key issues are available in the Current Issues section of our website.</w:t>
      </w:r>
    </w:p>
    <w:p>
      <w:pPr>
        <w:spacing w:after="0" w:line="147" w:lineRule="exact"/>
        <w:rPr>
          <w:sz w:val="20"/>
          <w:szCs w:val="20"/>
          <w:color w:val="auto"/>
        </w:rPr>
      </w:pPr>
    </w:p>
    <w:p>
      <w:pPr>
        <w:ind w:left="860"/>
        <w:spacing w:after="0" w:line="241" w:lineRule="auto"/>
        <w:rPr>
          <w:sz w:val="20"/>
          <w:szCs w:val="20"/>
          <w:color w:val="auto"/>
        </w:rPr>
      </w:pPr>
      <w:r>
        <w:rPr>
          <w:rFonts w:ascii="Arial" w:cs="Arial" w:eastAsia="Arial" w:hAnsi="Arial"/>
          <w:sz w:val="18"/>
          <w:szCs w:val="18"/>
          <w:color w:val="auto"/>
        </w:rPr>
        <w:t xml:space="preserve">ExxonMobil publicly reports on a quarterly basis to Congress our federal lobbying expenses and the specific issues lobbied. The total figure reported in ExxonMobil’s public Lobbying Disclosure Act filings includes expenses associated with the costs of employee federal lobbying, as well as those portions of payments to trade associations and other groups that are spent on federal lobbying. All reports are accessible to the general public on the U.S. Senate’s website at </w:t>
      </w:r>
      <w:r>
        <w:rPr>
          <w:rFonts w:ascii="Arial" w:cs="Arial" w:eastAsia="Arial" w:hAnsi="Arial"/>
          <w:sz w:val="18"/>
          <w:szCs w:val="18"/>
          <w:i w:val="1"/>
          <w:iCs w:val="1"/>
          <w:color w:val="auto"/>
        </w:rPr>
        <w:t>www.senate.gov</w:t>
      </w:r>
      <w:r>
        <w:rPr>
          <w:rFonts w:ascii="Arial" w:cs="Arial" w:eastAsia="Arial" w:hAnsi="Arial"/>
          <w:sz w:val="18"/>
          <w:szCs w:val="18"/>
          <w:color w:val="auto"/>
        </w:rPr>
        <w:t>. More recently filed reports are also listed on</w:t>
      </w:r>
      <w:r>
        <w:rPr>
          <w:rFonts w:ascii="Arial" w:cs="Arial" w:eastAsia="Arial" w:hAnsi="Arial"/>
          <w:sz w:val="18"/>
          <w:szCs w:val="18"/>
          <w:i w:val="1"/>
          <w:iCs w:val="1"/>
          <w:color w:val="auto"/>
        </w:rPr>
        <w:t xml:space="preserve"> exxonmobil.com</w:t>
      </w:r>
      <w:r>
        <w:rPr>
          <w:rFonts w:ascii="Arial" w:cs="Arial" w:eastAsia="Arial" w:hAnsi="Arial"/>
          <w:sz w:val="18"/>
          <w:szCs w:val="18"/>
          <w:color w:val="auto"/>
        </w:rPr>
        <w:t>. The Company promotes transparency of</w:t>
      </w:r>
      <w:r>
        <w:rPr>
          <w:rFonts w:ascii="Arial" w:cs="Arial" w:eastAsia="Arial" w:hAnsi="Arial"/>
          <w:sz w:val="18"/>
          <w:szCs w:val="18"/>
          <w:i w:val="1"/>
          <w:iCs w:val="1"/>
          <w:color w:val="auto"/>
        </w:rPr>
        <w:t xml:space="preserve"> </w:t>
      </w:r>
      <w:r>
        <w:rPr>
          <w:rFonts w:ascii="Arial" w:cs="Arial" w:eastAsia="Arial" w:hAnsi="Arial"/>
          <w:sz w:val="18"/>
          <w:szCs w:val="18"/>
          <w:color w:val="auto"/>
        </w:rPr>
        <w:t xml:space="preserve">our grassroots lobbying communications sent to members of the ExxonMobil Citizen Action Team by publishing live action alerts on </w:t>
      </w:r>
      <w:r>
        <w:rPr>
          <w:rFonts w:ascii="Arial" w:cs="Arial" w:eastAsia="Arial" w:hAnsi="Arial"/>
          <w:sz w:val="18"/>
          <w:szCs w:val="18"/>
          <w:i w:val="1"/>
          <w:iCs w:val="1"/>
          <w:color w:val="auto"/>
        </w:rPr>
        <w:t>exxonmobilcat.com</w:t>
      </w:r>
      <w:r>
        <w:rPr>
          <w:rFonts w:ascii="Arial" w:cs="Arial" w:eastAsia="Arial" w:hAnsi="Arial"/>
          <w:sz w:val="18"/>
          <w:szCs w:val="18"/>
          <w:color w:val="auto"/>
        </w:rPr>
        <w:t xml:space="preserve">. Any interested party may join our Citizen Action Team by enrolling on </w:t>
      </w:r>
      <w:r>
        <w:rPr>
          <w:rFonts w:ascii="Arial" w:cs="Arial" w:eastAsia="Arial" w:hAnsi="Arial"/>
          <w:sz w:val="18"/>
          <w:szCs w:val="18"/>
          <w:i w:val="1"/>
          <w:iCs w:val="1"/>
          <w:color w:val="auto"/>
        </w:rPr>
        <w:t>exxonmobilcat.com</w:t>
      </w:r>
      <w:r>
        <w:rPr>
          <w:rFonts w:ascii="Arial" w:cs="Arial" w:eastAsia="Arial" w:hAnsi="Arial"/>
          <w:sz w:val="18"/>
          <w:szCs w:val="18"/>
          <w:color w:val="auto"/>
        </w:rPr>
        <w:t>.</w:t>
      </w:r>
    </w:p>
    <w:p>
      <w:pPr>
        <w:spacing w:after="0" w:line="179" w:lineRule="exact"/>
        <w:rPr>
          <w:sz w:val="20"/>
          <w:szCs w:val="20"/>
          <w:color w:val="auto"/>
        </w:rPr>
      </w:pPr>
    </w:p>
    <w:p>
      <w:pPr>
        <w:ind w:left="860" w:right="20"/>
        <w:spacing w:after="0"/>
        <w:rPr>
          <w:sz w:val="20"/>
          <w:szCs w:val="20"/>
          <w:color w:val="auto"/>
        </w:rPr>
      </w:pPr>
      <w:r>
        <w:rPr>
          <w:rFonts w:ascii="Arial" w:cs="Arial" w:eastAsia="Arial" w:hAnsi="Arial"/>
          <w:sz w:val="18"/>
          <w:szCs w:val="18"/>
          <w:color w:val="auto"/>
        </w:rPr>
        <w:t xml:space="preserve">Our contributions to more than 100 U.S.-based organizations, including the American Legislative Exchange Council (ALEC), are detailed in the </w:t>
      </w:r>
      <w:r>
        <w:rPr>
          <w:rFonts w:ascii="Arial" w:cs="Arial" w:eastAsia="Arial" w:hAnsi="Arial"/>
          <w:sz w:val="18"/>
          <w:szCs w:val="18"/>
          <w:i w:val="1"/>
          <w:iCs w:val="1"/>
          <w:color w:val="auto"/>
        </w:rPr>
        <w:t>Worldwide Contributions and Community Investments: Public Policy</w:t>
      </w:r>
      <w:r>
        <w:rPr>
          <w:rFonts w:ascii="Arial" w:cs="Arial" w:eastAsia="Arial" w:hAnsi="Arial"/>
          <w:sz w:val="18"/>
          <w:szCs w:val="18"/>
          <w:color w:val="auto"/>
        </w:rPr>
        <w:t xml:space="preserve"> report available at </w:t>
      </w:r>
      <w:r>
        <w:rPr>
          <w:rFonts w:ascii="Arial" w:cs="Arial" w:eastAsia="Arial" w:hAnsi="Arial"/>
          <w:sz w:val="18"/>
          <w:szCs w:val="18"/>
          <w:i w:val="1"/>
          <w:iCs w:val="1"/>
          <w:color w:val="auto"/>
        </w:rPr>
        <w:t>exxonmobil.com</w:t>
      </w:r>
      <w:r>
        <w:rPr>
          <w:rFonts w:ascii="Arial" w:cs="Arial" w:eastAsia="Arial" w:hAnsi="Arial"/>
          <w:sz w:val="18"/>
          <w:szCs w:val="18"/>
          <w:color w:val="auto"/>
        </w:rPr>
        <w:t>. Our contributions do not constitute an endorsement of every policy position or point of view expressed</w:t>
      </w:r>
      <w:r>
        <w:rPr>
          <w:rFonts w:ascii="Arial" w:cs="Arial" w:eastAsia="Arial" w:hAnsi="Arial"/>
          <w:sz w:val="18"/>
          <w:szCs w:val="18"/>
          <w:i w:val="1"/>
          <w:iCs w:val="1"/>
          <w:color w:val="auto"/>
        </w:rPr>
        <w:t xml:space="preserve"> </w:t>
      </w:r>
      <w:r>
        <w:rPr>
          <w:rFonts w:ascii="Arial" w:cs="Arial" w:eastAsia="Arial" w:hAnsi="Arial"/>
          <w:sz w:val="18"/>
          <w:szCs w:val="18"/>
          <w:color w:val="auto"/>
        </w:rPr>
        <w:t>by a recipient organization. ExxonMobil participates in ALEC policy discussions on a range of issues including taxes, regulatory reform, education, and energy policy. At several recent ALEC annual meetings, ExxonMobil speakers discussed our support for a revenue-neutral carbon tax as an option for policy makers to address climate change. At the most recent ALEC annual meeting, ExxonMobil successfully opposed resolution language that the Company believed was in opposition to climate science. As is true of all nonprofit groups we support, an annual evaluation of the merits of each organization is conducted, and we reserve the right to initiate, sustain, or withdraw support at any time.</w:t>
      </w:r>
    </w:p>
    <w:p>
      <w:pPr>
        <w:spacing w:after="0" w:line="109" w:lineRule="exact"/>
        <w:rPr>
          <w:sz w:val="20"/>
          <w:szCs w:val="20"/>
          <w:color w:val="auto"/>
        </w:rPr>
      </w:pPr>
    </w:p>
    <w:tbl>
      <w:tblPr>
        <w:tblLayout w:type="fixed"/>
        <w:tblInd w:w="6960" w:type="dxa"/>
        <w:tblCellMar>
          <w:top w:w="0" w:type="dxa"/>
          <w:left w:w="0" w:type="dxa"/>
          <w:bottom w:w="0" w:type="dxa"/>
          <w:right w:w="0" w:type="dxa"/>
        </w:tblCellMar>
      </w:tblPr>
      <w:tr>
        <w:trPr>
          <w:trHeight w:val="243"/>
        </w:trPr>
        <w:tc>
          <w:tcPr>
            <w:tcW w:w="2440" w:type="dxa"/>
            <w:vAlign w:val="bottom"/>
          </w:tcPr>
          <w:p>
            <w:pPr>
              <w:spacing w:after="0"/>
              <w:rPr>
                <w:sz w:val="20"/>
                <w:szCs w:val="20"/>
                <w:color w:val="auto"/>
              </w:rPr>
            </w:pPr>
            <w:r>
              <w:rPr>
                <w:rFonts w:ascii="Times New Roman" w:cs="Times New Roman" w:eastAsia="Times New Roman" w:hAnsi="Times New Roman"/>
                <w:sz w:val="18"/>
                <w:szCs w:val="18"/>
                <w:i w:val="1"/>
                <w:iCs w:val="1"/>
                <w:color w:val="auto"/>
              </w:rPr>
              <w:t>2018 Proxy Statement</w:t>
            </w:r>
          </w:p>
        </w:tc>
        <w:tc>
          <w:tcPr>
            <w:tcW w:w="1060" w:type="dxa"/>
            <w:vAlign w:val="bottom"/>
          </w:tcPr>
          <w:p>
            <w:pPr>
              <w:jc w:val="right"/>
              <w:spacing w:after="0"/>
              <w:rPr>
                <w:sz w:val="20"/>
                <w:szCs w:val="20"/>
                <w:color w:val="auto"/>
              </w:rPr>
            </w:pPr>
            <w:r>
              <w:rPr>
                <w:rFonts w:ascii="Arial" w:cs="Arial" w:eastAsia="Arial" w:hAnsi="Arial"/>
                <w:sz w:val="18"/>
                <w:szCs w:val="18"/>
                <w:color w:val="auto"/>
              </w:rPr>
              <w:t>59</w:t>
            </w:r>
          </w:p>
        </w:tc>
      </w:tr>
    </w:tbl>
    <w:p>
      <w:pPr>
        <w:sectPr>
          <w:pgSz w:w="11900" w:h="16838" w:orient="portrait"/>
          <w:cols w:equalWidth="0" w:num="1">
            <w:col w:w="10580"/>
          </w:cols>
          <w:pgMar w:left="240" w:top="455" w:right="1079" w:bottom="1440" w:gutter="0" w:footer="0" w:header="0"/>
        </w:sectPr>
      </w:pPr>
    </w:p>
    <w:bookmarkStart w:id="62" w:name="page63"/>
    <w:bookmarkEnd w:id="62"/>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11" name="Picture 1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
                    <pic:cNvPicPr>
                      <a:picLocks noChangeAspect="1" noChangeArrowheads="1"/>
                    </pic:cNvPicPr>
                  </pic:nvPicPr>
                  <pic:blipFill>
                    <a:blip r:embed="rId118">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Times New Roman" w:cs="Times New Roman" w:eastAsia="Times New Roman" w:hAnsi="Times New Roman"/>
            <w:sz w:val="18"/>
            <w:szCs w:val="18"/>
            <w:b w:val="1"/>
            <w:bCs w:val="1"/>
            <w:u w:val="single" w:color="auto"/>
            <w:color w:val="0000EE"/>
          </w:rPr>
          <w:t>Table of Contents</w:t>
        </w:r>
      </w:hyperlink>
    </w:p>
    <w:p>
      <w:pPr>
        <w:spacing w:after="0" w:line="300" w:lineRule="exact"/>
        <w:rPr>
          <w:sz w:val="20"/>
          <w:szCs w:val="20"/>
          <w:color w:val="auto"/>
        </w:rPr>
      </w:pPr>
    </w:p>
    <w:p>
      <w:pPr>
        <w:ind w:left="860"/>
        <w:spacing w:after="0"/>
        <w:rPr>
          <w:sz w:val="20"/>
          <w:szCs w:val="20"/>
          <w:color w:val="auto"/>
        </w:rPr>
      </w:pPr>
      <w:r>
        <w:rPr>
          <w:rFonts w:ascii="Arial" w:cs="Arial" w:eastAsia="Arial" w:hAnsi="Arial"/>
          <w:sz w:val="23"/>
          <w:szCs w:val="23"/>
          <w:b w:val="1"/>
          <w:bCs w:val="1"/>
          <w:color w:val="2B4C9B"/>
        </w:rPr>
        <w:t>PAY RATIO</w:t>
      </w:r>
    </w:p>
    <w:p>
      <w:pPr>
        <w:spacing w:after="0" w:line="389" w:lineRule="exact"/>
        <w:rPr>
          <w:sz w:val="20"/>
          <w:szCs w:val="20"/>
          <w:color w:val="auto"/>
        </w:rPr>
      </w:pPr>
    </w:p>
    <w:p>
      <w:pPr>
        <w:jc w:val="both"/>
        <w:ind w:left="860" w:right="200"/>
        <w:spacing w:after="0" w:line="255" w:lineRule="auto"/>
        <w:rPr>
          <w:sz w:val="20"/>
          <w:szCs w:val="20"/>
          <w:color w:val="auto"/>
        </w:rPr>
      </w:pPr>
      <w:r>
        <w:rPr>
          <w:rFonts w:ascii="Arial" w:cs="Arial" w:eastAsia="Arial" w:hAnsi="Arial"/>
          <w:sz w:val="18"/>
          <w:szCs w:val="18"/>
          <w:color w:val="auto"/>
        </w:rPr>
        <w:t>The annual total compensation of the CEO of the Corporation for 2017 was $17,495,119. The median of the annual total compensation of all employees of the Corporation except the CEO for 2017 was $161,562. The ratio of the annual total compensation of the CEO for 2017 to the median of the annual total compensation of all employees was 108:1.</w:t>
      </w:r>
    </w:p>
    <w:p>
      <w:pPr>
        <w:spacing w:after="0" w:line="164" w:lineRule="exact"/>
        <w:rPr>
          <w:sz w:val="20"/>
          <w:szCs w:val="20"/>
          <w:color w:val="auto"/>
        </w:rPr>
      </w:pPr>
    </w:p>
    <w:p>
      <w:pPr>
        <w:ind w:left="860" w:right="60"/>
        <w:spacing w:after="0" w:line="248" w:lineRule="auto"/>
        <w:rPr>
          <w:sz w:val="20"/>
          <w:szCs w:val="20"/>
          <w:color w:val="auto"/>
        </w:rPr>
      </w:pPr>
      <w:r>
        <w:rPr>
          <w:rFonts w:ascii="Arial" w:cs="Arial" w:eastAsia="Arial" w:hAnsi="Arial"/>
          <w:sz w:val="18"/>
          <w:szCs w:val="18"/>
          <w:color w:val="auto"/>
        </w:rPr>
        <w:t>The median employee was identified as of October 1, 2017, based on total taxable wages for the most recently completed prior fiscal year as shown in the Corporation’s records. No estimates or sampling methodologies were used for this purpose. No cost-of-living adjustments were made and the taxable wages of employees employed for less than the full fiscal year were not annualized. “Employees” were defined based on applicable employment and tax laws.</w:t>
      </w:r>
    </w:p>
    <w:p>
      <w:pPr>
        <w:spacing w:after="0" w:line="171" w:lineRule="exact"/>
        <w:rPr>
          <w:sz w:val="20"/>
          <w:szCs w:val="20"/>
          <w:color w:val="auto"/>
        </w:rPr>
      </w:pPr>
    </w:p>
    <w:p>
      <w:pPr>
        <w:ind w:left="860" w:right="140"/>
        <w:spacing w:after="0" w:line="255" w:lineRule="auto"/>
        <w:rPr>
          <w:sz w:val="20"/>
          <w:szCs w:val="20"/>
          <w:color w:val="auto"/>
        </w:rPr>
      </w:pPr>
      <w:r>
        <w:rPr>
          <w:rFonts w:ascii="Arial" w:cs="Arial" w:eastAsia="Arial" w:hAnsi="Arial"/>
          <w:sz w:val="18"/>
          <w:szCs w:val="18"/>
          <w:color w:val="auto"/>
        </w:rPr>
        <w:t>For purposes of this disclosure, as permitted by SEC rules, the value of nondiscriminatory benefits is included in annual total compensation of both the median employee and the CEO. These nondiscriminatory benefits are long-term disability, basic life insurance, accidental death and dismemberment insurance, medical, and dental.</w:t>
      </w:r>
    </w:p>
    <w:p>
      <w:pPr>
        <w:spacing w:after="0" w:line="164" w:lineRule="exact"/>
        <w:rPr>
          <w:sz w:val="20"/>
          <w:szCs w:val="20"/>
          <w:color w:val="auto"/>
        </w:rPr>
      </w:pPr>
    </w:p>
    <w:p>
      <w:pPr>
        <w:ind w:left="860" w:right="140"/>
        <w:spacing w:after="0" w:line="255" w:lineRule="auto"/>
        <w:rPr>
          <w:sz w:val="20"/>
          <w:szCs w:val="20"/>
          <w:color w:val="auto"/>
        </w:rPr>
      </w:pPr>
      <w:r>
        <w:rPr>
          <w:rFonts w:ascii="Arial" w:cs="Arial" w:eastAsia="Arial" w:hAnsi="Arial"/>
          <w:sz w:val="18"/>
          <w:szCs w:val="18"/>
          <w:color w:val="auto"/>
        </w:rPr>
        <w:t>We believe including these benefits provides a more accurate compensation ratio. Since SEC rules do not require inclusion of these generally available benefits in the Summary Compensation Table, the annual total compensation of the CEO shown above is slightly higher than the Total Compensation shown for the CEO in that table.</w:t>
      </w:r>
    </w:p>
    <w:p>
      <w:pPr>
        <w:spacing w:after="0" w:line="164" w:lineRule="exact"/>
        <w:rPr>
          <w:sz w:val="20"/>
          <w:szCs w:val="20"/>
          <w:color w:val="auto"/>
        </w:rPr>
      </w:pPr>
    </w:p>
    <w:p>
      <w:pPr>
        <w:ind w:left="860" w:right="40"/>
        <w:spacing w:after="0" w:line="243" w:lineRule="auto"/>
        <w:rPr>
          <w:sz w:val="20"/>
          <w:szCs w:val="20"/>
          <w:color w:val="auto"/>
        </w:rPr>
      </w:pPr>
      <w:r>
        <w:rPr>
          <w:rFonts w:ascii="Arial" w:cs="Arial" w:eastAsia="Arial" w:hAnsi="Arial"/>
          <w:sz w:val="18"/>
          <w:szCs w:val="18"/>
          <w:color w:val="auto"/>
        </w:rPr>
        <w:t xml:space="preserve">ExxonMobil is a global company with employees in many countries around the world. As permitted by the </w:t>
      </w:r>
      <w:r>
        <w:rPr>
          <w:rFonts w:ascii="Arial" w:cs="Arial" w:eastAsia="Arial" w:hAnsi="Arial"/>
          <w:sz w:val="18"/>
          <w:szCs w:val="18"/>
          <w:i w:val="1"/>
          <w:iCs w:val="1"/>
          <w:color w:val="auto"/>
        </w:rPr>
        <w:t>de minimis</w:t>
      </w:r>
      <w:r>
        <w:rPr>
          <w:rFonts w:ascii="Arial" w:cs="Arial" w:eastAsia="Arial" w:hAnsi="Arial"/>
          <w:sz w:val="18"/>
          <w:szCs w:val="18"/>
          <w:color w:val="auto"/>
        </w:rPr>
        <w:t xml:space="preserve"> exemption under the SEC rules, for purposes of identifying the median employee we have excluded employees from 36 countries, which represent in aggregate less than 5 percent of the Corporation’s total employees. As required, where any employees from a jurisdiction were excluded, all employees from that jurisdiction were excluded. In total, as detailed in the table below 2,295 employees were excluded under the </w:t>
      </w:r>
      <w:r>
        <w:rPr>
          <w:rFonts w:ascii="Arial" w:cs="Arial" w:eastAsia="Arial" w:hAnsi="Arial"/>
          <w:sz w:val="18"/>
          <w:szCs w:val="18"/>
          <w:i w:val="1"/>
          <w:iCs w:val="1"/>
          <w:color w:val="auto"/>
        </w:rPr>
        <w:t>de minimis</w:t>
      </w:r>
      <w:r>
        <w:rPr>
          <w:rFonts w:ascii="Arial" w:cs="Arial" w:eastAsia="Arial" w:hAnsi="Arial"/>
          <w:sz w:val="18"/>
          <w:szCs w:val="18"/>
          <w:color w:val="auto"/>
        </w:rPr>
        <w:t xml:space="preserve"> exemption out of a total number of worldwide employees of 72,557.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545465</wp:posOffset>
            </wp:positionH>
            <wp:positionV relativeFrom="paragraph">
              <wp:posOffset>142240</wp:posOffset>
            </wp:positionV>
            <wp:extent cx="6182995" cy="1303655"/>
            <wp:wrapNone/>
            <wp:docPr id="112" name="Picture 1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
                    <pic:cNvPicPr>
                      <a:picLocks noChangeAspect="1" noChangeArrowheads="1"/>
                    </pic:cNvPicPr>
                  </pic:nvPicPr>
                  <pic:blipFill>
                    <a:blip r:embed="rId119">
                      <a:extLst>
                        <a:ext uri="{28A0092B-C50C-407E-A947-70E740481C1C}"/>
                      </a:extLst>
                    </a:blip>
                    <a:srcRect/>
                    <a:stretch>
                      <a:fillRect/>
                    </a:stretch>
                  </pic:blipFill>
                  <pic:spPr bwMode="auto">
                    <a:xfrm>
                      <a:off x="0" y="0"/>
                      <a:ext cx="6182995" cy="1303655"/>
                    </a:xfrm>
                    <a:prstGeom prst="rect">
                      <a:avLst/>
                    </a:prstGeom>
                    <a:noFill/>
                  </pic:spPr>
                </pic:pic>
              </a:graphicData>
            </a:graphic>
          </wp:anchor>
        </w:drawing>
      </w:r>
    </w:p>
    <w:p>
      <w:pPr>
        <w:spacing w:after="0" w:line="216" w:lineRule="exact"/>
        <w:rPr>
          <w:sz w:val="20"/>
          <w:szCs w:val="20"/>
          <w:color w:val="auto"/>
        </w:rPr>
      </w:pPr>
    </w:p>
    <w:p>
      <w:pPr>
        <w:ind w:left="4300"/>
        <w:spacing w:after="0"/>
        <w:rPr>
          <w:sz w:val="20"/>
          <w:szCs w:val="20"/>
          <w:color w:val="auto"/>
        </w:rPr>
      </w:pPr>
      <w:r>
        <w:rPr>
          <w:rFonts w:ascii="Arial" w:cs="Arial" w:eastAsia="Arial" w:hAnsi="Arial"/>
          <w:sz w:val="14"/>
          <w:szCs w:val="14"/>
          <w:b w:val="1"/>
          <w:bCs w:val="1"/>
          <w:color w:val="auto"/>
        </w:rPr>
        <w:t>Countries Excluded / Number of Employees</w:t>
      </w:r>
    </w:p>
    <w:p>
      <w:pPr>
        <w:spacing w:after="0" w:line="30" w:lineRule="exact"/>
        <w:rPr>
          <w:sz w:val="20"/>
          <w:szCs w:val="20"/>
          <w:color w:val="auto"/>
        </w:rPr>
      </w:pPr>
    </w:p>
    <w:tbl>
      <w:tblPr>
        <w:tblLayout w:type="fixed"/>
        <w:tblInd w:w="860" w:type="dxa"/>
        <w:tblCellMar>
          <w:top w:w="0" w:type="dxa"/>
          <w:left w:w="0" w:type="dxa"/>
          <w:bottom w:w="0" w:type="dxa"/>
          <w:right w:w="0" w:type="dxa"/>
        </w:tblCellMar>
      </w:tblPr>
      <w:tr>
        <w:trPr>
          <w:trHeight w:val="194"/>
        </w:trPr>
        <w:tc>
          <w:tcPr>
            <w:tcW w:w="300" w:type="dxa"/>
            <w:vAlign w:val="bottom"/>
            <w:tcBorders>
              <w:top w:val="single" w:sz="8" w:color="auto"/>
            </w:tcBorders>
          </w:tcPr>
          <w:p>
            <w:pPr>
              <w:jc w:val="right"/>
              <w:spacing w:after="0"/>
              <w:rPr>
                <w:sz w:val="20"/>
                <w:szCs w:val="20"/>
                <w:color w:val="auto"/>
              </w:rPr>
            </w:pPr>
            <w:r>
              <w:rPr>
                <w:rFonts w:ascii="Arial" w:cs="Arial" w:eastAsia="Arial" w:hAnsi="Arial"/>
                <w:sz w:val="14"/>
                <w:szCs w:val="14"/>
                <w:color w:val="auto"/>
              </w:rPr>
              <w:t>1.</w:t>
            </w:r>
          </w:p>
        </w:tc>
        <w:tc>
          <w:tcPr>
            <w:tcW w:w="1500" w:type="dxa"/>
            <w:vAlign w:val="bottom"/>
            <w:tcBorders>
              <w:top w:val="single" w:sz="8" w:color="auto"/>
            </w:tcBorders>
          </w:tcPr>
          <w:p>
            <w:pPr>
              <w:ind w:left="20"/>
              <w:spacing w:after="0"/>
              <w:rPr>
                <w:sz w:val="20"/>
                <w:szCs w:val="20"/>
                <w:color w:val="auto"/>
              </w:rPr>
            </w:pPr>
            <w:r>
              <w:rPr>
                <w:rFonts w:ascii="Arial" w:cs="Arial" w:eastAsia="Arial" w:hAnsi="Arial"/>
                <w:sz w:val="14"/>
                <w:szCs w:val="14"/>
                <w:color w:val="auto"/>
              </w:rPr>
              <w:t>Colombia</w:t>
            </w:r>
          </w:p>
        </w:tc>
        <w:tc>
          <w:tcPr>
            <w:tcW w:w="520" w:type="dxa"/>
            <w:vAlign w:val="bottom"/>
            <w:tcBorders>
              <w:top w:val="single" w:sz="8" w:color="auto"/>
              <w:right w:val="single" w:sz="8" w:color="auto"/>
            </w:tcBorders>
          </w:tcPr>
          <w:p>
            <w:pPr>
              <w:jc w:val="right"/>
              <w:ind w:right="46"/>
              <w:spacing w:after="0"/>
              <w:rPr>
                <w:sz w:val="20"/>
                <w:szCs w:val="20"/>
                <w:color w:val="auto"/>
              </w:rPr>
            </w:pPr>
            <w:r>
              <w:rPr>
                <w:rFonts w:ascii="Arial" w:cs="Arial" w:eastAsia="Arial" w:hAnsi="Arial"/>
                <w:sz w:val="14"/>
                <w:szCs w:val="14"/>
                <w:color w:val="auto"/>
              </w:rPr>
              <w:t>416</w:t>
            </w:r>
          </w:p>
        </w:tc>
        <w:tc>
          <w:tcPr>
            <w:tcW w:w="320" w:type="dxa"/>
            <w:vAlign w:val="bottom"/>
            <w:tcBorders>
              <w:top w:val="single" w:sz="8" w:color="auto"/>
            </w:tcBorders>
          </w:tcPr>
          <w:p>
            <w:pPr>
              <w:ind w:left="60"/>
              <w:spacing w:after="0"/>
              <w:rPr>
                <w:sz w:val="20"/>
                <w:szCs w:val="20"/>
                <w:color w:val="auto"/>
              </w:rPr>
            </w:pPr>
            <w:r>
              <w:rPr>
                <w:rFonts w:ascii="Arial" w:cs="Arial" w:eastAsia="Arial" w:hAnsi="Arial"/>
                <w:sz w:val="14"/>
                <w:szCs w:val="14"/>
                <w:color w:val="auto"/>
              </w:rPr>
              <w:t>10.</w:t>
            </w:r>
          </w:p>
        </w:tc>
        <w:tc>
          <w:tcPr>
            <w:tcW w:w="1380" w:type="dxa"/>
            <w:vAlign w:val="bottom"/>
            <w:tcBorders>
              <w:top w:val="single" w:sz="8" w:color="auto"/>
            </w:tcBorders>
          </w:tcPr>
          <w:p>
            <w:pPr>
              <w:ind w:left="40"/>
              <w:spacing w:after="0"/>
              <w:rPr>
                <w:sz w:val="20"/>
                <w:szCs w:val="20"/>
                <w:color w:val="auto"/>
              </w:rPr>
            </w:pPr>
            <w:r>
              <w:rPr>
                <w:rFonts w:ascii="Arial" w:cs="Arial" w:eastAsia="Arial" w:hAnsi="Arial"/>
                <w:sz w:val="14"/>
                <w:szCs w:val="14"/>
                <w:color w:val="auto"/>
              </w:rPr>
              <w:t>Sweden</w:t>
            </w:r>
          </w:p>
        </w:tc>
        <w:tc>
          <w:tcPr>
            <w:tcW w:w="780" w:type="dxa"/>
            <w:vAlign w:val="bottom"/>
            <w:tcBorders>
              <w:top w:val="single" w:sz="8" w:color="auto"/>
              <w:right w:val="single" w:sz="8" w:color="auto"/>
            </w:tcBorders>
          </w:tcPr>
          <w:p>
            <w:pPr>
              <w:jc w:val="right"/>
              <w:ind w:right="28"/>
              <w:spacing w:after="0"/>
              <w:rPr>
                <w:sz w:val="20"/>
                <w:szCs w:val="20"/>
                <w:color w:val="auto"/>
              </w:rPr>
            </w:pPr>
            <w:r>
              <w:rPr>
                <w:rFonts w:ascii="Arial" w:cs="Arial" w:eastAsia="Arial" w:hAnsi="Arial"/>
                <w:sz w:val="14"/>
                <w:szCs w:val="14"/>
                <w:color w:val="auto"/>
              </w:rPr>
              <w:t>74</w:t>
            </w:r>
          </w:p>
        </w:tc>
        <w:tc>
          <w:tcPr>
            <w:tcW w:w="320" w:type="dxa"/>
            <w:vAlign w:val="bottom"/>
            <w:tcBorders>
              <w:top w:val="single" w:sz="8" w:color="auto"/>
            </w:tcBorders>
          </w:tcPr>
          <w:p>
            <w:pPr>
              <w:jc w:val="right"/>
              <w:spacing w:after="0"/>
              <w:rPr>
                <w:sz w:val="20"/>
                <w:szCs w:val="20"/>
                <w:color w:val="auto"/>
              </w:rPr>
            </w:pPr>
            <w:r>
              <w:rPr>
                <w:rFonts w:ascii="Arial" w:cs="Arial" w:eastAsia="Arial" w:hAnsi="Arial"/>
                <w:sz w:val="14"/>
                <w:szCs w:val="14"/>
                <w:color w:val="auto"/>
              </w:rPr>
              <w:t>19.</w:t>
            </w:r>
          </w:p>
        </w:tc>
        <w:tc>
          <w:tcPr>
            <w:tcW w:w="1360" w:type="dxa"/>
            <w:vAlign w:val="bottom"/>
            <w:tcBorders>
              <w:top w:val="single" w:sz="8" w:color="auto"/>
            </w:tcBorders>
          </w:tcPr>
          <w:p>
            <w:pPr>
              <w:ind w:left="40"/>
              <w:spacing w:after="0"/>
              <w:rPr>
                <w:sz w:val="20"/>
                <w:szCs w:val="20"/>
                <w:color w:val="auto"/>
              </w:rPr>
            </w:pPr>
            <w:r>
              <w:rPr>
                <w:rFonts w:ascii="Arial" w:cs="Arial" w:eastAsia="Arial" w:hAnsi="Arial"/>
                <w:sz w:val="14"/>
                <w:szCs w:val="14"/>
                <w:color w:val="auto"/>
              </w:rPr>
              <w:t>New Caledonia</w:t>
            </w:r>
          </w:p>
        </w:tc>
        <w:tc>
          <w:tcPr>
            <w:tcW w:w="920" w:type="dxa"/>
            <w:vAlign w:val="bottom"/>
            <w:tcBorders>
              <w:top w:val="single" w:sz="8" w:color="auto"/>
              <w:right w:val="single" w:sz="8" w:color="auto"/>
            </w:tcBorders>
          </w:tcPr>
          <w:p>
            <w:pPr>
              <w:jc w:val="right"/>
              <w:ind w:right="48"/>
              <w:spacing w:after="0"/>
              <w:rPr>
                <w:sz w:val="20"/>
                <w:szCs w:val="20"/>
                <w:color w:val="auto"/>
              </w:rPr>
            </w:pPr>
            <w:r>
              <w:rPr>
                <w:rFonts w:ascii="Arial" w:cs="Arial" w:eastAsia="Arial" w:hAnsi="Arial"/>
                <w:sz w:val="14"/>
                <w:szCs w:val="14"/>
                <w:color w:val="auto"/>
              </w:rPr>
              <w:t>28</w:t>
            </w:r>
          </w:p>
        </w:tc>
        <w:tc>
          <w:tcPr>
            <w:tcW w:w="300" w:type="dxa"/>
            <w:vAlign w:val="bottom"/>
            <w:tcBorders>
              <w:top w:val="single" w:sz="8" w:color="auto"/>
            </w:tcBorders>
          </w:tcPr>
          <w:p>
            <w:pPr>
              <w:jc w:val="right"/>
              <w:spacing w:after="0"/>
              <w:rPr>
                <w:sz w:val="20"/>
                <w:szCs w:val="20"/>
                <w:color w:val="auto"/>
              </w:rPr>
            </w:pPr>
            <w:r>
              <w:rPr>
                <w:rFonts w:ascii="Arial" w:cs="Arial" w:eastAsia="Arial" w:hAnsi="Arial"/>
                <w:sz w:val="14"/>
                <w:szCs w:val="14"/>
                <w:color w:val="auto"/>
              </w:rPr>
              <w:t>28.</w:t>
            </w:r>
          </w:p>
        </w:tc>
        <w:tc>
          <w:tcPr>
            <w:tcW w:w="1560" w:type="dxa"/>
            <w:vAlign w:val="bottom"/>
            <w:tcBorders>
              <w:top w:val="single" w:sz="8" w:color="auto"/>
            </w:tcBorders>
          </w:tcPr>
          <w:p>
            <w:pPr>
              <w:ind w:left="60"/>
              <w:spacing w:after="0"/>
              <w:rPr>
                <w:sz w:val="20"/>
                <w:szCs w:val="20"/>
                <w:color w:val="auto"/>
              </w:rPr>
            </w:pPr>
            <w:r>
              <w:rPr>
                <w:rFonts w:ascii="Arial" w:cs="Arial" w:eastAsia="Arial" w:hAnsi="Arial"/>
                <w:sz w:val="14"/>
                <w:szCs w:val="14"/>
                <w:color w:val="auto"/>
              </w:rPr>
              <w:t>Greece</w:t>
            </w:r>
          </w:p>
        </w:tc>
        <w:tc>
          <w:tcPr>
            <w:tcW w:w="480" w:type="dxa"/>
            <w:vAlign w:val="bottom"/>
            <w:tcBorders>
              <w:top w:val="single" w:sz="8" w:color="auto"/>
            </w:tcBorders>
          </w:tcPr>
          <w:p>
            <w:pPr>
              <w:jc w:val="right"/>
              <w:spacing w:after="0"/>
              <w:rPr>
                <w:sz w:val="20"/>
                <w:szCs w:val="20"/>
                <w:color w:val="auto"/>
              </w:rPr>
            </w:pPr>
            <w:r>
              <w:rPr>
                <w:rFonts w:ascii="Arial" w:cs="Arial" w:eastAsia="Arial" w:hAnsi="Arial"/>
                <w:sz w:val="14"/>
                <w:szCs w:val="14"/>
                <w:color w:val="auto"/>
              </w:rPr>
              <w:t>7</w:t>
            </w:r>
          </w:p>
        </w:tc>
      </w:tr>
      <w:tr>
        <w:trPr>
          <w:trHeight w:val="196"/>
        </w:trPr>
        <w:tc>
          <w:tcPr>
            <w:tcW w:w="300" w:type="dxa"/>
            <w:vAlign w:val="bottom"/>
          </w:tcPr>
          <w:p>
            <w:pPr>
              <w:jc w:val="right"/>
              <w:spacing w:after="0"/>
              <w:rPr>
                <w:sz w:val="20"/>
                <w:szCs w:val="20"/>
                <w:color w:val="auto"/>
              </w:rPr>
            </w:pPr>
            <w:r>
              <w:rPr>
                <w:rFonts w:ascii="Arial" w:cs="Arial" w:eastAsia="Arial" w:hAnsi="Arial"/>
                <w:sz w:val="14"/>
                <w:szCs w:val="14"/>
                <w:color w:val="auto"/>
              </w:rPr>
              <w:t>2.</w:t>
            </w:r>
          </w:p>
        </w:tc>
        <w:tc>
          <w:tcPr>
            <w:tcW w:w="1500" w:type="dxa"/>
            <w:vAlign w:val="bottom"/>
          </w:tcPr>
          <w:p>
            <w:pPr>
              <w:ind w:left="20"/>
              <w:spacing w:after="0"/>
              <w:rPr>
                <w:sz w:val="20"/>
                <w:szCs w:val="20"/>
                <w:color w:val="auto"/>
              </w:rPr>
            </w:pPr>
            <w:r>
              <w:rPr>
                <w:rFonts w:ascii="Arial" w:cs="Arial" w:eastAsia="Arial" w:hAnsi="Arial"/>
                <w:sz w:val="14"/>
                <w:szCs w:val="14"/>
                <w:color w:val="auto"/>
              </w:rPr>
              <w:t>Egypt</w:t>
            </w:r>
          </w:p>
        </w:tc>
        <w:tc>
          <w:tcPr>
            <w:tcW w:w="520" w:type="dxa"/>
            <w:vAlign w:val="bottom"/>
            <w:tcBorders>
              <w:right w:val="single" w:sz="8" w:color="auto"/>
            </w:tcBorders>
          </w:tcPr>
          <w:p>
            <w:pPr>
              <w:jc w:val="right"/>
              <w:ind w:right="46"/>
              <w:spacing w:after="0"/>
              <w:rPr>
                <w:sz w:val="20"/>
                <w:szCs w:val="20"/>
                <w:color w:val="auto"/>
              </w:rPr>
            </w:pPr>
            <w:r>
              <w:rPr>
                <w:rFonts w:ascii="Arial" w:cs="Arial" w:eastAsia="Arial" w:hAnsi="Arial"/>
                <w:sz w:val="14"/>
                <w:szCs w:val="14"/>
                <w:color w:val="auto"/>
              </w:rPr>
              <w:t>346</w:t>
            </w:r>
          </w:p>
        </w:tc>
        <w:tc>
          <w:tcPr>
            <w:tcW w:w="320" w:type="dxa"/>
            <w:vAlign w:val="bottom"/>
          </w:tcPr>
          <w:p>
            <w:pPr>
              <w:ind w:left="60"/>
              <w:spacing w:after="0"/>
              <w:rPr>
                <w:sz w:val="20"/>
                <w:szCs w:val="20"/>
                <w:color w:val="auto"/>
              </w:rPr>
            </w:pPr>
            <w:r>
              <w:rPr>
                <w:rFonts w:ascii="Arial" w:cs="Arial" w:eastAsia="Arial" w:hAnsi="Arial"/>
                <w:sz w:val="14"/>
                <w:szCs w:val="14"/>
                <w:color w:val="auto"/>
              </w:rPr>
              <w:t>11.</w:t>
            </w:r>
          </w:p>
        </w:tc>
        <w:tc>
          <w:tcPr>
            <w:tcW w:w="1380" w:type="dxa"/>
            <w:vAlign w:val="bottom"/>
          </w:tcPr>
          <w:p>
            <w:pPr>
              <w:ind w:left="40"/>
              <w:spacing w:after="0"/>
              <w:rPr>
                <w:sz w:val="20"/>
                <w:szCs w:val="20"/>
                <w:color w:val="auto"/>
              </w:rPr>
            </w:pPr>
            <w:r>
              <w:rPr>
                <w:rFonts w:ascii="Arial" w:cs="Arial" w:eastAsia="Arial" w:hAnsi="Arial"/>
                <w:sz w:val="14"/>
                <w:szCs w:val="14"/>
                <w:color w:val="auto"/>
              </w:rPr>
              <w:t>Taiwan</w:t>
            </w:r>
          </w:p>
        </w:tc>
        <w:tc>
          <w:tcPr>
            <w:tcW w:w="780" w:type="dxa"/>
            <w:vAlign w:val="bottom"/>
            <w:tcBorders>
              <w:right w:val="single" w:sz="8" w:color="auto"/>
            </w:tcBorders>
          </w:tcPr>
          <w:p>
            <w:pPr>
              <w:jc w:val="right"/>
              <w:ind w:right="28"/>
              <w:spacing w:after="0"/>
              <w:rPr>
                <w:sz w:val="20"/>
                <w:szCs w:val="20"/>
                <w:color w:val="auto"/>
              </w:rPr>
            </w:pPr>
            <w:r>
              <w:rPr>
                <w:rFonts w:ascii="Arial" w:cs="Arial" w:eastAsia="Arial" w:hAnsi="Arial"/>
                <w:sz w:val="14"/>
                <w:szCs w:val="14"/>
                <w:color w:val="auto"/>
              </w:rPr>
              <w:t>62</w:t>
            </w:r>
          </w:p>
        </w:tc>
        <w:tc>
          <w:tcPr>
            <w:tcW w:w="320" w:type="dxa"/>
            <w:vAlign w:val="bottom"/>
          </w:tcPr>
          <w:p>
            <w:pPr>
              <w:jc w:val="right"/>
              <w:spacing w:after="0"/>
              <w:rPr>
                <w:sz w:val="20"/>
                <w:szCs w:val="20"/>
                <w:color w:val="auto"/>
              </w:rPr>
            </w:pPr>
            <w:r>
              <w:rPr>
                <w:rFonts w:ascii="Arial" w:cs="Arial" w:eastAsia="Arial" w:hAnsi="Arial"/>
                <w:sz w:val="14"/>
                <w:szCs w:val="14"/>
                <w:color w:val="auto"/>
              </w:rPr>
              <w:t>20.</w:t>
            </w:r>
          </w:p>
        </w:tc>
        <w:tc>
          <w:tcPr>
            <w:tcW w:w="1360" w:type="dxa"/>
            <w:vAlign w:val="bottom"/>
          </w:tcPr>
          <w:p>
            <w:pPr>
              <w:ind w:left="40"/>
              <w:spacing w:after="0"/>
              <w:rPr>
                <w:sz w:val="20"/>
                <w:szCs w:val="20"/>
                <w:color w:val="auto"/>
              </w:rPr>
            </w:pPr>
            <w:r>
              <w:rPr>
                <w:rFonts w:ascii="Arial" w:cs="Arial" w:eastAsia="Arial" w:hAnsi="Arial"/>
                <w:sz w:val="14"/>
                <w:szCs w:val="14"/>
                <w:color w:val="auto"/>
              </w:rPr>
              <w:t>South Korea</w:t>
            </w:r>
          </w:p>
        </w:tc>
        <w:tc>
          <w:tcPr>
            <w:tcW w:w="920" w:type="dxa"/>
            <w:vAlign w:val="bottom"/>
            <w:tcBorders>
              <w:right w:val="single" w:sz="8" w:color="auto"/>
            </w:tcBorders>
          </w:tcPr>
          <w:p>
            <w:pPr>
              <w:jc w:val="right"/>
              <w:ind w:right="48"/>
              <w:spacing w:after="0"/>
              <w:rPr>
                <w:sz w:val="20"/>
                <w:szCs w:val="20"/>
                <w:color w:val="auto"/>
              </w:rPr>
            </w:pPr>
            <w:r>
              <w:rPr>
                <w:rFonts w:ascii="Arial" w:cs="Arial" w:eastAsia="Arial" w:hAnsi="Arial"/>
                <w:sz w:val="14"/>
                <w:szCs w:val="14"/>
                <w:color w:val="auto"/>
              </w:rPr>
              <w:t>21</w:t>
            </w:r>
          </w:p>
        </w:tc>
        <w:tc>
          <w:tcPr>
            <w:tcW w:w="300" w:type="dxa"/>
            <w:vAlign w:val="bottom"/>
          </w:tcPr>
          <w:p>
            <w:pPr>
              <w:jc w:val="right"/>
              <w:spacing w:after="0"/>
              <w:rPr>
                <w:sz w:val="20"/>
                <w:szCs w:val="20"/>
                <w:color w:val="auto"/>
              </w:rPr>
            </w:pPr>
            <w:r>
              <w:rPr>
                <w:rFonts w:ascii="Arial" w:cs="Arial" w:eastAsia="Arial" w:hAnsi="Arial"/>
                <w:sz w:val="14"/>
                <w:szCs w:val="14"/>
                <w:color w:val="auto"/>
              </w:rPr>
              <w:t>29.</w:t>
            </w:r>
          </w:p>
        </w:tc>
        <w:tc>
          <w:tcPr>
            <w:tcW w:w="1560" w:type="dxa"/>
            <w:vAlign w:val="bottom"/>
          </w:tcPr>
          <w:p>
            <w:pPr>
              <w:ind w:left="60"/>
              <w:spacing w:after="0"/>
              <w:rPr>
                <w:sz w:val="20"/>
                <w:szCs w:val="20"/>
                <w:color w:val="auto"/>
              </w:rPr>
            </w:pPr>
            <w:r>
              <w:rPr>
                <w:rFonts w:ascii="Arial" w:cs="Arial" w:eastAsia="Arial" w:hAnsi="Arial"/>
                <w:sz w:val="14"/>
                <w:szCs w:val="14"/>
                <w:color w:val="auto"/>
              </w:rPr>
              <w:t>Ukraine</w:t>
            </w:r>
          </w:p>
        </w:tc>
        <w:tc>
          <w:tcPr>
            <w:tcW w:w="480" w:type="dxa"/>
            <w:vAlign w:val="bottom"/>
          </w:tcPr>
          <w:p>
            <w:pPr>
              <w:jc w:val="right"/>
              <w:spacing w:after="0"/>
              <w:rPr>
                <w:sz w:val="20"/>
                <w:szCs w:val="20"/>
                <w:color w:val="auto"/>
              </w:rPr>
            </w:pPr>
            <w:r>
              <w:rPr>
                <w:rFonts w:ascii="Arial" w:cs="Arial" w:eastAsia="Arial" w:hAnsi="Arial"/>
                <w:sz w:val="14"/>
                <w:szCs w:val="14"/>
                <w:color w:val="auto"/>
              </w:rPr>
              <w:t>5</w:t>
            </w:r>
          </w:p>
        </w:tc>
      </w:tr>
      <w:tr>
        <w:trPr>
          <w:trHeight w:val="203"/>
        </w:trPr>
        <w:tc>
          <w:tcPr>
            <w:tcW w:w="300" w:type="dxa"/>
            <w:vAlign w:val="bottom"/>
          </w:tcPr>
          <w:p>
            <w:pPr>
              <w:jc w:val="right"/>
              <w:spacing w:after="0"/>
              <w:rPr>
                <w:sz w:val="20"/>
                <w:szCs w:val="20"/>
                <w:color w:val="auto"/>
              </w:rPr>
            </w:pPr>
            <w:r>
              <w:rPr>
                <w:rFonts w:ascii="Arial" w:cs="Arial" w:eastAsia="Arial" w:hAnsi="Arial"/>
                <w:sz w:val="14"/>
                <w:szCs w:val="14"/>
                <w:color w:val="auto"/>
              </w:rPr>
              <w:t>3.</w:t>
            </w:r>
          </w:p>
        </w:tc>
        <w:tc>
          <w:tcPr>
            <w:tcW w:w="1500" w:type="dxa"/>
            <w:vAlign w:val="bottom"/>
          </w:tcPr>
          <w:p>
            <w:pPr>
              <w:ind w:left="20"/>
              <w:spacing w:after="0"/>
              <w:rPr>
                <w:sz w:val="20"/>
                <w:szCs w:val="20"/>
                <w:color w:val="auto"/>
              </w:rPr>
            </w:pPr>
            <w:r>
              <w:rPr>
                <w:rFonts w:ascii="Arial" w:cs="Arial" w:eastAsia="Arial" w:hAnsi="Arial"/>
                <w:sz w:val="14"/>
                <w:szCs w:val="14"/>
                <w:color w:val="auto"/>
              </w:rPr>
              <w:t>Mexico</w:t>
            </w:r>
          </w:p>
        </w:tc>
        <w:tc>
          <w:tcPr>
            <w:tcW w:w="520" w:type="dxa"/>
            <w:vAlign w:val="bottom"/>
            <w:tcBorders>
              <w:right w:val="single" w:sz="8" w:color="auto"/>
            </w:tcBorders>
          </w:tcPr>
          <w:p>
            <w:pPr>
              <w:jc w:val="right"/>
              <w:ind w:right="46"/>
              <w:spacing w:after="0"/>
              <w:rPr>
                <w:sz w:val="20"/>
                <w:szCs w:val="20"/>
                <w:color w:val="auto"/>
              </w:rPr>
            </w:pPr>
            <w:r>
              <w:rPr>
                <w:rFonts w:ascii="Arial" w:cs="Arial" w:eastAsia="Arial" w:hAnsi="Arial"/>
                <w:sz w:val="14"/>
                <w:szCs w:val="14"/>
                <w:color w:val="auto"/>
              </w:rPr>
              <w:t>256</w:t>
            </w:r>
          </w:p>
        </w:tc>
        <w:tc>
          <w:tcPr>
            <w:tcW w:w="320" w:type="dxa"/>
            <w:vAlign w:val="bottom"/>
          </w:tcPr>
          <w:p>
            <w:pPr>
              <w:ind w:left="60"/>
              <w:spacing w:after="0"/>
              <w:rPr>
                <w:sz w:val="20"/>
                <w:szCs w:val="20"/>
                <w:color w:val="auto"/>
              </w:rPr>
            </w:pPr>
            <w:r>
              <w:rPr>
                <w:rFonts w:ascii="Arial" w:cs="Arial" w:eastAsia="Arial" w:hAnsi="Arial"/>
                <w:sz w:val="14"/>
                <w:szCs w:val="14"/>
                <w:color w:val="auto"/>
              </w:rPr>
              <w:t>12.</w:t>
            </w:r>
          </w:p>
        </w:tc>
        <w:tc>
          <w:tcPr>
            <w:tcW w:w="1380" w:type="dxa"/>
            <w:vAlign w:val="bottom"/>
          </w:tcPr>
          <w:p>
            <w:pPr>
              <w:ind w:left="40"/>
              <w:spacing w:after="0"/>
              <w:rPr>
                <w:sz w:val="20"/>
                <w:szCs w:val="20"/>
                <w:color w:val="auto"/>
              </w:rPr>
            </w:pPr>
            <w:r>
              <w:rPr>
                <w:rFonts w:ascii="Arial" w:cs="Arial" w:eastAsia="Arial" w:hAnsi="Arial"/>
                <w:sz w:val="14"/>
                <w:szCs w:val="14"/>
                <w:color w:val="auto"/>
              </w:rPr>
              <w:t>Japan</w:t>
            </w:r>
          </w:p>
        </w:tc>
        <w:tc>
          <w:tcPr>
            <w:tcW w:w="780" w:type="dxa"/>
            <w:vAlign w:val="bottom"/>
            <w:tcBorders>
              <w:right w:val="single" w:sz="8" w:color="auto"/>
            </w:tcBorders>
          </w:tcPr>
          <w:p>
            <w:pPr>
              <w:jc w:val="right"/>
              <w:ind w:right="28"/>
              <w:spacing w:after="0"/>
              <w:rPr>
                <w:sz w:val="20"/>
                <w:szCs w:val="20"/>
                <w:color w:val="auto"/>
              </w:rPr>
            </w:pPr>
            <w:r>
              <w:rPr>
                <w:rFonts w:ascii="Arial" w:cs="Arial" w:eastAsia="Arial" w:hAnsi="Arial"/>
                <w:sz w:val="14"/>
                <w:szCs w:val="14"/>
                <w:color w:val="auto"/>
              </w:rPr>
              <w:t>57</w:t>
            </w:r>
          </w:p>
        </w:tc>
        <w:tc>
          <w:tcPr>
            <w:tcW w:w="320" w:type="dxa"/>
            <w:vAlign w:val="bottom"/>
          </w:tcPr>
          <w:p>
            <w:pPr>
              <w:jc w:val="right"/>
              <w:spacing w:after="0"/>
              <w:rPr>
                <w:sz w:val="20"/>
                <w:szCs w:val="20"/>
                <w:color w:val="auto"/>
              </w:rPr>
            </w:pPr>
            <w:r>
              <w:rPr>
                <w:rFonts w:ascii="Arial" w:cs="Arial" w:eastAsia="Arial" w:hAnsi="Arial"/>
                <w:sz w:val="14"/>
                <w:szCs w:val="14"/>
                <w:color w:val="auto"/>
              </w:rPr>
              <w:t>21.</w:t>
            </w:r>
          </w:p>
        </w:tc>
        <w:tc>
          <w:tcPr>
            <w:tcW w:w="1360" w:type="dxa"/>
            <w:vAlign w:val="bottom"/>
          </w:tcPr>
          <w:p>
            <w:pPr>
              <w:ind w:left="40"/>
              <w:spacing w:after="0"/>
              <w:rPr>
                <w:sz w:val="20"/>
                <w:szCs w:val="20"/>
                <w:color w:val="auto"/>
              </w:rPr>
            </w:pPr>
            <w:r>
              <w:rPr>
                <w:rFonts w:ascii="Arial" w:cs="Arial" w:eastAsia="Arial" w:hAnsi="Arial"/>
                <w:sz w:val="14"/>
                <w:szCs w:val="14"/>
                <w:color w:val="auto"/>
              </w:rPr>
              <w:t>Romania</w:t>
            </w:r>
          </w:p>
        </w:tc>
        <w:tc>
          <w:tcPr>
            <w:tcW w:w="920" w:type="dxa"/>
            <w:vAlign w:val="bottom"/>
            <w:tcBorders>
              <w:right w:val="single" w:sz="8" w:color="auto"/>
            </w:tcBorders>
          </w:tcPr>
          <w:p>
            <w:pPr>
              <w:jc w:val="right"/>
              <w:ind w:right="48"/>
              <w:spacing w:after="0"/>
              <w:rPr>
                <w:sz w:val="20"/>
                <w:szCs w:val="20"/>
                <w:color w:val="auto"/>
              </w:rPr>
            </w:pPr>
            <w:r>
              <w:rPr>
                <w:rFonts w:ascii="Arial" w:cs="Arial" w:eastAsia="Arial" w:hAnsi="Arial"/>
                <w:sz w:val="14"/>
                <w:szCs w:val="14"/>
                <w:color w:val="auto"/>
              </w:rPr>
              <w:t>20</w:t>
            </w:r>
          </w:p>
        </w:tc>
        <w:tc>
          <w:tcPr>
            <w:tcW w:w="300" w:type="dxa"/>
            <w:vAlign w:val="bottom"/>
          </w:tcPr>
          <w:p>
            <w:pPr>
              <w:jc w:val="right"/>
              <w:spacing w:after="0"/>
              <w:rPr>
                <w:sz w:val="20"/>
                <w:szCs w:val="20"/>
                <w:color w:val="auto"/>
              </w:rPr>
            </w:pPr>
            <w:r>
              <w:rPr>
                <w:rFonts w:ascii="Arial" w:cs="Arial" w:eastAsia="Arial" w:hAnsi="Arial"/>
                <w:sz w:val="14"/>
                <w:szCs w:val="14"/>
                <w:color w:val="auto"/>
              </w:rPr>
              <w:t>30.</w:t>
            </w:r>
          </w:p>
        </w:tc>
        <w:tc>
          <w:tcPr>
            <w:tcW w:w="1560" w:type="dxa"/>
            <w:vAlign w:val="bottom"/>
          </w:tcPr>
          <w:p>
            <w:pPr>
              <w:ind w:left="60"/>
              <w:spacing w:after="0"/>
              <w:rPr>
                <w:sz w:val="20"/>
                <w:szCs w:val="20"/>
                <w:color w:val="auto"/>
              </w:rPr>
            </w:pPr>
            <w:r>
              <w:rPr>
                <w:rFonts w:ascii="Arial" w:cs="Arial" w:eastAsia="Arial" w:hAnsi="Arial"/>
                <w:sz w:val="14"/>
                <w:szCs w:val="14"/>
                <w:color w:val="auto"/>
              </w:rPr>
              <w:t>Vietnam</w:t>
            </w:r>
          </w:p>
        </w:tc>
        <w:tc>
          <w:tcPr>
            <w:tcW w:w="480" w:type="dxa"/>
            <w:vAlign w:val="bottom"/>
          </w:tcPr>
          <w:p>
            <w:pPr>
              <w:jc w:val="right"/>
              <w:spacing w:after="0"/>
              <w:rPr>
                <w:sz w:val="20"/>
                <w:szCs w:val="20"/>
                <w:color w:val="auto"/>
              </w:rPr>
            </w:pPr>
            <w:r>
              <w:rPr>
                <w:rFonts w:ascii="Arial" w:cs="Arial" w:eastAsia="Arial" w:hAnsi="Arial"/>
                <w:sz w:val="14"/>
                <w:szCs w:val="14"/>
                <w:color w:val="auto"/>
              </w:rPr>
              <w:t>4</w:t>
            </w:r>
          </w:p>
        </w:tc>
      </w:tr>
      <w:tr>
        <w:trPr>
          <w:trHeight w:val="203"/>
        </w:trPr>
        <w:tc>
          <w:tcPr>
            <w:tcW w:w="300" w:type="dxa"/>
            <w:vAlign w:val="bottom"/>
          </w:tcPr>
          <w:p>
            <w:pPr>
              <w:jc w:val="right"/>
              <w:spacing w:after="0"/>
              <w:rPr>
                <w:sz w:val="20"/>
                <w:szCs w:val="20"/>
                <w:color w:val="auto"/>
              </w:rPr>
            </w:pPr>
            <w:r>
              <w:rPr>
                <w:rFonts w:ascii="Arial" w:cs="Arial" w:eastAsia="Arial" w:hAnsi="Arial"/>
                <w:sz w:val="14"/>
                <w:szCs w:val="14"/>
                <w:color w:val="auto"/>
              </w:rPr>
              <w:t>4.</w:t>
            </w:r>
          </w:p>
        </w:tc>
        <w:tc>
          <w:tcPr>
            <w:tcW w:w="1500" w:type="dxa"/>
            <w:vAlign w:val="bottom"/>
          </w:tcPr>
          <w:p>
            <w:pPr>
              <w:ind w:left="20"/>
              <w:spacing w:after="0"/>
              <w:rPr>
                <w:sz w:val="20"/>
                <w:szCs w:val="20"/>
                <w:color w:val="auto"/>
              </w:rPr>
            </w:pPr>
            <w:r>
              <w:rPr>
                <w:rFonts w:ascii="Arial" w:cs="Arial" w:eastAsia="Arial" w:hAnsi="Arial"/>
                <w:sz w:val="14"/>
                <w:szCs w:val="14"/>
                <w:color w:val="auto"/>
              </w:rPr>
              <w:t>Peru</w:t>
            </w:r>
          </w:p>
        </w:tc>
        <w:tc>
          <w:tcPr>
            <w:tcW w:w="520" w:type="dxa"/>
            <w:vAlign w:val="bottom"/>
            <w:tcBorders>
              <w:right w:val="single" w:sz="8" w:color="auto"/>
            </w:tcBorders>
          </w:tcPr>
          <w:p>
            <w:pPr>
              <w:jc w:val="right"/>
              <w:ind w:right="46"/>
              <w:spacing w:after="0"/>
              <w:rPr>
                <w:sz w:val="20"/>
                <w:szCs w:val="20"/>
                <w:color w:val="auto"/>
              </w:rPr>
            </w:pPr>
            <w:r>
              <w:rPr>
                <w:rFonts w:ascii="Arial" w:cs="Arial" w:eastAsia="Arial" w:hAnsi="Arial"/>
                <w:sz w:val="14"/>
                <w:szCs w:val="14"/>
                <w:color w:val="auto"/>
              </w:rPr>
              <w:t>152</w:t>
            </w:r>
          </w:p>
        </w:tc>
        <w:tc>
          <w:tcPr>
            <w:tcW w:w="320" w:type="dxa"/>
            <w:vAlign w:val="bottom"/>
          </w:tcPr>
          <w:p>
            <w:pPr>
              <w:ind w:left="60"/>
              <w:spacing w:after="0"/>
              <w:rPr>
                <w:sz w:val="20"/>
                <w:szCs w:val="20"/>
                <w:color w:val="auto"/>
              </w:rPr>
            </w:pPr>
            <w:r>
              <w:rPr>
                <w:rFonts w:ascii="Arial" w:cs="Arial" w:eastAsia="Arial" w:hAnsi="Arial"/>
                <w:sz w:val="14"/>
                <w:szCs w:val="14"/>
                <w:color w:val="auto"/>
              </w:rPr>
              <w:t>13.</w:t>
            </w:r>
          </w:p>
        </w:tc>
        <w:tc>
          <w:tcPr>
            <w:tcW w:w="1380" w:type="dxa"/>
            <w:vAlign w:val="bottom"/>
          </w:tcPr>
          <w:p>
            <w:pPr>
              <w:ind w:left="40"/>
              <w:spacing w:after="0"/>
              <w:rPr>
                <w:sz w:val="20"/>
                <w:szCs w:val="20"/>
                <w:color w:val="auto"/>
              </w:rPr>
            </w:pPr>
            <w:r>
              <w:rPr>
                <w:rFonts w:ascii="Arial" w:cs="Arial" w:eastAsia="Arial" w:hAnsi="Arial"/>
                <w:sz w:val="14"/>
                <w:szCs w:val="14"/>
                <w:color w:val="auto"/>
              </w:rPr>
              <w:t>Guyana</w:t>
            </w:r>
          </w:p>
        </w:tc>
        <w:tc>
          <w:tcPr>
            <w:tcW w:w="780" w:type="dxa"/>
            <w:vAlign w:val="bottom"/>
            <w:tcBorders>
              <w:right w:val="single" w:sz="8" w:color="auto"/>
            </w:tcBorders>
          </w:tcPr>
          <w:p>
            <w:pPr>
              <w:jc w:val="right"/>
              <w:ind w:right="28"/>
              <w:spacing w:after="0"/>
              <w:rPr>
                <w:sz w:val="20"/>
                <w:szCs w:val="20"/>
                <w:color w:val="auto"/>
              </w:rPr>
            </w:pPr>
            <w:r>
              <w:rPr>
                <w:rFonts w:ascii="Arial" w:cs="Arial" w:eastAsia="Arial" w:hAnsi="Arial"/>
                <w:sz w:val="14"/>
                <w:szCs w:val="14"/>
                <w:color w:val="auto"/>
              </w:rPr>
              <w:t>53</w:t>
            </w:r>
          </w:p>
        </w:tc>
        <w:tc>
          <w:tcPr>
            <w:tcW w:w="320" w:type="dxa"/>
            <w:vAlign w:val="bottom"/>
          </w:tcPr>
          <w:p>
            <w:pPr>
              <w:jc w:val="right"/>
              <w:spacing w:after="0"/>
              <w:rPr>
                <w:sz w:val="20"/>
                <w:szCs w:val="20"/>
                <w:color w:val="auto"/>
              </w:rPr>
            </w:pPr>
            <w:r>
              <w:rPr>
                <w:rFonts w:ascii="Arial" w:cs="Arial" w:eastAsia="Arial" w:hAnsi="Arial"/>
                <w:sz w:val="14"/>
                <w:szCs w:val="14"/>
                <w:color w:val="auto"/>
              </w:rPr>
              <w:t>22.</w:t>
            </w:r>
          </w:p>
        </w:tc>
        <w:tc>
          <w:tcPr>
            <w:tcW w:w="1360" w:type="dxa"/>
            <w:vAlign w:val="bottom"/>
          </w:tcPr>
          <w:p>
            <w:pPr>
              <w:ind w:left="40"/>
              <w:spacing w:after="0"/>
              <w:rPr>
                <w:sz w:val="20"/>
                <w:szCs w:val="20"/>
                <w:color w:val="auto"/>
              </w:rPr>
            </w:pPr>
            <w:r>
              <w:rPr>
                <w:rFonts w:ascii="Arial" w:cs="Arial" w:eastAsia="Arial" w:hAnsi="Arial"/>
                <w:sz w:val="14"/>
                <w:szCs w:val="14"/>
                <w:color w:val="auto"/>
              </w:rPr>
              <w:t>N. Mariana Islands</w:t>
            </w:r>
          </w:p>
        </w:tc>
        <w:tc>
          <w:tcPr>
            <w:tcW w:w="920" w:type="dxa"/>
            <w:vAlign w:val="bottom"/>
            <w:tcBorders>
              <w:right w:val="single" w:sz="8" w:color="auto"/>
            </w:tcBorders>
          </w:tcPr>
          <w:p>
            <w:pPr>
              <w:jc w:val="right"/>
              <w:ind w:right="48"/>
              <w:spacing w:after="0"/>
              <w:rPr>
                <w:sz w:val="20"/>
                <w:szCs w:val="20"/>
                <w:color w:val="auto"/>
              </w:rPr>
            </w:pPr>
            <w:r>
              <w:rPr>
                <w:rFonts w:ascii="Arial" w:cs="Arial" w:eastAsia="Arial" w:hAnsi="Arial"/>
                <w:sz w:val="14"/>
                <w:szCs w:val="14"/>
                <w:color w:val="auto"/>
              </w:rPr>
              <w:t>17</w:t>
            </w:r>
          </w:p>
        </w:tc>
        <w:tc>
          <w:tcPr>
            <w:tcW w:w="300" w:type="dxa"/>
            <w:vAlign w:val="bottom"/>
          </w:tcPr>
          <w:p>
            <w:pPr>
              <w:jc w:val="right"/>
              <w:spacing w:after="0"/>
              <w:rPr>
                <w:sz w:val="20"/>
                <w:szCs w:val="20"/>
                <w:color w:val="auto"/>
              </w:rPr>
            </w:pPr>
            <w:r>
              <w:rPr>
                <w:rFonts w:ascii="Arial" w:cs="Arial" w:eastAsia="Arial" w:hAnsi="Arial"/>
                <w:sz w:val="14"/>
                <w:szCs w:val="14"/>
                <w:color w:val="auto"/>
              </w:rPr>
              <w:t>31.</w:t>
            </w:r>
          </w:p>
        </w:tc>
        <w:tc>
          <w:tcPr>
            <w:tcW w:w="1560" w:type="dxa"/>
            <w:vAlign w:val="bottom"/>
          </w:tcPr>
          <w:p>
            <w:pPr>
              <w:ind w:left="60"/>
              <w:spacing w:after="0"/>
              <w:rPr>
                <w:sz w:val="20"/>
                <w:szCs w:val="20"/>
                <w:color w:val="auto"/>
              </w:rPr>
            </w:pPr>
            <w:r>
              <w:rPr>
                <w:rFonts w:ascii="Arial" w:cs="Arial" w:eastAsia="Arial" w:hAnsi="Arial"/>
                <w:sz w:val="14"/>
                <w:szCs w:val="14"/>
                <w:color w:val="auto"/>
              </w:rPr>
              <w:t>Tanzania</w:t>
            </w:r>
          </w:p>
        </w:tc>
        <w:tc>
          <w:tcPr>
            <w:tcW w:w="480" w:type="dxa"/>
            <w:vAlign w:val="bottom"/>
          </w:tcPr>
          <w:p>
            <w:pPr>
              <w:jc w:val="right"/>
              <w:spacing w:after="0"/>
              <w:rPr>
                <w:sz w:val="20"/>
                <w:szCs w:val="20"/>
                <w:color w:val="auto"/>
              </w:rPr>
            </w:pPr>
            <w:r>
              <w:rPr>
                <w:rFonts w:ascii="Arial" w:cs="Arial" w:eastAsia="Arial" w:hAnsi="Arial"/>
                <w:sz w:val="14"/>
                <w:szCs w:val="14"/>
                <w:color w:val="auto"/>
              </w:rPr>
              <w:t>4</w:t>
            </w:r>
          </w:p>
        </w:tc>
      </w:tr>
      <w:tr>
        <w:trPr>
          <w:trHeight w:val="203"/>
        </w:trPr>
        <w:tc>
          <w:tcPr>
            <w:tcW w:w="300" w:type="dxa"/>
            <w:vAlign w:val="bottom"/>
          </w:tcPr>
          <w:p>
            <w:pPr>
              <w:jc w:val="right"/>
              <w:spacing w:after="0"/>
              <w:rPr>
                <w:sz w:val="20"/>
                <w:szCs w:val="20"/>
                <w:color w:val="auto"/>
              </w:rPr>
            </w:pPr>
            <w:r>
              <w:rPr>
                <w:rFonts w:ascii="Arial" w:cs="Arial" w:eastAsia="Arial" w:hAnsi="Arial"/>
                <w:sz w:val="14"/>
                <w:szCs w:val="14"/>
                <w:color w:val="auto"/>
              </w:rPr>
              <w:t>5.</w:t>
            </w:r>
          </w:p>
        </w:tc>
        <w:tc>
          <w:tcPr>
            <w:tcW w:w="1500" w:type="dxa"/>
            <w:vAlign w:val="bottom"/>
          </w:tcPr>
          <w:p>
            <w:pPr>
              <w:ind w:left="20"/>
              <w:spacing w:after="0"/>
              <w:rPr>
                <w:sz w:val="20"/>
                <w:szCs w:val="20"/>
                <w:color w:val="auto"/>
              </w:rPr>
            </w:pPr>
            <w:r>
              <w:rPr>
                <w:rFonts w:ascii="Arial" w:cs="Arial" w:eastAsia="Arial" w:hAnsi="Arial"/>
                <w:sz w:val="14"/>
                <w:szCs w:val="14"/>
                <w:color w:val="auto"/>
              </w:rPr>
              <w:t>Qatar</w:t>
            </w:r>
          </w:p>
        </w:tc>
        <w:tc>
          <w:tcPr>
            <w:tcW w:w="520" w:type="dxa"/>
            <w:vAlign w:val="bottom"/>
            <w:tcBorders>
              <w:right w:val="single" w:sz="8" w:color="auto"/>
            </w:tcBorders>
          </w:tcPr>
          <w:p>
            <w:pPr>
              <w:jc w:val="right"/>
              <w:ind w:right="46"/>
              <w:spacing w:after="0"/>
              <w:rPr>
                <w:sz w:val="20"/>
                <w:szCs w:val="20"/>
                <w:color w:val="auto"/>
              </w:rPr>
            </w:pPr>
            <w:r>
              <w:rPr>
                <w:rFonts w:ascii="Arial" w:cs="Arial" w:eastAsia="Arial" w:hAnsi="Arial"/>
                <w:sz w:val="14"/>
                <w:szCs w:val="14"/>
                <w:color w:val="auto"/>
              </w:rPr>
              <w:t>142</w:t>
            </w:r>
          </w:p>
        </w:tc>
        <w:tc>
          <w:tcPr>
            <w:tcW w:w="320" w:type="dxa"/>
            <w:vAlign w:val="bottom"/>
          </w:tcPr>
          <w:p>
            <w:pPr>
              <w:ind w:left="60"/>
              <w:spacing w:after="0"/>
              <w:rPr>
                <w:sz w:val="20"/>
                <w:szCs w:val="20"/>
                <w:color w:val="auto"/>
              </w:rPr>
            </w:pPr>
            <w:r>
              <w:rPr>
                <w:rFonts w:ascii="Arial" w:cs="Arial" w:eastAsia="Arial" w:hAnsi="Arial"/>
                <w:sz w:val="14"/>
                <w:szCs w:val="14"/>
                <w:color w:val="auto"/>
              </w:rPr>
              <w:t>14.</w:t>
            </w:r>
          </w:p>
        </w:tc>
        <w:tc>
          <w:tcPr>
            <w:tcW w:w="1380" w:type="dxa"/>
            <w:vAlign w:val="bottom"/>
          </w:tcPr>
          <w:p>
            <w:pPr>
              <w:ind w:left="40"/>
              <w:spacing w:after="0"/>
              <w:rPr>
                <w:sz w:val="20"/>
                <w:szCs w:val="20"/>
                <w:color w:val="auto"/>
              </w:rPr>
            </w:pPr>
            <w:r>
              <w:rPr>
                <w:rFonts w:ascii="Arial" w:cs="Arial" w:eastAsia="Arial" w:hAnsi="Arial"/>
                <w:sz w:val="14"/>
                <w:szCs w:val="14"/>
                <w:color w:val="auto"/>
              </w:rPr>
              <w:t>Guam</w:t>
            </w:r>
          </w:p>
        </w:tc>
        <w:tc>
          <w:tcPr>
            <w:tcW w:w="780" w:type="dxa"/>
            <w:vAlign w:val="bottom"/>
            <w:tcBorders>
              <w:right w:val="single" w:sz="8" w:color="auto"/>
            </w:tcBorders>
          </w:tcPr>
          <w:p>
            <w:pPr>
              <w:jc w:val="right"/>
              <w:ind w:right="28"/>
              <w:spacing w:after="0"/>
              <w:rPr>
                <w:sz w:val="20"/>
                <w:szCs w:val="20"/>
                <w:color w:val="auto"/>
              </w:rPr>
            </w:pPr>
            <w:r>
              <w:rPr>
                <w:rFonts w:ascii="Arial" w:cs="Arial" w:eastAsia="Arial" w:hAnsi="Arial"/>
                <w:sz w:val="14"/>
                <w:szCs w:val="14"/>
                <w:color w:val="auto"/>
              </w:rPr>
              <w:t>40</w:t>
            </w:r>
          </w:p>
        </w:tc>
        <w:tc>
          <w:tcPr>
            <w:tcW w:w="320" w:type="dxa"/>
            <w:vAlign w:val="bottom"/>
          </w:tcPr>
          <w:p>
            <w:pPr>
              <w:jc w:val="right"/>
              <w:spacing w:after="0"/>
              <w:rPr>
                <w:sz w:val="20"/>
                <w:szCs w:val="20"/>
                <w:color w:val="auto"/>
              </w:rPr>
            </w:pPr>
            <w:r>
              <w:rPr>
                <w:rFonts w:ascii="Arial" w:cs="Arial" w:eastAsia="Arial" w:hAnsi="Arial"/>
                <w:sz w:val="14"/>
                <w:szCs w:val="14"/>
                <w:color w:val="auto"/>
              </w:rPr>
              <w:t>23.</w:t>
            </w:r>
          </w:p>
        </w:tc>
        <w:tc>
          <w:tcPr>
            <w:tcW w:w="1360" w:type="dxa"/>
            <w:vAlign w:val="bottom"/>
          </w:tcPr>
          <w:p>
            <w:pPr>
              <w:ind w:left="40"/>
              <w:spacing w:after="0"/>
              <w:rPr>
                <w:sz w:val="20"/>
                <w:szCs w:val="20"/>
                <w:color w:val="auto"/>
              </w:rPr>
            </w:pPr>
            <w:r>
              <w:rPr>
                <w:rFonts w:ascii="Arial" w:cs="Arial" w:eastAsia="Arial" w:hAnsi="Arial"/>
                <w:sz w:val="14"/>
                <w:szCs w:val="14"/>
                <w:color w:val="auto"/>
              </w:rPr>
              <w:t>Ecuador</w:t>
            </w:r>
          </w:p>
        </w:tc>
        <w:tc>
          <w:tcPr>
            <w:tcW w:w="920" w:type="dxa"/>
            <w:vAlign w:val="bottom"/>
            <w:tcBorders>
              <w:right w:val="single" w:sz="8" w:color="auto"/>
            </w:tcBorders>
          </w:tcPr>
          <w:p>
            <w:pPr>
              <w:jc w:val="right"/>
              <w:ind w:right="48"/>
              <w:spacing w:after="0"/>
              <w:rPr>
                <w:sz w:val="20"/>
                <w:szCs w:val="20"/>
                <w:color w:val="auto"/>
              </w:rPr>
            </w:pPr>
            <w:r>
              <w:rPr>
                <w:rFonts w:ascii="Arial" w:cs="Arial" w:eastAsia="Arial" w:hAnsi="Arial"/>
                <w:sz w:val="14"/>
                <w:szCs w:val="14"/>
                <w:color w:val="auto"/>
              </w:rPr>
              <w:t>14</w:t>
            </w:r>
          </w:p>
        </w:tc>
        <w:tc>
          <w:tcPr>
            <w:tcW w:w="300" w:type="dxa"/>
            <w:vAlign w:val="bottom"/>
          </w:tcPr>
          <w:p>
            <w:pPr>
              <w:jc w:val="right"/>
              <w:spacing w:after="0"/>
              <w:rPr>
                <w:sz w:val="20"/>
                <w:szCs w:val="20"/>
                <w:color w:val="auto"/>
              </w:rPr>
            </w:pPr>
            <w:r>
              <w:rPr>
                <w:rFonts w:ascii="Arial" w:cs="Arial" w:eastAsia="Arial" w:hAnsi="Arial"/>
                <w:sz w:val="14"/>
                <w:szCs w:val="14"/>
                <w:color w:val="auto"/>
              </w:rPr>
              <w:t>32.</w:t>
            </w:r>
          </w:p>
        </w:tc>
        <w:tc>
          <w:tcPr>
            <w:tcW w:w="1560" w:type="dxa"/>
            <w:vAlign w:val="bottom"/>
          </w:tcPr>
          <w:p>
            <w:pPr>
              <w:ind w:left="60"/>
              <w:spacing w:after="0"/>
              <w:rPr>
                <w:sz w:val="20"/>
                <w:szCs w:val="20"/>
                <w:color w:val="auto"/>
              </w:rPr>
            </w:pPr>
            <w:r>
              <w:rPr>
                <w:rFonts w:ascii="Arial" w:cs="Arial" w:eastAsia="Arial" w:hAnsi="Arial"/>
                <w:sz w:val="14"/>
                <w:szCs w:val="14"/>
                <w:color w:val="auto"/>
              </w:rPr>
              <w:t>Micronesia</w:t>
            </w:r>
          </w:p>
        </w:tc>
        <w:tc>
          <w:tcPr>
            <w:tcW w:w="480" w:type="dxa"/>
            <w:vAlign w:val="bottom"/>
          </w:tcPr>
          <w:p>
            <w:pPr>
              <w:jc w:val="right"/>
              <w:spacing w:after="0"/>
              <w:rPr>
                <w:sz w:val="20"/>
                <w:szCs w:val="20"/>
                <w:color w:val="auto"/>
              </w:rPr>
            </w:pPr>
            <w:r>
              <w:rPr>
                <w:rFonts w:ascii="Arial" w:cs="Arial" w:eastAsia="Arial" w:hAnsi="Arial"/>
                <w:sz w:val="14"/>
                <w:szCs w:val="14"/>
                <w:color w:val="auto"/>
              </w:rPr>
              <w:t>4</w:t>
            </w:r>
          </w:p>
        </w:tc>
      </w:tr>
      <w:tr>
        <w:trPr>
          <w:trHeight w:val="203"/>
        </w:trPr>
        <w:tc>
          <w:tcPr>
            <w:tcW w:w="300" w:type="dxa"/>
            <w:vAlign w:val="bottom"/>
          </w:tcPr>
          <w:p>
            <w:pPr>
              <w:jc w:val="right"/>
              <w:spacing w:after="0"/>
              <w:rPr>
                <w:sz w:val="20"/>
                <w:szCs w:val="20"/>
                <w:color w:val="auto"/>
              </w:rPr>
            </w:pPr>
            <w:r>
              <w:rPr>
                <w:rFonts w:ascii="Arial" w:cs="Arial" w:eastAsia="Arial" w:hAnsi="Arial"/>
                <w:sz w:val="14"/>
                <w:szCs w:val="14"/>
                <w:color w:val="auto"/>
              </w:rPr>
              <w:t>6.</w:t>
            </w:r>
          </w:p>
        </w:tc>
        <w:tc>
          <w:tcPr>
            <w:tcW w:w="1500" w:type="dxa"/>
            <w:vAlign w:val="bottom"/>
          </w:tcPr>
          <w:p>
            <w:pPr>
              <w:ind w:left="20"/>
              <w:spacing w:after="0"/>
              <w:rPr>
                <w:sz w:val="20"/>
                <w:szCs w:val="20"/>
                <w:color w:val="auto"/>
              </w:rPr>
            </w:pPr>
            <w:r>
              <w:rPr>
                <w:rFonts w:ascii="Arial" w:cs="Arial" w:eastAsia="Arial" w:hAnsi="Arial"/>
                <w:sz w:val="14"/>
                <w:szCs w:val="14"/>
                <w:color w:val="auto"/>
              </w:rPr>
              <w:t>Turkey</w:t>
            </w:r>
          </w:p>
        </w:tc>
        <w:tc>
          <w:tcPr>
            <w:tcW w:w="520" w:type="dxa"/>
            <w:vAlign w:val="bottom"/>
            <w:tcBorders>
              <w:right w:val="single" w:sz="8" w:color="auto"/>
            </w:tcBorders>
          </w:tcPr>
          <w:p>
            <w:pPr>
              <w:jc w:val="right"/>
              <w:ind w:right="46"/>
              <w:spacing w:after="0"/>
              <w:rPr>
                <w:sz w:val="20"/>
                <w:szCs w:val="20"/>
                <w:color w:val="auto"/>
              </w:rPr>
            </w:pPr>
            <w:r>
              <w:rPr>
                <w:rFonts w:ascii="Arial" w:cs="Arial" w:eastAsia="Arial" w:hAnsi="Arial"/>
                <w:sz w:val="14"/>
                <w:szCs w:val="14"/>
                <w:color w:val="auto"/>
              </w:rPr>
              <w:t>123</w:t>
            </w:r>
          </w:p>
        </w:tc>
        <w:tc>
          <w:tcPr>
            <w:tcW w:w="320" w:type="dxa"/>
            <w:vAlign w:val="bottom"/>
          </w:tcPr>
          <w:p>
            <w:pPr>
              <w:ind w:left="60"/>
              <w:spacing w:after="0"/>
              <w:rPr>
                <w:sz w:val="20"/>
                <w:szCs w:val="20"/>
                <w:color w:val="auto"/>
              </w:rPr>
            </w:pPr>
            <w:r>
              <w:rPr>
                <w:rFonts w:ascii="Arial" w:cs="Arial" w:eastAsia="Arial" w:hAnsi="Arial"/>
                <w:sz w:val="14"/>
                <w:szCs w:val="14"/>
                <w:color w:val="auto"/>
              </w:rPr>
              <w:t>15.</w:t>
            </w:r>
          </w:p>
        </w:tc>
        <w:tc>
          <w:tcPr>
            <w:tcW w:w="1380" w:type="dxa"/>
            <w:vAlign w:val="bottom"/>
          </w:tcPr>
          <w:p>
            <w:pPr>
              <w:ind w:left="40"/>
              <w:spacing w:after="0"/>
              <w:rPr>
                <w:sz w:val="20"/>
                <w:szCs w:val="20"/>
                <w:color w:val="auto"/>
              </w:rPr>
            </w:pPr>
            <w:r>
              <w:rPr>
                <w:rFonts w:ascii="Arial" w:cs="Arial" w:eastAsia="Arial" w:hAnsi="Arial"/>
                <w:sz w:val="14"/>
                <w:szCs w:val="14"/>
                <w:color w:val="auto"/>
              </w:rPr>
              <w:t>Poland</w:t>
            </w:r>
          </w:p>
        </w:tc>
        <w:tc>
          <w:tcPr>
            <w:tcW w:w="780" w:type="dxa"/>
            <w:vAlign w:val="bottom"/>
            <w:tcBorders>
              <w:right w:val="single" w:sz="8" w:color="auto"/>
            </w:tcBorders>
          </w:tcPr>
          <w:p>
            <w:pPr>
              <w:jc w:val="right"/>
              <w:ind w:right="28"/>
              <w:spacing w:after="0"/>
              <w:rPr>
                <w:sz w:val="20"/>
                <w:szCs w:val="20"/>
                <w:color w:val="auto"/>
              </w:rPr>
            </w:pPr>
            <w:r>
              <w:rPr>
                <w:rFonts w:ascii="Arial" w:cs="Arial" w:eastAsia="Arial" w:hAnsi="Arial"/>
                <w:sz w:val="14"/>
                <w:szCs w:val="14"/>
                <w:color w:val="auto"/>
              </w:rPr>
              <w:t>38</w:t>
            </w:r>
          </w:p>
        </w:tc>
        <w:tc>
          <w:tcPr>
            <w:tcW w:w="320" w:type="dxa"/>
            <w:vAlign w:val="bottom"/>
          </w:tcPr>
          <w:p>
            <w:pPr>
              <w:jc w:val="right"/>
              <w:spacing w:after="0"/>
              <w:rPr>
                <w:sz w:val="20"/>
                <w:szCs w:val="20"/>
                <w:color w:val="auto"/>
              </w:rPr>
            </w:pPr>
            <w:r>
              <w:rPr>
                <w:rFonts w:ascii="Arial" w:cs="Arial" w:eastAsia="Arial" w:hAnsi="Arial"/>
                <w:sz w:val="14"/>
                <w:szCs w:val="14"/>
                <w:color w:val="auto"/>
              </w:rPr>
              <w:t>24.</w:t>
            </w:r>
          </w:p>
        </w:tc>
        <w:tc>
          <w:tcPr>
            <w:tcW w:w="1360" w:type="dxa"/>
            <w:vAlign w:val="bottom"/>
          </w:tcPr>
          <w:p>
            <w:pPr>
              <w:ind w:left="40"/>
              <w:spacing w:after="0"/>
              <w:rPr>
                <w:sz w:val="20"/>
                <w:szCs w:val="20"/>
                <w:color w:val="auto"/>
              </w:rPr>
            </w:pPr>
            <w:r>
              <w:rPr>
                <w:rFonts w:ascii="Arial" w:cs="Arial" w:eastAsia="Arial" w:hAnsi="Arial"/>
                <w:sz w:val="14"/>
                <w:szCs w:val="14"/>
                <w:color w:val="auto"/>
              </w:rPr>
              <w:t>Spain</w:t>
            </w:r>
          </w:p>
        </w:tc>
        <w:tc>
          <w:tcPr>
            <w:tcW w:w="920" w:type="dxa"/>
            <w:vAlign w:val="bottom"/>
            <w:tcBorders>
              <w:right w:val="single" w:sz="8" w:color="auto"/>
            </w:tcBorders>
          </w:tcPr>
          <w:p>
            <w:pPr>
              <w:jc w:val="right"/>
              <w:ind w:right="48"/>
              <w:spacing w:after="0"/>
              <w:rPr>
                <w:sz w:val="20"/>
                <w:szCs w:val="20"/>
                <w:color w:val="auto"/>
              </w:rPr>
            </w:pPr>
            <w:r>
              <w:rPr>
                <w:rFonts w:ascii="Arial" w:cs="Arial" w:eastAsia="Arial" w:hAnsi="Arial"/>
                <w:sz w:val="14"/>
                <w:szCs w:val="14"/>
                <w:color w:val="auto"/>
              </w:rPr>
              <w:t>13</w:t>
            </w:r>
          </w:p>
        </w:tc>
        <w:tc>
          <w:tcPr>
            <w:tcW w:w="300" w:type="dxa"/>
            <w:vAlign w:val="bottom"/>
          </w:tcPr>
          <w:p>
            <w:pPr>
              <w:jc w:val="right"/>
              <w:spacing w:after="0"/>
              <w:rPr>
                <w:sz w:val="20"/>
                <w:szCs w:val="20"/>
                <w:color w:val="auto"/>
              </w:rPr>
            </w:pPr>
            <w:r>
              <w:rPr>
                <w:rFonts w:ascii="Arial" w:cs="Arial" w:eastAsia="Arial" w:hAnsi="Arial"/>
                <w:sz w:val="14"/>
                <w:szCs w:val="14"/>
                <w:color w:val="auto"/>
              </w:rPr>
              <w:t>33.</w:t>
            </w:r>
          </w:p>
        </w:tc>
        <w:tc>
          <w:tcPr>
            <w:tcW w:w="1560" w:type="dxa"/>
            <w:vAlign w:val="bottom"/>
          </w:tcPr>
          <w:p>
            <w:pPr>
              <w:ind w:left="60"/>
              <w:spacing w:after="0"/>
              <w:rPr>
                <w:sz w:val="20"/>
                <w:szCs w:val="20"/>
                <w:color w:val="auto"/>
              </w:rPr>
            </w:pPr>
            <w:r>
              <w:rPr>
                <w:rFonts w:ascii="Arial" w:cs="Arial" w:eastAsia="Arial" w:hAnsi="Arial"/>
                <w:sz w:val="14"/>
                <w:szCs w:val="14"/>
                <w:color w:val="auto"/>
              </w:rPr>
              <w:t>Azerbaijan</w:t>
            </w:r>
          </w:p>
        </w:tc>
        <w:tc>
          <w:tcPr>
            <w:tcW w:w="480" w:type="dxa"/>
            <w:vAlign w:val="bottom"/>
          </w:tcPr>
          <w:p>
            <w:pPr>
              <w:jc w:val="right"/>
              <w:spacing w:after="0"/>
              <w:rPr>
                <w:sz w:val="20"/>
                <w:szCs w:val="20"/>
                <w:color w:val="auto"/>
              </w:rPr>
            </w:pPr>
            <w:r>
              <w:rPr>
                <w:rFonts w:ascii="Arial" w:cs="Arial" w:eastAsia="Arial" w:hAnsi="Arial"/>
                <w:sz w:val="14"/>
                <w:szCs w:val="14"/>
                <w:color w:val="auto"/>
              </w:rPr>
              <w:t>3</w:t>
            </w:r>
          </w:p>
        </w:tc>
      </w:tr>
      <w:tr>
        <w:trPr>
          <w:trHeight w:val="203"/>
        </w:trPr>
        <w:tc>
          <w:tcPr>
            <w:tcW w:w="300" w:type="dxa"/>
            <w:vAlign w:val="bottom"/>
          </w:tcPr>
          <w:p>
            <w:pPr>
              <w:jc w:val="right"/>
              <w:spacing w:after="0"/>
              <w:rPr>
                <w:sz w:val="20"/>
                <w:szCs w:val="20"/>
                <w:color w:val="auto"/>
              </w:rPr>
            </w:pPr>
            <w:r>
              <w:rPr>
                <w:rFonts w:ascii="Arial" w:cs="Arial" w:eastAsia="Arial" w:hAnsi="Arial"/>
                <w:sz w:val="14"/>
                <w:szCs w:val="14"/>
                <w:color w:val="auto"/>
              </w:rPr>
              <w:t>7.</w:t>
            </w:r>
          </w:p>
        </w:tc>
        <w:tc>
          <w:tcPr>
            <w:tcW w:w="1500" w:type="dxa"/>
            <w:vAlign w:val="bottom"/>
          </w:tcPr>
          <w:p>
            <w:pPr>
              <w:ind w:left="20"/>
              <w:spacing w:after="0"/>
              <w:rPr>
                <w:sz w:val="20"/>
                <w:szCs w:val="20"/>
                <w:color w:val="auto"/>
              </w:rPr>
            </w:pPr>
            <w:r>
              <w:rPr>
                <w:rFonts w:ascii="Arial" w:cs="Arial" w:eastAsia="Arial" w:hAnsi="Arial"/>
                <w:sz w:val="14"/>
                <w:szCs w:val="14"/>
                <w:color w:val="auto"/>
              </w:rPr>
              <w:t>Finland</w:t>
            </w:r>
          </w:p>
        </w:tc>
        <w:tc>
          <w:tcPr>
            <w:tcW w:w="520" w:type="dxa"/>
            <w:vAlign w:val="bottom"/>
            <w:tcBorders>
              <w:right w:val="single" w:sz="8" w:color="auto"/>
            </w:tcBorders>
          </w:tcPr>
          <w:p>
            <w:pPr>
              <w:jc w:val="right"/>
              <w:ind w:right="46"/>
              <w:spacing w:after="0"/>
              <w:rPr>
                <w:sz w:val="20"/>
                <w:szCs w:val="20"/>
                <w:color w:val="auto"/>
              </w:rPr>
            </w:pPr>
            <w:r>
              <w:rPr>
                <w:rFonts w:ascii="Arial" w:cs="Arial" w:eastAsia="Arial" w:hAnsi="Arial"/>
                <w:sz w:val="14"/>
                <w:szCs w:val="14"/>
                <w:color w:val="auto"/>
              </w:rPr>
              <w:t>101</w:t>
            </w:r>
          </w:p>
        </w:tc>
        <w:tc>
          <w:tcPr>
            <w:tcW w:w="320" w:type="dxa"/>
            <w:vAlign w:val="bottom"/>
          </w:tcPr>
          <w:p>
            <w:pPr>
              <w:ind w:left="60"/>
              <w:spacing w:after="0"/>
              <w:rPr>
                <w:sz w:val="20"/>
                <w:szCs w:val="20"/>
                <w:color w:val="auto"/>
              </w:rPr>
            </w:pPr>
            <w:r>
              <w:rPr>
                <w:rFonts w:ascii="Arial" w:cs="Arial" w:eastAsia="Arial" w:hAnsi="Arial"/>
                <w:sz w:val="14"/>
                <w:szCs w:val="14"/>
                <w:color w:val="auto"/>
              </w:rPr>
              <w:t>16.</w:t>
            </w:r>
          </w:p>
        </w:tc>
        <w:tc>
          <w:tcPr>
            <w:tcW w:w="1380" w:type="dxa"/>
            <w:vAlign w:val="bottom"/>
          </w:tcPr>
          <w:p>
            <w:pPr>
              <w:ind w:left="40"/>
              <w:spacing w:after="0"/>
              <w:rPr>
                <w:sz w:val="20"/>
                <w:szCs w:val="20"/>
                <w:color w:val="auto"/>
              </w:rPr>
            </w:pPr>
            <w:r>
              <w:rPr>
                <w:rFonts w:ascii="Arial" w:cs="Arial" w:eastAsia="Arial" w:hAnsi="Arial"/>
                <w:sz w:val="14"/>
                <w:szCs w:val="14"/>
                <w:color w:val="auto"/>
              </w:rPr>
              <w:t>Cyprus</w:t>
            </w:r>
          </w:p>
        </w:tc>
        <w:tc>
          <w:tcPr>
            <w:tcW w:w="780" w:type="dxa"/>
            <w:vAlign w:val="bottom"/>
            <w:tcBorders>
              <w:right w:val="single" w:sz="8" w:color="auto"/>
            </w:tcBorders>
          </w:tcPr>
          <w:p>
            <w:pPr>
              <w:jc w:val="right"/>
              <w:ind w:right="28"/>
              <w:spacing w:after="0"/>
              <w:rPr>
                <w:sz w:val="20"/>
                <w:szCs w:val="20"/>
                <w:color w:val="auto"/>
              </w:rPr>
            </w:pPr>
            <w:r>
              <w:rPr>
                <w:rFonts w:ascii="Arial" w:cs="Arial" w:eastAsia="Arial" w:hAnsi="Arial"/>
                <w:sz w:val="14"/>
                <w:szCs w:val="14"/>
                <w:color w:val="auto"/>
              </w:rPr>
              <w:t>38</w:t>
            </w:r>
          </w:p>
        </w:tc>
        <w:tc>
          <w:tcPr>
            <w:tcW w:w="320" w:type="dxa"/>
            <w:vAlign w:val="bottom"/>
          </w:tcPr>
          <w:p>
            <w:pPr>
              <w:jc w:val="right"/>
              <w:spacing w:after="0"/>
              <w:rPr>
                <w:sz w:val="20"/>
                <w:szCs w:val="20"/>
                <w:color w:val="auto"/>
              </w:rPr>
            </w:pPr>
            <w:r>
              <w:rPr>
                <w:rFonts w:ascii="Arial" w:cs="Arial" w:eastAsia="Arial" w:hAnsi="Arial"/>
                <w:sz w:val="14"/>
                <w:szCs w:val="14"/>
                <w:color w:val="auto"/>
              </w:rPr>
              <w:t>25.</w:t>
            </w:r>
          </w:p>
        </w:tc>
        <w:tc>
          <w:tcPr>
            <w:tcW w:w="1360" w:type="dxa"/>
            <w:vAlign w:val="bottom"/>
          </w:tcPr>
          <w:p>
            <w:pPr>
              <w:ind w:left="40"/>
              <w:spacing w:after="0"/>
              <w:rPr>
                <w:sz w:val="20"/>
                <w:szCs w:val="20"/>
                <w:color w:val="auto"/>
              </w:rPr>
            </w:pPr>
            <w:r>
              <w:rPr>
                <w:rFonts w:ascii="Arial" w:cs="Arial" w:eastAsia="Arial" w:hAnsi="Arial"/>
                <w:sz w:val="14"/>
                <w:szCs w:val="14"/>
                <w:color w:val="auto"/>
              </w:rPr>
              <w:t>Saudi Arabia</w:t>
            </w:r>
          </w:p>
        </w:tc>
        <w:tc>
          <w:tcPr>
            <w:tcW w:w="920" w:type="dxa"/>
            <w:vAlign w:val="bottom"/>
            <w:tcBorders>
              <w:right w:val="single" w:sz="8" w:color="auto"/>
            </w:tcBorders>
          </w:tcPr>
          <w:p>
            <w:pPr>
              <w:jc w:val="right"/>
              <w:ind w:right="48"/>
              <w:spacing w:after="0"/>
              <w:rPr>
                <w:sz w:val="20"/>
                <w:szCs w:val="20"/>
                <w:color w:val="auto"/>
              </w:rPr>
            </w:pPr>
            <w:r>
              <w:rPr>
                <w:rFonts w:ascii="Arial" w:cs="Arial" w:eastAsia="Arial" w:hAnsi="Arial"/>
                <w:sz w:val="14"/>
                <w:szCs w:val="14"/>
                <w:color w:val="auto"/>
              </w:rPr>
              <w:t>13</w:t>
            </w:r>
          </w:p>
        </w:tc>
        <w:tc>
          <w:tcPr>
            <w:tcW w:w="300" w:type="dxa"/>
            <w:vAlign w:val="bottom"/>
          </w:tcPr>
          <w:p>
            <w:pPr>
              <w:jc w:val="right"/>
              <w:spacing w:after="0"/>
              <w:rPr>
                <w:sz w:val="20"/>
                <w:szCs w:val="20"/>
                <w:color w:val="auto"/>
              </w:rPr>
            </w:pPr>
            <w:r>
              <w:rPr>
                <w:rFonts w:ascii="Arial" w:cs="Arial" w:eastAsia="Arial" w:hAnsi="Arial"/>
                <w:sz w:val="14"/>
                <w:szCs w:val="14"/>
                <w:color w:val="auto"/>
              </w:rPr>
              <w:t>34.</w:t>
            </w:r>
          </w:p>
        </w:tc>
        <w:tc>
          <w:tcPr>
            <w:tcW w:w="1560" w:type="dxa"/>
            <w:vAlign w:val="bottom"/>
          </w:tcPr>
          <w:p>
            <w:pPr>
              <w:ind w:left="60"/>
              <w:spacing w:after="0"/>
              <w:rPr>
                <w:sz w:val="20"/>
                <w:szCs w:val="20"/>
                <w:color w:val="auto"/>
              </w:rPr>
            </w:pPr>
            <w:r>
              <w:rPr>
                <w:rFonts w:ascii="Arial" w:cs="Arial" w:eastAsia="Arial" w:hAnsi="Arial"/>
                <w:sz w:val="14"/>
                <w:szCs w:val="14"/>
                <w:color w:val="auto"/>
              </w:rPr>
              <w:t>Luxembourg</w:t>
            </w:r>
          </w:p>
        </w:tc>
        <w:tc>
          <w:tcPr>
            <w:tcW w:w="480" w:type="dxa"/>
            <w:vAlign w:val="bottom"/>
          </w:tcPr>
          <w:p>
            <w:pPr>
              <w:jc w:val="right"/>
              <w:spacing w:after="0"/>
              <w:rPr>
                <w:sz w:val="20"/>
                <w:szCs w:val="20"/>
                <w:color w:val="auto"/>
              </w:rPr>
            </w:pPr>
            <w:r>
              <w:rPr>
                <w:rFonts w:ascii="Arial" w:cs="Arial" w:eastAsia="Arial" w:hAnsi="Arial"/>
                <w:sz w:val="14"/>
                <w:szCs w:val="14"/>
                <w:color w:val="auto"/>
              </w:rPr>
              <w:t>3</w:t>
            </w:r>
          </w:p>
        </w:tc>
      </w:tr>
      <w:tr>
        <w:trPr>
          <w:trHeight w:val="203"/>
        </w:trPr>
        <w:tc>
          <w:tcPr>
            <w:tcW w:w="300" w:type="dxa"/>
            <w:vAlign w:val="bottom"/>
          </w:tcPr>
          <w:p>
            <w:pPr>
              <w:jc w:val="right"/>
              <w:spacing w:after="0"/>
              <w:rPr>
                <w:sz w:val="20"/>
                <w:szCs w:val="20"/>
                <w:color w:val="auto"/>
              </w:rPr>
            </w:pPr>
            <w:r>
              <w:rPr>
                <w:rFonts w:ascii="Arial" w:cs="Arial" w:eastAsia="Arial" w:hAnsi="Arial"/>
                <w:sz w:val="14"/>
                <w:szCs w:val="14"/>
                <w:color w:val="auto"/>
              </w:rPr>
              <w:t>8.</w:t>
            </w:r>
          </w:p>
        </w:tc>
        <w:tc>
          <w:tcPr>
            <w:tcW w:w="1500" w:type="dxa"/>
            <w:vAlign w:val="bottom"/>
          </w:tcPr>
          <w:p>
            <w:pPr>
              <w:ind w:left="20"/>
              <w:spacing w:after="0"/>
              <w:rPr>
                <w:sz w:val="20"/>
                <w:szCs w:val="20"/>
                <w:color w:val="auto"/>
              </w:rPr>
            </w:pPr>
            <w:r>
              <w:rPr>
                <w:rFonts w:ascii="Arial" w:cs="Arial" w:eastAsia="Arial" w:hAnsi="Arial"/>
                <w:sz w:val="14"/>
                <w:szCs w:val="14"/>
                <w:color w:val="auto"/>
              </w:rPr>
              <w:t>New Zealand</w:t>
            </w:r>
          </w:p>
        </w:tc>
        <w:tc>
          <w:tcPr>
            <w:tcW w:w="520" w:type="dxa"/>
            <w:vAlign w:val="bottom"/>
            <w:tcBorders>
              <w:right w:val="single" w:sz="8" w:color="auto"/>
            </w:tcBorders>
          </w:tcPr>
          <w:p>
            <w:pPr>
              <w:jc w:val="right"/>
              <w:ind w:right="46"/>
              <w:spacing w:after="0"/>
              <w:rPr>
                <w:sz w:val="20"/>
                <w:szCs w:val="20"/>
                <w:color w:val="auto"/>
              </w:rPr>
            </w:pPr>
            <w:r>
              <w:rPr>
                <w:rFonts w:ascii="Arial" w:cs="Arial" w:eastAsia="Arial" w:hAnsi="Arial"/>
                <w:sz w:val="14"/>
                <w:szCs w:val="14"/>
                <w:color w:val="auto"/>
              </w:rPr>
              <w:t>83</w:t>
            </w:r>
          </w:p>
        </w:tc>
        <w:tc>
          <w:tcPr>
            <w:tcW w:w="320" w:type="dxa"/>
            <w:vAlign w:val="bottom"/>
          </w:tcPr>
          <w:p>
            <w:pPr>
              <w:ind w:left="60"/>
              <w:spacing w:after="0"/>
              <w:rPr>
                <w:sz w:val="20"/>
                <w:szCs w:val="20"/>
                <w:color w:val="auto"/>
              </w:rPr>
            </w:pPr>
            <w:r>
              <w:rPr>
                <w:rFonts w:ascii="Arial" w:cs="Arial" w:eastAsia="Arial" w:hAnsi="Arial"/>
                <w:sz w:val="14"/>
                <w:szCs w:val="14"/>
                <w:color w:val="auto"/>
              </w:rPr>
              <w:t>17.</w:t>
            </w:r>
          </w:p>
        </w:tc>
        <w:tc>
          <w:tcPr>
            <w:tcW w:w="1380" w:type="dxa"/>
            <w:vAlign w:val="bottom"/>
          </w:tcPr>
          <w:p>
            <w:pPr>
              <w:ind w:left="40"/>
              <w:spacing w:after="0"/>
              <w:rPr>
                <w:sz w:val="20"/>
                <w:szCs w:val="20"/>
                <w:color w:val="auto"/>
              </w:rPr>
            </w:pPr>
            <w:r>
              <w:rPr>
                <w:rFonts w:ascii="Arial" w:cs="Arial" w:eastAsia="Arial" w:hAnsi="Arial"/>
                <w:sz w:val="14"/>
                <w:szCs w:val="14"/>
                <w:color w:val="auto"/>
              </w:rPr>
              <w:t>Fiji</w:t>
            </w:r>
          </w:p>
        </w:tc>
        <w:tc>
          <w:tcPr>
            <w:tcW w:w="780" w:type="dxa"/>
            <w:vAlign w:val="bottom"/>
            <w:tcBorders>
              <w:right w:val="single" w:sz="8" w:color="auto"/>
            </w:tcBorders>
          </w:tcPr>
          <w:p>
            <w:pPr>
              <w:jc w:val="right"/>
              <w:ind w:right="28"/>
              <w:spacing w:after="0"/>
              <w:rPr>
                <w:sz w:val="20"/>
                <w:szCs w:val="20"/>
                <w:color w:val="auto"/>
              </w:rPr>
            </w:pPr>
            <w:r>
              <w:rPr>
                <w:rFonts w:ascii="Arial" w:cs="Arial" w:eastAsia="Arial" w:hAnsi="Arial"/>
                <w:sz w:val="14"/>
                <w:szCs w:val="14"/>
                <w:color w:val="auto"/>
              </w:rPr>
              <w:t>33</w:t>
            </w:r>
          </w:p>
        </w:tc>
        <w:tc>
          <w:tcPr>
            <w:tcW w:w="320" w:type="dxa"/>
            <w:vAlign w:val="bottom"/>
          </w:tcPr>
          <w:p>
            <w:pPr>
              <w:jc w:val="right"/>
              <w:spacing w:after="0"/>
              <w:rPr>
                <w:sz w:val="20"/>
                <w:szCs w:val="20"/>
                <w:color w:val="auto"/>
              </w:rPr>
            </w:pPr>
            <w:r>
              <w:rPr>
                <w:rFonts w:ascii="Arial" w:cs="Arial" w:eastAsia="Arial" w:hAnsi="Arial"/>
                <w:sz w:val="14"/>
                <w:szCs w:val="14"/>
                <w:color w:val="auto"/>
              </w:rPr>
              <w:t>26.</w:t>
            </w:r>
          </w:p>
        </w:tc>
        <w:tc>
          <w:tcPr>
            <w:tcW w:w="1360" w:type="dxa"/>
            <w:vAlign w:val="bottom"/>
          </w:tcPr>
          <w:p>
            <w:pPr>
              <w:ind w:left="40"/>
              <w:spacing w:after="0"/>
              <w:rPr>
                <w:sz w:val="20"/>
                <w:szCs w:val="20"/>
                <w:color w:val="auto"/>
              </w:rPr>
            </w:pPr>
            <w:r>
              <w:rPr>
                <w:rFonts w:ascii="Arial" w:cs="Arial" w:eastAsia="Arial" w:hAnsi="Arial"/>
                <w:sz w:val="14"/>
                <w:szCs w:val="14"/>
                <w:color w:val="auto"/>
              </w:rPr>
              <w:t>South Africa</w:t>
            </w:r>
          </w:p>
        </w:tc>
        <w:tc>
          <w:tcPr>
            <w:tcW w:w="920" w:type="dxa"/>
            <w:vAlign w:val="bottom"/>
            <w:tcBorders>
              <w:right w:val="single" w:sz="8" w:color="auto"/>
            </w:tcBorders>
          </w:tcPr>
          <w:p>
            <w:pPr>
              <w:jc w:val="right"/>
              <w:ind w:right="48"/>
              <w:spacing w:after="0"/>
              <w:rPr>
                <w:sz w:val="20"/>
                <w:szCs w:val="20"/>
                <w:color w:val="auto"/>
              </w:rPr>
            </w:pPr>
            <w:r>
              <w:rPr>
                <w:rFonts w:ascii="Arial" w:cs="Arial" w:eastAsia="Arial" w:hAnsi="Arial"/>
                <w:sz w:val="14"/>
                <w:szCs w:val="14"/>
                <w:color w:val="auto"/>
              </w:rPr>
              <w:t>10</w:t>
            </w:r>
          </w:p>
        </w:tc>
        <w:tc>
          <w:tcPr>
            <w:tcW w:w="300" w:type="dxa"/>
            <w:vAlign w:val="bottom"/>
          </w:tcPr>
          <w:p>
            <w:pPr>
              <w:jc w:val="right"/>
              <w:spacing w:after="0"/>
              <w:rPr>
                <w:sz w:val="20"/>
                <w:szCs w:val="20"/>
                <w:color w:val="auto"/>
              </w:rPr>
            </w:pPr>
            <w:r>
              <w:rPr>
                <w:rFonts w:ascii="Arial" w:cs="Arial" w:eastAsia="Arial" w:hAnsi="Arial"/>
                <w:sz w:val="14"/>
                <w:szCs w:val="14"/>
                <w:color w:val="auto"/>
              </w:rPr>
              <w:t>35.</w:t>
            </w:r>
          </w:p>
        </w:tc>
        <w:tc>
          <w:tcPr>
            <w:tcW w:w="1560" w:type="dxa"/>
            <w:vAlign w:val="bottom"/>
          </w:tcPr>
          <w:p>
            <w:pPr>
              <w:ind w:left="60"/>
              <w:spacing w:after="0"/>
              <w:rPr>
                <w:sz w:val="20"/>
                <w:szCs w:val="20"/>
                <w:color w:val="auto"/>
              </w:rPr>
            </w:pPr>
            <w:r>
              <w:rPr>
                <w:rFonts w:ascii="Arial" w:cs="Arial" w:eastAsia="Arial" w:hAnsi="Arial"/>
                <w:sz w:val="14"/>
                <w:szCs w:val="14"/>
                <w:color w:val="auto"/>
              </w:rPr>
              <w:t>Cameroon</w:t>
            </w:r>
          </w:p>
        </w:tc>
        <w:tc>
          <w:tcPr>
            <w:tcW w:w="480" w:type="dxa"/>
            <w:vAlign w:val="bottom"/>
          </w:tcPr>
          <w:p>
            <w:pPr>
              <w:jc w:val="right"/>
              <w:spacing w:after="0"/>
              <w:rPr>
                <w:sz w:val="20"/>
                <w:szCs w:val="20"/>
                <w:color w:val="auto"/>
              </w:rPr>
            </w:pPr>
            <w:r>
              <w:rPr>
                <w:rFonts w:ascii="Arial" w:cs="Arial" w:eastAsia="Arial" w:hAnsi="Arial"/>
                <w:sz w:val="14"/>
                <w:szCs w:val="14"/>
                <w:color w:val="auto"/>
              </w:rPr>
              <w:t>2</w:t>
            </w:r>
          </w:p>
        </w:tc>
      </w:tr>
      <w:tr>
        <w:trPr>
          <w:trHeight w:val="207"/>
        </w:trPr>
        <w:tc>
          <w:tcPr>
            <w:tcW w:w="3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9.</w:t>
            </w:r>
          </w:p>
        </w:tc>
        <w:tc>
          <w:tcPr>
            <w:tcW w:w="1500" w:type="dxa"/>
            <w:vAlign w:val="bottom"/>
            <w:tcBorders>
              <w:bottom w:val="single" w:sz="8" w:color="auto"/>
            </w:tcBorders>
          </w:tcPr>
          <w:p>
            <w:pPr>
              <w:ind w:left="20"/>
              <w:spacing w:after="0"/>
              <w:rPr>
                <w:sz w:val="20"/>
                <w:szCs w:val="20"/>
                <w:color w:val="auto"/>
              </w:rPr>
            </w:pPr>
            <w:r>
              <w:rPr>
                <w:rFonts w:ascii="Arial" w:cs="Arial" w:eastAsia="Arial" w:hAnsi="Arial"/>
                <w:sz w:val="14"/>
                <w:szCs w:val="14"/>
                <w:color w:val="auto"/>
              </w:rPr>
              <w:t>United Arab Emirates</w:t>
            </w:r>
          </w:p>
        </w:tc>
        <w:tc>
          <w:tcPr>
            <w:tcW w:w="520" w:type="dxa"/>
            <w:vAlign w:val="bottom"/>
            <w:tcBorders>
              <w:bottom w:val="single" w:sz="8" w:color="auto"/>
              <w:right w:val="single" w:sz="8" w:color="auto"/>
            </w:tcBorders>
          </w:tcPr>
          <w:p>
            <w:pPr>
              <w:jc w:val="right"/>
              <w:ind w:right="46"/>
              <w:spacing w:after="0"/>
              <w:rPr>
                <w:sz w:val="20"/>
                <w:szCs w:val="20"/>
                <w:color w:val="auto"/>
              </w:rPr>
            </w:pPr>
            <w:r>
              <w:rPr>
                <w:rFonts w:ascii="Arial" w:cs="Arial" w:eastAsia="Arial" w:hAnsi="Arial"/>
                <w:sz w:val="14"/>
                <w:szCs w:val="14"/>
                <w:color w:val="auto"/>
              </w:rPr>
              <w:t>76</w:t>
            </w:r>
          </w:p>
        </w:tc>
        <w:tc>
          <w:tcPr>
            <w:tcW w:w="320" w:type="dxa"/>
            <w:vAlign w:val="bottom"/>
            <w:tcBorders>
              <w:bottom w:val="single" w:sz="8" w:color="auto"/>
            </w:tcBorders>
          </w:tcPr>
          <w:p>
            <w:pPr>
              <w:ind w:left="60"/>
              <w:spacing w:after="0"/>
              <w:rPr>
                <w:sz w:val="20"/>
                <w:szCs w:val="20"/>
                <w:color w:val="auto"/>
              </w:rPr>
            </w:pPr>
            <w:r>
              <w:rPr>
                <w:rFonts w:ascii="Arial" w:cs="Arial" w:eastAsia="Arial" w:hAnsi="Arial"/>
                <w:sz w:val="14"/>
                <w:szCs w:val="14"/>
                <w:color w:val="auto"/>
              </w:rPr>
              <w:t>18.</w:t>
            </w:r>
          </w:p>
        </w:tc>
        <w:tc>
          <w:tcPr>
            <w:tcW w:w="1380" w:type="dxa"/>
            <w:vAlign w:val="bottom"/>
            <w:tcBorders>
              <w:bottom w:val="single" w:sz="8" w:color="auto"/>
            </w:tcBorders>
          </w:tcPr>
          <w:p>
            <w:pPr>
              <w:ind w:left="40"/>
              <w:spacing w:after="0"/>
              <w:rPr>
                <w:sz w:val="20"/>
                <w:szCs w:val="20"/>
                <w:color w:val="auto"/>
              </w:rPr>
            </w:pPr>
            <w:r>
              <w:rPr>
                <w:rFonts w:ascii="Arial" w:cs="Arial" w:eastAsia="Arial" w:hAnsi="Arial"/>
                <w:sz w:val="14"/>
                <w:szCs w:val="14"/>
                <w:color w:val="auto"/>
              </w:rPr>
              <w:t>Kazakhstan</w:t>
            </w:r>
          </w:p>
        </w:tc>
        <w:tc>
          <w:tcPr>
            <w:tcW w:w="780" w:type="dxa"/>
            <w:vAlign w:val="bottom"/>
            <w:tcBorders>
              <w:bottom w:val="single" w:sz="8" w:color="auto"/>
              <w:right w:val="single" w:sz="8" w:color="auto"/>
            </w:tcBorders>
          </w:tcPr>
          <w:p>
            <w:pPr>
              <w:jc w:val="right"/>
              <w:ind w:right="28"/>
              <w:spacing w:after="0"/>
              <w:rPr>
                <w:sz w:val="20"/>
                <w:szCs w:val="20"/>
                <w:color w:val="auto"/>
              </w:rPr>
            </w:pPr>
            <w:r>
              <w:rPr>
                <w:rFonts w:ascii="Arial" w:cs="Arial" w:eastAsia="Arial" w:hAnsi="Arial"/>
                <w:sz w:val="14"/>
                <w:szCs w:val="14"/>
                <w:color w:val="auto"/>
              </w:rPr>
              <w:t>29</w:t>
            </w:r>
          </w:p>
        </w:tc>
        <w:tc>
          <w:tcPr>
            <w:tcW w:w="3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27.</w:t>
            </w:r>
          </w:p>
        </w:tc>
        <w:tc>
          <w:tcPr>
            <w:tcW w:w="1360" w:type="dxa"/>
            <w:vAlign w:val="bottom"/>
            <w:tcBorders>
              <w:bottom w:val="single" w:sz="8" w:color="auto"/>
            </w:tcBorders>
          </w:tcPr>
          <w:p>
            <w:pPr>
              <w:ind w:left="40"/>
              <w:spacing w:after="0"/>
              <w:rPr>
                <w:sz w:val="20"/>
                <w:szCs w:val="20"/>
                <w:color w:val="auto"/>
              </w:rPr>
            </w:pPr>
            <w:r>
              <w:rPr>
                <w:rFonts w:ascii="Arial" w:cs="Arial" w:eastAsia="Arial" w:hAnsi="Arial"/>
                <w:sz w:val="14"/>
                <w:szCs w:val="14"/>
                <w:color w:val="auto"/>
              </w:rPr>
              <w:t>Denmark</w:t>
            </w:r>
          </w:p>
        </w:tc>
        <w:tc>
          <w:tcPr>
            <w:tcW w:w="920" w:type="dxa"/>
            <w:vAlign w:val="bottom"/>
            <w:tcBorders>
              <w:bottom w:val="single" w:sz="8" w:color="auto"/>
              <w:right w:val="single" w:sz="8" w:color="auto"/>
            </w:tcBorders>
          </w:tcPr>
          <w:p>
            <w:pPr>
              <w:jc w:val="right"/>
              <w:ind w:right="48"/>
              <w:spacing w:after="0"/>
              <w:rPr>
                <w:sz w:val="20"/>
                <w:szCs w:val="20"/>
                <w:color w:val="auto"/>
              </w:rPr>
            </w:pPr>
            <w:r>
              <w:rPr>
                <w:rFonts w:ascii="Arial" w:cs="Arial" w:eastAsia="Arial" w:hAnsi="Arial"/>
                <w:sz w:val="14"/>
                <w:szCs w:val="14"/>
                <w:color w:val="auto"/>
              </w:rPr>
              <w:t>7</w:t>
            </w:r>
          </w:p>
        </w:tc>
        <w:tc>
          <w:tcPr>
            <w:tcW w:w="3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36.</w:t>
            </w:r>
          </w:p>
        </w:tc>
        <w:tc>
          <w:tcPr>
            <w:tcW w:w="1560" w:type="dxa"/>
            <w:vAlign w:val="bottom"/>
            <w:tcBorders>
              <w:bottom w:val="single" w:sz="8" w:color="auto"/>
            </w:tcBorders>
          </w:tcPr>
          <w:p>
            <w:pPr>
              <w:ind w:left="60"/>
              <w:spacing w:after="0"/>
              <w:rPr>
                <w:sz w:val="20"/>
                <w:szCs w:val="20"/>
                <w:color w:val="auto"/>
              </w:rPr>
            </w:pPr>
            <w:r>
              <w:rPr>
                <w:rFonts w:ascii="Arial" w:cs="Arial" w:eastAsia="Arial" w:hAnsi="Arial"/>
                <w:sz w:val="14"/>
                <w:szCs w:val="14"/>
                <w:color w:val="auto"/>
              </w:rPr>
              <w:t>Iraq</w:t>
            </w:r>
          </w:p>
        </w:tc>
        <w:tc>
          <w:tcPr>
            <w:tcW w:w="4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w:t>
            </w:r>
          </w:p>
        </w:tc>
      </w:tr>
      <w:tr>
        <w:trPr>
          <w:trHeight w:val="200"/>
        </w:trPr>
        <w:tc>
          <w:tcPr>
            <w:tcW w:w="300" w:type="dxa"/>
            <w:vAlign w:val="bottom"/>
          </w:tcPr>
          <w:p>
            <w:pPr>
              <w:spacing w:after="0"/>
              <w:rPr>
                <w:sz w:val="17"/>
                <w:szCs w:val="17"/>
                <w:color w:val="auto"/>
              </w:rPr>
            </w:pPr>
          </w:p>
        </w:tc>
        <w:tc>
          <w:tcPr>
            <w:tcW w:w="150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38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360" w:type="dxa"/>
            <w:vAlign w:val="bottom"/>
          </w:tcPr>
          <w:p>
            <w:pPr>
              <w:spacing w:after="0"/>
              <w:rPr>
                <w:sz w:val="17"/>
                <w:szCs w:val="17"/>
                <w:color w:val="auto"/>
              </w:rPr>
            </w:pPr>
          </w:p>
        </w:tc>
        <w:tc>
          <w:tcPr>
            <w:tcW w:w="2780" w:type="dxa"/>
            <w:vAlign w:val="bottom"/>
            <w:gridSpan w:val="3"/>
          </w:tcPr>
          <w:p>
            <w:pPr>
              <w:ind w:left="100"/>
              <w:spacing w:after="0"/>
              <w:rPr>
                <w:sz w:val="20"/>
                <w:szCs w:val="20"/>
                <w:color w:val="auto"/>
              </w:rPr>
            </w:pPr>
            <w:r>
              <w:rPr>
                <w:rFonts w:ascii="Arial" w:cs="Arial" w:eastAsia="Arial" w:hAnsi="Arial"/>
                <w:sz w:val="14"/>
                <w:szCs w:val="14"/>
                <w:b w:val="1"/>
                <w:bCs w:val="1"/>
                <w:color w:val="auto"/>
              </w:rPr>
              <w:t>Total Number of Employees Excluded</w:t>
            </w:r>
          </w:p>
        </w:tc>
        <w:tc>
          <w:tcPr>
            <w:tcW w:w="480" w:type="dxa"/>
            <w:vAlign w:val="bottom"/>
          </w:tcPr>
          <w:p>
            <w:pPr>
              <w:jc w:val="right"/>
              <w:spacing w:after="0"/>
              <w:rPr>
                <w:sz w:val="20"/>
                <w:szCs w:val="20"/>
                <w:color w:val="auto"/>
              </w:rPr>
            </w:pPr>
            <w:r>
              <w:rPr>
                <w:rFonts w:ascii="Arial" w:cs="Arial" w:eastAsia="Arial" w:hAnsi="Arial"/>
                <w:sz w:val="14"/>
                <w:szCs w:val="14"/>
                <w:b w:val="1"/>
                <w:bCs w:val="1"/>
                <w:color w:val="auto"/>
              </w:rPr>
              <w:t>2,295</w:t>
            </w:r>
          </w:p>
        </w:tc>
      </w:tr>
      <w:tr>
        <w:trPr>
          <w:trHeight w:val="571"/>
        </w:trPr>
        <w:tc>
          <w:tcPr>
            <w:tcW w:w="300" w:type="dxa"/>
            <w:vAlign w:val="bottom"/>
          </w:tcPr>
          <w:p>
            <w:pPr>
              <w:jc w:val="right"/>
              <w:ind w:right="6"/>
              <w:spacing w:after="0"/>
              <w:rPr>
                <w:sz w:val="20"/>
                <w:szCs w:val="20"/>
                <w:color w:val="auto"/>
              </w:rPr>
            </w:pPr>
            <w:r>
              <w:rPr>
                <w:rFonts w:ascii="Arial" w:cs="Arial" w:eastAsia="Arial" w:hAnsi="Arial"/>
                <w:sz w:val="18"/>
                <w:szCs w:val="18"/>
                <w:color w:val="auto"/>
                <w:w w:val="99"/>
              </w:rPr>
              <w:t>60</w:t>
            </w:r>
          </w:p>
        </w:tc>
        <w:tc>
          <w:tcPr>
            <w:tcW w:w="1500" w:type="dxa"/>
            <w:vAlign w:val="bottom"/>
          </w:tcPr>
          <w:p>
            <w:pPr>
              <w:spacing w:after="0"/>
              <w:rPr>
                <w:sz w:val="24"/>
                <w:szCs w:val="24"/>
                <w:color w:val="auto"/>
              </w:rPr>
            </w:pPr>
          </w:p>
        </w:tc>
        <w:tc>
          <w:tcPr>
            <w:tcW w:w="2220" w:type="dxa"/>
            <w:vAlign w:val="bottom"/>
            <w:gridSpan w:val="3"/>
          </w:tcPr>
          <w:p>
            <w:pPr>
              <w:ind w:left="140"/>
              <w:spacing w:after="0"/>
              <w:rPr>
                <w:sz w:val="20"/>
                <w:szCs w:val="20"/>
                <w:color w:val="auto"/>
              </w:rPr>
            </w:pPr>
            <w:r>
              <w:rPr>
                <w:rFonts w:ascii="Times New Roman" w:cs="Times New Roman" w:eastAsia="Times New Roman" w:hAnsi="Times New Roman"/>
                <w:sz w:val="18"/>
                <w:szCs w:val="18"/>
                <w:i w:val="1"/>
                <w:iCs w:val="1"/>
                <w:color w:val="auto"/>
              </w:rPr>
              <w:t>2018 Proxy Statement</w:t>
            </w:r>
          </w:p>
        </w:tc>
        <w:tc>
          <w:tcPr>
            <w:tcW w:w="78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560" w:type="dxa"/>
            <w:vAlign w:val="bottom"/>
          </w:tcPr>
          <w:p>
            <w:pPr>
              <w:spacing w:after="0"/>
              <w:rPr>
                <w:sz w:val="24"/>
                <w:szCs w:val="24"/>
                <w:color w:val="auto"/>
              </w:rPr>
            </w:pPr>
          </w:p>
        </w:tc>
        <w:tc>
          <w:tcPr>
            <w:tcW w:w="480" w:type="dxa"/>
            <w:vAlign w:val="bottom"/>
          </w:tcPr>
          <w:p>
            <w:pPr>
              <w:spacing w:after="0"/>
              <w:rPr>
                <w:sz w:val="24"/>
                <w:szCs w:val="24"/>
                <w:color w:val="auto"/>
              </w:rPr>
            </w:pPr>
          </w:p>
        </w:tc>
      </w:tr>
    </w:tbl>
    <w:p>
      <w:pPr>
        <w:sectPr>
          <w:pgSz w:w="11900" w:h="16838" w:orient="portrait"/>
          <w:cols w:equalWidth="0" w:num="1">
            <w:col w:w="10600"/>
          </w:cols>
          <w:pgMar w:left="240" w:top="455" w:right="1059" w:bottom="1440" w:gutter="0" w:footer="0" w:header="0"/>
        </w:sectPr>
      </w:pPr>
    </w:p>
    <w:bookmarkStart w:id="63" w:name="page64"/>
    <w:bookmarkEnd w:id="63"/>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13" name="Picture 1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
                    <pic:cNvPicPr>
                      <a:picLocks noChangeAspect="1" noChangeArrowheads="1"/>
                    </pic:cNvPicPr>
                  </pic:nvPicPr>
                  <pic:blipFill>
                    <a:blip r:embed="rId120">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Times New Roman" w:cs="Times New Roman" w:eastAsia="Times New Roman" w:hAnsi="Times New Roman"/>
            <w:sz w:val="18"/>
            <w:szCs w:val="18"/>
            <w:b w:val="1"/>
            <w:bCs w:val="1"/>
            <w:u w:val="single" w:color="auto"/>
            <w:color w:val="0000EE"/>
          </w:rPr>
          <w:t>Table of Contents</w:t>
        </w:r>
      </w:hyperlink>
    </w:p>
    <w:p>
      <w:pPr>
        <w:spacing w:after="0" w:line="300" w:lineRule="exact"/>
        <w:rPr>
          <w:sz w:val="20"/>
          <w:szCs w:val="20"/>
          <w:color w:val="auto"/>
        </w:rPr>
      </w:pPr>
    </w:p>
    <w:p>
      <w:pPr>
        <w:ind w:left="860"/>
        <w:spacing w:after="0"/>
        <w:rPr>
          <w:sz w:val="20"/>
          <w:szCs w:val="20"/>
          <w:color w:val="auto"/>
        </w:rPr>
      </w:pPr>
      <w:r>
        <w:rPr>
          <w:rFonts w:ascii="Arial" w:cs="Arial" w:eastAsia="Arial" w:hAnsi="Arial"/>
          <w:sz w:val="23"/>
          <w:szCs w:val="23"/>
          <w:b w:val="1"/>
          <w:bCs w:val="1"/>
          <w:color w:val="2B4C9B"/>
        </w:rPr>
        <w:t>ADDITIONAL INFORMATION</w:t>
      </w:r>
    </w:p>
    <w:p>
      <w:pPr>
        <w:spacing w:after="0" w:line="387" w:lineRule="exact"/>
        <w:rPr>
          <w:sz w:val="20"/>
          <w:szCs w:val="20"/>
          <w:color w:val="auto"/>
        </w:rPr>
      </w:pPr>
    </w:p>
    <w:p>
      <w:pPr>
        <w:ind w:left="860"/>
        <w:spacing w:after="0"/>
        <w:rPr>
          <w:sz w:val="20"/>
          <w:szCs w:val="20"/>
          <w:color w:val="auto"/>
        </w:rPr>
      </w:pPr>
      <w:r>
        <w:rPr>
          <w:rFonts w:ascii="Arial" w:cs="Arial" w:eastAsia="Arial" w:hAnsi="Arial"/>
          <w:sz w:val="18"/>
          <w:szCs w:val="18"/>
          <w:b w:val="1"/>
          <w:bCs w:val="1"/>
          <w:color w:val="auto"/>
        </w:rPr>
        <w:t>Other Business</w:t>
      </w:r>
    </w:p>
    <w:p>
      <w:pPr>
        <w:spacing w:after="0" w:line="106" w:lineRule="exact"/>
        <w:rPr>
          <w:sz w:val="20"/>
          <w:szCs w:val="20"/>
          <w:color w:val="auto"/>
        </w:rPr>
      </w:pPr>
    </w:p>
    <w:p>
      <w:pPr>
        <w:ind w:left="860" w:right="40"/>
        <w:spacing w:after="0" w:line="248" w:lineRule="auto"/>
        <w:rPr>
          <w:sz w:val="20"/>
          <w:szCs w:val="20"/>
          <w:color w:val="auto"/>
        </w:rPr>
      </w:pPr>
      <w:r>
        <w:rPr>
          <w:rFonts w:ascii="Arial" w:cs="Arial" w:eastAsia="Arial" w:hAnsi="Arial"/>
          <w:sz w:val="18"/>
          <w:szCs w:val="18"/>
          <w:color w:val="auto"/>
        </w:rPr>
        <w:t>We are not currently aware of any other business to be acted on at the meeting. Under the laws of New Jersey, where ExxonMobil is incorporated, no business other than procedural matters may be raised at the meeting unless proper notice has been given to the shareholders. If other business is properly raised, your proxies have authority to vote as they think best, including to adjourn the meeting.</w:t>
      </w:r>
    </w:p>
    <w:p>
      <w:pPr>
        <w:spacing w:after="0" w:line="169" w:lineRule="exact"/>
        <w:rPr>
          <w:sz w:val="20"/>
          <w:szCs w:val="20"/>
          <w:color w:val="auto"/>
        </w:rPr>
      </w:pPr>
    </w:p>
    <w:p>
      <w:pPr>
        <w:ind w:left="860"/>
        <w:spacing w:after="0"/>
        <w:rPr>
          <w:sz w:val="20"/>
          <w:szCs w:val="20"/>
          <w:color w:val="auto"/>
        </w:rPr>
      </w:pPr>
      <w:r>
        <w:rPr>
          <w:rFonts w:ascii="Arial" w:cs="Arial" w:eastAsia="Arial" w:hAnsi="Arial"/>
          <w:sz w:val="18"/>
          <w:szCs w:val="18"/>
          <w:b w:val="1"/>
          <w:bCs w:val="1"/>
          <w:color w:val="auto"/>
        </w:rPr>
        <w:t>People With Disabilities</w:t>
      </w:r>
    </w:p>
    <w:p>
      <w:pPr>
        <w:spacing w:after="0" w:line="106" w:lineRule="exact"/>
        <w:rPr>
          <w:sz w:val="20"/>
          <w:szCs w:val="20"/>
          <w:color w:val="auto"/>
        </w:rPr>
      </w:pPr>
    </w:p>
    <w:p>
      <w:pPr>
        <w:ind w:left="860" w:right="240"/>
        <w:spacing w:after="0" w:line="255" w:lineRule="auto"/>
        <w:rPr>
          <w:sz w:val="20"/>
          <w:szCs w:val="20"/>
          <w:color w:val="auto"/>
        </w:rPr>
      </w:pPr>
      <w:r>
        <w:rPr>
          <w:rFonts w:ascii="Arial" w:cs="Arial" w:eastAsia="Arial" w:hAnsi="Arial"/>
          <w:sz w:val="18"/>
          <w:szCs w:val="18"/>
          <w:color w:val="auto"/>
        </w:rPr>
        <w:t>We can provide reasonable assistance to help you participate in the meeting if you tell us about your disability and your plans to attend. Please call or write the Secretary at least two weeks before the meeting at the telephone number, address, or fax number listed under Contact Information on page 4.</w:t>
      </w:r>
    </w:p>
    <w:p>
      <w:pPr>
        <w:spacing w:after="0" w:line="162" w:lineRule="exact"/>
        <w:rPr>
          <w:sz w:val="20"/>
          <w:szCs w:val="20"/>
          <w:color w:val="auto"/>
        </w:rPr>
      </w:pPr>
    </w:p>
    <w:p>
      <w:pPr>
        <w:ind w:left="860"/>
        <w:spacing w:after="0"/>
        <w:rPr>
          <w:sz w:val="20"/>
          <w:szCs w:val="20"/>
          <w:color w:val="auto"/>
        </w:rPr>
      </w:pPr>
      <w:r>
        <w:rPr>
          <w:rFonts w:ascii="Arial" w:cs="Arial" w:eastAsia="Arial" w:hAnsi="Arial"/>
          <w:sz w:val="18"/>
          <w:szCs w:val="18"/>
          <w:b w:val="1"/>
          <w:bCs w:val="1"/>
          <w:color w:val="auto"/>
        </w:rPr>
        <w:t>Outstanding Shares</w:t>
      </w:r>
    </w:p>
    <w:p>
      <w:pPr>
        <w:spacing w:after="0" w:line="106" w:lineRule="exact"/>
        <w:rPr>
          <w:sz w:val="20"/>
          <w:szCs w:val="20"/>
          <w:color w:val="auto"/>
        </w:rPr>
      </w:pPr>
    </w:p>
    <w:p>
      <w:pPr>
        <w:ind w:left="860" w:right="380"/>
        <w:spacing w:after="0" w:line="276" w:lineRule="auto"/>
        <w:rPr>
          <w:sz w:val="20"/>
          <w:szCs w:val="20"/>
          <w:color w:val="auto"/>
        </w:rPr>
      </w:pPr>
      <w:r>
        <w:rPr>
          <w:rFonts w:ascii="Arial" w:cs="Arial" w:eastAsia="Arial" w:hAnsi="Arial"/>
          <w:sz w:val="18"/>
          <w:szCs w:val="18"/>
          <w:color w:val="auto"/>
        </w:rPr>
        <w:t>On February 28, 2018, there were 4,235,790,953 shares of common stock outstanding. Each common share has one vote.</w:t>
      </w:r>
    </w:p>
    <w:p>
      <w:pPr>
        <w:spacing w:after="0" w:line="143" w:lineRule="exact"/>
        <w:rPr>
          <w:sz w:val="20"/>
          <w:szCs w:val="20"/>
          <w:color w:val="auto"/>
        </w:rPr>
      </w:pPr>
    </w:p>
    <w:p>
      <w:pPr>
        <w:ind w:left="860"/>
        <w:spacing w:after="0"/>
        <w:rPr>
          <w:sz w:val="20"/>
          <w:szCs w:val="20"/>
          <w:color w:val="auto"/>
        </w:rPr>
      </w:pPr>
      <w:r>
        <w:rPr>
          <w:rFonts w:ascii="Arial" w:cs="Arial" w:eastAsia="Arial" w:hAnsi="Arial"/>
          <w:sz w:val="18"/>
          <w:szCs w:val="18"/>
          <w:b w:val="1"/>
          <w:bCs w:val="1"/>
          <w:color w:val="auto"/>
        </w:rPr>
        <w:t>How We Solicit Proxies</w:t>
      </w:r>
    </w:p>
    <w:p>
      <w:pPr>
        <w:spacing w:after="0" w:line="106" w:lineRule="exact"/>
        <w:rPr>
          <w:sz w:val="20"/>
          <w:szCs w:val="20"/>
          <w:color w:val="auto"/>
        </w:rPr>
      </w:pPr>
    </w:p>
    <w:p>
      <w:pPr>
        <w:ind w:left="860"/>
        <w:spacing w:after="0"/>
        <w:rPr>
          <w:sz w:val="20"/>
          <w:szCs w:val="20"/>
          <w:color w:val="auto"/>
        </w:rPr>
      </w:pPr>
      <w:r>
        <w:rPr>
          <w:rFonts w:ascii="Arial" w:cs="Arial" w:eastAsia="Arial" w:hAnsi="Arial"/>
          <w:sz w:val="18"/>
          <w:szCs w:val="18"/>
          <w:color w:val="auto"/>
        </w:rPr>
        <w:t>In addition to this mailing, ExxonMobil officers and employees may solicit proxies personally, electronically, by telephone,</w:t>
      </w:r>
    </w:p>
    <w:p>
      <w:pPr>
        <w:spacing w:after="0" w:line="13" w:lineRule="exact"/>
        <w:rPr>
          <w:sz w:val="20"/>
          <w:szCs w:val="20"/>
          <w:color w:val="auto"/>
        </w:rPr>
      </w:pPr>
    </w:p>
    <w:p>
      <w:pPr>
        <w:ind w:left="860"/>
        <w:spacing w:after="0"/>
        <w:rPr>
          <w:sz w:val="20"/>
          <w:szCs w:val="20"/>
          <w:color w:val="auto"/>
        </w:rPr>
      </w:pPr>
      <w:r>
        <w:rPr>
          <w:rFonts w:ascii="Arial" w:cs="Arial" w:eastAsia="Arial" w:hAnsi="Arial"/>
          <w:sz w:val="18"/>
          <w:szCs w:val="18"/>
          <w:color w:val="auto"/>
        </w:rPr>
        <w:t>or with additional mailings. ExxonMobil pays the costs of soliciting this proxy. We are paying D.F. King &amp; Co. a fee of</w:t>
      </w:r>
    </w:p>
    <w:p>
      <w:pPr>
        <w:ind w:left="860"/>
        <w:spacing w:after="0" w:line="234" w:lineRule="auto"/>
        <w:rPr>
          <w:sz w:val="20"/>
          <w:szCs w:val="20"/>
          <w:color w:val="auto"/>
        </w:rPr>
      </w:pPr>
      <w:r>
        <w:rPr>
          <w:rFonts w:ascii="Arial" w:cs="Arial" w:eastAsia="Arial" w:hAnsi="Arial"/>
          <w:sz w:val="18"/>
          <w:szCs w:val="18"/>
          <w:color w:val="auto"/>
        </w:rPr>
        <w:t>$30,000 plus expenses to help with the solicitation. We also reimburse brokers and other nominees for their expenses in</w:t>
      </w:r>
    </w:p>
    <w:p>
      <w:pPr>
        <w:spacing w:after="0" w:line="1" w:lineRule="exact"/>
        <w:rPr>
          <w:sz w:val="20"/>
          <w:szCs w:val="20"/>
          <w:color w:val="auto"/>
        </w:rPr>
      </w:pPr>
    </w:p>
    <w:p>
      <w:pPr>
        <w:ind w:left="860"/>
        <w:spacing w:after="0"/>
        <w:rPr>
          <w:sz w:val="20"/>
          <w:szCs w:val="20"/>
          <w:color w:val="auto"/>
        </w:rPr>
      </w:pPr>
      <w:r>
        <w:rPr>
          <w:rFonts w:ascii="Arial" w:cs="Arial" w:eastAsia="Arial" w:hAnsi="Arial"/>
          <w:sz w:val="18"/>
          <w:szCs w:val="18"/>
          <w:color w:val="auto"/>
        </w:rPr>
        <w:t>sending these materials to you and getting your voting instructions.</w:t>
      </w:r>
    </w:p>
    <w:p>
      <w:pPr>
        <w:spacing w:after="0" w:line="188" w:lineRule="exact"/>
        <w:rPr>
          <w:sz w:val="20"/>
          <w:szCs w:val="20"/>
          <w:color w:val="auto"/>
        </w:rPr>
      </w:pPr>
    </w:p>
    <w:p>
      <w:pPr>
        <w:ind w:left="860"/>
        <w:spacing w:after="0"/>
        <w:rPr>
          <w:sz w:val="20"/>
          <w:szCs w:val="20"/>
          <w:color w:val="auto"/>
        </w:rPr>
      </w:pPr>
      <w:r>
        <w:rPr>
          <w:rFonts w:ascii="Arial" w:cs="Arial" w:eastAsia="Arial" w:hAnsi="Arial"/>
          <w:sz w:val="18"/>
          <w:szCs w:val="18"/>
          <w:b w:val="1"/>
          <w:bCs w:val="1"/>
          <w:color w:val="auto"/>
        </w:rPr>
        <w:t>Shareholder Proposals and Director Nominations for Next Year</w:t>
      </w:r>
    </w:p>
    <w:p>
      <w:pPr>
        <w:spacing w:after="0" w:line="106" w:lineRule="exact"/>
        <w:rPr>
          <w:sz w:val="20"/>
          <w:szCs w:val="20"/>
          <w:color w:val="auto"/>
        </w:rPr>
      </w:pPr>
    </w:p>
    <w:p>
      <w:pPr>
        <w:ind w:left="860" w:right="100"/>
        <w:spacing w:after="0" w:line="245" w:lineRule="auto"/>
        <w:rPr>
          <w:sz w:val="20"/>
          <w:szCs w:val="20"/>
          <w:color w:val="auto"/>
        </w:rPr>
      </w:pPr>
      <w:r>
        <w:rPr>
          <w:rFonts w:ascii="Arial" w:cs="Arial" w:eastAsia="Arial" w:hAnsi="Arial"/>
          <w:sz w:val="18"/>
          <w:szCs w:val="18"/>
          <w:color w:val="auto"/>
        </w:rPr>
        <w:t>Any shareholder proposal for the annual meeting in 2019 must be sent to the Secretary at the address or fax number of ExxonMobil’s principal executive office listed under Contact Information on page 4. The deadline for receipt of a proposal to be considered for inclusion in the 2019 proxy statement is 5 p.m. Central Time, on December 13, 2018. The deadline for notice of a proposal for which a shareholder will conduct his or her own solicitation is February 26, 2019. Upon request, the Secretary will provide instructions for submitting proposals.</w:t>
      </w:r>
    </w:p>
    <w:p>
      <w:pPr>
        <w:spacing w:after="0" w:line="172" w:lineRule="exact"/>
        <w:rPr>
          <w:sz w:val="20"/>
          <w:szCs w:val="20"/>
          <w:color w:val="auto"/>
        </w:rPr>
      </w:pPr>
    </w:p>
    <w:p>
      <w:pPr>
        <w:ind w:left="860" w:right="120"/>
        <w:spacing w:after="0" w:line="247" w:lineRule="auto"/>
        <w:rPr>
          <w:sz w:val="20"/>
          <w:szCs w:val="20"/>
          <w:color w:val="auto"/>
        </w:rPr>
      </w:pPr>
      <w:r>
        <w:rPr>
          <w:rFonts w:ascii="Arial" w:cs="Arial" w:eastAsia="Arial" w:hAnsi="Arial"/>
          <w:sz w:val="18"/>
          <w:szCs w:val="18"/>
          <w:color w:val="auto"/>
        </w:rPr>
        <w:t>Submissions of nominees for director under the proxy access provisions of our bylaws for the 2019 Annual Meeting must be submitted in compliance with those bylaws no later than December 13, 2018, and no earlier than November 13,</w:t>
      </w:r>
    </w:p>
    <w:p>
      <w:pPr>
        <w:spacing w:after="0" w:line="1" w:lineRule="exact"/>
        <w:rPr>
          <w:sz w:val="20"/>
          <w:szCs w:val="20"/>
          <w:color w:val="auto"/>
        </w:rPr>
      </w:pPr>
    </w:p>
    <w:p>
      <w:pPr>
        <w:ind w:left="860" w:right="220"/>
        <w:spacing w:after="0" w:line="251" w:lineRule="auto"/>
        <w:rPr>
          <w:sz w:val="20"/>
          <w:szCs w:val="20"/>
          <w:color w:val="auto"/>
        </w:rPr>
      </w:pPr>
      <w:r>
        <w:rPr>
          <w:rFonts w:ascii="Arial" w:cs="Arial" w:eastAsia="Arial" w:hAnsi="Arial"/>
          <w:sz w:val="18"/>
          <w:szCs w:val="18"/>
          <w:color w:val="auto"/>
        </w:rPr>
        <w:t>2018. Notice of a director nomination other than under proxy access must be submitted in compliance with the advance notice provisions of our bylaws no later than January 30, 2019, and no earlier than December 31, 2018.</w:t>
      </w:r>
    </w:p>
    <w:p>
      <w:pPr>
        <w:spacing w:after="0" w:line="164" w:lineRule="exact"/>
        <w:rPr>
          <w:sz w:val="20"/>
          <w:szCs w:val="20"/>
          <w:color w:val="auto"/>
        </w:rPr>
      </w:pPr>
    </w:p>
    <w:p>
      <w:pPr>
        <w:ind w:left="860"/>
        <w:spacing w:after="0"/>
        <w:rPr>
          <w:sz w:val="20"/>
          <w:szCs w:val="20"/>
          <w:color w:val="auto"/>
        </w:rPr>
      </w:pPr>
      <w:r>
        <w:rPr>
          <w:rFonts w:ascii="Arial" w:cs="Arial" w:eastAsia="Arial" w:hAnsi="Arial"/>
          <w:sz w:val="18"/>
          <w:szCs w:val="18"/>
          <w:b w:val="1"/>
          <w:bCs w:val="1"/>
          <w:color w:val="auto"/>
        </w:rPr>
        <w:t>Duplicate Annual Reports</w:t>
      </w:r>
    </w:p>
    <w:p>
      <w:pPr>
        <w:spacing w:after="0" w:line="106" w:lineRule="exact"/>
        <w:rPr>
          <w:sz w:val="20"/>
          <w:szCs w:val="20"/>
          <w:color w:val="auto"/>
        </w:rPr>
      </w:pPr>
    </w:p>
    <w:p>
      <w:pPr>
        <w:ind w:left="860" w:right="80"/>
        <w:spacing w:after="0" w:line="245" w:lineRule="auto"/>
        <w:rPr>
          <w:sz w:val="20"/>
          <w:szCs w:val="20"/>
          <w:color w:val="auto"/>
        </w:rPr>
      </w:pPr>
      <w:r>
        <w:rPr>
          <w:rFonts w:ascii="Arial" w:cs="Arial" w:eastAsia="Arial" w:hAnsi="Arial"/>
          <w:sz w:val="18"/>
          <w:szCs w:val="18"/>
          <w:color w:val="auto"/>
        </w:rPr>
        <w:t>Registered shareholders with multiple accounts may authorize ExxonMobil to discontinue mailing annual reports on an account by calling ExxonMobil Shareholder Services at the toll-free telephone number listed on page 4 at any time during the year. Beneficial holders should contact their banks, brokers, or other holders of record to discontinue duplicate mailings. At least one account must continue to receive an annual report. Eliminating these duplicate mailings will not affect receipt of future proxy statements and proxy cards.</w:t>
      </w:r>
    </w:p>
    <w:p>
      <w:pPr>
        <w:spacing w:after="0" w:line="170" w:lineRule="exact"/>
        <w:rPr>
          <w:sz w:val="20"/>
          <w:szCs w:val="20"/>
          <w:color w:val="auto"/>
        </w:rPr>
      </w:pPr>
    </w:p>
    <w:p>
      <w:pPr>
        <w:ind w:left="860"/>
        <w:spacing w:after="0"/>
        <w:rPr>
          <w:sz w:val="20"/>
          <w:szCs w:val="20"/>
          <w:color w:val="auto"/>
        </w:rPr>
      </w:pPr>
      <w:r>
        <w:rPr>
          <w:rFonts w:ascii="Arial" w:cs="Arial" w:eastAsia="Arial" w:hAnsi="Arial"/>
          <w:sz w:val="18"/>
          <w:szCs w:val="18"/>
          <w:b w:val="1"/>
          <w:bCs w:val="1"/>
          <w:color w:val="auto"/>
        </w:rPr>
        <w:t>Shareholders With the Same Address</w:t>
      </w:r>
    </w:p>
    <w:p>
      <w:pPr>
        <w:spacing w:after="0" w:line="106" w:lineRule="exact"/>
        <w:rPr>
          <w:sz w:val="20"/>
          <w:szCs w:val="20"/>
          <w:color w:val="auto"/>
        </w:rPr>
      </w:pPr>
    </w:p>
    <w:p>
      <w:pPr>
        <w:ind w:left="860"/>
        <w:spacing w:after="0" w:line="241" w:lineRule="auto"/>
        <w:rPr>
          <w:sz w:val="20"/>
          <w:szCs w:val="20"/>
          <w:color w:val="auto"/>
        </w:rPr>
      </w:pPr>
      <w:r>
        <w:rPr>
          <w:rFonts w:ascii="Arial" w:cs="Arial" w:eastAsia="Arial" w:hAnsi="Arial"/>
          <w:sz w:val="18"/>
          <w:szCs w:val="18"/>
          <w:color w:val="auto"/>
        </w:rPr>
        <w:t>If you share an address with one or more ExxonMobil shareholders, you may elect to “household” your proxy mailing. This means you will receive only one set of proxy materials at that address unless one or more shareholders at that address specifically elect to receive separate mailings. Shareholders who participate in householding will continue to receive separate proxy cards. Householding will not affect dividend check mailings. We will promptly send separate proxy materials to a shareholder at a shared address on request. Shareholders with a shared address may also request us to send separate proxy materials in the future, or to send a single copy in the future, if we are currently sending multiple copies to the same address.</w:t>
      </w:r>
    </w:p>
    <w:p>
      <w:pPr>
        <w:spacing w:after="0" w:line="112" w:lineRule="exact"/>
        <w:rPr>
          <w:sz w:val="20"/>
          <w:szCs w:val="20"/>
          <w:color w:val="auto"/>
        </w:rPr>
      </w:pPr>
    </w:p>
    <w:tbl>
      <w:tblPr>
        <w:tblLayout w:type="fixed"/>
        <w:tblInd w:w="6960" w:type="dxa"/>
        <w:tblCellMar>
          <w:top w:w="0" w:type="dxa"/>
          <w:left w:w="0" w:type="dxa"/>
          <w:bottom w:w="0" w:type="dxa"/>
          <w:right w:w="0" w:type="dxa"/>
        </w:tblCellMar>
      </w:tblPr>
      <w:tr>
        <w:trPr>
          <w:trHeight w:val="243"/>
        </w:trPr>
        <w:tc>
          <w:tcPr>
            <w:tcW w:w="2440" w:type="dxa"/>
            <w:vAlign w:val="bottom"/>
          </w:tcPr>
          <w:p>
            <w:pPr>
              <w:spacing w:after="0"/>
              <w:rPr>
                <w:sz w:val="20"/>
                <w:szCs w:val="20"/>
                <w:color w:val="auto"/>
              </w:rPr>
            </w:pPr>
            <w:r>
              <w:rPr>
                <w:rFonts w:ascii="Times New Roman" w:cs="Times New Roman" w:eastAsia="Times New Roman" w:hAnsi="Times New Roman"/>
                <w:sz w:val="18"/>
                <w:szCs w:val="18"/>
                <w:i w:val="1"/>
                <w:iCs w:val="1"/>
                <w:color w:val="auto"/>
              </w:rPr>
              <w:t>2018 Proxy Statement</w:t>
            </w:r>
          </w:p>
        </w:tc>
        <w:tc>
          <w:tcPr>
            <w:tcW w:w="1060" w:type="dxa"/>
            <w:vAlign w:val="bottom"/>
          </w:tcPr>
          <w:p>
            <w:pPr>
              <w:jc w:val="right"/>
              <w:spacing w:after="0"/>
              <w:rPr>
                <w:sz w:val="20"/>
                <w:szCs w:val="20"/>
                <w:color w:val="auto"/>
              </w:rPr>
            </w:pPr>
            <w:r>
              <w:rPr>
                <w:rFonts w:ascii="Arial" w:cs="Arial" w:eastAsia="Arial" w:hAnsi="Arial"/>
                <w:sz w:val="18"/>
                <w:szCs w:val="18"/>
                <w:color w:val="auto"/>
              </w:rPr>
              <w:t>61</w:t>
            </w:r>
          </w:p>
        </w:tc>
      </w:tr>
    </w:tbl>
    <w:p>
      <w:pPr>
        <w:sectPr>
          <w:pgSz w:w="11900" w:h="16838" w:orient="portrait"/>
          <w:cols w:equalWidth="0" w:num="1">
            <w:col w:w="10560"/>
          </w:cols>
          <w:pgMar w:left="240" w:top="455" w:right="1099" w:bottom="1440" w:gutter="0" w:footer="0" w:header="0"/>
        </w:sectPr>
      </w:pPr>
    </w:p>
    <w:bookmarkStart w:id="64" w:name="page65"/>
    <w:bookmarkEnd w:id="64"/>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14" name="Picture 1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
                    <pic:cNvPicPr>
                      <a:picLocks noChangeAspect="1" noChangeArrowheads="1"/>
                    </pic:cNvPicPr>
                  </pic:nvPicPr>
                  <pic:blipFill>
                    <a:blip r:embed="rId121">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Times New Roman" w:cs="Times New Roman" w:eastAsia="Times New Roman" w:hAnsi="Times New Roman"/>
            <w:sz w:val="18"/>
            <w:szCs w:val="18"/>
            <w:b w:val="1"/>
            <w:bCs w:val="1"/>
            <w:u w:val="single" w:color="auto"/>
            <w:color w:val="0000EE"/>
          </w:rPr>
          <w:t>Table of Contents</w:t>
        </w:r>
      </w:hyperlink>
    </w:p>
    <w:p>
      <w:pPr>
        <w:spacing w:after="0" w:line="305" w:lineRule="exact"/>
        <w:rPr>
          <w:sz w:val="20"/>
          <w:szCs w:val="20"/>
          <w:color w:val="auto"/>
        </w:rPr>
      </w:pPr>
    </w:p>
    <w:p>
      <w:pPr>
        <w:ind w:left="860"/>
        <w:spacing w:after="0" w:line="255" w:lineRule="auto"/>
        <w:rPr>
          <w:sz w:val="20"/>
          <w:szCs w:val="20"/>
          <w:color w:val="auto"/>
        </w:rPr>
      </w:pPr>
      <w:r>
        <w:rPr>
          <w:rFonts w:ascii="Arial" w:cs="Arial" w:eastAsia="Arial" w:hAnsi="Arial"/>
          <w:sz w:val="18"/>
          <w:szCs w:val="18"/>
          <w:color w:val="auto"/>
        </w:rPr>
        <w:t>Requests related to householding should be made by calling ExxonMobil Shareholder Services at the telephone number listed on page 4. Beneficial shareholders should request information about householding from their banks, brokers, or other holders of record.</w:t>
      </w:r>
    </w:p>
    <w:p>
      <w:pPr>
        <w:spacing w:after="0" w:line="162" w:lineRule="exact"/>
        <w:rPr>
          <w:sz w:val="20"/>
          <w:szCs w:val="20"/>
          <w:color w:val="auto"/>
        </w:rPr>
      </w:pPr>
    </w:p>
    <w:p>
      <w:pPr>
        <w:ind w:left="860"/>
        <w:spacing w:after="0"/>
        <w:rPr>
          <w:sz w:val="20"/>
          <w:szCs w:val="20"/>
          <w:color w:val="auto"/>
        </w:rPr>
      </w:pPr>
      <w:r>
        <w:rPr>
          <w:rFonts w:ascii="Arial" w:cs="Arial" w:eastAsia="Arial" w:hAnsi="Arial"/>
          <w:sz w:val="18"/>
          <w:szCs w:val="18"/>
          <w:b w:val="1"/>
          <w:bCs w:val="1"/>
          <w:color w:val="auto"/>
        </w:rPr>
        <w:t>SEC Form 10-K</w:t>
      </w:r>
    </w:p>
    <w:p>
      <w:pPr>
        <w:spacing w:after="0" w:line="106" w:lineRule="exact"/>
        <w:rPr>
          <w:sz w:val="20"/>
          <w:szCs w:val="20"/>
          <w:color w:val="auto"/>
        </w:rPr>
      </w:pPr>
    </w:p>
    <w:p>
      <w:pPr>
        <w:ind w:left="860" w:right="80"/>
        <w:spacing w:after="0" w:line="255" w:lineRule="auto"/>
        <w:rPr>
          <w:sz w:val="20"/>
          <w:szCs w:val="20"/>
          <w:color w:val="auto"/>
        </w:rPr>
      </w:pPr>
      <w:r>
        <w:rPr>
          <w:rFonts w:ascii="Arial" w:cs="Arial" w:eastAsia="Arial" w:hAnsi="Arial"/>
          <w:sz w:val="18"/>
          <w:szCs w:val="18"/>
          <w:color w:val="auto"/>
        </w:rPr>
        <w:t xml:space="preserve">Shareholders may obtain a copy of the Corporation’s </w:t>
      </w:r>
      <w:r>
        <w:rPr>
          <w:rFonts w:ascii="Arial" w:cs="Arial" w:eastAsia="Arial" w:hAnsi="Arial"/>
          <w:sz w:val="18"/>
          <w:szCs w:val="18"/>
          <w:i w:val="1"/>
          <w:iCs w:val="1"/>
          <w:color w:val="auto"/>
        </w:rPr>
        <w:t>Annual Report on Form 10-K</w:t>
      </w:r>
      <w:r>
        <w:rPr>
          <w:rFonts w:ascii="Arial" w:cs="Arial" w:eastAsia="Arial" w:hAnsi="Arial"/>
          <w:sz w:val="18"/>
          <w:szCs w:val="18"/>
          <w:color w:val="auto"/>
        </w:rPr>
        <w:t xml:space="preserve"> to the Securities and Exchange Commission without charge by writing to the Secretary at the address listed under Contact Information on page 4, or by visiting ExxonMobil’s website at </w:t>
      </w:r>
      <w:r>
        <w:rPr>
          <w:rFonts w:ascii="Arial" w:cs="Arial" w:eastAsia="Arial" w:hAnsi="Arial"/>
          <w:sz w:val="18"/>
          <w:szCs w:val="18"/>
          <w:i w:val="1"/>
          <w:iCs w:val="1"/>
          <w:color w:val="auto"/>
        </w:rPr>
        <w:t>exxonmobil.com/secfilings.</w:t>
      </w:r>
    </w:p>
    <w:p>
      <w:pPr>
        <w:spacing w:after="0" w:line="97" w:lineRule="exact"/>
        <w:rPr>
          <w:sz w:val="20"/>
          <w:szCs w:val="20"/>
          <w:color w:val="auto"/>
        </w:rPr>
      </w:pPr>
    </w:p>
    <w:p>
      <w:pPr>
        <w:ind w:left="880"/>
        <w:spacing w:after="0"/>
        <w:tabs>
          <w:tab w:leader="none" w:pos="2780" w:val="left"/>
        </w:tabs>
        <w:rPr>
          <w:sz w:val="20"/>
          <w:szCs w:val="20"/>
          <w:color w:val="auto"/>
        </w:rPr>
      </w:pPr>
      <w:r>
        <w:rPr>
          <w:rFonts w:ascii="Arial" w:cs="Arial" w:eastAsia="Arial" w:hAnsi="Arial"/>
          <w:sz w:val="18"/>
          <w:szCs w:val="18"/>
          <w:color w:val="auto"/>
        </w:rPr>
        <w:t>62</w:t>
      </w:r>
      <w:r>
        <w:rPr>
          <w:sz w:val="20"/>
          <w:szCs w:val="20"/>
          <w:color w:val="auto"/>
        </w:rPr>
        <w:tab/>
      </w:r>
      <w:r>
        <w:rPr>
          <w:rFonts w:ascii="Times New Roman" w:cs="Times New Roman" w:eastAsia="Times New Roman" w:hAnsi="Times New Roman"/>
          <w:sz w:val="18"/>
          <w:szCs w:val="18"/>
          <w:i w:val="1"/>
          <w:iCs w:val="1"/>
          <w:color w:val="auto"/>
        </w:rPr>
        <w:t>2018 Proxy Statement</w:t>
      </w:r>
    </w:p>
    <w:p>
      <w:pPr>
        <w:sectPr>
          <w:pgSz w:w="11900" w:h="16838" w:orient="portrait"/>
          <w:cols w:equalWidth="0" w:num="1">
            <w:col w:w="10420"/>
          </w:cols>
          <w:pgMar w:left="240" w:top="455" w:right="1239" w:bottom="1440" w:gutter="0" w:footer="0" w:header="0"/>
        </w:sectPr>
      </w:pPr>
    </w:p>
    <w:bookmarkStart w:id="65" w:name="page66"/>
    <w:bookmarkEnd w:id="65"/>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15" name="Picture 1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
                    <pic:cNvPicPr>
                      <a:picLocks noChangeAspect="1" noChangeArrowheads="1"/>
                    </pic:cNvPicPr>
                  </pic:nvPicPr>
                  <pic:blipFill>
                    <a:blip r:embed="rId122">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Times New Roman" w:cs="Times New Roman" w:eastAsia="Times New Roman" w:hAnsi="Times New Roman"/>
            <w:sz w:val="18"/>
            <w:szCs w:val="18"/>
            <w:b w:val="1"/>
            <w:bCs w:val="1"/>
            <w:u w:val="single" w:color="auto"/>
            <w:color w:val="0000EE"/>
          </w:rPr>
          <w:t>Table of Contents</w:t>
        </w:r>
      </w:hyperlink>
    </w:p>
    <w:p>
      <w:pPr>
        <w:spacing w:after="0" w:line="300" w:lineRule="exact"/>
        <w:rPr>
          <w:sz w:val="20"/>
          <w:szCs w:val="20"/>
          <w:color w:val="auto"/>
        </w:rPr>
      </w:pPr>
    </w:p>
    <w:p>
      <w:pPr>
        <w:jc w:val="center"/>
        <w:ind w:right="-879"/>
        <w:spacing w:after="0"/>
        <w:rPr>
          <w:sz w:val="20"/>
          <w:szCs w:val="20"/>
          <w:color w:val="auto"/>
        </w:rPr>
      </w:pPr>
      <w:r>
        <w:rPr>
          <w:rFonts w:ascii="Arial" w:cs="Arial" w:eastAsia="Arial" w:hAnsi="Arial"/>
          <w:sz w:val="23"/>
          <w:szCs w:val="23"/>
          <w:b w:val="1"/>
          <w:bCs w:val="1"/>
          <w:color w:val="2B4C9B"/>
        </w:rPr>
        <w:t>DIRECTIONS</w:t>
      </w:r>
    </w:p>
    <w:p>
      <w:pPr>
        <w:spacing w:after="0" w:line="238" w:lineRule="exact"/>
        <w:rPr>
          <w:sz w:val="20"/>
          <w:szCs w:val="20"/>
          <w:color w:val="auto"/>
        </w:rPr>
      </w:pPr>
    </w:p>
    <w:p>
      <w:pPr>
        <w:jc w:val="center"/>
        <w:ind w:right="-879"/>
        <w:spacing w:after="0"/>
        <w:rPr>
          <w:sz w:val="20"/>
          <w:szCs w:val="20"/>
          <w:color w:val="auto"/>
        </w:rPr>
      </w:pPr>
      <w:r>
        <w:rPr>
          <w:rFonts w:ascii="Arial" w:cs="Arial" w:eastAsia="Arial" w:hAnsi="Arial"/>
          <w:sz w:val="18"/>
          <w:szCs w:val="18"/>
          <w:b w:val="1"/>
          <w:bCs w:val="1"/>
          <w:color w:val="auto"/>
        </w:rPr>
        <w:t>ExxonMobil 2018 Annual Meeting</w:t>
      </w:r>
    </w:p>
    <w:p>
      <w:pPr>
        <w:spacing w:after="0" w:line="15" w:lineRule="exact"/>
        <w:rPr>
          <w:sz w:val="20"/>
          <w:szCs w:val="20"/>
          <w:color w:val="auto"/>
        </w:rPr>
      </w:pPr>
    </w:p>
    <w:p>
      <w:pPr>
        <w:jc w:val="center"/>
        <w:ind w:right="-879"/>
        <w:spacing w:after="0"/>
        <w:rPr>
          <w:sz w:val="20"/>
          <w:szCs w:val="20"/>
          <w:color w:val="auto"/>
        </w:rPr>
      </w:pPr>
      <w:r>
        <w:rPr>
          <w:rFonts w:ascii="Arial" w:cs="Arial" w:eastAsia="Arial" w:hAnsi="Arial"/>
          <w:sz w:val="18"/>
          <w:szCs w:val="18"/>
          <w:b w:val="1"/>
          <w:bCs w:val="1"/>
          <w:color w:val="auto"/>
        </w:rPr>
        <w:t>Wednesday, May 30, 2018</w:t>
      </w:r>
    </w:p>
    <w:p>
      <w:pPr>
        <w:jc w:val="center"/>
        <w:ind w:right="-879"/>
        <w:spacing w:after="0" w:line="234" w:lineRule="auto"/>
        <w:rPr>
          <w:sz w:val="20"/>
          <w:szCs w:val="20"/>
          <w:color w:val="auto"/>
        </w:rPr>
      </w:pPr>
      <w:r>
        <w:rPr>
          <w:rFonts w:ascii="Arial" w:cs="Arial" w:eastAsia="Arial" w:hAnsi="Arial"/>
          <w:sz w:val="18"/>
          <w:szCs w:val="18"/>
          <w:b w:val="1"/>
          <w:bCs w:val="1"/>
          <w:color w:val="auto"/>
        </w:rPr>
        <w:t>9:30 a.m. Central Time</w:t>
      </w:r>
    </w:p>
    <w:p>
      <w:pPr>
        <w:jc w:val="center"/>
        <w:ind w:right="-879"/>
        <w:spacing w:after="0" w:line="235" w:lineRule="auto"/>
        <w:rPr>
          <w:sz w:val="20"/>
          <w:szCs w:val="20"/>
          <w:color w:val="auto"/>
        </w:rPr>
      </w:pPr>
      <w:r>
        <w:rPr>
          <w:rFonts w:ascii="Arial" w:cs="Arial" w:eastAsia="Arial" w:hAnsi="Arial"/>
          <w:sz w:val="18"/>
          <w:szCs w:val="18"/>
          <w:b w:val="1"/>
          <w:bCs w:val="1"/>
          <w:color w:val="auto"/>
        </w:rPr>
        <w:t>Morton H. Meyerson Symphony Center</w:t>
      </w:r>
    </w:p>
    <w:p>
      <w:pPr>
        <w:jc w:val="center"/>
        <w:ind w:right="-879"/>
        <w:spacing w:after="0" w:line="235" w:lineRule="auto"/>
        <w:rPr>
          <w:sz w:val="20"/>
          <w:szCs w:val="20"/>
          <w:color w:val="auto"/>
        </w:rPr>
      </w:pPr>
      <w:r>
        <w:rPr>
          <w:rFonts w:ascii="Arial" w:cs="Arial" w:eastAsia="Arial" w:hAnsi="Arial"/>
          <w:sz w:val="18"/>
          <w:szCs w:val="18"/>
          <w:b w:val="1"/>
          <w:bCs w:val="1"/>
          <w:color w:val="auto"/>
        </w:rPr>
        <w:t>2301 Flora Street</w:t>
      </w:r>
    </w:p>
    <w:p>
      <w:pPr>
        <w:spacing w:after="0" w:line="1" w:lineRule="exact"/>
        <w:rPr>
          <w:sz w:val="20"/>
          <w:szCs w:val="20"/>
          <w:color w:val="auto"/>
        </w:rPr>
      </w:pPr>
    </w:p>
    <w:p>
      <w:pPr>
        <w:jc w:val="center"/>
        <w:ind w:right="-879"/>
        <w:spacing w:after="0"/>
        <w:rPr>
          <w:sz w:val="20"/>
          <w:szCs w:val="20"/>
          <w:color w:val="auto"/>
        </w:rPr>
      </w:pPr>
      <w:r>
        <w:rPr>
          <w:rFonts w:ascii="Arial" w:cs="Arial" w:eastAsia="Arial" w:hAnsi="Arial"/>
          <w:sz w:val="18"/>
          <w:szCs w:val="18"/>
          <w:b w:val="1"/>
          <w:bCs w:val="1"/>
          <w:color w:val="auto"/>
        </w:rPr>
        <w:t>Dallas, Texas 75201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1017270</wp:posOffset>
            </wp:positionH>
            <wp:positionV relativeFrom="paragraph">
              <wp:posOffset>152400</wp:posOffset>
            </wp:positionV>
            <wp:extent cx="5222875" cy="2461260"/>
            <wp:wrapNone/>
            <wp:docPr id="116" name="Picture 1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
                    <pic:cNvPicPr>
                      <a:picLocks noChangeAspect="1" noChangeArrowheads="1"/>
                    </pic:cNvPicPr>
                  </pic:nvPicPr>
                  <pic:blipFill>
                    <a:blip r:embed="rId123">
                      <a:extLst>
                        <a:ext uri="{28A0092B-C50C-407E-A947-70E740481C1C}"/>
                      </a:extLst>
                    </a:blip>
                    <a:srcRect/>
                    <a:stretch>
                      <a:fillRect/>
                    </a:stretch>
                  </pic:blipFill>
                  <pic:spPr bwMode="auto">
                    <a:xfrm>
                      <a:off x="0" y="0"/>
                      <a:ext cx="5222875" cy="246126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6" w:lineRule="exact"/>
        <w:rPr>
          <w:sz w:val="20"/>
          <w:szCs w:val="20"/>
          <w:color w:val="auto"/>
        </w:rPr>
      </w:pPr>
    </w:p>
    <w:p>
      <w:pPr>
        <w:ind w:left="1240" w:right="300" w:hanging="388"/>
        <w:spacing w:after="0" w:line="275" w:lineRule="auto"/>
        <w:tabs>
          <w:tab w:leader="none" w:pos="1240" w:val="left"/>
        </w:tabs>
        <w:numPr>
          <w:ilvl w:val="0"/>
          <w:numId w:val="97"/>
        </w:numPr>
        <w:rPr>
          <w:rFonts w:ascii="Times New Roman" w:cs="Times New Roman" w:eastAsia="Times New Roman" w:hAnsi="Times New Roman"/>
          <w:sz w:val="18"/>
          <w:szCs w:val="18"/>
          <w:color w:val="auto"/>
        </w:rPr>
      </w:pPr>
      <w:r>
        <w:rPr>
          <w:rFonts w:ascii="Arial" w:cs="Arial" w:eastAsia="Arial" w:hAnsi="Arial"/>
          <w:sz w:val="18"/>
          <w:szCs w:val="18"/>
          <w:color w:val="auto"/>
        </w:rPr>
        <w:t>Free parking is available at the Hall Arts Center Parking Garage. Traffic and construction in the area may cause a delay; please allow extra time for parking.</w:t>
      </w:r>
    </w:p>
    <w:p>
      <w:pPr>
        <w:spacing w:after="0" w:line="49" w:lineRule="exact"/>
        <w:rPr>
          <w:rFonts w:ascii="Times New Roman" w:cs="Times New Roman" w:eastAsia="Times New Roman" w:hAnsi="Times New Roman"/>
          <w:sz w:val="18"/>
          <w:szCs w:val="18"/>
          <w:color w:val="auto"/>
        </w:rPr>
      </w:pPr>
    </w:p>
    <w:p>
      <w:pPr>
        <w:ind w:left="1240" w:right="120" w:hanging="388"/>
        <w:spacing w:after="0" w:line="308" w:lineRule="auto"/>
        <w:tabs>
          <w:tab w:leader="none" w:pos="1240" w:val="left"/>
        </w:tabs>
        <w:numPr>
          <w:ilvl w:val="0"/>
          <w:numId w:val="97"/>
        </w:numPr>
        <w:rPr>
          <w:rFonts w:ascii="Times New Roman" w:cs="Times New Roman" w:eastAsia="Times New Roman" w:hAnsi="Times New Roman"/>
          <w:sz w:val="17"/>
          <w:szCs w:val="17"/>
          <w:color w:val="auto"/>
        </w:rPr>
      </w:pPr>
      <w:r>
        <w:rPr>
          <w:rFonts w:ascii="Arial" w:cs="Arial" w:eastAsia="Arial" w:hAnsi="Arial"/>
          <w:sz w:val="17"/>
          <w:szCs w:val="17"/>
          <w:b w:val="1"/>
          <w:bCs w:val="1"/>
          <w:color w:val="auto"/>
        </w:rPr>
        <w:t xml:space="preserve">From I-45/Hwy. 75 </w:t>
      </w:r>
      <w:r>
        <w:rPr>
          <w:rFonts w:ascii="Arial" w:cs="Arial" w:eastAsia="Arial" w:hAnsi="Arial"/>
          <w:sz w:val="17"/>
          <w:szCs w:val="17"/>
          <w:color w:val="auto"/>
        </w:rPr>
        <w:t>– Take I-35E exit (Woodall Rodgers Frwy.) to Pearl Street exit or St. Paul exit (follow frontage</w:t>
      </w:r>
      <w:r>
        <w:rPr>
          <w:rFonts w:ascii="Arial" w:cs="Arial" w:eastAsia="Arial" w:hAnsi="Arial"/>
          <w:sz w:val="17"/>
          <w:szCs w:val="17"/>
          <w:b w:val="1"/>
          <w:bCs w:val="1"/>
          <w:color w:val="auto"/>
        </w:rPr>
        <w:t xml:space="preserve"> </w:t>
      </w:r>
      <w:r>
        <w:rPr>
          <w:rFonts w:ascii="Arial" w:cs="Arial" w:eastAsia="Arial" w:hAnsi="Arial"/>
          <w:sz w:val="17"/>
          <w:szCs w:val="17"/>
          <w:color w:val="auto"/>
        </w:rPr>
        <w:t>road east to Pearl Street); turn south and continue to Ross Avenue; turn left to the Hall Arts Center Parking Garage.</w:t>
      </w:r>
    </w:p>
    <w:p>
      <w:pPr>
        <w:spacing w:after="0" w:line="24" w:lineRule="exact"/>
        <w:rPr>
          <w:rFonts w:ascii="Times New Roman" w:cs="Times New Roman" w:eastAsia="Times New Roman" w:hAnsi="Times New Roman"/>
          <w:sz w:val="17"/>
          <w:szCs w:val="17"/>
          <w:color w:val="auto"/>
        </w:rPr>
      </w:pPr>
    </w:p>
    <w:p>
      <w:pPr>
        <w:ind w:left="1240" w:hanging="388"/>
        <w:spacing w:after="0" w:line="277" w:lineRule="auto"/>
        <w:tabs>
          <w:tab w:leader="none" w:pos="1240" w:val="left"/>
        </w:tabs>
        <w:numPr>
          <w:ilvl w:val="0"/>
          <w:numId w:val="97"/>
        </w:numPr>
        <w:rPr>
          <w:rFonts w:ascii="Times New Roman" w:cs="Times New Roman" w:eastAsia="Times New Roman" w:hAnsi="Times New Roman"/>
          <w:sz w:val="18"/>
          <w:szCs w:val="18"/>
          <w:color w:val="auto"/>
        </w:rPr>
      </w:pPr>
      <w:r>
        <w:rPr>
          <w:rFonts w:ascii="Arial" w:cs="Arial" w:eastAsia="Arial" w:hAnsi="Arial"/>
          <w:sz w:val="18"/>
          <w:szCs w:val="18"/>
          <w:b w:val="1"/>
          <w:bCs w:val="1"/>
          <w:color w:val="auto"/>
        </w:rPr>
        <w:t xml:space="preserve">From I-35 </w:t>
      </w:r>
      <w:r>
        <w:rPr>
          <w:rFonts w:ascii="Arial" w:cs="Arial" w:eastAsia="Arial" w:hAnsi="Arial"/>
          <w:sz w:val="18"/>
          <w:szCs w:val="18"/>
          <w:color w:val="auto"/>
        </w:rPr>
        <w:t>– Take I-45/Hwy. 75 exit (Woodall Rodgers Frwy.) to Pearl Street exit; continue to Ross Avenue; turn left to</w:t>
      </w:r>
      <w:r>
        <w:rPr>
          <w:rFonts w:ascii="Arial" w:cs="Arial" w:eastAsia="Arial" w:hAnsi="Arial"/>
          <w:sz w:val="18"/>
          <w:szCs w:val="18"/>
          <w:b w:val="1"/>
          <w:bCs w:val="1"/>
          <w:color w:val="auto"/>
        </w:rPr>
        <w:t xml:space="preserve"> </w:t>
      </w:r>
      <w:r>
        <w:rPr>
          <w:rFonts w:ascii="Arial" w:cs="Arial" w:eastAsia="Arial" w:hAnsi="Arial"/>
          <w:sz w:val="18"/>
          <w:szCs w:val="18"/>
          <w:color w:val="auto"/>
        </w:rPr>
        <w:t>the Hall Arts Center Parking Garage.</w:t>
      </w:r>
    </w:p>
    <w:p>
      <w:pPr>
        <w:spacing w:after="0" w:line="47" w:lineRule="exact"/>
        <w:rPr>
          <w:rFonts w:ascii="Times New Roman" w:cs="Times New Roman" w:eastAsia="Times New Roman" w:hAnsi="Times New Roman"/>
          <w:sz w:val="18"/>
          <w:szCs w:val="18"/>
          <w:color w:val="auto"/>
        </w:rPr>
      </w:pPr>
    </w:p>
    <w:p>
      <w:pPr>
        <w:ind w:left="1240" w:hanging="388"/>
        <w:spacing w:after="0"/>
        <w:tabs>
          <w:tab w:leader="none" w:pos="1240" w:val="left"/>
        </w:tabs>
        <w:numPr>
          <w:ilvl w:val="0"/>
          <w:numId w:val="97"/>
        </w:numPr>
        <w:rPr>
          <w:rFonts w:ascii="Times New Roman" w:cs="Times New Roman" w:eastAsia="Times New Roman" w:hAnsi="Times New Roman"/>
          <w:sz w:val="18"/>
          <w:szCs w:val="18"/>
          <w:color w:val="auto"/>
        </w:rPr>
      </w:pPr>
      <w:r>
        <w:rPr>
          <w:rFonts w:ascii="Arial" w:cs="Arial" w:eastAsia="Arial" w:hAnsi="Arial"/>
          <w:sz w:val="18"/>
          <w:szCs w:val="18"/>
          <w:b w:val="1"/>
          <w:bCs w:val="1"/>
          <w:color w:val="auto"/>
        </w:rPr>
        <w:t xml:space="preserve">From DFW Airport </w:t>
      </w:r>
      <w:r>
        <w:rPr>
          <w:rFonts w:ascii="Arial" w:cs="Arial" w:eastAsia="Arial" w:hAnsi="Arial"/>
          <w:sz w:val="18"/>
          <w:szCs w:val="18"/>
          <w:color w:val="auto"/>
        </w:rPr>
        <w:t>– Take South exit to Hwy. 183 East (merges with I-35E); follow directions from I-35E (above).</w:t>
      </w:r>
    </w:p>
    <w:p>
      <w:pPr>
        <w:spacing w:after="0" w:line="129" w:lineRule="exact"/>
        <w:rPr>
          <w:rFonts w:ascii="Times New Roman" w:cs="Times New Roman" w:eastAsia="Times New Roman" w:hAnsi="Times New Roman"/>
          <w:sz w:val="18"/>
          <w:szCs w:val="18"/>
          <w:color w:val="auto"/>
        </w:rPr>
      </w:pPr>
    </w:p>
    <w:p>
      <w:pPr>
        <w:ind w:left="1240" w:hanging="388"/>
        <w:spacing w:after="0"/>
        <w:tabs>
          <w:tab w:leader="none" w:pos="1240" w:val="left"/>
        </w:tabs>
        <w:numPr>
          <w:ilvl w:val="0"/>
          <w:numId w:val="97"/>
        </w:numPr>
        <w:rPr>
          <w:rFonts w:ascii="Times New Roman" w:cs="Times New Roman" w:eastAsia="Times New Roman" w:hAnsi="Times New Roman"/>
          <w:sz w:val="18"/>
          <w:szCs w:val="18"/>
          <w:color w:val="auto"/>
        </w:rPr>
      </w:pPr>
      <w:r>
        <w:rPr>
          <w:rFonts w:ascii="Arial" w:cs="Arial" w:eastAsia="Arial" w:hAnsi="Arial"/>
          <w:sz w:val="18"/>
          <w:szCs w:val="18"/>
          <w:b w:val="1"/>
          <w:bCs w:val="1"/>
          <w:color w:val="auto"/>
        </w:rPr>
        <w:t xml:space="preserve">From Love Field </w:t>
      </w:r>
      <w:r>
        <w:rPr>
          <w:rFonts w:ascii="Arial" w:cs="Arial" w:eastAsia="Arial" w:hAnsi="Arial"/>
          <w:sz w:val="18"/>
          <w:szCs w:val="18"/>
          <w:color w:val="auto"/>
        </w:rPr>
        <w:t>– Exit airport on Mockingbird Lane west to I-35E South; follow directions from I-35E (above).</w:t>
      </w:r>
    </w:p>
    <w:p>
      <w:pPr>
        <w:spacing w:after="0" w:line="159" w:lineRule="exact"/>
        <w:rPr>
          <w:sz w:val="20"/>
          <w:szCs w:val="20"/>
          <w:color w:val="auto"/>
        </w:rPr>
      </w:pPr>
    </w:p>
    <w:tbl>
      <w:tblPr>
        <w:tblLayout w:type="fixed"/>
        <w:tblInd w:w="6960" w:type="dxa"/>
        <w:tblCellMar>
          <w:top w:w="0" w:type="dxa"/>
          <w:left w:w="0" w:type="dxa"/>
          <w:bottom w:w="0" w:type="dxa"/>
          <w:right w:w="0" w:type="dxa"/>
        </w:tblCellMar>
      </w:tblPr>
      <w:tr>
        <w:trPr>
          <w:trHeight w:val="243"/>
        </w:trPr>
        <w:tc>
          <w:tcPr>
            <w:tcW w:w="2440" w:type="dxa"/>
            <w:vAlign w:val="bottom"/>
          </w:tcPr>
          <w:p>
            <w:pPr>
              <w:spacing w:after="0"/>
              <w:rPr>
                <w:sz w:val="20"/>
                <w:szCs w:val="20"/>
                <w:color w:val="auto"/>
              </w:rPr>
            </w:pPr>
            <w:r>
              <w:rPr>
                <w:rFonts w:ascii="Times New Roman" w:cs="Times New Roman" w:eastAsia="Times New Roman" w:hAnsi="Times New Roman"/>
                <w:sz w:val="18"/>
                <w:szCs w:val="18"/>
                <w:i w:val="1"/>
                <w:iCs w:val="1"/>
                <w:color w:val="auto"/>
              </w:rPr>
              <w:t>2018 Proxy Statement</w:t>
            </w:r>
          </w:p>
        </w:tc>
        <w:tc>
          <w:tcPr>
            <w:tcW w:w="1060" w:type="dxa"/>
            <w:vAlign w:val="bottom"/>
          </w:tcPr>
          <w:p>
            <w:pPr>
              <w:jc w:val="right"/>
              <w:spacing w:after="0"/>
              <w:rPr>
                <w:sz w:val="20"/>
                <w:szCs w:val="20"/>
                <w:color w:val="auto"/>
              </w:rPr>
            </w:pPr>
            <w:r>
              <w:rPr>
                <w:rFonts w:ascii="Arial" w:cs="Arial" w:eastAsia="Arial" w:hAnsi="Arial"/>
                <w:sz w:val="18"/>
                <w:szCs w:val="18"/>
                <w:color w:val="auto"/>
              </w:rPr>
              <w:t>63</w:t>
            </w:r>
          </w:p>
        </w:tc>
      </w:tr>
    </w:tbl>
    <w:p>
      <w:pPr>
        <w:sectPr>
          <w:pgSz w:w="11900" w:h="16838" w:orient="portrait"/>
          <w:cols w:equalWidth="0" w:num="1">
            <w:col w:w="10540"/>
          </w:cols>
          <w:pgMar w:left="240" w:top="455" w:right="1119" w:bottom="1440" w:gutter="0" w:footer="0" w:header="0"/>
        </w:sectPr>
      </w:pPr>
    </w:p>
    <w:bookmarkStart w:id="66" w:name="page67"/>
    <w:bookmarkEnd w:id="66"/>
    <w:p>
      <w:pPr>
        <w:spacing w:after="0"/>
        <w:rPr>
          <w:rFonts w:ascii="Times New Roman" w:cs="Times New Roman" w:eastAsia="Times New Roman" w:hAnsi="Times New Roman"/>
          <w:sz w:val="17"/>
          <w:szCs w:val="17"/>
          <w:b w:val="1"/>
          <w:bCs w:val="1"/>
          <w:u w:val="single" w:color="auto"/>
          <w:color w:val="0000EE"/>
        </w:rPr>
      </w:pPr>
      <w:r>
        <w:rPr>
          <w:rFonts w:ascii="Times New Roman" w:cs="Times New Roman" w:eastAsia="Times New Roman" w:hAnsi="Times New Roman"/>
          <w:sz w:val="17"/>
          <w:szCs w:val="17"/>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17" name="Picture 1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
                    <pic:cNvPicPr>
                      <a:picLocks noChangeAspect="1" noChangeArrowheads="1"/>
                    </pic:cNvPicPr>
                  </pic:nvPicPr>
                  <pic:blipFill>
                    <a:blip r:embed="rId124">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Times New Roman" w:cs="Times New Roman" w:eastAsia="Times New Roman" w:hAnsi="Times New Roman"/>
            <w:sz w:val="17"/>
            <w:szCs w:val="17"/>
            <w:b w:val="1"/>
            <w:bCs w:val="1"/>
            <w:u w:val="single" w:color="auto"/>
            <w:color w:val="0000EE"/>
          </w:rPr>
          <w:t>Table of Contents</w:t>
        </w:r>
      </w:hyperlink>
    </w:p>
    <w:p>
      <w:pPr>
        <w:sectPr>
          <w:pgSz w:w="11900" w:h="16838" w:orient="portrait"/>
          <w:cols w:equalWidth="0" w:num="1">
            <w:col w:w="10520"/>
          </w:cols>
          <w:pgMar w:left="240" w:top="455" w:right="11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2" w:lineRule="exact"/>
        <w:rPr>
          <w:sz w:val="20"/>
          <w:szCs w:val="20"/>
          <w:color w:val="auto"/>
        </w:rPr>
      </w:pPr>
    </w:p>
    <w:p>
      <w:pPr>
        <w:ind w:left="860"/>
        <w:spacing w:after="0"/>
        <w:tabs>
          <w:tab w:leader="none" w:pos="9500" w:val="left"/>
        </w:tabs>
        <w:rPr>
          <w:sz w:val="20"/>
          <w:szCs w:val="20"/>
          <w:color w:val="auto"/>
        </w:rPr>
      </w:pPr>
      <w:r>
        <w:rPr>
          <w:sz w:val="1"/>
          <w:szCs w:val="1"/>
          <w:color w:val="auto"/>
        </w:rPr>
        <w:drawing>
          <wp:inline distT="0" distB="0" distL="0" distR="0">
            <wp:extent cx="257175" cy="257175"/>
            <wp:effectExtent l="0" t="0" r="0" b="0"/>
            <wp:docPr id="118" name="Picture 1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
                    <pic:cNvPicPr>
                      <a:picLocks noChangeAspect="1" noChangeArrowheads="1"/>
                    </pic:cNvPicPr>
                  </pic:nvPicPr>
                  <pic:blipFill>
                    <a:blip r:embed="rId125">
                      <a:extLst>
                        <a:ext uri="{28A0092B-C50C-407E-A947-70E740481C1C}"/>
                      </a:extLst>
                    </a:blip>
                    <a:srcRect/>
                    <a:stretch>
                      <a:fillRect/>
                    </a:stretch>
                  </pic:blipFill>
                  <pic:spPr bwMode="auto">
                    <a:xfrm>
                      <a:off x="0" y="0"/>
                      <a:ext cx="257175" cy="257175"/>
                    </a:xfrm>
                    <a:prstGeom prst="rect">
                      <a:avLst/>
                    </a:prstGeom>
                    <a:noFill/>
                    <a:ln>
                      <a:noFill/>
                    </a:ln>
                  </pic:spPr>
                </pic:pic>
              </a:graphicData>
            </a:graphic>
          </wp:inline>
        </w:drawing>
      </w:r>
      <w:r>
        <w:rPr>
          <w:rFonts w:ascii="Arial" w:cs="Arial" w:eastAsia="Arial" w:hAnsi="Arial"/>
          <w:sz w:val="16"/>
          <w:szCs w:val="16"/>
          <w:b w:val="1"/>
          <w:bCs w:val="1"/>
          <w:i w:val="1"/>
          <w:iCs w:val="1"/>
          <w:color w:val="auto"/>
        </w:rPr>
        <w:t xml:space="preserve"> Printed entirely on recycled paper</w:t>
      </w:r>
      <w:r>
        <w:rPr>
          <w:sz w:val="20"/>
          <w:szCs w:val="20"/>
          <w:color w:val="auto"/>
        </w:rPr>
        <w:tab/>
      </w:r>
      <w:r>
        <w:rPr>
          <w:rFonts w:ascii="Arial" w:cs="Arial" w:eastAsia="Arial" w:hAnsi="Arial"/>
          <w:sz w:val="16"/>
          <w:szCs w:val="16"/>
          <w:color w:val="auto"/>
        </w:rPr>
        <w:t>002CSN8BFF</w:t>
      </w:r>
    </w:p>
    <w:p>
      <w:pPr>
        <w:sectPr>
          <w:pgSz w:w="11900" w:h="16838" w:orient="portrait"/>
          <w:cols w:equalWidth="0" w:num="1">
            <w:col w:w="10520"/>
          </w:cols>
          <w:pgMar w:left="240" w:top="455" w:right="1139" w:bottom="1440" w:gutter="0" w:footer="0" w:header="0"/>
          <w:type w:val="continuous"/>
        </w:sectPr>
      </w:pPr>
    </w:p>
    <w:bookmarkStart w:id="67" w:name="page68"/>
    <w:bookmarkEnd w:id="67"/>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19" name="Picture 1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9"/>
                    <pic:cNvPicPr>
                      <a:picLocks noChangeAspect="1" noChangeArrowheads="1"/>
                    </pic:cNvPicPr>
                  </pic:nvPicPr>
                  <pic:blipFill>
                    <a:blip r:embed="rId126">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Times New Roman" w:cs="Times New Roman" w:eastAsia="Times New Roman" w:hAnsi="Times New Roman"/>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854075</wp:posOffset>
            </wp:positionH>
            <wp:positionV relativeFrom="paragraph">
              <wp:posOffset>208280</wp:posOffset>
            </wp:positionV>
            <wp:extent cx="2701290" cy="514350"/>
            <wp:wrapNone/>
            <wp:docPr id="120" name="Picture 1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0"/>
                    <pic:cNvPicPr>
                      <a:picLocks noChangeAspect="1" noChangeArrowheads="1"/>
                    </pic:cNvPicPr>
                  </pic:nvPicPr>
                  <pic:blipFill>
                    <a:blip r:embed="rId127">
                      <a:extLst>
                        <a:ext uri="{28A0092B-C50C-407E-A947-70E740481C1C}"/>
                      </a:extLst>
                    </a:blip>
                    <a:srcRect/>
                    <a:stretch>
                      <a:fillRect/>
                    </a:stretch>
                  </pic:blipFill>
                  <pic:spPr bwMode="auto">
                    <a:xfrm>
                      <a:off x="0" y="0"/>
                      <a:ext cx="2701290" cy="51435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0" w:lineRule="exact"/>
        <w:rPr>
          <w:sz w:val="20"/>
          <w:szCs w:val="20"/>
          <w:color w:val="auto"/>
        </w:rPr>
      </w:pPr>
    </w:p>
    <w:p>
      <w:pPr>
        <w:ind w:left="6860"/>
        <w:spacing w:after="0"/>
        <w:rPr>
          <w:sz w:val="20"/>
          <w:szCs w:val="20"/>
          <w:color w:val="auto"/>
        </w:rPr>
      </w:pPr>
      <w:r>
        <w:rPr>
          <w:rFonts w:ascii="Arial" w:cs="Arial" w:eastAsia="Arial" w:hAnsi="Arial"/>
          <w:sz w:val="20"/>
          <w:szCs w:val="20"/>
          <w:b w:val="1"/>
          <w:bCs w:val="1"/>
          <w:color w:val="auto"/>
        </w:rPr>
        <w:t>Here’s how to vote:</w:t>
      </w:r>
    </w:p>
    <w:p>
      <w:pPr>
        <w:spacing w:after="0" w:line="65" w:lineRule="exact"/>
        <w:rPr>
          <w:sz w:val="20"/>
          <w:szCs w:val="20"/>
          <w:color w:val="auto"/>
        </w:rPr>
      </w:pPr>
    </w:p>
    <w:p>
      <w:pPr>
        <w:ind w:left="6860"/>
        <w:spacing w:after="0"/>
        <w:rPr>
          <w:sz w:val="20"/>
          <w:szCs w:val="20"/>
          <w:color w:val="auto"/>
        </w:rPr>
      </w:pPr>
      <w:r>
        <w:rPr>
          <w:rFonts w:ascii="Arial" w:cs="Arial" w:eastAsia="Arial" w:hAnsi="Arial"/>
          <w:sz w:val="16"/>
          <w:szCs w:val="16"/>
          <w:b w:val="1"/>
          <w:bCs w:val="1"/>
          <w:color w:val="auto"/>
        </w:rPr>
        <w:t>Online</w:t>
      </w:r>
    </w:p>
    <w:p>
      <w:pPr>
        <w:spacing w:after="0" w:line="73" w:lineRule="exact"/>
        <w:rPr>
          <w:sz w:val="20"/>
          <w:szCs w:val="20"/>
          <w:color w:val="auto"/>
        </w:rPr>
      </w:pPr>
    </w:p>
    <w:p>
      <w:pPr>
        <w:ind w:left="6860"/>
        <w:spacing w:after="0"/>
        <w:rPr>
          <w:sz w:val="20"/>
          <w:szCs w:val="20"/>
          <w:color w:val="auto"/>
        </w:rPr>
      </w:pPr>
      <w:r>
        <w:rPr>
          <w:rFonts w:ascii="Arial" w:cs="Arial" w:eastAsia="Arial" w:hAnsi="Arial"/>
          <w:sz w:val="16"/>
          <w:szCs w:val="16"/>
          <w:color w:val="auto"/>
        </w:rPr>
        <w:t xml:space="preserve">•  Go to </w:t>
      </w:r>
      <w:r>
        <w:rPr>
          <w:rFonts w:ascii="Arial" w:cs="Arial" w:eastAsia="Arial" w:hAnsi="Arial"/>
          <w:sz w:val="16"/>
          <w:szCs w:val="16"/>
          <w:b w:val="1"/>
          <w:bCs w:val="1"/>
          <w:color w:val="auto"/>
        </w:rPr>
        <w:t>www.investorvote.com/exxonmobil</w:t>
      </w:r>
      <w:r>
        <w:rPr>
          <w:rFonts w:ascii="Arial" w:cs="Arial" w:eastAsia="Arial" w:hAnsi="Arial"/>
          <w:sz w:val="16"/>
          <w:szCs w:val="16"/>
          <w:color w:val="auto"/>
        </w:rPr>
        <w:t xml:space="preserve"> or</w:t>
      </w:r>
    </w:p>
    <w:p>
      <w:pPr>
        <w:spacing w:after="0" w:line="27" w:lineRule="exact"/>
        <w:rPr>
          <w:sz w:val="20"/>
          <w:szCs w:val="20"/>
          <w:color w:val="auto"/>
        </w:rPr>
      </w:pPr>
    </w:p>
    <w:p>
      <w:pPr>
        <w:ind w:left="7020"/>
        <w:spacing w:after="0"/>
        <w:rPr>
          <w:sz w:val="20"/>
          <w:szCs w:val="20"/>
          <w:color w:val="auto"/>
        </w:rPr>
      </w:pPr>
      <w:r>
        <w:rPr>
          <w:rFonts w:ascii="Arial" w:cs="Arial" w:eastAsia="Arial" w:hAnsi="Arial"/>
          <w:sz w:val="16"/>
          <w:szCs w:val="16"/>
          <w:color w:val="auto"/>
        </w:rPr>
        <w:t>scan the QR code</w:t>
      </w:r>
    </w:p>
    <w:p>
      <w:pPr>
        <w:spacing w:after="0" w:line="51" w:lineRule="exact"/>
        <w:rPr>
          <w:sz w:val="20"/>
          <w:szCs w:val="20"/>
          <w:color w:val="auto"/>
        </w:rPr>
      </w:pPr>
    </w:p>
    <w:p>
      <w:pPr>
        <w:ind w:left="6860"/>
        <w:spacing w:after="0"/>
        <w:rPr>
          <w:sz w:val="20"/>
          <w:szCs w:val="20"/>
          <w:color w:val="auto"/>
        </w:rPr>
      </w:pPr>
      <w:r>
        <w:rPr>
          <w:rFonts w:ascii="Arial" w:cs="Arial" w:eastAsia="Arial" w:hAnsi="Arial"/>
          <w:sz w:val="16"/>
          <w:szCs w:val="16"/>
          <w:b w:val="1"/>
          <w:bCs w:val="1"/>
          <w:color w:val="auto"/>
        </w:rPr>
        <w:t>Telephone</w:t>
      </w:r>
    </w:p>
    <w:p>
      <w:pPr>
        <w:spacing w:after="0" w:line="27" w:lineRule="exact"/>
        <w:rPr>
          <w:sz w:val="20"/>
          <w:szCs w:val="20"/>
          <w:color w:val="auto"/>
        </w:rPr>
      </w:pPr>
    </w:p>
    <w:p>
      <w:pPr>
        <w:ind w:left="6860"/>
        <w:spacing w:after="0"/>
        <w:rPr>
          <w:sz w:val="20"/>
          <w:szCs w:val="20"/>
          <w:color w:val="auto"/>
        </w:rPr>
      </w:pPr>
      <w:r>
        <w:rPr>
          <w:rFonts w:ascii="Arial" w:cs="Arial" w:eastAsia="Arial" w:hAnsi="Arial"/>
          <w:sz w:val="16"/>
          <w:szCs w:val="16"/>
          <w:color w:val="auto"/>
        </w:rPr>
        <w:t>•  Call toll free at 1-800-652-VOTE (8683)</w:t>
      </w:r>
    </w:p>
    <w:p>
      <w:pPr>
        <w:spacing w:after="0" w:line="53" w:lineRule="exact"/>
        <w:rPr>
          <w:sz w:val="20"/>
          <w:szCs w:val="20"/>
          <w:color w:val="auto"/>
        </w:rPr>
      </w:pPr>
    </w:p>
    <w:p>
      <w:pPr>
        <w:ind w:left="6860"/>
        <w:spacing w:after="0"/>
        <w:tabs>
          <w:tab w:leader="none" w:pos="7040" w:val="left"/>
        </w:tabs>
        <w:rPr>
          <w:sz w:val="20"/>
          <w:szCs w:val="20"/>
          <w:color w:val="auto"/>
        </w:rPr>
      </w:pPr>
      <w:r>
        <w:rPr>
          <w:rFonts w:ascii="Arial" w:cs="Arial" w:eastAsia="Arial" w:hAnsi="Arial"/>
          <w:sz w:val="16"/>
          <w:szCs w:val="16"/>
          <w:color w:val="auto"/>
        </w:rPr>
        <w:t>•</w:t>
        <w:tab/>
        <w:t>Outside the U.S., Canada, and Puerto Rico, call</w:t>
      </w:r>
    </w:p>
    <w:p>
      <w:pPr>
        <w:spacing w:after="0" w:line="25" w:lineRule="exact"/>
        <w:rPr>
          <w:sz w:val="20"/>
          <w:szCs w:val="20"/>
          <w:color w:val="auto"/>
        </w:rPr>
      </w:pPr>
    </w:p>
    <w:p>
      <w:pPr>
        <w:ind w:left="7020"/>
        <w:spacing w:after="0"/>
        <w:rPr>
          <w:sz w:val="20"/>
          <w:szCs w:val="20"/>
          <w:color w:val="auto"/>
        </w:rPr>
      </w:pPr>
      <w:r>
        <w:rPr>
          <w:rFonts w:ascii="Arial" w:cs="Arial" w:eastAsia="Arial" w:hAnsi="Arial"/>
          <w:sz w:val="16"/>
          <w:szCs w:val="16"/>
          <w:color w:val="auto"/>
        </w:rPr>
        <w:t>1-781-575-2300 through an operator and we will</w:t>
      </w:r>
    </w:p>
    <w:p>
      <w:pPr>
        <w:spacing w:after="0" w:line="5" w:lineRule="exact"/>
        <w:rPr>
          <w:sz w:val="20"/>
          <w:szCs w:val="20"/>
          <w:color w:val="auto"/>
        </w:rPr>
      </w:pPr>
    </w:p>
    <w:p>
      <w:pPr>
        <w:ind w:left="7020"/>
        <w:spacing w:after="0"/>
        <w:rPr>
          <w:sz w:val="20"/>
          <w:szCs w:val="20"/>
          <w:color w:val="auto"/>
        </w:rPr>
      </w:pPr>
      <w:r>
        <w:rPr>
          <w:rFonts w:ascii="Arial" w:cs="Arial" w:eastAsia="Arial" w:hAnsi="Arial"/>
          <w:sz w:val="16"/>
          <w:szCs w:val="16"/>
          <w:color w:val="auto"/>
        </w:rPr>
        <w:t>accept the charge</w:t>
      </w:r>
    </w:p>
    <w:p>
      <w:pPr>
        <w:spacing w:after="0" w:line="159" w:lineRule="exact"/>
        <w:rPr>
          <w:sz w:val="20"/>
          <w:szCs w:val="20"/>
          <w:color w:val="auto"/>
        </w:rPr>
      </w:pPr>
    </w:p>
    <w:p>
      <w:pPr>
        <w:ind w:left="6860"/>
        <w:spacing w:after="0"/>
        <w:rPr>
          <w:sz w:val="20"/>
          <w:szCs w:val="20"/>
          <w:color w:val="auto"/>
        </w:rPr>
      </w:pPr>
      <w:r>
        <w:rPr>
          <w:rFonts w:ascii="Arial" w:cs="Arial" w:eastAsia="Arial" w:hAnsi="Arial"/>
          <w:sz w:val="16"/>
          <w:szCs w:val="16"/>
          <w:b w:val="1"/>
          <w:bCs w:val="1"/>
          <w:color w:val="auto"/>
        </w:rPr>
        <w:t>Vote online or by telephone 24 hours a day, 7</w:t>
      </w:r>
    </w:p>
    <w:p>
      <w:pPr>
        <w:spacing w:after="0" w:line="27" w:lineRule="exact"/>
        <w:rPr>
          <w:sz w:val="20"/>
          <w:szCs w:val="20"/>
          <w:color w:val="auto"/>
        </w:rPr>
      </w:pPr>
    </w:p>
    <w:p>
      <w:pPr>
        <w:ind w:left="6860"/>
        <w:spacing w:after="0"/>
        <w:rPr>
          <w:sz w:val="20"/>
          <w:szCs w:val="20"/>
          <w:color w:val="auto"/>
        </w:rPr>
      </w:pPr>
      <w:r>
        <w:rPr>
          <w:rFonts w:ascii="Arial" w:cs="Arial" w:eastAsia="Arial" w:hAnsi="Arial"/>
          <w:sz w:val="16"/>
          <w:szCs w:val="16"/>
          <w:b w:val="1"/>
          <w:bCs w:val="1"/>
          <w:color w:val="auto"/>
        </w:rPr>
        <w:t>days a week. Login details are located in the</w:t>
      </w:r>
    </w:p>
    <w:p>
      <w:pPr>
        <w:spacing w:after="0" w:line="2" w:lineRule="exact"/>
        <w:rPr>
          <w:sz w:val="20"/>
          <w:szCs w:val="20"/>
          <w:color w:val="auto"/>
        </w:rPr>
      </w:pPr>
    </w:p>
    <w:p>
      <w:pPr>
        <w:ind w:left="6860"/>
        <w:spacing w:after="0"/>
        <w:rPr>
          <w:sz w:val="20"/>
          <w:szCs w:val="20"/>
          <w:color w:val="auto"/>
        </w:rPr>
      </w:pPr>
      <w:r>
        <w:rPr>
          <w:rFonts w:ascii="Arial" w:cs="Arial" w:eastAsia="Arial" w:hAnsi="Arial"/>
          <w:sz w:val="16"/>
          <w:szCs w:val="16"/>
          <w:b w:val="1"/>
          <w:bCs w:val="1"/>
          <w:color w:val="auto"/>
        </w:rPr>
        <w:t>shaded bar below.</w:t>
      </w:r>
    </w:p>
    <w:tbl>
      <w:tblPr>
        <w:tblLayout w:type="fixed"/>
        <w:tblInd w:w="860" w:type="dxa"/>
        <w:tblCellMar>
          <w:top w:w="0" w:type="dxa"/>
          <w:left w:w="0" w:type="dxa"/>
          <w:bottom w:w="0" w:type="dxa"/>
          <w:right w:w="0" w:type="dxa"/>
        </w:tblCellMar>
      </w:tblPr>
      <w:tr>
        <w:trPr>
          <w:trHeight w:val="128"/>
        </w:trPr>
        <w:tc>
          <w:tcPr>
            <w:tcW w:w="4080" w:type="dxa"/>
            <w:vAlign w:val="bottom"/>
            <w:gridSpan w:val="3"/>
          </w:tcPr>
          <w:p>
            <w:pPr>
              <w:spacing w:after="0" w:line="128" w:lineRule="exact"/>
              <w:rPr>
                <w:sz w:val="20"/>
                <w:szCs w:val="20"/>
                <w:color w:val="auto"/>
              </w:rPr>
            </w:pPr>
            <w:r>
              <w:rPr>
                <w:rFonts w:ascii="Arial" w:cs="Arial" w:eastAsia="Arial" w:hAnsi="Arial"/>
                <w:sz w:val="13"/>
                <w:szCs w:val="13"/>
                <w:color w:val="auto"/>
              </w:rPr>
              <w:t xml:space="preserve">Using a </w:t>
            </w:r>
            <w:r>
              <w:rPr>
                <w:rFonts w:ascii="Arial" w:cs="Arial" w:eastAsia="Arial" w:hAnsi="Arial"/>
                <w:sz w:val="13"/>
                <w:szCs w:val="13"/>
                <w:b w:val="1"/>
                <w:bCs w:val="1"/>
                <w:color w:val="auto"/>
              </w:rPr>
              <w:t>black ink</w:t>
            </w:r>
            <w:r>
              <w:rPr>
                <w:rFonts w:ascii="Arial" w:cs="Arial" w:eastAsia="Arial" w:hAnsi="Arial"/>
                <w:sz w:val="13"/>
                <w:szCs w:val="13"/>
                <w:color w:val="auto"/>
              </w:rPr>
              <w:t xml:space="preserve"> pen, mark your votes with an </w:t>
            </w:r>
            <w:r>
              <w:rPr>
                <w:rFonts w:ascii="Arial" w:cs="Arial" w:eastAsia="Arial" w:hAnsi="Arial"/>
                <w:sz w:val="13"/>
                <w:szCs w:val="13"/>
                <w:b w:val="1"/>
                <w:bCs w:val="1"/>
                <w:color w:val="auto"/>
              </w:rPr>
              <w:t>X</w:t>
            </w:r>
            <w:r>
              <w:rPr>
                <w:rFonts w:ascii="Arial" w:cs="Arial" w:eastAsia="Arial" w:hAnsi="Arial"/>
                <w:sz w:val="13"/>
                <w:szCs w:val="13"/>
                <w:color w:val="auto"/>
              </w:rPr>
              <w:t xml:space="preserve"> as shown in  this</w:t>
            </w:r>
          </w:p>
        </w:tc>
        <w:tc>
          <w:tcPr>
            <w:tcW w:w="440" w:type="dxa"/>
            <w:vAlign w:val="bottom"/>
          </w:tcPr>
          <w:p>
            <w:pPr>
              <w:ind w:left="120"/>
              <w:spacing w:after="0" w:line="128" w:lineRule="exact"/>
              <w:rPr>
                <w:sz w:val="20"/>
                <w:szCs w:val="20"/>
                <w:color w:val="auto"/>
              </w:rPr>
            </w:pPr>
            <w:r>
              <w:rPr>
                <w:rFonts w:ascii="MS PGothic" w:cs="MS PGothic" w:eastAsia="MS PGothic" w:hAnsi="MS PGothic"/>
                <w:sz w:val="17"/>
                <w:szCs w:val="17"/>
                <w:color w:val="auto"/>
              </w:rPr>
              <w:t>☒</w:t>
            </w:r>
          </w:p>
        </w:tc>
        <w:tc>
          <w:tcPr>
            <w:tcW w:w="0" w:type="dxa"/>
            <w:vAlign w:val="bottom"/>
          </w:tcPr>
          <w:p>
            <w:pPr>
              <w:spacing w:after="0"/>
              <w:rPr>
                <w:sz w:val="1"/>
                <w:szCs w:val="1"/>
                <w:color w:val="auto"/>
              </w:rPr>
            </w:pPr>
          </w:p>
        </w:tc>
      </w:tr>
      <w:tr>
        <w:trPr>
          <w:trHeight w:val="20"/>
        </w:trPr>
        <w:tc>
          <w:tcPr>
            <w:tcW w:w="480" w:type="dxa"/>
            <w:vAlign w:val="bottom"/>
            <w:vMerge w:val="restart"/>
          </w:tcPr>
          <w:p>
            <w:pPr>
              <w:spacing w:after="0"/>
              <w:rPr>
                <w:sz w:val="20"/>
                <w:szCs w:val="20"/>
                <w:color w:val="auto"/>
              </w:rPr>
            </w:pPr>
            <w:r>
              <w:rPr>
                <w:rFonts w:ascii="Arial" w:cs="Arial" w:eastAsia="Arial" w:hAnsi="Arial"/>
                <w:sz w:val="13"/>
                <w:szCs w:val="13"/>
                <w:color w:val="auto"/>
                <w:w w:val="87"/>
              </w:rPr>
              <w:t>example.</w:t>
            </w:r>
          </w:p>
        </w:tc>
        <w:tc>
          <w:tcPr>
            <w:tcW w:w="560" w:type="dxa"/>
            <w:vAlign w:val="bottom"/>
            <w:shd w:val="clear" w:color="auto" w:fill="000000"/>
          </w:tcPr>
          <w:p>
            <w:pPr>
              <w:spacing w:after="0" w:line="20" w:lineRule="exact"/>
              <w:rPr>
                <w:sz w:val="1"/>
                <w:szCs w:val="1"/>
                <w:color w:val="auto"/>
              </w:rPr>
            </w:pPr>
          </w:p>
        </w:tc>
        <w:tc>
          <w:tcPr>
            <w:tcW w:w="304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4"/>
        </w:trPr>
        <w:tc>
          <w:tcPr>
            <w:tcW w:w="480" w:type="dxa"/>
            <w:vAlign w:val="bottom"/>
            <w:vMerge w:val="continue"/>
          </w:tcPr>
          <w:p>
            <w:pPr>
              <w:spacing w:after="0"/>
              <w:rPr>
                <w:sz w:val="14"/>
                <w:szCs w:val="14"/>
                <w:color w:val="auto"/>
              </w:rPr>
            </w:pPr>
          </w:p>
        </w:tc>
        <w:tc>
          <w:tcPr>
            <w:tcW w:w="3600" w:type="dxa"/>
            <w:vAlign w:val="bottom"/>
            <w:gridSpan w:val="2"/>
          </w:tcPr>
          <w:p>
            <w:pPr>
              <w:ind w:left="60"/>
              <w:spacing w:after="0"/>
              <w:rPr>
                <w:sz w:val="20"/>
                <w:szCs w:val="20"/>
                <w:color w:val="auto"/>
              </w:rPr>
            </w:pPr>
            <w:r>
              <w:rPr>
                <w:rFonts w:ascii="Arial" w:cs="Arial" w:eastAsia="Arial" w:hAnsi="Arial"/>
                <w:sz w:val="13"/>
                <w:szCs w:val="13"/>
                <w:color w:val="auto"/>
              </w:rPr>
              <w:t>Please do not write outside the designated areas.</w:t>
            </w:r>
          </w:p>
        </w:tc>
        <w:tc>
          <w:tcPr>
            <w:tcW w:w="440" w:type="dxa"/>
            <w:vAlign w:val="bottom"/>
          </w:tcPr>
          <w:p>
            <w:pPr>
              <w:spacing w:after="0"/>
              <w:rPr>
                <w:sz w:val="14"/>
                <w:szCs w:val="1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545465</wp:posOffset>
            </wp:positionH>
            <wp:positionV relativeFrom="paragraph">
              <wp:posOffset>175260</wp:posOffset>
            </wp:positionV>
            <wp:extent cx="6371590" cy="334645"/>
            <wp:wrapNone/>
            <wp:docPr id="121" name="Picture 1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1"/>
                    <pic:cNvPicPr>
                      <a:picLocks noChangeAspect="1" noChangeArrowheads="1"/>
                    </pic:cNvPicPr>
                  </pic:nvPicPr>
                  <pic:blipFill>
                    <a:blip r:embed="rId128">
                      <a:extLst>
                        <a:ext uri="{28A0092B-C50C-407E-A947-70E740481C1C}"/>
                      </a:extLst>
                    </a:blip>
                    <a:srcRect/>
                    <a:stretch>
                      <a:fillRect/>
                    </a:stretch>
                  </pic:blipFill>
                  <pic:spPr bwMode="auto">
                    <a:xfrm>
                      <a:off x="0" y="0"/>
                      <a:ext cx="6371590" cy="3346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6" w:lineRule="exact"/>
        <w:rPr>
          <w:sz w:val="20"/>
          <w:szCs w:val="20"/>
          <w:color w:val="auto"/>
        </w:rPr>
      </w:pPr>
    </w:p>
    <w:p>
      <w:pPr>
        <w:ind w:left="1740"/>
        <w:spacing w:after="0"/>
        <w:rPr>
          <w:sz w:val="20"/>
          <w:szCs w:val="20"/>
          <w:color w:val="auto"/>
        </w:rPr>
      </w:pPr>
      <w:r>
        <w:rPr>
          <w:rFonts w:ascii="Times New Roman" w:cs="Times New Roman" w:eastAsia="Times New Roman" w:hAnsi="Times New Roman"/>
          <w:sz w:val="13"/>
          <w:szCs w:val="13"/>
          <w:color w:val="auto"/>
        </w:rPr>
        <w:t xml:space="preserve">q </w:t>
      </w:r>
      <w:r>
        <w:rPr>
          <w:rFonts w:ascii="Arial" w:cs="Arial" w:eastAsia="Arial" w:hAnsi="Arial"/>
          <w:sz w:val="13"/>
          <w:szCs w:val="13"/>
          <w:b w:val="1"/>
          <w:bCs w:val="1"/>
          <w:color w:val="auto"/>
        </w:rPr>
        <w:t>IF VOTING BY MAIL, SIGN THE REVERSE SIDE, DETACH AND RETURN THE BOTTOM PORTION IN THE ENCLOSED ENVELOPE.</w:t>
      </w:r>
      <w:r>
        <w:rPr>
          <w:rFonts w:ascii="Times New Roman" w:cs="Times New Roman" w:eastAsia="Times New Roman" w:hAnsi="Times New Roman"/>
          <w:sz w:val="13"/>
          <w:szCs w:val="13"/>
          <w:color w:val="auto"/>
        </w:rPr>
        <w:t xml:space="preserve"> q</w:t>
      </w:r>
    </w:p>
    <w:p>
      <w:pPr>
        <w:spacing w:after="0" w:line="237" w:lineRule="exact"/>
        <w:rPr>
          <w:sz w:val="20"/>
          <w:szCs w:val="20"/>
          <w:color w:val="auto"/>
        </w:rPr>
      </w:pPr>
    </w:p>
    <w:p>
      <w:pPr>
        <w:ind w:left="940"/>
        <w:spacing w:after="0"/>
        <w:rPr>
          <w:sz w:val="20"/>
          <w:szCs w:val="20"/>
          <w:color w:val="auto"/>
        </w:rPr>
      </w:pPr>
      <w:r>
        <w:rPr>
          <w:rFonts w:ascii="Arial" w:cs="Arial" w:eastAsia="Arial" w:hAnsi="Arial"/>
          <w:sz w:val="14"/>
          <w:szCs w:val="14"/>
          <w:b w:val="1"/>
          <w:bCs w:val="1"/>
          <w:color w:val="auto"/>
        </w:rPr>
        <w:t xml:space="preserve">VOTING ITEMS — The Directors recommend a vote </w:t>
      </w:r>
      <w:r>
        <w:rPr>
          <w:rFonts w:ascii="Arial" w:cs="Arial" w:eastAsia="Arial" w:hAnsi="Arial"/>
          <w:sz w:val="14"/>
          <w:szCs w:val="14"/>
          <w:b w:val="1"/>
          <w:bCs w:val="1"/>
          <w:u w:val="single" w:color="auto"/>
          <w:color w:val="auto"/>
        </w:rPr>
        <w:t>FOR</w:t>
      </w:r>
      <w:r>
        <w:rPr>
          <w:rFonts w:ascii="Arial" w:cs="Arial" w:eastAsia="Arial" w:hAnsi="Arial"/>
          <w:sz w:val="14"/>
          <w:szCs w:val="14"/>
          <w:b w:val="1"/>
          <w:bCs w:val="1"/>
          <w:color w:val="auto"/>
        </w:rPr>
        <w:t xml:space="preserve"> all the nominees listed. (page 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545465</wp:posOffset>
            </wp:positionH>
            <wp:positionV relativeFrom="paragraph">
              <wp:posOffset>-92075</wp:posOffset>
            </wp:positionV>
            <wp:extent cx="5986145" cy="102870"/>
            <wp:wrapNone/>
            <wp:docPr id="122" name="Picture 1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2"/>
                    <pic:cNvPicPr>
                      <a:picLocks noChangeAspect="1" noChangeArrowheads="1"/>
                    </pic:cNvPicPr>
                  </pic:nvPicPr>
                  <pic:blipFill>
                    <a:blip r:embed="rId129">
                      <a:extLst>
                        <a:ext uri="{28A0092B-C50C-407E-A947-70E740481C1C}"/>
                      </a:extLst>
                    </a:blip>
                    <a:srcRect/>
                    <a:stretch>
                      <a:fillRect/>
                    </a:stretch>
                  </pic:blipFill>
                  <pic:spPr bwMode="auto">
                    <a:xfrm>
                      <a:off x="0" y="0"/>
                      <a:ext cx="5986145" cy="102870"/>
                    </a:xfrm>
                    <a:prstGeom prst="rect">
                      <a:avLst/>
                    </a:prstGeom>
                    <a:noFill/>
                  </pic:spPr>
                </pic:pic>
              </a:graphicData>
            </a:graphic>
          </wp:anchor>
        </w:drawing>
      </w:r>
    </w:p>
    <w:tbl>
      <w:tblPr>
        <w:tblLayout w:type="fixed"/>
        <w:tblInd w:w="860" w:type="dxa"/>
        <w:tblCellMar>
          <w:top w:w="0" w:type="dxa"/>
          <w:left w:w="0" w:type="dxa"/>
          <w:bottom w:w="0" w:type="dxa"/>
          <w:right w:w="0" w:type="dxa"/>
        </w:tblCellMar>
      </w:tblPr>
      <w:tr>
        <w:trPr>
          <w:trHeight w:val="244"/>
        </w:trPr>
        <w:tc>
          <w:tcPr>
            <w:tcW w:w="1220" w:type="dxa"/>
            <w:vAlign w:val="bottom"/>
          </w:tcPr>
          <w:p>
            <w:pPr>
              <w:spacing w:after="0"/>
              <w:rPr>
                <w:sz w:val="20"/>
                <w:szCs w:val="20"/>
                <w:color w:val="auto"/>
              </w:rPr>
            </w:pPr>
            <w:r>
              <w:rPr>
                <w:rFonts w:ascii="Arial" w:cs="Arial" w:eastAsia="Arial" w:hAnsi="Arial"/>
                <w:sz w:val="14"/>
                <w:szCs w:val="14"/>
                <w:b w:val="1"/>
                <w:bCs w:val="1"/>
                <w:color w:val="auto"/>
              </w:rPr>
              <w:t>1. Election of</w:t>
            </w:r>
          </w:p>
        </w:tc>
        <w:tc>
          <w:tcPr>
            <w:tcW w:w="2660" w:type="dxa"/>
            <w:vAlign w:val="bottom"/>
          </w:tcPr>
          <w:p>
            <w:pPr>
              <w:spacing w:after="0"/>
              <w:rPr>
                <w:sz w:val="21"/>
                <w:szCs w:val="21"/>
                <w:color w:val="auto"/>
              </w:rPr>
            </w:pPr>
          </w:p>
        </w:tc>
        <w:tc>
          <w:tcPr>
            <w:tcW w:w="3200" w:type="dxa"/>
            <w:vAlign w:val="bottom"/>
          </w:tcPr>
          <w:p>
            <w:pPr>
              <w:spacing w:after="0"/>
              <w:rPr>
                <w:sz w:val="21"/>
                <w:szCs w:val="21"/>
                <w:color w:val="auto"/>
              </w:rPr>
            </w:pPr>
          </w:p>
        </w:tc>
        <w:tc>
          <w:tcPr>
            <w:tcW w:w="2340" w:type="dxa"/>
            <w:vAlign w:val="bottom"/>
          </w:tcPr>
          <w:p>
            <w:pPr>
              <w:spacing w:after="0"/>
              <w:rPr>
                <w:sz w:val="21"/>
                <w:szCs w:val="21"/>
                <w:color w:val="auto"/>
              </w:rPr>
            </w:pPr>
          </w:p>
        </w:tc>
        <w:tc>
          <w:tcPr>
            <w:tcW w:w="280" w:type="dxa"/>
            <w:vAlign w:val="bottom"/>
          </w:tcPr>
          <w:p>
            <w:pPr>
              <w:jc w:val="right"/>
              <w:spacing w:after="0" w:line="232" w:lineRule="exact"/>
              <w:rPr>
                <w:sz w:val="20"/>
                <w:szCs w:val="20"/>
                <w:color w:val="auto"/>
              </w:rPr>
            </w:pPr>
            <w:r>
              <w:rPr>
                <w:rFonts w:ascii="Arial" w:cs="Arial" w:eastAsia="Arial" w:hAnsi="Arial"/>
                <w:sz w:val="26"/>
                <w:szCs w:val="26"/>
                <w:b w:val="1"/>
                <w:bCs w:val="1"/>
                <w:color w:val="auto"/>
              </w:rPr>
              <w:t>+</w:t>
            </w:r>
          </w:p>
        </w:tc>
      </w:tr>
      <w:tr>
        <w:trPr>
          <w:trHeight w:val="202"/>
        </w:trPr>
        <w:tc>
          <w:tcPr>
            <w:tcW w:w="1220" w:type="dxa"/>
            <w:vAlign w:val="bottom"/>
          </w:tcPr>
          <w:p>
            <w:pPr>
              <w:spacing w:after="0"/>
              <w:rPr>
                <w:sz w:val="20"/>
                <w:szCs w:val="20"/>
                <w:color w:val="auto"/>
              </w:rPr>
            </w:pPr>
            <w:r>
              <w:rPr>
                <w:rFonts w:ascii="Arial" w:cs="Arial" w:eastAsia="Arial" w:hAnsi="Arial"/>
                <w:sz w:val="14"/>
                <w:szCs w:val="14"/>
                <w:b w:val="1"/>
                <w:bCs w:val="1"/>
                <w:color w:val="auto"/>
              </w:rPr>
              <w:t>Directors:</w:t>
            </w:r>
          </w:p>
        </w:tc>
        <w:tc>
          <w:tcPr>
            <w:tcW w:w="2660" w:type="dxa"/>
            <w:vAlign w:val="bottom"/>
          </w:tcPr>
          <w:p>
            <w:pPr>
              <w:ind w:left="320"/>
              <w:spacing w:after="0"/>
              <w:rPr>
                <w:sz w:val="20"/>
                <w:szCs w:val="20"/>
                <w:color w:val="auto"/>
              </w:rPr>
            </w:pPr>
            <w:r>
              <w:rPr>
                <w:rFonts w:ascii="Arial" w:cs="Arial" w:eastAsia="Arial" w:hAnsi="Arial"/>
                <w:sz w:val="14"/>
                <w:szCs w:val="14"/>
                <w:b w:val="1"/>
                <w:bCs w:val="1"/>
                <w:color w:val="auto"/>
              </w:rPr>
              <w:t>For Against Abstain</w:t>
            </w:r>
          </w:p>
        </w:tc>
        <w:tc>
          <w:tcPr>
            <w:tcW w:w="3200" w:type="dxa"/>
            <w:vAlign w:val="bottom"/>
          </w:tcPr>
          <w:p>
            <w:pPr>
              <w:ind w:left="940"/>
              <w:spacing w:after="0"/>
              <w:rPr>
                <w:sz w:val="20"/>
                <w:szCs w:val="20"/>
                <w:color w:val="auto"/>
              </w:rPr>
            </w:pPr>
            <w:r>
              <w:rPr>
                <w:rFonts w:ascii="Arial" w:cs="Arial" w:eastAsia="Arial" w:hAnsi="Arial"/>
                <w:sz w:val="14"/>
                <w:szCs w:val="14"/>
                <w:b w:val="1"/>
                <w:bCs w:val="1"/>
                <w:color w:val="auto"/>
              </w:rPr>
              <w:t>For Against Abstain</w:t>
            </w:r>
          </w:p>
        </w:tc>
        <w:tc>
          <w:tcPr>
            <w:tcW w:w="2340" w:type="dxa"/>
            <w:vAlign w:val="bottom"/>
          </w:tcPr>
          <w:p>
            <w:pPr>
              <w:ind w:left="880"/>
              <w:spacing w:after="0"/>
              <w:rPr>
                <w:sz w:val="20"/>
                <w:szCs w:val="20"/>
                <w:color w:val="auto"/>
              </w:rPr>
            </w:pPr>
            <w:r>
              <w:rPr>
                <w:rFonts w:ascii="Arial" w:cs="Arial" w:eastAsia="Arial" w:hAnsi="Arial"/>
                <w:sz w:val="14"/>
                <w:szCs w:val="14"/>
                <w:b w:val="1"/>
                <w:bCs w:val="1"/>
                <w:color w:val="auto"/>
              </w:rPr>
              <w:t>For  Against  Abstain</w:t>
            </w:r>
          </w:p>
        </w:tc>
        <w:tc>
          <w:tcPr>
            <w:tcW w:w="280" w:type="dxa"/>
            <w:vAlign w:val="bottom"/>
          </w:tcPr>
          <w:p>
            <w:pPr>
              <w:spacing w:after="0"/>
              <w:rPr>
                <w:sz w:val="17"/>
                <w:szCs w:val="17"/>
                <w:color w:val="auto"/>
              </w:rPr>
            </w:pPr>
          </w:p>
        </w:tc>
      </w:tr>
    </w:tbl>
    <w:p>
      <w:pPr>
        <w:spacing w:after="0" w:line="8" w:lineRule="exact"/>
        <w:rPr>
          <w:sz w:val="20"/>
          <w:szCs w:val="20"/>
          <w:color w:val="auto"/>
        </w:rPr>
      </w:pPr>
    </w:p>
    <w:p>
      <w:pPr>
        <w:sectPr>
          <w:pgSz w:w="11900" w:h="16838" w:orient="portrait"/>
          <w:cols w:equalWidth="0" w:num="1">
            <w:col w:w="10580"/>
          </w:cols>
          <w:pgMar w:left="240" w:top="455" w:right="1079" w:bottom="1440" w:gutter="0" w:footer="0" w:header="0"/>
        </w:sectPr>
      </w:pPr>
    </w:p>
    <w:p>
      <w:pPr>
        <w:spacing w:after="0" w:line="31" w:lineRule="exact"/>
        <w:rPr>
          <w:sz w:val="20"/>
          <w:szCs w:val="20"/>
          <w:color w:val="auto"/>
        </w:rPr>
      </w:pPr>
    </w:p>
    <w:p>
      <w:pPr>
        <w:ind w:left="860"/>
        <w:spacing w:after="0"/>
        <w:rPr>
          <w:sz w:val="20"/>
          <w:szCs w:val="20"/>
          <w:color w:val="auto"/>
        </w:rPr>
      </w:pPr>
      <w:r>
        <w:rPr>
          <w:rFonts w:ascii="Arial" w:cs="Arial" w:eastAsia="Arial" w:hAnsi="Arial"/>
          <w:sz w:val="14"/>
          <w:szCs w:val="14"/>
          <w:color w:val="auto"/>
        </w:rPr>
        <w:t>01 - Susan K. Avery</w:t>
      </w:r>
    </w:p>
    <w:p>
      <w:pPr>
        <w:spacing w:after="0" w:line="217" w:lineRule="exact"/>
        <w:rPr>
          <w:sz w:val="20"/>
          <w:szCs w:val="20"/>
          <w:color w:val="auto"/>
        </w:rPr>
      </w:pPr>
    </w:p>
    <w:p>
      <w:pPr>
        <w:ind w:left="860"/>
        <w:spacing w:after="0"/>
        <w:rPr>
          <w:sz w:val="20"/>
          <w:szCs w:val="20"/>
          <w:color w:val="auto"/>
        </w:rPr>
      </w:pPr>
      <w:r>
        <w:rPr>
          <w:rFonts w:ascii="Arial" w:cs="Arial" w:eastAsia="Arial" w:hAnsi="Arial"/>
          <w:sz w:val="14"/>
          <w:szCs w:val="14"/>
          <w:color w:val="auto"/>
        </w:rPr>
        <w:t>02 - Angela F. Braly</w:t>
      </w:r>
    </w:p>
    <w:p>
      <w:pPr>
        <w:spacing w:after="0" w:line="204" w:lineRule="exact"/>
        <w:rPr>
          <w:sz w:val="20"/>
          <w:szCs w:val="20"/>
          <w:color w:val="auto"/>
        </w:rPr>
      </w:pPr>
    </w:p>
    <w:p>
      <w:pPr>
        <w:ind w:left="860"/>
        <w:spacing w:after="0"/>
        <w:rPr>
          <w:sz w:val="20"/>
          <w:szCs w:val="20"/>
          <w:color w:val="auto"/>
        </w:rPr>
      </w:pPr>
      <w:r>
        <w:rPr>
          <w:rFonts w:ascii="Arial" w:cs="Arial" w:eastAsia="Arial" w:hAnsi="Arial"/>
          <w:sz w:val="14"/>
          <w:szCs w:val="14"/>
          <w:color w:val="auto"/>
        </w:rPr>
        <w:t>03 - Ursula M. Burns</w:t>
      </w:r>
    </w:p>
    <w:p>
      <w:pPr>
        <w:spacing w:after="0" w:line="204" w:lineRule="exact"/>
        <w:rPr>
          <w:sz w:val="20"/>
          <w:szCs w:val="20"/>
          <w:color w:val="auto"/>
        </w:rPr>
      </w:pPr>
    </w:p>
    <w:p>
      <w:pPr>
        <w:ind w:left="860"/>
        <w:spacing w:after="0"/>
        <w:rPr>
          <w:sz w:val="20"/>
          <w:szCs w:val="20"/>
          <w:color w:val="auto"/>
        </w:rPr>
      </w:pPr>
      <w:r>
        <w:rPr>
          <w:rFonts w:ascii="Arial" w:cs="Arial" w:eastAsia="Arial" w:hAnsi="Arial"/>
          <w:sz w:val="12"/>
          <w:szCs w:val="12"/>
          <w:color w:val="auto"/>
        </w:rPr>
        <w:t>04 - Kenneth C. Frazier</w:t>
      </w:r>
    </w:p>
    <w:p>
      <w:pPr>
        <w:spacing w:after="0" w:line="20" w:lineRule="exact"/>
        <w:rPr>
          <w:sz w:val="20"/>
          <w:szCs w:val="20"/>
          <w:color w:val="auto"/>
        </w:rPr>
      </w:pPr>
      <w:r>
        <w:rPr>
          <w:sz w:val="20"/>
          <w:szCs w:val="20"/>
          <w:color w:val="auto"/>
        </w:rPr>
        <w:br w:type="column"/>
      </w:r>
    </w:p>
    <w:p>
      <w:pPr>
        <w:spacing w:after="0" w:line="201" w:lineRule="exact"/>
        <w:tabs>
          <w:tab w:leader="none" w:pos="420" w:val="left"/>
          <w:tab w:leader="none" w:pos="1000" w:val="left"/>
        </w:tabs>
        <w:rPr>
          <w:sz w:val="20"/>
          <w:szCs w:val="20"/>
          <w:color w:val="auto"/>
        </w:rPr>
      </w:pPr>
      <w:r>
        <w:rPr>
          <w:rFonts w:ascii="MS PGothic" w:cs="MS PGothic" w:eastAsia="MS PGothic" w:hAnsi="MS PGothic"/>
          <w:sz w:val="22"/>
          <w:szCs w:val="22"/>
          <w:color w:val="auto"/>
        </w:rPr>
        <w:t>☐</w:t>
        <w:tab/>
        <w:t>☐</w:t>
      </w:r>
      <w:r>
        <w:rPr>
          <w:sz w:val="20"/>
          <w:szCs w:val="20"/>
          <w:color w:val="auto"/>
        </w:rPr>
        <w:tab/>
      </w:r>
      <w:r>
        <w:rPr>
          <w:rFonts w:ascii="MS PGothic" w:cs="MS PGothic" w:eastAsia="MS PGothic" w:hAnsi="MS PGothic"/>
          <w:sz w:val="19"/>
          <w:szCs w:val="19"/>
          <w:color w:val="auto"/>
        </w:rPr>
        <w:t>☐</w:t>
      </w:r>
    </w:p>
    <w:p>
      <w:pPr>
        <w:spacing w:after="0" w:line="158" w:lineRule="exact"/>
        <w:rPr>
          <w:sz w:val="20"/>
          <w:szCs w:val="20"/>
          <w:color w:val="auto"/>
        </w:rPr>
      </w:pPr>
    </w:p>
    <w:p>
      <w:pPr>
        <w:spacing w:after="0" w:line="221" w:lineRule="exact"/>
        <w:tabs>
          <w:tab w:leader="none" w:pos="420" w:val="left"/>
          <w:tab w:leader="none" w:pos="1000" w:val="left"/>
        </w:tabs>
        <w:rPr>
          <w:sz w:val="20"/>
          <w:szCs w:val="20"/>
          <w:color w:val="auto"/>
        </w:rPr>
      </w:pPr>
      <w:r>
        <w:rPr>
          <w:rFonts w:ascii="MS PGothic" w:cs="MS PGothic" w:eastAsia="MS PGothic" w:hAnsi="MS PGothic"/>
          <w:sz w:val="22"/>
          <w:szCs w:val="22"/>
          <w:color w:val="auto"/>
        </w:rPr>
        <w:t>☐</w:t>
        <w:tab/>
        <w:t>☐</w:t>
      </w:r>
      <w:r>
        <w:rPr>
          <w:sz w:val="20"/>
          <w:szCs w:val="20"/>
          <w:color w:val="auto"/>
        </w:rPr>
        <w:tab/>
      </w:r>
      <w:r>
        <w:rPr>
          <w:rFonts w:ascii="MS PGothic" w:cs="MS PGothic" w:eastAsia="MS PGothic" w:hAnsi="MS PGothic"/>
          <w:sz w:val="19"/>
          <w:szCs w:val="19"/>
          <w:color w:val="auto"/>
        </w:rPr>
        <w:t>☐</w:t>
      </w:r>
    </w:p>
    <w:p>
      <w:pPr>
        <w:spacing w:after="0" w:line="145" w:lineRule="exact"/>
        <w:rPr>
          <w:sz w:val="20"/>
          <w:szCs w:val="20"/>
          <w:color w:val="auto"/>
        </w:rPr>
      </w:pPr>
    </w:p>
    <w:p>
      <w:pPr>
        <w:spacing w:after="0" w:line="221" w:lineRule="exact"/>
        <w:tabs>
          <w:tab w:leader="none" w:pos="420" w:val="left"/>
          <w:tab w:leader="none" w:pos="1000" w:val="left"/>
        </w:tabs>
        <w:rPr>
          <w:sz w:val="20"/>
          <w:szCs w:val="20"/>
          <w:color w:val="auto"/>
        </w:rPr>
      </w:pPr>
      <w:r>
        <w:rPr>
          <w:rFonts w:ascii="MS PGothic" w:cs="MS PGothic" w:eastAsia="MS PGothic" w:hAnsi="MS PGothic"/>
          <w:sz w:val="22"/>
          <w:szCs w:val="22"/>
          <w:color w:val="auto"/>
        </w:rPr>
        <w:t>☐</w:t>
        <w:tab/>
        <w:t>☐</w:t>
      </w:r>
      <w:r>
        <w:rPr>
          <w:sz w:val="20"/>
          <w:szCs w:val="20"/>
          <w:color w:val="auto"/>
        </w:rPr>
        <w:tab/>
      </w:r>
      <w:r>
        <w:rPr>
          <w:rFonts w:ascii="MS PGothic" w:cs="MS PGothic" w:eastAsia="MS PGothic" w:hAnsi="MS PGothic"/>
          <w:sz w:val="19"/>
          <w:szCs w:val="19"/>
          <w:color w:val="auto"/>
        </w:rPr>
        <w:t>☐</w:t>
      </w:r>
    </w:p>
    <w:p>
      <w:pPr>
        <w:spacing w:after="0" w:line="145" w:lineRule="exact"/>
        <w:rPr>
          <w:sz w:val="20"/>
          <w:szCs w:val="20"/>
          <w:color w:val="auto"/>
        </w:rPr>
      </w:pPr>
    </w:p>
    <w:p>
      <w:pPr>
        <w:spacing w:after="0" w:line="221" w:lineRule="exact"/>
        <w:tabs>
          <w:tab w:leader="none" w:pos="420" w:val="left"/>
          <w:tab w:leader="none" w:pos="1000" w:val="left"/>
        </w:tabs>
        <w:rPr>
          <w:sz w:val="20"/>
          <w:szCs w:val="20"/>
          <w:color w:val="auto"/>
        </w:rPr>
      </w:pPr>
      <w:r>
        <w:rPr>
          <w:rFonts w:ascii="MS PGothic" w:cs="MS PGothic" w:eastAsia="MS PGothic" w:hAnsi="MS PGothic"/>
          <w:sz w:val="22"/>
          <w:szCs w:val="22"/>
          <w:color w:val="auto"/>
        </w:rPr>
        <w:t>☐</w:t>
        <w:tab/>
        <w:t>☐</w:t>
      </w:r>
      <w:r>
        <w:rPr>
          <w:sz w:val="20"/>
          <w:szCs w:val="20"/>
          <w:color w:val="auto"/>
        </w:rPr>
        <w:tab/>
      </w:r>
      <w:r>
        <w:rPr>
          <w:rFonts w:ascii="MS PGothic" w:cs="MS PGothic" w:eastAsia="MS PGothic" w:hAnsi="MS PGothic"/>
          <w:sz w:val="19"/>
          <w:szCs w:val="19"/>
          <w:color w:val="auto"/>
        </w:rPr>
        <w:t>☐</w:t>
      </w:r>
    </w:p>
    <w:p>
      <w:pPr>
        <w:spacing w:after="0" w:line="20" w:lineRule="exact"/>
        <w:rPr>
          <w:sz w:val="20"/>
          <w:szCs w:val="20"/>
          <w:color w:val="auto"/>
        </w:rPr>
      </w:pPr>
      <w:r>
        <w:rPr>
          <w:sz w:val="20"/>
          <w:szCs w:val="20"/>
          <w:color w:val="auto"/>
        </w:rPr>
        <w:br w:type="column"/>
      </w:r>
    </w:p>
    <w:p>
      <w:pPr>
        <w:spacing w:after="0" w:line="11" w:lineRule="exact"/>
        <w:rPr>
          <w:sz w:val="20"/>
          <w:szCs w:val="20"/>
          <w:color w:val="auto"/>
        </w:rPr>
      </w:pPr>
    </w:p>
    <w:p>
      <w:pPr>
        <w:spacing w:after="0"/>
        <w:rPr>
          <w:sz w:val="20"/>
          <w:szCs w:val="20"/>
          <w:color w:val="auto"/>
        </w:rPr>
      </w:pPr>
      <w:r>
        <w:rPr>
          <w:rFonts w:ascii="Arial" w:cs="Arial" w:eastAsia="Arial" w:hAnsi="Arial"/>
          <w:sz w:val="14"/>
          <w:szCs w:val="14"/>
          <w:color w:val="auto"/>
        </w:rPr>
        <w:t>05 - Steven A. Kandarian</w:t>
      </w:r>
    </w:p>
    <w:p>
      <w:pPr>
        <w:spacing w:after="0" w:line="217" w:lineRule="exact"/>
        <w:rPr>
          <w:sz w:val="20"/>
          <w:szCs w:val="20"/>
          <w:color w:val="auto"/>
        </w:rPr>
      </w:pPr>
    </w:p>
    <w:p>
      <w:pPr>
        <w:spacing w:after="0"/>
        <w:rPr>
          <w:sz w:val="20"/>
          <w:szCs w:val="20"/>
          <w:color w:val="auto"/>
        </w:rPr>
      </w:pPr>
      <w:r>
        <w:rPr>
          <w:rFonts w:ascii="Arial" w:cs="Arial" w:eastAsia="Arial" w:hAnsi="Arial"/>
          <w:sz w:val="12"/>
          <w:szCs w:val="12"/>
          <w:color w:val="auto"/>
        </w:rPr>
        <w:t>06 - Douglas R. Oberhelman</w:t>
      </w:r>
    </w:p>
    <w:p>
      <w:pPr>
        <w:spacing w:after="0" w:line="227" w:lineRule="exact"/>
        <w:rPr>
          <w:sz w:val="20"/>
          <w:szCs w:val="20"/>
          <w:color w:val="auto"/>
        </w:rPr>
      </w:pPr>
    </w:p>
    <w:p>
      <w:pPr>
        <w:spacing w:after="0"/>
        <w:rPr>
          <w:sz w:val="20"/>
          <w:szCs w:val="20"/>
          <w:color w:val="auto"/>
        </w:rPr>
      </w:pPr>
      <w:r>
        <w:rPr>
          <w:rFonts w:ascii="Arial" w:cs="Arial" w:eastAsia="Arial" w:hAnsi="Arial"/>
          <w:sz w:val="14"/>
          <w:szCs w:val="14"/>
          <w:color w:val="auto"/>
        </w:rPr>
        <w:t>07 - Samuel J. Palmisano</w:t>
      </w:r>
    </w:p>
    <w:p>
      <w:pPr>
        <w:spacing w:after="0" w:line="20" w:lineRule="exact"/>
        <w:rPr>
          <w:sz w:val="20"/>
          <w:szCs w:val="20"/>
          <w:color w:val="auto"/>
        </w:rPr>
      </w:pPr>
      <w:r>
        <w:rPr>
          <w:sz w:val="20"/>
          <w:szCs w:val="20"/>
          <w:color w:val="auto"/>
        </w:rPr>
        <w:br w:type="column"/>
      </w:r>
    </w:p>
    <w:p>
      <w:pPr>
        <w:spacing w:after="0" w:line="201" w:lineRule="exact"/>
        <w:tabs>
          <w:tab w:leader="none" w:pos="420" w:val="left"/>
          <w:tab w:leader="none" w:pos="1000" w:val="left"/>
        </w:tabs>
        <w:rPr>
          <w:sz w:val="20"/>
          <w:szCs w:val="20"/>
          <w:color w:val="auto"/>
        </w:rPr>
      </w:pPr>
      <w:r>
        <w:rPr>
          <w:rFonts w:ascii="MS PGothic" w:cs="MS PGothic" w:eastAsia="MS PGothic" w:hAnsi="MS PGothic"/>
          <w:sz w:val="22"/>
          <w:szCs w:val="22"/>
          <w:color w:val="auto"/>
        </w:rPr>
        <w:t>☐</w:t>
        <w:tab/>
        <w:t>☐</w:t>
      </w:r>
      <w:r>
        <w:rPr>
          <w:sz w:val="20"/>
          <w:szCs w:val="20"/>
          <w:color w:val="auto"/>
        </w:rPr>
        <w:tab/>
      </w:r>
      <w:r>
        <w:rPr>
          <w:rFonts w:ascii="MS PGothic" w:cs="MS PGothic" w:eastAsia="MS PGothic" w:hAnsi="MS PGothic"/>
          <w:sz w:val="19"/>
          <w:szCs w:val="19"/>
          <w:color w:val="auto"/>
        </w:rPr>
        <w:t>☐</w:t>
      </w:r>
    </w:p>
    <w:p>
      <w:pPr>
        <w:spacing w:after="0" w:line="158" w:lineRule="exact"/>
        <w:rPr>
          <w:sz w:val="20"/>
          <w:szCs w:val="20"/>
          <w:color w:val="auto"/>
        </w:rPr>
      </w:pPr>
    </w:p>
    <w:p>
      <w:pPr>
        <w:spacing w:after="0" w:line="221" w:lineRule="exact"/>
        <w:tabs>
          <w:tab w:leader="none" w:pos="420" w:val="left"/>
          <w:tab w:leader="none" w:pos="1000" w:val="left"/>
        </w:tabs>
        <w:rPr>
          <w:sz w:val="20"/>
          <w:szCs w:val="20"/>
          <w:color w:val="auto"/>
        </w:rPr>
      </w:pPr>
      <w:r>
        <w:rPr>
          <w:rFonts w:ascii="MS PGothic" w:cs="MS PGothic" w:eastAsia="MS PGothic" w:hAnsi="MS PGothic"/>
          <w:sz w:val="22"/>
          <w:szCs w:val="22"/>
          <w:color w:val="auto"/>
        </w:rPr>
        <w:t>☐</w:t>
        <w:tab/>
        <w:t>☐</w:t>
      </w:r>
      <w:r>
        <w:rPr>
          <w:sz w:val="20"/>
          <w:szCs w:val="20"/>
          <w:color w:val="auto"/>
        </w:rPr>
        <w:tab/>
      </w:r>
      <w:r>
        <w:rPr>
          <w:rFonts w:ascii="MS PGothic" w:cs="MS PGothic" w:eastAsia="MS PGothic" w:hAnsi="MS PGothic"/>
          <w:sz w:val="19"/>
          <w:szCs w:val="19"/>
          <w:color w:val="auto"/>
        </w:rPr>
        <w:t>☐</w:t>
      </w:r>
    </w:p>
    <w:p>
      <w:pPr>
        <w:spacing w:after="0" w:line="145" w:lineRule="exact"/>
        <w:rPr>
          <w:sz w:val="20"/>
          <w:szCs w:val="20"/>
          <w:color w:val="auto"/>
        </w:rPr>
      </w:pPr>
    </w:p>
    <w:p>
      <w:pPr>
        <w:spacing w:after="0" w:line="221" w:lineRule="exact"/>
        <w:tabs>
          <w:tab w:leader="none" w:pos="420" w:val="left"/>
          <w:tab w:leader="none" w:pos="1000" w:val="left"/>
        </w:tabs>
        <w:rPr>
          <w:sz w:val="20"/>
          <w:szCs w:val="20"/>
          <w:color w:val="auto"/>
        </w:rPr>
      </w:pPr>
      <w:r>
        <w:rPr>
          <w:rFonts w:ascii="MS PGothic" w:cs="MS PGothic" w:eastAsia="MS PGothic" w:hAnsi="MS PGothic"/>
          <w:sz w:val="22"/>
          <w:szCs w:val="22"/>
          <w:color w:val="auto"/>
        </w:rPr>
        <w:t>☐</w:t>
        <w:tab/>
        <w:t>☐</w:t>
      </w:r>
      <w:r>
        <w:rPr>
          <w:sz w:val="20"/>
          <w:szCs w:val="20"/>
          <w:color w:val="auto"/>
        </w:rPr>
        <w:tab/>
      </w:r>
      <w:r>
        <w:rPr>
          <w:rFonts w:ascii="MS PGothic" w:cs="MS PGothic" w:eastAsia="MS PGothic" w:hAnsi="MS PGothic"/>
          <w:sz w:val="19"/>
          <w:szCs w:val="19"/>
          <w:color w:val="auto"/>
        </w:rPr>
        <w:t>☐</w:t>
      </w:r>
    </w:p>
    <w:p>
      <w:pPr>
        <w:spacing w:after="0" w:line="20" w:lineRule="exact"/>
        <w:rPr>
          <w:sz w:val="20"/>
          <w:szCs w:val="20"/>
          <w:color w:val="auto"/>
        </w:rPr>
      </w:pPr>
      <w:r>
        <w:rPr>
          <w:sz w:val="20"/>
          <w:szCs w:val="20"/>
          <w:color w:val="auto"/>
        </w:rPr>
        <w:br w:type="column"/>
      </w:r>
    </w:p>
    <w:p>
      <w:pPr>
        <w:spacing w:after="0" w:line="11" w:lineRule="exact"/>
        <w:rPr>
          <w:sz w:val="20"/>
          <w:szCs w:val="20"/>
          <w:color w:val="auto"/>
        </w:rPr>
      </w:pPr>
    </w:p>
    <w:p>
      <w:pPr>
        <w:spacing w:after="0"/>
        <w:rPr>
          <w:sz w:val="20"/>
          <w:szCs w:val="20"/>
          <w:color w:val="auto"/>
        </w:rPr>
      </w:pPr>
      <w:r>
        <w:rPr>
          <w:rFonts w:ascii="Arial" w:cs="Arial" w:eastAsia="Arial" w:hAnsi="Arial"/>
          <w:sz w:val="12"/>
          <w:szCs w:val="12"/>
          <w:color w:val="auto"/>
        </w:rPr>
        <w:t>08 - Steven S Reinemund</w:t>
      </w:r>
    </w:p>
    <w:p>
      <w:pPr>
        <w:spacing w:after="0" w:line="240" w:lineRule="exact"/>
        <w:rPr>
          <w:sz w:val="20"/>
          <w:szCs w:val="20"/>
          <w:color w:val="auto"/>
        </w:rPr>
      </w:pPr>
    </w:p>
    <w:p>
      <w:pPr>
        <w:spacing w:after="0"/>
        <w:rPr>
          <w:sz w:val="20"/>
          <w:szCs w:val="20"/>
          <w:color w:val="auto"/>
        </w:rPr>
      </w:pPr>
      <w:r>
        <w:rPr>
          <w:rFonts w:ascii="Arial" w:cs="Arial" w:eastAsia="Arial" w:hAnsi="Arial"/>
          <w:sz w:val="14"/>
          <w:szCs w:val="14"/>
          <w:color w:val="auto"/>
        </w:rPr>
        <w:t>09 - William C. Weldon</w:t>
      </w:r>
    </w:p>
    <w:p>
      <w:pPr>
        <w:spacing w:after="0" w:line="204" w:lineRule="exact"/>
        <w:rPr>
          <w:sz w:val="20"/>
          <w:szCs w:val="20"/>
          <w:color w:val="auto"/>
        </w:rPr>
      </w:pPr>
    </w:p>
    <w:p>
      <w:pPr>
        <w:spacing w:after="0"/>
        <w:rPr>
          <w:sz w:val="20"/>
          <w:szCs w:val="20"/>
          <w:color w:val="auto"/>
        </w:rPr>
      </w:pPr>
      <w:r>
        <w:rPr>
          <w:rFonts w:ascii="Arial" w:cs="Arial" w:eastAsia="Arial" w:hAnsi="Arial"/>
          <w:sz w:val="14"/>
          <w:szCs w:val="14"/>
          <w:color w:val="auto"/>
        </w:rPr>
        <w:t>10 - Darren W. Woods</w:t>
      </w:r>
    </w:p>
    <w:p>
      <w:pPr>
        <w:spacing w:after="0" w:line="20" w:lineRule="exact"/>
        <w:rPr>
          <w:sz w:val="20"/>
          <w:szCs w:val="20"/>
          <w:color w:val="auto"/>
        </w:rPr>
      </w:pPr>
      <w:r>
        <w:rPr>
          <w:sz w:val="20"/>
          <w:szCs w:val="20"/>
          <w:color w:val="auto"/>
        </w:rPr>
        <w:br w:type="column"/>
      </w:r>
    </w:p>
    <w:p>
      <w:pPr>
        <w:spacing w:after="0" w:line="201" w:lineRule="exact"/>
        <w:tabs>
          <w:tab w:leader="none" w:pos="440" w:val="left"/>
          <w:tab w:leader="none" w:pos="1040" w:val="left"/>
        </w:tabs>
        <w:rPr>
          <w:sz w:val="20"/>
          <w:szCs w:val="20"/>
          <w:color w:val="auto"/>
        </w:rPr>
      </w:pPr>
      <w:r>
        <w:rPr>
          <w:rFonts w:ascii="MS PGothic" w:cs="MS PGothic" w:eastAsia="MS PGothic" w:hAnsi="MS PGothic"/>
          <w:sz w:val="22"/>
          <w:szCs w:val="22"/>
          <w:color w:val="auto"/>
        </w:rPr>
        <w:t>☐</w:t>
        <w:tab/>
        <w:t>☐</w:t>
      </w:r>
      <w:r>
        <w:rPr>
          <w:sz w:val="20"/>
          <w:szCs w:val="20"/>
          <w:color w:val="auto"/>
        </w:rPr>
        <w:tab/>
      </w:r>
      <w:r>
        <w:rPr>
          <w:rFonts w:ascii="MS PGothic" w:cs="MS PGothic" w:eastAsia="MS PGothic" w:hAnsi="MS PGothic"/>
          <w:sz w:val="19"/>
          <w:szCs w:val="19"/>
          <w:color w:val="auto"/>
        </w:rPr>
        <w:t>☐</w:t>
      </w:r>
    </w:p>
    <w:p>
      <w:pPr>
        <w:spacing w:after="0" w:line="158" w:lineRule="exact"/>
        <w:rPr>
          <w:sz w:val="20"/>
          <w:szCs w:val="20"/>
          <w:color w:val="auto"/>
        </w:rPr>
      </w:pPr>
    </w:p>
    <w:p>
      <w:pPr>
        <w:spacing w:after="0" w:line="221" w:lineRule="exact"/>
        <w:tabs>
          <w:tab w:leader="none" w:pos="440" w:val="left"/>
          <w:tab w:leader="none" w:pos="1040" w:val="left"/>
        </w:tabs>
        <w:rPr>
          <w:sz w:val="20"/>
          <w:szCs w:val="20"/>
          <w:color w:val="auto"/>
        </w:rPr>
      </w:pPr>
      <w:r>
        <w:rPr>
          <w:rFonts w:ascii="MS PGothic" w:cs="MS PGothic" w:eastAsia="MS PGothic" w:hAnsi="MS PGothic"/>
          <w:sz w:val="22"/>
          <w:szCs w:val="22"/>
          <w:color w:val="auto"/>
        </w:rPr>
        <w:t>☐</w:t>
        <w:tab/>
        <w:t>☐</w:t>
      </w:r>
      <w:r>
        <w:rPr>
          <w:sz w:val="20"/>
          <w:szCs w:val="20"/>
          <w:color w:val="auto"/>
        </w:rPr>
        <w:tab/>
      </w:r>
      <w:r>
        <w:rPr>
          <w:rFonts w:ascii="MS PGothic" w:cs="MS PGothic" w:eastAsia="MS PGothic" w:hAnsi="MS PGothic"/>
          <w:sz w:val="19"/>
          <w:szCs w:val="19"/>
          <w:color w:val="auto"/>
        </w:rPr>
        <w:t>☐</w:t>
      </w:r>
    </w:p>
    <w:p>
      <w:pPr>
        <w:spacing w:after="0" w:line="145" w:lineRule="exact"/>
        <w:rPr>
          <w:sz w:val="20"/>
          <w:szCs w:val="20"/>
          <w:color w:val="auto"/>
        </w:rPr>
      </w:pPr>
    </w:p>
    <w:p>
      <w:pPr>
        <w:spacing w:after="0" w:line="221" w:lineRule="exact"/>
        <w:tabs>
          <w:tab w:leader="none" w:pos="440" w:val="left"/>
          <w:tab w:leader="none" w:pos="1040" w:val="left"/>
        </w:tabs>
        <w:rPr>
          <w:sz w:val="20"/>
          <w:szCs w:val="20"/>
          <w:color w:val="auto"/>
        </w:rPr>
      </w:pPr>
      <w:r>
        <w:rPr>
          <w:rFonts w:ascii="MS PGothic" w:cs="MS PGothic" w:eastAsia="MS PGothic" w:hAnsi="MS PGothic"/>
          <w:sz w:val="22"/>
          <w:szCs w:val="22"/>
          <w:color w:val="auto"/>
        </w:rPr>
        <w:t>☐</w:t>
        <w:tab/>
        <w:t>☐</w:t>
      </w:r>
      <w:r>
        <w:rPr>
          <w:sz w:val="20"/>
          <w:szCs w:val="20"/>
          <w:color w:val="auto"/>
        </w:rPr>
        <w:tab/>
      </w:r>
      <w:r>
        <w:rPr>
          <w:rFonts w:ascii="MS PGothic" w:cs="MS PGothic" w:eastAsia="MS PGothic" w:hAnsi="MS PGothic"/>
          <w:sz w:val="19"/>
          <w:szCs w:val="19"/>
          <w:color w:val="auto"/>
        </w:rPr>
        <w:t>☐</w:t>
      </w:r>
    </w:p>
    <w:p>
      <w:pPr>
        <w:spacing w:after="0" w:line="564" w:lineRule="exact"/>
        <w:rPr>
          <w:sz w:val="20"/>
          <w:szCs w:val="20"/>
          <w:color w:val="auto"/>
        </w:rPr>
      </w:pPr>
    </w:p>
    <w:p>
      <w:pPr>
        <w:sectPr>
          <w:pgSz w:w="11900" w:h="16838" w:orient="portrait"/>
          <w:cols w:equalWidth="0" w:num="6">
            <w:col w:w="2260" w:space="160"/>
            <w:col w:w="1220" w:space="220"/>
            <w:col w:w="1720" w:space="120"/>
            <w:col w:w="1220" w:space="240"/>
            <w:col w:w="1540" w:space="120"/>
            <w:col w:w="1760"/>
          </w:cols>
          <w:pgMar w:left="240" w:top="455" w:right="1079" w:bottom="1440" w:gutter="0" w:footer="0" w:header="0"/>
          <w:type w:val="continuous"/>
        </w:sectPr>
      </w:pPr>
    </w:p>
    <w:p>
      <w:pPr>
        <w:spacing w:after="0" w:line="82" w:lineRule="exact"/>
        <w:rPr>
          <w:sz w:val="20"/>
          <w:szCs w:val="20"/>
          <w:color w:val="auto"/>
        </w:rPr>
      </w:pPr>
    </w:p>
    <w:p>
      <w:pPr>
        <w:ind w:left="860"/>
        <w:spacing w:after="0"/>
        <w:rPr>
          <w:sz w:val="20"/>
          <w:szCs w:val="20"/>
          <w:color w:val="auto"/>
        </w:rPr>
      </w:pPr>
      <w:r>
        <w:rPr>
          <w:rFonts w:ascii="Arial" w:cs="Arial" w:eastAsia="Arial" w:hAnsi="Arial"/>
          <w:sz w:val="14"/>
          <w:szCs w:val="14"/>
          <w:b w:val="1"/>
          <w:bCs w:val="1"/>
          <w:color w:val="auto"/>
        </w:rPr>
        <w:t xml:space="preserve">The Directors recommend a vote </w:t>
      </w:r>
      <w:r>
        <w:rPr>
          <w:rFonts w:ascii="Arial" w:cs="Arial" w:eastAsia="Arial" w:hAnsi="Arial"/>
          <w:sz w:val="14"/>
          <w:szCs w:val="14"/>
          <w:b w:val="1"/>
          <w:bCs w:val="1"/>
          <w:u w:val="single" w:color="auto"/>
          <w:color w:val="auto"/>
        </w:rPr>
        <w:t>FOR</w:t>
      </w:r>
      <w:r>
        <w:rPr>
          <w:rFonts w:ascii="Arial" w:cs="Arial" w:eastAsia="Arial" w:hAnsi="Arial"/>
          <w:sz w:val="14"/>
          <w:szCs w:val="14"/>
          <w:b w:val="1"/>
          <w:bCs w:val="1"/>
          <w:color w:val="auto"/>
        </w:rPr>
        <w:t xml:space="preserve"> proposal items 2 and 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545465</wp:posOffset>
            </wp:positionH>
            <wp:positionV relativeFrom="paragraph">
              <wp:posOffset>-89535</wp:posOffset>
            </wp:positionV>
            <wp:extent cx="6114415" cy="94615"/>
            <wp:wrapNone/>
            <wp:docPr id="123" name="Picture 1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3"/>
                    <pic:cNvPicPr>
                      <a:picLocks noChangeAspect="1" noChangeArrowheads="1"/>
                    </pic:cNvPicPr>
                  </pic:nvPicPr>
                  <pic:blipFill>
                    <a:blip r:embed="rId130">
                      <a:extLst>
                        <a:ext uri="{28A0092B-C50C-407E-A947-70E740481C1C}"/>
                      </a:extLst>
                    </a:blip>
                    <a:srcRect/>
                    <a:stretch>
                      <a:fillRect/>
                    </a:stretch>
                  </pic:blipFill>
                  <pic:spPr bwMode="auto">
                    <a:xfrm>
                      <a:off x="0" y="0"/>
                      <a:ext cx="6114415" cy="94615"/>
                    </a:xfrm>
                    <a:prstGeom prst="rect">
                      <a:avLst/>
                    </a:prstGeom>
                    <a:noFill/>
                  </pic:spPr>
                </pic:pic>
              </a:graphicData>
            </a:graphic>
          </wp:anchor>
        </w:drawing>
      </w:r>
    </w:p>
    <w:p>
      <w:pPr>
        <w:spacing w:after="0" w:line="35" w:lineRule="exact"/>
        <w:rPr>
          <w:sz w:val="20"/>
          <w:szCs w:val="20"/>
          <w:color w:val="auto"/>
        </w:rPr>
      </w:pPr>
    </w:p>
    <w:p>
      <w:pPr>
        <w:ind w:left="4200"/>
        <w:spacing w:after="0"/>
        <w:rPr>
          <w:sz w:val="20"/>
          <w:szCs w:val="20"/>
          <w:color w:val="auto"/>
        </w:rPr>
      </w:pPr>
      <w:r>
        <w:rPr>
          <w:rFonts w:ascii="Arial" w:cs="Arial" w:eastAsia="Arial" w:hAnsi="Arial"/>
          <w:sz w:val="14"/>
          <w:szCs w:val="14"/>
          <w:b w:val="1"/>
          <w:bCs w:val="1"/>
          <w:color w:val="auto"/>
        </w:rPr>
        <w:t>For  Against  Abstain</w:t>
      </w:r>
    </w:p>
    <w:p>
      <w:pPr>
        <w:spacing w:after="0" w:line="29" w:lineRule="exact"/>
        <w:rPr>
          <w:sz w:val="20"/>
          <w:szCs w:val="20"/>
          <w:color w:val="auto"/>
        </w:rPr>
      </w:pPr>
    </w:p>
    <w:tbl>
      <w:tblPr>
        <w:tblLayout w:type="fixed"/>
        <w:tblInd w:w="860" w:type="dxa"/>
        <w:tblCellMar>
          <w:top w:w="0" w:type="dxa"/>
          <w:left w:w="0" w:type="dxa"/>
          <w:bottom w:w="0" w:type="dxa"/>
          <w:right w:w="0" w:type="dxa"/>
        </w:tblCellMar>
      </w:tblPr>
      <w:tr>
        <w:trPr>
          <w:trHeight w:val="174"/>
        </w:trPr>
        <w:tc>
          <w:tcPr>
            <w:tcW w:w="120" w:type="dxa"/>
            <w:vAlign w:val="bottom"/>
          </w:tcPr>
          <w:p>
            <w:pPr>
              <w:spacing w:after="0"/>
              <w:rPr>
                <w:sz w:val="20"/>
                <w:szCs w:val="20"/>
                <w:color w:val="auto"/>
              </w:rPr>
            </w:pPr>
            <w:r>
              <w:rPr>
                <w:rFonts w:ascii="Arial" w:cs="Arial" w:eastAsia="Arial" w:hAnsi="Arial"/>
                <w:sz w:val="14"/>
                <w:szCs w:val="14"/>
                <w:b w:val="1"/>
                <w:bCs w:val="1"/>
                <w:color w:val="auto"/>
                <w:w w:val="85"/>
              </w:rPr>
              <w:t>2.</w:t>
            </w:r>
          </w:p>
        </w:tc>
        <w:tc>
          <w:tcPr>
            <w:tcW w:w="3100" w:type="dxa"/>
            <w:vAlign w:val="bottom"/>
            <w:gridSpan w:val="4"/>
          </w:tcPr>
          <w:p>
            <w:pPr>
              <w:ind w:left="20"/>
              <w:spacing w:after="0"/>
              <w:rPr>
                <w:sz w:val="20"/>
                <w:szCs w:val="20"/>
                <w:color w:val="auto"/>
              </w:rPr>
            </w:pPr>
            <w:r>
              <w:rPr>
                <w:rFonts w:ascii="Arial" w:cs="Arial" w:eastAsia="Arial" w:hAnsi="Arial"/>
                <w:sz w:val="14"/>
                <w:szCs w:val="14"/>
                <w:b w:val="1"/>
                <w:bCs w:val="1"/>
                <w:color w:val="auto"/>
                <w:w w:val="99"/>
              </w:rPr>
              <w:t>Ratification of Independent Auditors (page 25)</w:t>
            </w:r>
          </w:p>
        </w:tc>
        <w:tc>
          <w:tcPr>
            <w:tcW w:w="400" w:type="dxa"/>
            <w:vAlign w:val="bottom"/>
            <w:vMerge w:val="restart"/>
          </w:tcPr>
          <w:p>
            <w:pPr>
              <w:ind w:left="120"/>
              <w:spacing w:after="0" w:line="221" w:lineRule="exact"/>
              <w:rPr>
                <w:sz w:val="20"/>
                <w:szCs w:val="20"/>
                <w:color w:val="auto"/>
              </w:rPr>
            </w:pPr>
            <w:r>
              <w:rPr>
                <w:rFonts w:ascii="MS PGothic" w:cs="MS PGothic" w:eastAsia="MS PGothic" w:hAnsi="MS PGothic"/>
                <w:sz w:val="22"/>
                <w:szCs w:val="22"/>
                <w:color w:val="auto"/>
              </w:rPr>
              <w:t>☐</w:t>
            </w:r>
          </w:p>
        </w:tc>
        <w:tc>
          <w:tcPr>
            <w:tcW w:w="600" w:type="dxa"/>
            <w:vAlign w:val="bottom"/>
            <w:vMerge w:val="restart"/>
          </w:tcPr>
          <w:p>
            <w:pPr>
              <w:jc w:val="center"/>
              <w:spacing w:after="0" w:line="221" w:lineRule="exact"/>
              <w:rPr>
                <w:sz w:val="20"/>
                <w:szCs w:val="20"/>
                <w:color w:val="auto"/>
              </w:rPr>
            </w:pPr>
            <w:r>
              <w:rPr>
                <w:rFonts w:ascii="MS PGothic" w:cs="MS PGothic" w:eastAsia="MS PGothic" w:hAnsi="MS PGothic"/>
                <w:sz w:val="22"/>
                <w:szCs w:val="22"/>
                <w:color w:val="auto"/>
                <w:w w:val="90"/>
              </w:rPr>
              <w:t>☐</w:t>
            </w:r>
          </w:p>
        </w:tc>
        <w:tc>
          <w:tcPr>
            <w:tcW w:w="400" w:type="dxa"/>
            <w:vAlign w:val="bottom"/>
            <w:vMerge w:val="restart"/>
          </w:tcPr>
          <w:p>
            <w:pPr>
              <w:jc w:val="center"/>
              <w:ind w:left="62"/>
              <w:spacing w:after="0" w:line="221" w:lineRule="exact"/>
              <w:rPr>
                <w:sz w:val="20"/>
                <w:szCs w:val="20"/>
                <w:color w:val="auto"/>
              </w:rPr>
            </w:pPr>
            <w:r>
              <w:rPr>
                <w:rFonts w:ascii="MS PGothic" w:cs="MS PGothic" w:eastAsia="MS PGothic" w:hAnsi="MS PGothic"/>
                <w:sz w:val="22"/>
                <w:szCs w:val="22"/>
                <w:color w:val="auto"/>
                <w:w w:val="90"/>
              </w:rPr>
              <w:t>☐</w:t>
            </w:r>
          </w:p>
        </w:tc>
        <w:tc>
          <w:tcPr>
            <w:tcW w:w="2680" w:type="dxa"/>
            <w:vAlign w:val="bottom"/>
            <w:gridSpan w:val="2"/>
          </w:tcPr>
          <w:p>
            <w:pPr>
              <w:ind w:left="220"/>
              <w:spacing w:after="0"/>
              <w:rPr>
                <w:sz w:val="20"/>
                <w:szCs w:val="20"/>
                <w:color w:val="auto"/>
              </w:rPr>
            </w:pPr>
            <w:r>
              <w:rPr>
                <w:rFonts w:ascii="Arial" w:cs="Arial" w:eastAsia="Arial" w:hAnsi="Arial"/>
                <w:sz w:val="14"/>
                <w:szCs w:val="14"/>
                <w:b w:val="1"/>
                <w:bCs w:val="1"/>
                <w:color w:val="auto"/>
                <w:w w:val="95"/>
              </w:rPr>
              <w:t>3. Advisory Vote to Approve Executive</w:t>
            </w:r>
          </w:p>
        </w:tc>
        <w:tc>
          <w:tcPr>
            <w:tcW w:w="0" w:type="dxa"/>
            <w:vAlign w:val="bottom"/>
          </w:tcPr>
          <w:p>
            <w:pPr>
              <w:spacing w:after="0"/>
              <w:rPr>
                <w:sz w:val="1"/>
                <w:szCs w:val="1"/>
                <w:color w:val="auto"/>
              </w:rPr>
            </w:pPr>
          </w:p>
        </w:tc>
      </w:tr>
      <w:tr>
        <w:trPr>
          <w:trHeight w:val="190"/>
        </w:trPr>
        <w:tc>
          <w:tcPr>
            <w:tcW w:w="120" w:type="dxa"/>
            <w:vAlign w:val="bottom"/>
          </w:tcPr>
          <w:p>
            <w:pPr>
              <w:spacing w:after="0"/>
              <w:rPr>
                <w:sz w:val="16"/>
                <w:szCs w:val="16"/>
                <w:color w:val="auto"/>
              </w:rPr>
            </w:pPr>
          </w:p>
        </w:tc>
        <w:tc>
          <w:tcPr>
            <w:tcW w:w="106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400" w:type="dxa"/>
            <w:vAlign w:val="bottom"/>
            <w:vMerge w:val="continue"/>
          </w:tcPr>
          <w:p>
            <w:pPr>
              <w:spacing w:after="0"/>
              <w:rPr>
                <w:sz w:val="16"/>
                <w:szCs w:val="16"/>
                <w:color w:val="auto"/>
              </w:rPr>
            </w:pPr>
          </w:p>
        </w:tc>
        <w:tc>
          <w:tcPr>
            <w:tcW w:w="600" w:type="dxa"/>
            <w:vAlign w:val="bottom"/>
            <w:vMerge w:val="continue"/>
          </w:tcPr>
          <w:p>
            <w:pPr>
              <w:spacing w:after="0"/>
              <w:rPr>
                <w:sz w:val="16"/>
                <w:szCs w:val="16"/>
                <w:color w:val="auto"/>
              </w:rPr>
            </w:pPr>
          </w:p>
        </w:tc>
        <w:tc>
          <w:tcPr>
            <w:tcW w:w="400" w:type="dxa"/>
            <w:vAlign w:val="bottom"/>
            <w:vMerge w:val="continue"/>
          </w:tcPr>
          <w:p>
            <w:pPr>
              <w:spacing w:after="0"/>
              <w:rPr>
                <w:sz w:val="16"/>
                <w:szCs w:val="16"/>
                <w:color w:val="auto"/>
              </w:rPr>
            </w:pPr>
          </w:p>
        </w:tc>
        <w:tc>
          <w:tcPr>
            <w:tcW w:w="360" w:type="dxa"/>
            <w:vAlign w:val="bottom"/>
          </w:tcPr>
          <w:p>
            <w:pPr>
              <w:spacing w:after="0"/>
              <w:rPr>
                <w:sz w:val="16"/>
                <w:szCs w:val="16"/>
                <w:color w:val="auto"/>
              </w:rPr>
            </w:pPr>
          </w:p>
        </w:tc>
        <w:tc>
          <w:tcPr>
            <w:tcW w:w="2320" w:type="dxa"/>
            <w:vAlign w:val="bottom"/>
          </w:tcPr>
          <w:p>
            <w:pPr>
              <w:spacing w:after="0"/>
              <w:rPr>
                <w:sz w:val="20"/>
                <w:szCs w:val="20"/>
                <w:color w:val="auto"/>
              </w:rPr>
            </w:pPr>
            <w:r>
              <w:rPr>
                <w:rFonts w:ascii="Arial" w:cs="Arial" w:eastAsia="Arial" w:hAnsi="Arial"/>
                <w:sz w:val="14"/>
                <w:szCs w:val="14"/>
                <w:b w:val="1"/>
                <w:bCs w:val="1"/>
                <w:color w:val="auto"/>
              </w:rPr>
              <w:t>Compensation (page 26)</w:t>
            </w:r>
          </w:p>
        </w:tc>
        <w:tc>
          <w:tcPr>
            <w:tcW w:w="0" w:type="dxa"/>
            <w:vAlign w:val="bottom"/>
          </w:tcPr>
          <w:p>
            <w:pPr>
              <w:spacing w:after="0"/>
              <w:rPr>
                <w:sz w:val="1"/>
                <w:szCs w:val="1"/>
                <w:color w:val="auto"/>
              </w:rPr>
            </w:pPr>
          </w:p>
        </w:tc>
      </w:tr>
      <w:tr>
        <w:trPr>
          <w:trHeight w:val="234"/>
        </w:trPr>
        <w:tc>
          <w:tcPr>
            <w:tcW w:w="7300" w:type="dxa"/>
            <w:vAlign w:val="bottom"/>
            <w:gridSpan w:val="10"/>
          </w:tcPr>
          <w:p>
            <w:pPr>
              <w:jc w:val="right"/>
              <w:ind w:right="1872"/>
              <w:spacing w:after="0"/>
              <w:rPr>
                <w:sz w:val="20"/>
                <w:szCs w:val="20"/>
                <w:color w:val="auto"/>
              </w:rPr>
            </w:pPr>
            <w:r>
              <w:rPr>
                <w:rFonts w:ascii="Arial" w:cs="Arial" w:eastAsia="Arial" w:hAnsi="Arial"/>
                <w:sz w:val="14"/>
                <w:szCs w:val="14"/>
                <w:b w:val="1"/>
                <w:bCs w:val="1"/>
                <w:color w:val="auto"/>
                <w:w w:val="95"/>
              </w:rPr>
              <w:t>The Directors recommend a vote AGAINST shareholder proposal items 4 through 7.</w:t>
            </w:r>
          </w:p>
        </w:tc>
        <w:tc>
          <w:tcPr>
            <w:tcW w:w="0" w:type="dxa"/>
            <w:vAlign w:val="bottom"/>
          </w:tcPr>
          <w:p>
            <w:pPr>
              <w:spacing w:after="0"/>
              <w:rPr>
                <w:sz w:val="1"/>
                <w:szCs w:val="1"/>
                <w:color w:val="auto"/>
              </w:rPr>
            </w:pPr>
          </w:p>
        </w:tc>
      </w:tr>
      <w:tr>
        <w:trPr>
          <w:trHeight w:val="229"/>
        </w:trPr>
        <w:tc>
          <w:tcPr>
            <w:tcW w:w="12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600" w:type="dxa"/>
            <w:vAlign w:val="bottom"/>
            <w:tcBorders>
              <w:top w:val="single" w:sz="8" w:color="auto"/>
            </w:tcBorders>
          </w:tcPr>
          <w:p>
            <w:pPr>
              <w:spacing w:after="0"/>
              <w:rPr>
                <w:sz w:val="19"/>
                <w:szCs w:val="19"/>
                <w:color w:val="auto"/>
              </w:rPr>
            </w:pPr>
          </w:p>
        </w:tc>
        <w:tc>
          <w:tcPr>
            <w:tcW w:w="480" w:type="dxa"/>
            <w:vAlign w:val="bottom"/>
          </w:tcPr>
          <w:p>
            <w:pPr>
              <w:spacing w:after="0"/>
              <w:rPr>
                <w:sz w:val="19"/>
                <w:szCs w:val="19"/>
                <w:color w:val="auto"/>
              </w:rPr>
            </w:pPr>
          </w:p>
        </w:tc>
        <w:tc>
          <w:tcPr>
            <w:tcW w:w="400" w:type="dxa"/>
            <w:vAlign w:val="bottom"/>
          </w:tcPr>
          <w:p>
            <w:pPr>
              <w:ind w:left="120"/>
              <w:spacing w:after="0"/>
              <w:rPr>
                <w:sz w:val="20"/>
                <w:szCs w:val="20"/>
                <w:color w:val="auto"/>
              </w:rPr>
            </w:pPr>
            <w:r>
              <w:rPr>
                <w:rFonts w:ascii="Arial" w:cs="Arial" w:eastAsia="Arial" w:hAnsi="Arial"/>
                <w:sz w:val="14"/>
                <w:szCs w:val="14"/>
                <w:b w:val="1"/>
                <w:bCs w:val="1"/>
                <w:color w:val="auto"/>
              </w:rPr>
              <w:t>For</w:t>
            </w:r>
          </w:p>
        </w:tc>
        <w:tc>
          <w:tcPr>
            <w:tcW w:w="600" w:type="dxa"/>
            <w:vAlign w:val="bottom"/>
          </w:tcPr>
          <w:p>
            <w:pPr>
              <w:jc w:val="center"/>
              <w:spacing w:after="0"/>
              <w:rPr>
                <w:sz w:val="20"/>
                <w:szCs w:val="20"/>
                <w:color w:val="auto"/>
              </w:rPr>
            </w:pPr>
            <w:r>
              <w:rPr>
                <w:rFonts w:ascii="Arial" w:cs="Arial" w:eastAsia="Arial" w:hAnsi="Arial"/>
                <w:sz w:val="14"/>
                <w:szCs w:val="14"/>
                <w:b w:val="1"/>
                <w:bCs w:val="1"/>
                <w:color w:val="auto"/>
                <w:w w:val="97"/>
              </w:rPr>
              <w:t>Against</w:t>
            </w:r>
          </w:p>
        </w:tc>
        <w:tc>
          <w:tcPr>
            <w:tcW w:w="760" w:type="dxa"/>
            <w:vAlign w:val="bottom"/>
            <w:gridSpan w:val="2"/>
          </w:tcPr>
          <w:p>
            <w:pPr>
              <w:jc w:val="center"/>
              <w:ind w:right="102"/>
              <w:spacing w:after="0"/>
              <w:rPr>
                <w:sz w:val="20"/>
                <w:szCs w:val="20"/>
                <w:color w:val="auto"/>
              </w:rPr>
            </w:pPr>
            <w:r>
              <w:rPr>
                <w:rFonts w:ascii="Arial" w:cs="Arial" w:eastAsia="Arial" w:hAnsi="Arial"/>
                <w:sz w:val="14"/>
                <w:szCs w:val="14"/>
                <w:b w:val="1"/>
                <w:bCs w:val="1"/>
                <w:color w:val="auto"/>
                <w:w w:val="97"/>
              </w:rPr>
              <w:t>Abstain</w:t>
            </w:r>
          </w:p>
        </w:tc>
        <w:tc>
          <w:tcPr>
            <w:tcW w:w="23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57"/>
        </w:trPr>
        <w:tc>
          <w:tcPr>
            <w:tcW w:w="120" w:type="dxa"/>
            <w:vAlign w:val="bottom"/>
          </w:tcPr>
          <w:p>
            <w:pPr>
              <w:spacing w:after="0"/>
              <w:rPr>
                <w:sz w:val="20"/>
                <w:szCs w:val="20"/>
                <w:color w:val="auto"/>
              </w:rPr>
            </w:pPr>
            <w:r>
              <w:rPr>
                <w:rFonts w:ascii="Arial" w:cs="Arial" w:eastAsia="Arial" w:hAnsi="Arial"/>
                <w:sz w:val="14"/>
                <w:szCs w:val="14"/>
                <w:b w:val="1"/>
                <w:bCs w:val="1"/>
                <w:color w:val="auto"/>
                <w:w w:val="85"/>
              </w:rPr>
              <w:t>4.</w:t>
            </w:r>
          </w:p>
        </w:tc>
        <w:tc>
          <w:tcPr>
            <w:tcW w:w="3100" w:type="dxa"/>
            <w:vAlign w:val="bottom"/>
            <w:gridSpan w:val="4"/>
          </w:tcPr>
          <w:p>
            <w:pPr>
              <w:ind w:left="20"/>
              <w:spacing w:after="0"/>
              <w:rPr>
                <w:sz w:val="20"/>
                <w:szCs w:val="20"/>
                <w:color w:val="auto"/>
              </w:rPr>
            </w:pPr>
            <w:r>
              <w:rPr>
                <w:rFonts w:ascii="Arial" w:cs="Arial" w:eastAsia="Arial" w:hAnsi="Arial"/>
                <w:sz w:val="14"/>
                <w:szCs w:val="14"/>
                <w:b w:val="1"/>
                <w:bCs w:val="1"/>
                <w:color w:val="auto"/>
              </w:rPr>
              <w:t>Independent Chairman (page 54)</w:t>
            </w:r>
          </w:p>
        </w:tc>
        <w:tc>
          <w:tcPr>
            <w:tcW w:w="400" w:type="dxa"/>
            <w:vAlign w:val="bottom"/>
          </w:tcPr>
          <w:p>
            <w:pPr>
              <w:ind w:left="140"/>
              <w:spacing w:after="0" w:line="221" w:lineRule="exact"/>
              <w:rPr>
                <w:sz w:val="20"/>
                <w:szCs w:val="20"/>
                <w:color w:val="auto"/>
              </w:rPr>
            </w:pPr>
            <w:r>
              <w:rPr>
                <w:rFonts w:ascii="MS PGothic" w:cs="MS PGothic" w:eastAsia="MS PGothic" w:hAnsi="MS PGothic"/>
                <w:sz w:val="22"/>
                <w:szCs w:val="22"/>
                <w:color w:val="auto"/>
              </w:rPr>
              <w:t>☐</w:t>
            </w:r>
          </w:p>
        </w:tc>
        <w:tc>
          <w:tcPr>
            <w:tcW w:w="600" w:type="dxa"/>
            <w:vAlign w:val="bottom"/>
          </w:tcPr>
          <w:p>
            <w:pPr>
              <w:jc w:val="center"/>
              <w:spacing w:after="0" w:line="221" w:lineRule="exact"/>
              <w:rPr>
                <w:sz w:val="20"/>
                <w:szCs w:val="20"/>
                <w:color w:val="auto"/>
              </w:rPr>
            </w:pPr>
            <w:r>
              <w:rPr>
                <w:rFonts w:ascii="MS PGothic" w:cs="MS PGothic" w:eastAsia="MS PGothic" w:hAnsi="MS PGothic"/>
                <w:sz w:val="22"/>
                <w:szCs w:val="22"/>
                <w:color w:val="auto"/>
                <w:w w:val="90"/>
              </w:rPr>
              <w:t>☐</w:t>
            </w:r>
          </w:p>
        </w:tc>
        <w:tc>
          <w:tcPr>
            <w:tcW w:w="400" w:type="dxa"/>
            <w:vAlign w:val="bottom"/>
          </w:tcPr>
          <w:p>
            <w:pPr>
              <w:jc w:val="center"/>
              <w:ind w:left="82"/>
              <w:spacing w:after="0" w:line="221" w:lineRule="exact"/>
              <w:rPr>
                <w:sz w:val="20"/>
                <w:szCs w:val="20"/>
                <w:color w:val="auto"/>
              </w:rPr>
            </w:pPr>
            <w:r>
              <w:rPr>
                <w:rFonts w:ascii="MS PGothic" w:cs="MS PGothic" w:eastAsia="MS PGothic" w:hAnsi="MS PGothic"/>
                <w:sz w:val="22"/>
                <w:szCs w:val="22"/>
                <w:color w:val="auto"/>
                <w:w w:val="81"/>
              </w:rPr>
              <w:t>☐</w:t>
            </w:r>
          </w:p>
        </w:tc>
        <w:tc>
          <w:tcPr>
            <w:tcW w:w="360" w:type="dxa"/>
            <w:vAlign w:val="bottom"/>
          </w:tcPr>
          <w:p>
            <w:pPr>
              <w:ind w:left="240"/>
              <w:spacing w:after="0"/>
              <w:rPr>
                <w:sz w:val="20"/>
                <w:szCs w:val="20"/>
                <w:color w:val="auto"/>
              </w:rPr>
            </w:pPr>
            <w:r>
              <w:rPr>
                <w:rFonts w:ascii="Arial" w:cs="Arial" w:eastAsia="Arial" w:hAnsi="Arial"/>
                <w:sz w:val="14"/>
                <w:szCs w:val="14"/>
                <w:b w:val="1"/>
                <w:bCs w:val="1"/>
                <w:color w:val="auto"/>
                <w:w w:val="85"/>
              </w:rPr>
              <w:t>6.</w:t>
            </w:r>
          </w:p>
        </w:tc>
        <w:tc>
          <w:tcPr>
            <w:tcW w:w="2320" w:type="dxa"/>
            <w:vAlign w:val="bottom"/>
          </w:tcPr>
          <w:p>
            <w:pPr>
              <w:ind w:left="20"/>
              <w:spacing w:after="0"/>
              <w:rPr>
                <w:sz w:val="20"/>
                <w:szCs w:val="20"/>
                <w:color w:val="auto"/>
              </w:rPr>
            </w:pPr>
            <w:r>
              <w:rPr>
                <w:rFonts w:ascii="Arial" w:cs="Arial" w:eastAsia="Arial" w:hAnsi="Arial"/>
                <w:sz w:val="14"/>
                <w:szCs w:val="14"/>
                <w:b w:val="1"/>
                <w:bCs w:val="1"/>
                <w:color w:val="auto"/>
              </w:rPr>
              <w:t>Board Diversity Matrix (page 56)</w:t>
            </w:r>
          </w:p>
        </w:tc>
        <w:tc>
          <w:tcPr>
            <w:tcW w:w="0" w:type="dxa"/>
            <w:vAlign w:val="bottom"/>
          </w:tcPr>
          <w:p>
            <w:pPr>
              <w:spacing w:after="0"/>
              <w:rPr>
                <w:sz w:val="1"/>
                <w:szCs w:val="1"/>
                <w:color w:val="auto"/>
              </w:rPr>
            </w:pPr>
          </w:p>
        </w:tc>
      </w:tr>
      <w:tr>
        <w:trPr>
          <w:trHeight w:val="339"/>
        </w:trPr>
        <w:tc>
          <w:tcPr>
            <w:tcW w:w="120" w:type="dxa"/>
            <w:vAlign w:val="bottom"/>
          </w:tcPr>
          <w:p>
            <w:pPr>
              <w:spacing w:after="0"/>
              <w:rPr>
                <w:sz w:val="20"/>
                <w:szCs w:val="20"/>
                <w:color w:val="auto"/>
              </w:rPr>
            </w:pPr>
            <w:r>
              <w:rPr>
                <w:rFonts w:ascii="Arial" w:cs="Arial" w:eastAsia="Arial" w:hAnsi="Arial"/>
                <w:sz w:val="14"/>
                <w:szCs w:val="14"/>
                <w:b w:val="1"/>
                <w:bCs w:val="1"/>
                <w:color w:val="auto"/>
                <w:w w:val="85"/>
              </w:rPr>
              <w:t>5.</w:t>
            </w:r>
          </w:p>
        </w:tc>
        <w:tc>
          <w:tcPr>
            <w:tcW w:w="3100" w:type="dxa"/>
            <w:vAlign w:val="bottom"/>
            <w:gridSpan w:val="4"/>
          </w:tcPr>
          <w:p>
            <w:pPr>
              <w:ind w:left="20"/>
              <w:spacing w:after="0"/>
              <w:rPr>
                <w:sz w:val="20"/>
                <w:szCs w:val="20"/>
                <w:color w:val="auto"/>
              </w:rPr>
            </w:pPr>
            <w:r>
              <w:rPr>
                <w:rFonts w:ascii="Arial" w:cs="Arial" w:eastAsia="Arial" w:hAnsi="Arial"/>
                <w:sz w:val="14"/>
                <w:szCs w:val="14"/>
                <w:b w:val="1"/>
                <w:bCs w:val="1"/>
                <w:color w:val="auto"/>
              </w:rPr>
              <w:t>Special Shareholder Meetings (page 55)</w:t>
            </w:r>
          </w:p>
        </w:tc>
        <w:tc>
          <w:tcPr>
            <w:tcW w:w="400" w:type="dxa"/>
            <w:vAlign w:val="bottom"/>
          </w:tcPr>
          <w:p>
            <w:pPr>
              <w:ind w:left="140"/>
              <w:spacing w:after="0" w:line="221" w:lineRule="exact"/>
              <w:rPr>
                <w:sz w:val="20"/>
                <w:szCs w:val="20"/>
                <w:color w:val="auto"/>
              </w:rPr>
            </w:pPr>
            <w:r>
              <w:rPr>
                <w:rFonts w:ascii="MS PGothic" w:cs="MS PGothic" w:eastAsia="MS PGothic" w:hAnsi="MS PGothic"/>
                <w:sz w:val="22"/>
                <w:szCs w:val="22"/>
                <w:color w:val="auto"/>
              </w:rPr>
              <w:t>☐</w:t>
            </w:r>
          </w:p>
        </w:tc>
        <w:tc>
          <w:tcPr>
            <w:tcW w:w="600" w:type="dxa"/>
            <w:vAlign w:val="bottom"/>
          </w:tcPr>
          <w:p>
            <w:pPr>
              <w:jc w:val="center"/>
              <w:spacing w:after="0" w:line="221" w:lineRule="exact"/>
              <w:rPr>
                <w:sz w:val="20"/>
                <w:szCs w:val="20"/>
                <w:color w:val="auto"/>
              </w:rPr>
            </w:pPr>
            <w:r>
              <w:rPr>
                <w:rFonts w:ascii="MS PGothic" w:cs="MS PGothic" w:eastAsia="MS PGothic" w:hAnsi="MS PGothic"/>
                <w:sz w:val="22"/>
                <w:szCs w:val="22"/>
                <w:color w:val="auto"/>
                <w:w w:val="90"/>
              </w:rPr>
              <w:t>☐</w:t>
            </w:r>
          </w:p>
        </w:tc>
        <w:tc>
          <w:tcPr>
            <w:tcW w:w="400" w:type="dxa"/>
            <w:vAlign w:val="bottom"/>
          </w:tcPr>
          <w:p>
            <w:pPr>
              <w:jc w:val="center"/>
              <w:ind w:left="82"/>
              <w:spacing w:after="0" w:line="221" w:lineRule="exact"/>
              <w:rPr>
                <w:sz w:val="20"/>
                <w:szCs w:val="20"/>
                <w:color w:val="auto"/>
              </w:rPr>
            </w:pPr>
            <w:r>
              <w:rPr>
                <w:rFonts w:ascii="MS PGothic" w:cs="MS PGothic" w:eastAsia="MS PGothic" w:hAnsi="MS PGothic"/>
                <w:sz w:val="22"/>
                <w:szCs w:val="22"/>
                <w:color w:val="auto"/>
                <w:w w:val="81"/>
              </w:rPr>
              <w:t>☐</w:t>
            </w:r>
          </w:p>
        </w:tc>
        <w:tc>
          <w:tcPr>
            <w:tcW w:w="360" w:type="dxa"/>
            <w:vAlign w:val="bottom"/>
          </w:tcPr>
          <w:p>
            <w:pPr>
              <w:ind w:left="240"/>
              <w:spacing w:after="0"/>
              <w:rPr>
                <w:sz w:val="20"/>
                <w:szCs w:val="20"/>
                <w:color w:val="auto"/>
              </w:rPr>
            </w:pPr>
            <w:r>
              <w:rPr>
                <w:rFonts w:ascii="Arial" w:cs="Arial" w:eastAsia="Arial" w:hAnsi="Arial"/>
                <w:sz w:val="14"/>
                <w:szCs w:val="14"/>
                <w:b w:val="1"/>
                <w:bCs w:val="1"/>
                <w:color w:val="auto"/>
                <w:w w:val="85"/>
              </w:rPr>
              <w:t>7.</w:t>
            </w:r>
          </w:p>
        </w:tc>
        <w:tc>
          <w:tcPr>
            <w:tcW w:w="2320" w:type="dxa"/>
            <w:vAlign w:val="bottom"/>
          </w:tcPr>
          <w:p>
            <w:pPr>
              <w:ind w:left="20"/>
              <w:spacing w:after="0"/>
              <w:rPr>
                <w:sz w:val="20"/>
                <w:szCs w:val="20"/>
                <w:color w:val="auto"/>
              </w:rPr>
            </w:pPr>
            <w:r>
              <w:rPr>
                <w:rFonts w:ascii="Arial" w:cs="Arial" w:eastAsia="Arial" w:hAnsi="Arial"/>
                <w:sz w:val="14"/>
                <w:szCs w:val="14"/>
                <w:b w:val="1"/>
                <w:bCs w:val="1"/>
                <w:color w:val="auto"/>
              </w:rPr>
              <w:t>Report on Lobbying (page 58)</w:t>
            </w:r>
          </w:p>
        </w:tc>
        <w:tc>
          <w:tcPr>
            <w:tcW w:w="0" w:type="dxa"/>
            <w:vAlign w:val="bottom"/>
          </w:tcPr>
          <w:p>
            <w:pPr>
              <w:spacing w:after="0"/>
              <w:rPr>
                <w:sz w:val="1"/>
                <w:szCs w:val="1"/>
                <w:color w:val="auto"/>
              </w:rPr>
            </w:pPr>
          </w:p>
        </w:tc>
      </w:tr>
      <w:tr>
        <w:trPr>
          <w:trHeight w:val="644"/>
        </w:trPr>
        <w:tc>
          <w:tcPr>
            <w:tcW w:w="12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2680" w:type="dxa"/>
            <w:vAlign w:val="bottom"/>
            <w:gridSpan w:val="2"/>
          </w:tcPr>
          <w:p>
            <w:pPr>
              <w:jc w:val="right"/>
              <w:ind w:right="1872"/>
              <w:spacing w:after="0"/>
              <w:rPr>
                <w:sz w:val="20"/>
                <w:szCs w:val="20"/>
                <w:color w:val="auto"/>
              </w:rPr>
            </w:pPr>
            <w:r>
              <w:rPr>
                <w:rFonts w:ascii="Arial" w:cs="Arial" w:eastAsia="Arial" w:hAnsi="Arial"/>
                <w:sz w:val="22"/>
                <w:szCs w:val="22"/>
                <w:color w:val="auto"/>
                <w:w w:val="96"/>
              </w:rPr>
              <w:t>1 P C F</w:t>
            </w:r>
          </w:p>
        </w:tc>
        <w:tc>
          <w:tcPr>
            <w:tcW w:w="0" w:type="dxa"/>
            <w:vAlign w:val="bottom"/>
          </w:tcPr>
          <w:p>
            <w:pPr>
              <w:spacing w:after="0"/>
              <w:rPr>
                <w:sz w:val="1"/>
                <w:szCs w:val="1"/>
                <w:color w:val="auto"/>
              </w:rPr>
            </w:pPr>
          </w:p>
        </w:tc>
      </w:tr>
      <w:tr>
        <w:trPr>
          <w:trHeight w:val="206"/>
        </w:trPr>
        <w:tc>
          <w:tcPr>
            <w:tcW w:w="1180" w:type="dxa"/>
            <w:vAlign w:val="bottom"/>
            <w:gridSpan w:val="2"/>
          </w:tcPr>
          <w:p>
            <w:pPr>
              <w:spacing w:after="0"/>
              <w:rPr>
                <w:sz w:val="20"/>
                <w:szCs w:val="20"/>
                <w:color w:val="auto"/>
              </w:rPr>
            </w:pPr>
            <w:r>
              <w:rPr>
                <w:rFonts w:ascii="Arial" w:cs="Arial" w:eastAsia="Arial" w:hAnsi="Arial"/>
                <w:sz w:val="14"/>
                <w:szCs w:val="14"/>
                <w:color w:val="auto"/>
              </w:rPr>
              <w:t>002CSP0083</w:t>
            </w:r>
          </w:p>
        </w:tc>
        <w:tc>
          <w:tcPr>
            <w:tcW w:w="2040" w:type="dxa"/>
            <w:vAlign w:val="bottom"/>
            <w:gridSpan w:val="3"/>
          </w:tcPr>
          <w:p>
            <w:pPr>
              <w:ind w:left="340"/>
              <w:spacing w:after="0"/>
              <w:rPr>
                <w:sz w:val="20"/>
                <w:szCs w:val="20"/>
                <w:color w:val="auto"/>
              </w:rPr>
            </w:pPr>
            <w:r>
              <w:rPr>
                <w:rFonts w:ascii="Arial" w:cs="Arial" w:eastAsia="Arial" w:hAnsi="Arial"/>
                <w:sz w:val="14"/>
                <w:szCs w:val="14"/>
                <w:color w:val="auto"/>
              </w:rPr>
              <w:t>02R2KK</w:t>
            </w:r>
          </w:p>
        </w:tc>
        <w:tc>
          <w:tcPr>
            <w:tcW w:w="40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2320" w:type="dxa"/>
            <w:vAlign w:val="bottom"/>
          </w:tcPr>
          <w:p>
            <w:pPr>
              <w:spacing w:after="0"/>
              <w:rPr>
                <w:sz w:val="17"/>
                <w:szCs w:val="17"/>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545465</wp:posOffset>
            </wp:positionH>
            <wp:positionV relativeFrom="paragraph">
              <wp:posOffset>-1160780</wp:posOffset>
            </wp:positionV>
            <wp:extent cx="6174740" cy="94615"/>
            <wp:wrapNone/>
            <wp:docPr id="124" name="Picture 1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4"/>
                    <pic:cNvPicPr>
                      <a:picLocks noChangeAspect="1" noChangeArrowheads="1"/>
                    </pic:cNvPicPr>
                  </pic:nvPicPr>
                  <pic:blipFill>
                    <a:blip r:embed="rId131">
                      <a:extLst>
                        <a:ext uri="{28A0092B-C50C-407E-A947-70E740481C1C}"/>
                      </a:extLst>
                    </a:blip>
                    <a:srcRect/>
                    <a:stretch>
                      <a:fillRect/>
                    </a:stretch>
                  </pic:blipFill>
                  <pic:spPr bwMode="auto">
                    <a:xfrm>
                      <a:off x="0" y="0"/>
                      <a:ext cx="6174740" cy="94615"/>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278"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For  Against  Abstain</w:t>
      </w:r>
    </w:p>
    <w:p>
      <w:pPr>
        <w:spacing w:after="0" w:line="29" w:lineRule="exact"/>
        <w:rPr>
          <w:sz w:val="20"/>
          <w:szCs w:val="20"/>
          <w:color w:val="auto"/>
        </w:rPr>
      </w:pPr>
    </w:p>
    <w:p>
      <w:pPr>
        <w:ind w:left="20"/>
        <w:spacing w:after="0" w:line="221" w:lineRule="exact"/>
        <w:tabs>
          <w:tab w:leader="none" w:pos="460" w:val="left"/>
          <w:tab w:leader="none" w:pos="1060" w:val="left"/>
        </w:tabs>
        <w:rPr>
          <w:sz w:val="20"/>
          <w:szCs w:val="20"/>
          <w:color w:val="auto"/>
        </w:rPr>
      </w:pPr>
      <w:r>
        <w:rPr>
          <w:rFonts w:ascii="MS PGothic" w:cs="MS PGothic" w:eastAsia="MS PGothic" w:hAnsi="MS PGothic"/>
          <w:sz w:val="22"/>
          <w:szCs w:val="22"/>
          <w:color w:val="auto"/>
        </w:rPr>
        <w:t>☐</w:t>
        <w:tab/>
        <w:t>☐</w:t>
      </w:r>
      <w:r>
        <w:rPr>
          <w:sz w:val="20"/>
          <w:szCs w:val="20"/>
          <w:color w:val="auto"/>
        </w:rPr>
        <w:tab/>
      </w:r>
      <w:r>
        <w:rPr>
          <w:rFonts w:ascii="MS PGothic" w:cs="MS PGothic" w:eastAsia="MS PGothic" w:hAnsi="MS PGothic"/>
          <w:sz w:val="19"/>
          <w:szCs w:val="19"/>
          <w:color w:val="auto"/>
        </w:rPr>
        <w:t>☐</w:t>
      </w:r>
    </w:p>
    <w:p>
      <w:pPr>
        <w:spacing w:after="0" w:line="200" w:lineRule="exact"/>
        <w:rPr>
          <w:sz w:val="20"/>
          <w:szCs w:val="20"/>
          <w:color w:val="auto"/>
        </w:rPr>
      </w:pPr>
    </w:p>
    <w:p>
      <w:pPr>
        <w:spacing w:after="0" w:line="241"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For  Against  Abstain</w:t>
      </w:r>
    </w:p>
    <w:p>
      <w:pPr>
        <w:spacing w:after="0" w:line="29" w:lineRule="exact"/>
        <w:rPr>
          <w:sz w:val="20"/>
          <w:szCs w:val="20"/>
          <w:color w:val="auto"/>
        </w:rPr>
      </w:pPr>
    </w:p>
    <w:p>
      <w:pPr>
        <w:ind w:left="20"/>
        <w:spacing w:after="0" w:line="221" w:lineRule="exact"/>
        <w:tabs>
          <w:tab w:leader="none" w:pos="460" w:val="left"/>
          <w:tab w:leader="none" w:pos="1060" w:val="left"/>
        </w:tabs>
        <w:rPr>
          <w:sz w:val="20"/>
          <w:szCs w:val="20"/>
          <w:color w:val="auto"/>
        </w:rPr>
      </w:pPr>
      <w:r>
        <w:rPr>
          <w:rFonts w:ascii="MS PGothic" w:cs="MS PGothic" w:eastAsia="MS PGothic" w:hAnsi="MS PGothic"/>
          <w:sz w:val="22"/>
          <w:szCs w:val="22"/>
          <w:color w:val="auto"/>
        </w:rPr>
        <w:t>☐</w:t>
        <w:tab/>
        <w:t>☐</w:t>
      </w:r>
      <w:r>
        <w:rPr>
          <w:sz w:val="20"/>
          <w:szCs w:val="20"/>
          <w:color w:val="auto"/>
        </w:rPr>
        <w:tab/>
      </w:r>
      <w:r>
        <w:rPr>
          <w:rFonts w:ascii="MS PGothic" w:cs="MS PGothic" w:eastAsia="MS PGothic" w:hAnsi="MS PGothic"/>
          <w:sz w:val="19"/>
          <w:szCs w:val="19"/>
          <w:color w:val="auto"/>
        </w:rPr>
        <w:t>☐</w:t>
      </w:r>
    </w:p>
    <w:p>
      <w:pPr>
        <w:spacing w:after="0" w:line="83" w:lineRule="exact"/>
        <w:rPr>
          <w:sz w:val="20"/>
          <w:szCs w:val="20"/>
          <w:color w:val="auto"/>
        </w:rPr>
      </w:pPr>
    </w:p>
    <w:p>
      <w:pPr>
        <w:ind w:left="20"/>
        <w:spacing w:after="0" w:line="221" w:lineRule="exact"/>
        <w:tabs>
          <w:tab w:leader="none" w:pos="460" w:val="left"/>
          <w:tab w:leader="none" w:pos="1060" w:val="left"/>
        </w:tabs>
        <w:rPr>
          <w:sz w:val="20"/>
          <w:szCs w:val="20"/>
          <w:color w:val="auto"/>
        </w:rPr>
      </w:pPr>
      <w:r>
        <w:rPr>
          <w:rFonts w:ascii="MS PGothic" w:cs="MS PGothic" w:eastAsia="MS PGothic" w:hAnsi="MS PGothic"/>
          <w:sz w:val="22"/>
          <w:szCs w:val="22"/>
          <w:color w:val="auto"/>
        </w:rPr>
        <w:t>☐</w:t>
        <w:tab/>
        <w:t>☐</w:t>
      </w:r>
      <w:r>
        <w:rPr>
          <w:sz w:val="20"/>
          <w:szCs w:val="20"/>
          <w:color w:val="auto"/>
        </w:rPr>
        <w:tab/>
      </w:r>
      <w:r>
        <w:rPr>
          <w:rFonts w:ascii="MS PGothic" w:cs="MS PGothic" w:eastAsia="MS PGothic" w:hAnsi="MS PGothic"/>
          <w:sz w:val="19"/>
          <w:szCs w:val="19"/>
          <w:color w:val="auto"/>
        </w:rPr>
        <w:t>☐</w:t>
      </w:r>
    </w:p>
    <w:p>
      <w:pPr>
        <w:spacing w:after="0" w:line="226" w:lineRule="exact"/>
        <w:rPr>
          <w:sz w:val="20"/>
          <w:szCs w:val="20"/>
          <w:color w:val="auto"/>
        </w:rPr>
      </w:pPr>
    </w:p>
    <w:p>
      <w:pPr>
        <w:jc w:val="right"/>
        <w:spacing w:after="0"/>
        <w:rPr>
          <w:sz w:val="20"/>
          <w:szCs w:val="20"/>
          <w:color w:val="auto"/>
        </w:rPr>
      </w:pPr>
      <w:r>
        <w:rPr>
          <w:rFonts w:ascii="Arial" w:cs="Arial" w:eastAsia="Arial" w:hAnsi="Arial"/>
          <w:sz w:val="36"/>
          <w:szCs w:val="36"/>
          <w:b w:val="1"/>
          <w:bCs w:val="1"/>
          <w:color w:val="auto"/>
        </w:rPr>
        <w:t>+</w:t>
      </w:r>
    </w:p>
    <w:p>
      <w:pPr>
        <w:sectPr>
          <w:pgSz w:w="11900" w:h="16838" w:orient="portrait"/>
          <w:cols w:equalWidth="0" w:num="2">
            <w:col w:w="8340" w:space="720"/>
            <w:col w:w="1520"/>
          </w:cols>
          <w:pgMar w:left="240" w:top="455" w:right="1079" w:bottom="1440" w:gutter="0" w:footer="0" w:header="0"/>
          <w:type w:val="continuous"/>
        </w:sectPr>
      </w:pPr>
    </w:p>
    <w:bookmarkStart w:id="68" w:name="page69"/>
    <w:bookmarkEnd w:id="68"/>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25" name="Picture 1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5"/>
                    <pic:cNvPicPr>
                      <a:picLocks noChangeAspect="1" noChangeArrowheads="1"/>
                    </pic:cNvPicPr>
                  </pic:nvPicPr>
                  <pic:blipFill>
                    <a:blip r:embed="rId132">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Times New Roman" w:cs="Times New Roman" w:eastAsia="Times New Roman" w:hAnsi="Times New Roman"/>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545465</wp:posOffset>
            </wp:positionH>
            <wp:positionV relativeFrom="paragraph">
              <wp:posOffset>208280</wp:posOffset>
            </wp:positionV>
            <wp:extent cx="1706880" cy="325755"/>
            <wp:wrapNone/>
            <wp:docPr id="126" name="Picture 1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6"/>
                    <pic:cNvPicPr>
                      <a:picLocks noChangeAspect="1" noChangeArrowheads="1"/>
                    </pic:cNvPicPr>
                  </pic:nvPicPr>
                  <pic:blipFill>
                    <a:blip r:embed="rId133">
                      <a:extLst>
                        <a:ext uri="{28A0092B-C50C-407E-A947-70E740481C1C}"/>
                      </a:extLst>
                    </a:blip>
                    <a:srcRect/>
                    <a:stretch>
                      <a:fillRect/>
                    </a:stretch>
                  </pic:blipFill>
                  <pic:spPr bwMode="auto">
                    <a:xfrm>
                      <a:off x="0" y="0"/>
                      <a:ext cx="1706880" cy="3257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9" w:lineRule="exact"/>
        <w:rPr>
          <w:sz w:val="20"/>
          <w:szCs w:val="20"/>
          <w:color w:val="auto"/>
        </w:rPr>
      </w:pPr>
    </w:p>
    <w:p>
      <w:pPr>
        <w:ind w:left="860"/>
        <w:spacing w:after="0"/>
        <w:rPr>
          <w:sz w:val="20"/>
          <w:szCs w:val="20"/>
          <w:color w:val="auto"/>
        </w:rPr>
      </w:pPr>
      <w:r>
        <w:rPr>
          <w:rFonts w:ascii="Arial" w:cs="Arial" w:eastAsia="Arial" w:hAnsi="Arial"/>
          <w:sz w:val="18"/>
          <w:szCs w:val="18"/>
          <w:color w:val="auto"/>
        </w:rPr>
        <w:t>c/o Computershare Investor Services</w:t>
      </w:r>
    </w:p>
    <w:p>
      <w:pPr>
        <w:spacing w:after="0" w:line="13" w:lineRule="exact"/>
        <w:rPr>
          <w:sz w:val="20"/>
          <w:szCs w:val="20"/>
          <w:color w:val="auto"/>
        </w:rPr>
      </w:pPr>
    </w:p>
    <w:p>
      <w:pPr>
        <w:ind w:left="860"/>
        <w:spacing w:after="0"/>
        <w:rPr>
          <w:sz w:val="20"/>
          <w:szCs w:val="20"/>
          <w:color w:val="auto"/>
        </w:rPr>
      </w:pPr>
      <w:r>
        <w:rPr>
          <w:rFonts w:ascii="Arial" w:cs="Arial" w:eastAsia="Arial" w:hAnsi="Arial"/>
          <w:sz w:val="18"/>
          <w:szCs w:val="18"/>
          <w:color w:val="auto"/>
        </w:rPr>
        <w:t>P.O. Box 43105</w:t>
      </w:r>
    </w:p>
    <w:p>
      <w:pPr>
        <w:ind w:left="860"/>
        <w:spacing w:after="0"/>
        <w:rPr>
          <w:sz w:val="20"/>
          <w:szCs w:val="20"/>
          <w:color w:val="auto"/>
        </w:rPr>
      </w:pPr>
      <w:r>
        <w:rPr>
          <w:rFonts w:ascii="Arial" w:cs="Arial" w:eastAsia="Arial" w:hAnsi="Arial"/>
          <w:sz w:val="18"/>
          <w:szCs w:val="18"/>
          <w:color w:val="auto"/>
        </w:rPr>
        <w:t>Providence, RI 02940-5076</w:t>
      </w:r>
    </w:p>
    <w:p>
      <w:pPr>
        <w:spacing w:after="0" w:line="74" w:lineRule="exact"/>
        <w:rPr>
          <w:sz w:val="20"/>
          <w:szCs w:val="20"/>
          <w:color w:val="auto"/>
        </w:rPr>
      </w:pPr>
    </w:p>
    <w:p>
      <w:pPr>
        <w:ind w:left="860"/>
        <w:spacing w:after="0"/>
        <w:rPr>
          <w:sz w:val="20"/>
          <w:szCs w:val="20"/>
          <w:color w:val="auto"/>
        </w:rPr>
      </w:pPr>
      <w:r>
        <w:rPr>
          <w:rFonts w:ascii="Arial" w:cs="Arial" w:eastAsia="Arial" w:hAnsi="Arial"/>
          <w:sz w:val="28"/>
          <w:szCs w:val="28"/>
          <w:b w:val="1"/>
          <w:bCs w:val="1"/>
          <w:color w:val="auto"/>
        </w:rPr>
        <w:t>2018 Annual Meeting of Shareholders</w:t>
      </w:r>
    </w:p>
    <w:p>
      <w:pPr>
        <w:spacing w:after="0" w:line="56" w:lineRule="exact"/>
        <w:rPr>
          <w:sz w:val="20"/>
          <w:szCs w:val="20"/>
          <w:color w:val="auto"/>
        </w:rPr>
      </w:pPr>
    </w:p>
    <w:p>
      <w:pPr>
        <w:ind w:left="860"/>
        <w:spacing w:after="0"/>
        <w:rPr>
          <w:sz w:val="20"/>
          <w:szCs w:val="20"/>
          <w:color w:val="auto"/>
        </w:rPr>
      </w:pPr>
      <w:r>
        <w:rPr>
          <w:rFonts w:ascii="Arial" w:cs="Arial" w:eastAsia="Arial" w:hAnsi="Arial"/>
          <w:sz w:val="29"/>
          <w:szCs w:val="29"/>
          <w:b w:val="1"/>
          <w:bCs w:val="1"/>
          <w:color w:val="auto"/>
        </w:rPr>
        <w:t>Admission Ticket</w:t>
      </w:r>
    </w:p>
    <w:p>
      <w:pPr>
        <w:sectPr>
          <w:pgSz w:w="11900" w:h="16838" w:orient="portrait"/>
          <w:cols w:equalWidth="0" w:num="1">
            <w:col w:w="10580"/>
          </w:cols>
          <w:pgMar w:left="240" w:top="455" w:right="1079" w:bottom="1440" w:gutter="0" w:footer="0" w:header="0"/>
        </w:sectPr>
      </w:pPr>
    </w:p>
    <w:p>
      <w:pPr>
        <w:spacing w:after="0" w:line="123" w:lineRule="exact"/>
        <w:rPr>
          <w:sz w:val="20"/>
          <w:szCs w:val="20"/>
          <w:color w:val="auto"/>
        </w:rPr>
      </w:pPr>
    </w:p>
    <w:p>
      <w:pPr>
        <w:ind w:left="860"/>
        <w:spacing w:after="0"/>
        <w:rPr>
          <w:sz w:val="20"/>
          <w:szCs w:val="20"/>
          <w:color w:val="auto"/>
        </w:rPr>
      </w:pPr>
      <w:r>
        <w:rPr>
          <w:rFonts w:ascii="Arial" w:cs="Arial" w:eastAsia="Arial" w:hAnsi="Arial"/>
          <w:sz w:val="16"/>
          <w:szCs w:val="16"/>
          <w:b w:val="1"/>
          <w:bCs w:val="1"/>
          <w:color w:val="auto"/>
        </w:rPr>
        <w:t>TIME</w:t>
      </w:r>
    </w:p>
    <w:p>
      <w:pPr>
        <w:spacing w:after="0" w:line="329" w:lineRule="exact"/>
        <w:rPr>
          <w:sz w:val="20"/>
          <w:szCs w:val="20"/>
          <w:color w:val="auto"/>
        </w:rPr>
      </w:pPr>
    </w:p>
    <w:p>
      <w:pPr>
        <w:ind w:left="860"/>
        <w:spacing w:after="0"/>
        <w:rPr>
          <w:sz w:val="20"/>
          <w:szCs w:val="20"/>
          <w:color w:val="auto"/>
        </w:rPr>
      </w:pPr>
      <w:r>
        <w:rPr>
          <w:rFonts w:ascii="Arial" w:cs="Arial" w:eastAsia="Arial" w:hAnsi="Arial"/>
          <w:sz w:val="16"/>
          <w:szCs w:val="16"/>
          <w:b w:val="1"/>
          <w:bCs w:val="1"/>
          <w:color w:val="auto"/>
        </w:rPr>
        <w:t>PLACE</w:t>
      </w:r>
    </w:p>
    <w:p>
      <w:pPr>
        <w:spacing w:after="0" w:line="200" w:lineRule="exact"/>
        <w:rPr>
          <w:sz w:val="20"/>
          <w:szCs w:val="20"/>
          <w:color w:val="auto"/>
        </w:rPr>
      </w:pPr>
    </w:p>
    <w:p>
      <w:pPr>
        <w:spacing w:after="0" w:line="318" w:lineRule="exact"/>
        <w:rPr>
          <w:sz w:val="20"/>
          <w:szCs w:val="20"/>
          <w:color w:val="auto"/>
        </w:rPr>
      </w:pPr>
    </w:p>
    <w:p>
      <w:pPr>
        <w:ind w:left="860"/>
        <w:spacing w:after="0"/>
        <w:rPr>
          <w:sz w:val="20"/>
          <w:szCs w:val="20"/>
          <w:color w:val="auto"/>
        </w:rPr>
      </w:pPr>
      <w:r>
        <w:rPr>
          <w:rFonts w:ascii="Arial" w:cs="Arial" w:eastAsia="Arial" w:hAnsi="Arial"/>
          <w:sz w:val="16"/>
          <w:szCs w:val="16"/>
          <w:b w:val="1"/>
          <w:bCs w:val="1"/>
          <w:color w:val="auto"/>
        </w:rPr>
        <w:t>AUDIO WEBCAST</w:t>
      </w:r>
    </w:p>
    <w:p>
      <w:pPr>
        <w:spacing w:after="0" w:line="20" w:lineRule="exact"/>
        <w:rPr>
          <w:sz w:val="20"/>
          <w:szCs w:val="20"/>
          <w:color w:val="auto"/>
        </w:rPr>
      </w:pPr>
      <w:r>
        <w:rPr>
          <w:sz w:val="20"/>
          <w:szCs w:val="20"/>
          <w:color w:val="auto"/>
        </w:rPr>
        <w:br w:type="column"/>
      </w:r>
    </w:p>
    <w:p>
      <w:pPr>
        <w:spacing w:after="0" w:line="119" w:lineRule="exact"/>
        <w:rPr>
          <w:sz w:val="20"/>
          <w:szCs w:val="20"/>
          <w:color w:val="auto"/>
        </w:rPr>
      </w:pPr>
    </w:p>
    <w:p>
      <w:pPr>
        <w:spacing w:after="0"/>
        <w:rPr>
          <w:sz w:val="20"/>
          <w:szCs w:val="20"/>
          <w:color w:val="auto"/>
        </w:rPr>
      </w:pPr>
      <w:r>
        <w:rPr>
          <w:rFonts w:ascii="Arial" w:cs="Arial" w:eastAsia="Arial" w:hAnsi="Arial"/>
          <w:sz w:val="16"/>
          <w:szCs w:val="16"/>
          <w:color w:val="auto"/>
        </w:rPr>
        <w:t>Wednesday, May 30, 2018</w:t>
      </w:r>
    </w:p>
    <w:p>
      <w:pPr>
        <w:spacing w:after="0" w:line="25" w:lineRule="exact"/>
        <w:rPr>
          <w:sz w:val="20"/>
          <w:szCs w:val="20"/>
          <w:color w:val="auto"/>
        </w:rPr>
      </w:pPr>
    </w:p>
    <w:p>
      <w:pPr>
        <w:spacing w:after="0"/>
        <w:rPr>
          <w:sz w:val="20"/>
          <w:szCs w:val="20"/>
          <w:color w:val="auto"/>
        </w:rPr>
      </w:pPr>
      <w:r>
        <w:rPr>
          <w:rFonts w:ascii="Arial" w:cs="Arial" w:eastAsia="Arial" w:hAnsi="Arial"/>
          <w:sz w:val="16"/>
          <w:szCs w:val="16"/>
          <w:color w:val="auto"/>
        </w:rPr>
        <w:t>9:30 a.m. Central Time</w:t>
      </w:r>
    </w:p>
    <w:p>
      <w:pPr>
        <w:spacing w:after="0" w:line="120" w:lineRule="exact"/>
        <w:rPr>
          <w:sz w:val="20"/>
          <w:szCs w:val="20"/>
          <w:color w:val="auto"/>
        </w:rPr>
      </w:pPr>
    </w:p>
    <w:p>
      <w:pPr>
        <w:spacing w:after="0"/>
        <w:rPr>
          <w:sz w:val="20"/>
          <w:szCs w:val="20"/>
          <w:color w:val="auto"/>
        </w:rPr>
      </w:pPr>
      <w:r>
        <w:rPr>
          <w:rFonts w:ascii="Arial" w:cs="Arial" w:eastAsia="Arial" w:hAnsi="Arial"/>
          <w:sz w:val="16"/>
          <w:szCs w:val="16"/>
          <w:color w:val="auto"/>
        </w:rPr>
        <w:t>Morton H. Meyerson Symphony Center</w:t>
      </w:r>
    </w:p>
    <w:p>
      <w:pPr>
        <w:spacing w:after="0" w:line="25" w:lineRule="exact"/>
        <w:rPr>
          <w:sz w:val="20"/>
          <w:szCs w:val="20"/>
          <w:color w:val="auto"/>
        </w:rPr>
      </w:pPr>
    </w:p>
    <w:p>
      <w:pPr>
        <w:spacing w:after="0"/>
        <w:rPr>
          <w:sz w:val="20"/>
          <w:szCs w:val="20"/>
          <w:color w:val="auto"/>
        </w:rPr>
      </w:pPr>
      <w:r>
        <w:rPr>
          <w:rFonts w:ascii="Arial" w:cs="Arial" w:eastAsia="Arial" w:hAnsi="Arial"/>
          <w:sz w:val="16"/>
          <w:szCs w:val="16"/>
          <w:color w:val="auto"/>
        </w:rPr>
        <w:t>2301 Flora Street</w:t>
      </w:r>
    </w:p>
    <w:p>
      <w:pPr>
        <w:spacing w:after="0" w:line="5" w:lineRule="exact"/>
        <w:rPr>
          <w:sz w:val="20"/>
          <w:szCs w:val="20"/>
          <w:color w:val="auto"/>
        </w:rPr>
      </w:pPr>
    </w:p>
    <w:p>
      <w:pPr>
        <w:spacing w:after="0"/>
        <w:rPr>
          <w:sz w:val="20"/>
          <w:szCs w:val="20"/>
          <w:color w:val="auto"/>
        </w:rPr>
      </w:pPr>
      <w:r>
        <w:rPr>
          <w:rFonts w:ascii="Arial" w:cs="Arial" w:eastAsia="Arial" w:hAnsi="Arial"/>
          <w:sz w:val="16"/>
          <w:szCs w:val="16"/>
          <w:color w:val="auto"/>
        </w:rPr>
        <w:t>Dallas, Texas 75201</w:t>
      </w:r>
    </w:p>
    <w:p>
      <w:pPr>
        <w:spacing w:after="0" w:line="107" w:lineRule="exact"/>
        <w:rPr>
          <w:sz w:val="20"/>
          <w:szCs w:val="20"/>
          <w:color w:val="auto"/>
        </w:rPr>
      </w:pPr>
    </w:p>
    <w:p>
      <w:pPr>
        <w:ind w:right="60"/>
        <w:spacing w:after="0" w:line="291" w:lineRule="auto"/>
        <w:rPr>
          <w:sz w:val="20"/>
          <w:szCs w:val="20"/>
          <w:color w:val="auto"/>
        </w:rPr>
      </w:pPr>
      <w:r>
        <w:rPr>
          <w:rFonts w:ascii="Arial" w:cs="Arial" w:eastAsia="Arial" w:hAnsi="Arial"/>
          <w:sz w:val="16"/>
          <w:szCs w:val="16"/>
          <w:color w:val="auto"/>
        </w:rPr>
        <w:t xml:space="preserve">A slide presentation with audio will be available on the Internet at </w:t>
      </w:r>
      <w:r>
        <w:rPr>
          <w:rFonts w:ascii="Arial" w:cs="Arial" w:eastAsia="Arial" w:hAnsi="Arial"/>
          <w:sz w:val="16"/>
          <w:szCs w:val="16"/>
          <w:i w:val="1"/>
          <w:iCs w:val="1"/>
          <w:color w:val="auto"/>
        </w:rPr>
        <w:t>exxonmobil.com.</w:t>
      </w:r>
      <w:r>
        <w:rPr>
          <w:rFonts w:ascii="Arial" w:cs="Arial" w:eastAsia="Arial" w:hAnsi="Arial"/>
          <w:sz w:val="16"/>
          <w:szCs w:val="16"/>
          <w:color w:val="auto"/>
        </w:rPr>
        <w:t xml:space="preserve"> Instructions will appear on the website prior to the event.</w:t>
      </w:r>
    </w:p>
    <w:p>
      <w:pPr>
        <w:spacing w:after="0" w:line="65" w:lineRule="exact"/>
        <w:rPr>
          <w:sz w:val="20"/>
          <w:szCs w:val="20"/>
          <w:color w:val="auto"/>
        </w:rPr>
      </w:pPr>
    </w:p>
    <w:p>
      <w:pPr>
        <w:sectPr>
          <w:pgSz w:w="11900" w:h="16838" w:orient="portrait"/>
          <w:cols w:equalWidth="0" w:num="2">
            <w:col w:w="2240" w:space="180"/>
            <w:col w:w="8160"/>
          </w:cols>
          <w:pgMar w:left="240" w:top="455" w:right="1079" w:bottom="1440" w:gutter="0" w:footer="0" w:header="0"/>
          <w:type w:val="continuous"/>
        </w:sectPr>
      </w:pPr>
    </w:p>
    <w:p>
      <w:pPr>
        <w:ind w:left="860"/>
        <w:spacing w:after="0"/>
        <w:tabs>
          <w:tab w:leader="none" w:pos="2400" w:val="left"/>
        </w:tabs>
        <w:rPr>
          <w:sz w:val="20"/>
          <w:szCs w:val="20"/>
          <w:color w:val="auto"/>
        </w:rPr>
      </w:pPr>
      <w:r>
        <w:rPr>
          <w:rFonts w:ascii="Arial" w:cs="Arial" w:eastAsia="Arial" w:hAnsi="Arial"/>
          <w:sz w:val="16"/>
          <w:szCs w:val="16"/>
          <w:b w:val="1"/>
          <w:bCs w:val="1"/>
          <w:color w:val="auto"/>
        </w:rPr>
        <w:t>ADMISSION</w:t>
      </w:r>
      <w:r>
        <w:rPr>
          <w:sz w:val="20"/>
          <w:szCs w:val="20"/>
          <w:color w:val="auto"/>
        </w:rPr>
        <w:tab/>
      </w:r>
      <w:r>
        <w:rPr>
          <w:rFonts w:ascii="Arial" w:cs="Arial" w:eastAsia="Arial" w:hAnsi="Arial"/>
          <w:sz w:val="16"/>
          <w:szCs w:val="16"/>
          <w:color w:val="auto"/>
        </w:rPr>
        <w:t>This ticket will admit shareholder. Ticket for one guest can be requested at Admissions desk at the annual</w:t>
      </w:r>
    </w:p>
    <w:p>
      <w:pPr>
        <w:spacing w:after="0" w:line="27" w:lineRule="exact"/>
        <w:rPr>
          <w:sz w:val="20"/>
          <w:szCs w:val="20"/>
          <w:color w:val="auto"/>
        </w:rPr>
      </w:pPr>
    </w:p>
    <w:p>
      <w:pPr>
        <w:ind w:left="2420" w:right="360"/>
        <w:spacing w:after="0" w:line="265" w:lineRule="auto"/>
        <w:rPr>
          <w:sz w:val="20"/>
          <w:szCs w:val="20"/>
          <w:color w:val="auto"/>
        </w:rPr>
      </w:pPr>
      <w:r>
        <w:rPr>
          <w:rFonts w:ascii="Arial" w:cs="Arial" w:eastAsia="Arial" w:hAnsi="Arial"/>
          <w:sz w:val="16"/>
          <w:szCs w:val="16"/>
          <w:color w:val="auto"/>
        </w:rPr>
        <w:t>meeting. Valid admission ticket and government-issued picture identification are required for shareholder and guest.</w:t>
      </w:r>
    </w:p>
    <w:p>
      <w:pPr>
        <w:spacing w:after="0" w:line="73" w:lineRule="exact"/>
        <w:rPr>
          <w:sz w:val="20"/>
          <w:szCs w:val="20"/>
          <w:color w:val="auto"/>
        </w:rPr>
      </w:pPr>
    </w:p>
    <w:p>
      <w:pPr>
        <w:ind w:left="2420" w:right="320"/>
        <w:spacing w:after="0" w:line="291" w:lineRule="auto"/>
        <w:rPr>
          <w:sz w:val="20"/>
          <w:szCs w:val="20"/>
          <w:color w:val="auto"/>
        </w:rPr>
      </w:pPr>
      <w:r>
        <w:rPr>
          <w:rFonts w:ascii="Arial" w:cs="Arial" w:eastAsia="Arial" w:hAnsi="Arial"/>
          <w:sz w:val="16"/>
          <w:szCs w:val="16"/>
          <w:color w:val="auto"/>
        </w:rPr>
        <w:t>For safety and security reasons, cameras, smartphones, recording equipment, electronic devices, computers, large bags, briefcases, packages, and firearms or other weapons will not be permitted in the building.</w:t>
      </w:r>
    </w:p>
    <w:p>
      <w:pPr>
        <w:spacing w:after="0" w:line="200" w:lineRule="exact"/>
        <w:rPr>
          <w:sz w:val="20"/>
          <w:szCs w:val="20"/>
          <w:color w:val="auto"/>
        </w:rPr>
      </w:pPr>
    </w:p>
    <w:p>
      <w:pPr>
        <w:spacing w:after="0" w:line="200" w:lineRule="exact"/>
        <w:rPr>
          <w:sz w:val="20"/>
          <w:szCs w:val="20"/>
          <w:color w:val="auto"/>
        </w:rPr>
      </w:pPr>
    </w:p>
    <w:p>
      <w:pPr>
        <w:spacing w:after="0" w:line="300" w:lineRule="exact"/>
        <w:rPr>
          <w:sz w:val="20"/>
          <w:szCs w:val="20"/>
          <w:color w:val="auto"/>
        </w:rPr>
      </w:pPr>
    </w:p>
    <w:p>
      <w:pPr>
        <w:jc w:val="center"/>
        <w:ind w:right="-879"/>
        <w:spacing w:after="0"/>
        <w:rPr>
          <w:sz w:val="20"/>
          <w:szCs w:val="20"/>
          <w:color w:val="auto"/>
        </w:rPr>
      </w:pPr>
      <w:r>
        <w:rPr>
          <w:rFonts w:ascii="Arial" w:cs="Arial" w:eastAsia="Arial" w:hAnsi="Arial"/>
          <w:sz w:val="16"/>
          <w:szCs w:val="16"/>
          <w:b w:val="1"/>
          <w:bCs w:val="1"/>
          <w:color w:val="auto"/>
        </w:rPr>
        <w:t>Small steps make an impact.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1660525</wp:posOffset>
            </wp:positionH>
            <wp:positionV relativeFrom="paragraph">
              <wp:posOffset>-111760</wp:posOffset>
            </wp:positionV>
            <wp:extent cx="3961765" cy="266065"/>
            <wp:wrapNone/>
            <wp:docPr id="127" name="Picture 1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7"/>
                    <pic:cNvPicPr>
                      <a:picLocks noChangeAspect="1" noChangeArrowheads="1"/>
                    </pic:cNvPicPr>
                  </pic:nvPicPr>
                  <pic:blipFill>
                    <a:blip r:embed="rId134">
                      <a:extLst>
                        <a:ext uri="{28A0092B-C50C-407E-A947-70E740481C1C}"/>
                      </a:extLst>
                    </a:blip>
                    <a:srcRect/>
                    <a:stretch>
                      <a:fillRect/>
                    </a:stretch>
                  </pic:blipFill>
                  <pic:spPr bwMode="auto">
                    <a:xfrm>
                      <a:off x="0" y="0"/>
                      <a:ext cx="3961765" cy="266065"/>
                    </a:xfrm>
                    <a:prstGeom prst="rect">
                      <a:avLst/>
                    </a:prstGeom>
                    <a:noFill/>
                  </pic:spPr>
                </pic:pic>
              </a:graphicData>
            </a:graphic>
          </wp:anchor>
        </w:drawing>
      </w:r>
    </w:p>
    <w:p>
      <w:pPr>
        <w:spacing w:after="0" w:line="7" w:lineRule="exact"/>
        <w:rPr>
          <w:sz w:val="20"/>
          <w:szCs w:val="20"/>
          <w:color w:val="auto"/>
        </w:rPr>
      </w:pPr>
    </w:p>
    <w:p>
      <w:pPr>
        <w:jc w:val="center"/>
        <w:ind w:right="-879"/>
        <w:spacing w:after="0"/>
        <w:rPr>
          <w:sz w:val="20"/>
          <w:szCs w:val="20"/>
          <w:color w:val="auto"/>
        </w:rPr>
      </w:pPr>
      <w:r>
        <w:rPr>
          <w:rFonts w:ascii="Arial" w:cs="Arial" w:eastAsia="Arial" w:hAnsi="Arial"/>
          <w:sz w:val="16"/>
          <w:szCs w:val="16"/>
          <w:color w:val="auto"/>
        </w:rPr>
        <w:t>Help the environment by consenting to receive electronic delivery of materials.</w:t>
      </w:r>
    </w:p>
    <w:p>
      <w:pPr>
        <w:spacing w:after="0" w:line="222" w:lineRule="exact"/>
        <w:rPr>
          <w:sz w:val="20"/>
          <w:szCs w:val="20"/>
          <w:color w:val="auto"/>
        </w:rPr>
      </w:pPr>
    </w:p>
    <w:p>
      <w:pPr>
        <w:ind w:left="2160"/>
        <w:spacing w:after="0"/>
        <w:rPr>
          <w:sz w:val="20"/>
          <w:szCs w:val="20"/>
          <w:color w:val="auto"/>
        </w:rPr>
      </w:pPr>
      <w:r>
        <w:rPr>
          <w:rFonts w:ascii="Times New Roman" w:cs="Times New Roman" w:eastAsia="Times New Roman" w:hAnsi="Times New Roman"/>
          <w:sz w:val="13"/>
          <w:szCs w:val="13"/>
          <w:color w:val="auto"/>
        </w:rPr>
        <w:t xml:space="preserve">q </w:t>
      </w:r>
      <w:r>
        <w:rPr>
          <w:rFonts w:ascii="Arial" w:cs="Arial" w:eastAsia="Arial" w:hAnsi="Arial"/>
          <w:sz w:val="13"/>
          <w:szCs w:val="13"/>
          <w:b w:val="1"/>
          <w:bCs w:val="1"/>
          <w:color w:val="auto"/>
        </w:rPr>
        <w:t>IF VOTING BY MAIL, SIGN BELOW, DETACH AND RETURN THE BOTTOM PORTION IN THE ENCLOSED ENVELOPE.</w:t>
      </w:r>
      <w:r>
        <w:rPr>
          <w:rFonts w:ascii="Times New Roman" w:cs="Times New Roman" w:eastAsia="Times New Roman" w:hAnsi="Times New Roman"/>
          <w:sz w:val="13"/>
          <w:szCs w:val="13"/>
          <w:color w:val="auto"/>
        </w:rPr>
        <w:t xml:space="preserve"> q</w:t>
      </w:r>
    </w:p>
    <w:p>
      <w:pPr>
        <w:spacing w:after="0" w:line="224" w:lineRule="exact"/>
        <w:rPr>
          <w:sz w:val="20"/>
          <w:szCs w:val="20"/>
          <w:color w:val="auto"/>
        </w:rPr>
      </w:pPr>
    </w:p>
    <w:tbl>
      <w:tblPr>
        <w:tblLayout w:type="fixed"/>
        <w:tblInd w:w="860" w:type="dxa"/>
        <w:tblCellMar>
          <w:top w:w="0" w:type="dxa"/>
          <w:left w:w="0" w:type="dxa"/>
          <w:bottom w:w="0" w:type="dxa"/>
          <w:right w:w="0" w:type="dxa"/>
        </w:tblCellMar>
      </w:tblPr>
      <w:tr>
        <w:trPr>
          <w:trHeight w:val="330"/>
        </w:trPr>
        <w:tc>
          <w:tcPr>
            <w:tcW w:w="6540" w:type="dxa"/>
            <w:vAlign w:val="bottom"/>
          </w:tcPr>
          <w:p>
            <w:pPr>
              <w:spacing w:after="0"/>
              <w:rPr>
                <w:sz w:val="20"/>
                <w:szCs w:val="20"/>
                <w:color w:val="auto"/>
              </w:rPr>
            </w:pPr>
            <w:r>
              <w:rPr>
                <w:rFonts w:ascii="Arial" w:cs="Arial" w:eastAsia="Arial" w:hAnsi="Arial"/>
                <w:sz w:val="23"/>
                <w:szCs w:val="23"/>
                <w:b w:val="1"/>
                <w:bCs w:val="1"/>
                <w:color w:val="auto"/>
              </w:rPr>
              <w:t>PROXY/VOTING INSTRUCTIONS</w:t>
            </w:r>
          </w:p>
        </w:tc>
        <w:tc>
          <w:tcPr>
            <w:tcW w:w="3180" w:type="dxa"/>
            <w:vAlign w:val="bottom"/>
            <w:vMerge w:val="restart"/>
          </w:tcPr>
          <w:p>
            <w:pPr>
              <w:jc w:val="right"/>
              <w:spacing w:after="0"/>
              <w:rPr>
                <w:sz w:val="20"/>
                <w:szCs w:val="20"/>
                <w:color w:val="auto"/>
              </w:rPr>
            </w:pPr>
            <w:r>
              <w:rPr>
                <w:rFonts w:ascii="Arial" w:cs="Arial" w:eastAsia="Arial" w:hAnsi="Arial"/>
                <w:sz w:val="40"/>
                <w:szCs w:val="40"/>
                <w:b w:val="1"/>
                <w:bCs w:val="1"/>
                <w:color w:val="auto"/>
              </w:rPr>
              <w:t>+</w:t>
            </w:r>
          </w:p>
        </w:tc>
        <w:tc>
          <w:tcPr>
            <w:tcW w:w="0" w:type="dxa"/>
            <w:vAlign w:val="bottom"/>
          </w:tcPr>
          <w:p>
            <w:pPr>
              <w:spacing w:after="0"/>
              <w:rPr>
                <w:sz w:val="1"/>
                <w:szCs w:val="1"/>
                <w:color w:val="auto"/>
              </w:rPr>
            </w:pPr>
          </w:p>
        </w:tc>
      </w:tr>
      <w:tr>
        <w:trPr>
          <w:trHeight w:val="353"/>
        </w:trPr>
        <w:tc>
          <w:tcPr>
            <w:tcW w:w="6540" w:type="dxa"/>
            <w:vAlign w:val="bottom"/>
          </w:tcPr>
          <w:p>
            <w:pPr>
              <w:spacing w:after="0"/>
              <w:rPr>
                <w:sz w:val="20"/>
                <w:szCs w:val="20"/>
                <w:color w:val="auto"/>
              </w:rPr>
            </w:pPr>
            <w:r>
              <w:rPr>
                <w:rFonts w:ascii="Arial" w:cs="Arial" w:eastAsia="Arial" w:hAnsi="Arial"/>
                <w:sz w:val="20"/>
                <w:szCs w:val="20"/>
                <w:b w:val="1"/>
                <w:bCs w:val="1"/>
                <w:color w:val="auto"/>
              </w:rPr>
              <w:t>Solicited by the Board of Directors</w:t>
            </w:r>
          </w:p>
        </w:tc>
        <w:tc>
          <w:tcPr>
            <w:tcW w:w="3180" w:type="dxa"/>
            <w:vAlign w:val="bottom"/>
            <w:vMerge w:val="continue"/>
          </w:tcPr>
          <w:p>
            <w:pPr>
              <w:spacing w:after="0"/>
              <w:rPr>
                <w:sz w:val="24"/>
                <w:szCs w:val="24"/>
                <w:color w:val="auto"/>
              </w:rPr>
            </w:pPr>
          </w:p>
        </w:tc>
        <w:tc>
          <w:tcPr>
            <w:tcW w:w="0" w:type="dxa"/>
            <w:vAlign w:val="bottom"/>
          </w:tcPr>
          <w:p>
            <w:pPr>
              <w:spacing w:after="0"/>
              <w:rPr>
                <w:sz w:val="1"/>
                <w:szCs w:val="1"/>
                <w:color w:val="auto"/>
              </w:rPr>
            </w:pPr>
          </w:p>
        </w:tc>
      </w:tr>
    </w:tbl>
    <w:p>
      <w:pPr>
        <w:spacing w:after="0" w:line="25" w:lineRule="exact"/>
        <w:rPr>
          <w:sz w:val="20"/>
          <w:szCs w:val="20"/>
          <w:color w:val="auto"/>
        </w:rPr>
      </w:pPr>
    </w:p>
    <w:p>
      <w:pPr>
        <w:jc w:val="both"/>
        <w:ind w:left="860"/>
        <w:spacing w:after="0" w:line="243" w:lineRule="auto"/>
        <w:rPr>
          <w:sz w:val="20"/>
          <w:szCs w:val="20"/>
          <w:color w:val="auto"/>
        </w:rPr>
      </w:pPr>
      <w:r>
        <w:rPr>
          <w:rFonts w:ascii="Arial" w:cs="Arial" w:eastAsia="Arial" w:hAnsi="Arial"/>
          <w:sz w:val="18"/>
          <w:szCs w:val="18"/>
          <w:color w:val="auto"/>
        </w:rPr>
        <w:t>The undersigned hereby appoints, and instructs the appropriate account trustee(s), if any, to appoint, U.M. Burns, K.C. Frazier, S.J. Palmisano, S.S Reinemund, and D.W. Woods, or each or any of them, with power of substitution, proxies to act and vote shares of common stock of the undersigned at the 2018 annual meeting of shareholders of Exxon Mobil Corporation and at any adjournments thereof, as indicated, upon all matters referred to on the reverse side and described in the proxy statement for the meeting and, at their discretion, upon any other matters that may properly come before the meeting.</w:t>
      </w:r>
    </w:p>
    <w:p>
      <w:pPr>
        <w:spacing w:after="0" w:line="26" w:lineRule="exact"/>
        <w:rPr>
          <w:sz w:val="20"/>
          <w:szCs w:val="20"/>
          <w:color w:val="auto"/>
        </w:rPr>
      </w:pPr>
    </w:p>
    <w:p>
      <w:pPr>
        <w:jc w:val="both"/>
        <w:ind w:left="860"/>
        <w:spacing w:after="0" w:line="248" w:lineRule="auto"/>
        <w:rPr>
          <w:sz w:val="20"/>
          <w:szCs w:val="20"/>
          <w:color w:val="auto"/>
        </w:rPr>
      </w:pPr>
      <w:r>
        <w:rPr>
          <w:rFonts w:ascii="Arial" w:cs="Arial" w:eastAsia="Arial" w:hAnsi="Arial"/>
          <w:sz w:val="18"/>
          <w:szCs w:val="18"/>
          <w:color w:val="auto"/>
        </w:rPr>
        <w:t>This proxy covers shares of ExxonMobil common stock registered in the name of the undersigned (whether certificated or book entry) and shares held in the name of the undersigned in the Computershare Investment Plan. This card also provides voting instructions to the applicable trustees for any shares held in the name of the undersigned in the ExxonMobil Savings Plan and/or a Computershare Investment Plan IRA.</w:t>
      </w:r>
    </w:p>
    <w:p>
      <w:pPr>
        <w:spacing w:after="0" w:line="25" w:lineRule="exact"/>
        <w:rPr>
          <w:sz w:val="20"/>
          <w:szCs w:val="20"/>
          <w:color w:val="auto"/>
        </w:rPr>
      </w:pPr>
    </w:p>
    <w:p>
      <w:pPr>
        <w:jc w:val="both"/>
        <w:ind w:left="860" w:right="20"/>
        <w:spacing w:after="0" w:line="275" w:lineRule="auto"/>
        <w:rPr>
          <w:sz w:val="20"/>
          <w:szCs w:val="20"/>
          <w:color w:val="auto"/>
        </w:rPr>
      </w:pPr>
      <w:r>
        <w:rPr>
          <w:rFonts w:ascii="Arial" w:cs="Arial" w:eastAsia="Arial" w:hAnsi="Arial"/>
          <w:sz w:val="16"/>
          <w:szCs w:val="16"/>
          <w:b w:val="1"/>
          <w:bCs w:val="1"/>
          <w:color w:val="auto"/>
        </w:rPr>
        <w:t>If no other indication is made on the reverse side of this form, the proxies/trustees shall vote: (a) for the election of the director nominees; and (b) in accordance with the recommendations of the Board of Directors on the other matters referred to on the reverse side.</w:t>
      </w:r>
    </w:p>
    <w:p>
      <w:pPr>
        <w:sectPr>
          <w:pgSz w:w="11900" w:h="16838" w:orient="portrait"/>
          <w:cols w:equalWidth="0" w:num="1">
            <w:col w:w="10580"/>
          </w:cols>
          <w:pgMar w:left="240" w:top="455" w:right="1079" w:bottom="1440" w:gutter="0" w:footer="0" w:header="0"/>
          <w:type w:val="continuous"/>
        </w:sectPr>
      </w:pPr>
    </w:p>
    <w:p>
      <w:pPr>
        <w:spacing w:after="0" w:line="52" w:lineRule="exact"/>
        <w:rPr>
          <w:sz w:val="20"/>
          <w:szCs w:val="20"/>
          <w:color w:val="auto"/>
        </w:rPr>
      </w:pPr>
    </w:p>
    <w:p>
      <w:pPr>
        <w:ind w:left="860"/>
        <w:spacing w:after="0"/>
        <w:rPr>
          <w:sz w:val="20"/>
          <w:szCs w:val="20"/>
          <w:color w:val="auto"/>
        </w:rPr>
      </w:pPr>
      <w:r>
        <w:rPr>
          <w:rFonts w:ascii="Arial" w:cs="Arial" w:eastAsia="Arial" w:hAnsi="Arial"/>
          <w:sz w:val="18"/>
          <w:szCs w:val="18"/>
          <w:b w:val="1"/>
          <w:bCs w:val="1"/>
          <w:color w:val="auto"/>
        </w:rPr>
        <w:t>NON-VOTING ITEMS</w:t>
      </w:r>
    </w:p>
    <w:p>
      <w:pPr>
        <w:spacing w:after="0" w:line="25" w:lineRule="exact"/>
        <w:rPr>
          <w:sz w:val="20"/>
          <w:szCs w:val="20"/>
          <w:color w:val="auto"/>
        </w:rPr>
      </w:pPr>
    </w:p>
    <w:p>
      <w:pPr>
        <w:ind w:left="860"/>
        <w:spacing w:after="0"/>
        <w:rPr>
          <w:sz w:val="20"/>
          <w:szCs w:val="20"/>
          <w:color w:val="auto"/>
        </w:rPr>
      </w:pPr>
      <w:r>
        <w:rPr>
          <w:rFonts w:ascii="Arial" w:cs="Arial" w:eastAsia="Arial" w:hAnsi="Arial"/>
          <w:sz w:val="14"/>
          <w:szCs w:val="14"/>
          <w:b w:val="1"/>
          <w:bCs w:val="1"/>
          <w:color w:val="auto"/>
        </w:rPr>
        <w:t xml:space="preserve">Change of Address </w:t>
      </w:r>
      <w:r>
        <w:rPr>
          <w:rFonts w:ascii="Arial" w:cs="Arial" w:eastAsia="Arial" w:hAnsi="Arial"/>
          <w:sz w:val="14"/>
          <w:szCs w:val="14"/>
          <w:color w:val="auto"/>
        </w:rPr>
        <w:t>— Please print new address below.</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536575</wp:posOffset>
            </wp:positionH>
            <wp:positionV relativeFrom="paragraph">
              <wp:posOffset>23495</wp:posOffset>
            </wp:positionV>
            <wp:extent cx="2984500" cy="548640"/>
            <wp:wrapNone/>
            <wp:docPr id="128" name="Picture 1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8"/>
                    <pic:cNvPicPr>
                      <a:picLocks noChangeAspect="1" noChangeArrowheads="1"/>
                    </pic:cNvPicPr>
                  </pic:nvPicPr>
                  <pic:blipFill>
                    <a:blip r:embed="rId135">
                      <a:extLst>
                        <a:ext uri="{28A0092B-C50C-407E-A947-70E740481C1C}"/>
                      </a:extLst>
                    </a:blip>
                    <a:srcRect/>
                    <a:stretch>
                      <a:fillRect/>
                    </a:stretch>
                  </pic:blipFill>
                  <pic:spPr bwMode="auto">
                    <a:xfrm>
                      <a:off x="0" y="0"/>
                      <a:ext cx="2984500" cy="548640"/>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244"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 xml:space="preserve">Comments </w:t>
      </w:r>
      <w:r>
        <w:rPr>
          <w:rFonts w:ascii="Arial" w:cs="Arial" w:eastAsia="Arial" w:hAnsi="Arial"/>
          <w:sz w:val="14"/>
          <w:szCs w:val="14"/>
          <w:color w:val="auto"/>
        </w:rPr>
        <w:t>— Please print your comments below.</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-62230</wp:posOffset>
            </wp:positionH>
            <wp:positionV relativeFrom="paragraph">
              <wp:posOffset>36195</wp:posOffset>
            </wp:positionV>
            <wp:extent cx="3095625" cy="548640"/>
            <wp:wrapNone/>
            <wp:docPr id="129" name="Picture 1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9"/>
                    <pic:cNvPicPr>
                      <a:picLocks noChangeAspect="1" noChangeArrowheads="1"/>
                    </pic:cNvPicPr>
                  </pic:nvPicPr>
                  <pic:blipFill>
                    <a:blip r:embed="rId136">
                      <a:extLst>
                        <a:ext uri="{28A0092B-C50C-407E-A947-70E740481C1C}"/>
                      </a:extLst>
                    </a:blip>
                    <a:srcRect/>
                    <a:stretch>
                      <a:fillRect/>
                    </a:stretch>
                  </pic:blipFill>
                  <pic:spPr bwMode="auto">
                    <a:xfrm>
                      <a:off x="0" y="0"/>
                      <a:ext cx="3095625" cy="548640"/>
                    </a:xfrm>
                    <a:prstGeom prst="rect">
                      <a:avLst/>
                    </a:prstGeom>
                    <a:noFill/>
                  </pic:spPr>
                </pic:pic>
              </a:graphicData>
            </a:graphic>
          </wp:anchor>
        </w:drawing>
      </w:r>
    </w:p>
    <w:p>
      <w:pPr>
        <w:spacing w:after="0" w:line="220" w:lineRule="exact"/>
        <w:rPr>
          <w:sz w:val="20"/>
          <w:szCs w:val="20"/>
          <w:color w:val="auto"/>
        </w:rPr>
      </w:pPr>
    </w:p>
    <w:p>
      <w:pPr>
        <w:sectPr>
          <w:pgSz w:w="11900" w:h="16838" w:orient="portrait"/>
          <w:cols w:equalWidth="0" w:num="2">
            <w:col w:w="5100" w:space="720"/>
            <w:col w:w="4760"/>
          </w:cols>
          <w:pgMar w:left="240" w:top="455" w:right="1079" w:bottom="1440"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ind w:left="860"/>
        <w:spacing w:after="0"/>
        <w:rPr>
          <w:sz w:val="20"/>
          <w:szCs w:val="20"/>
          <w:color w:val="auto"/>
        </w:rPr>
      </w:pPr>
      <w:r>
        <w:rPr>
          <w:rFonts w:ascii="Arial" w:cs="Arial" w:eastAsia="Arial" w:hAnsi="Arial"/>
          <w:sz w:val="16"/>
          <w:szCs w:val="16"/>
          <w:b w:val="1"/>
          <w:bCs w:val="1"/>
          <w:color w:val="auto"/>
        </w:rPr>
        <w:t>AUTHORIZED SIGNATURES — This section must be completed for your vote to be counted. Date and sign below.</w:t>
      </w:r>
    </w:p>
    <w:p>
      <w:pPr>
        <w:spacing w:after="0" w:line="27" w:lineRule="exact"/>
        <w:rPr>
          <w:sz w:val="20"/>
          <w:szCs w:val="20"/>
          <w:color w:val="auto"/>
        </w:rPr>
      </w:pPr>
    </w:p>
    <w:p>
      <w:pPr>
        <w:ind w:left="860" w:right="380"/>
        <w:spacing w:after="0" w:line="244" w:lineRule="auto"/>
        <w:rPr>
          <w:sz w:val="20"/>
          <w:szCs w:val="20"/>
          <w:color w:val="auto"/>
        </w:rPr>
      </w:pPr>
      <w:r>
        <w:rPr>
          <w:rFonts w:ascii="Arial" w:cs="Arial" w:eastAsia="Arial" w:hAnsi="Arial"/>
          <w:sz w:val="16"/>
          <w:szCs w:val="16"/>
          <w:color w:val="auto"/>
        </w:rPr>
        <w:t>Please sign exactly as name(s) appears hereon. Joint owners should each sign. When signing as attorney, executor, administrator, corporate officer, trustee, guardian, or custodian, please give full title.</w:t>
      </w:r>
    </w:p>
    <w:p>
      <w:pPr>
        <w:spacing w:after="0" w:line="1" w:lineRule="exact"/>
        <w:rPr>
          <w:sz w:val="20"/>
          <w:szCs w:val="20"/>
          <w:color w:val="auto"/>
        </w:rPr>
      </w:pPr>
    </w:p>
    <w:p>
      <w:pPr>
        <w:ind w:left="860"/>
        <w:spacing w:after="0"/>
        <w:tabs>
          <w:tab w:leader="none" w:pos="3980" w:val="left"/>
          <w:tab w:leader="none" w:pos="7400" w:val="left"/>
        </w:tabs>
        <w:rPr>
          <w:sz w:val="20"/>
          <w:szCs w:val="20"/>
          <w:color w:val="auto"/>
        </w:rPr>
      </w:pPr>
      <w:r>
        <w:rPr>
          <w:rFonts w:ascii="Arial" w:cs="Arial" w:eastAsia="Arial" w:hAnsi="Arial"/>
          <w:sz w:val="14"/>
          <w:szCs w:val="14"/>
          <w:color w:val="auto"/>
        </w:rPr>
        <w:t>Date (mm/dd/yyyy) — Please print date below.</w:t>
      </w:r>
      <w:r>
        <w:rPr>
          <w:sz w:val="20"/>
          <w:szCs w:val="20"/>
          <w:color w:val="auto"/>
        </w:rPr>
        <w:tab/>
      </w:r>
      <w:r>
        <w:rPr>
          <w:rFonts w:ascii="Arial" w:cs="Arial" w:eastAsia="Arial" w:hAnsi="Arial"/>
          <w:sz w:val="14"/>
          <w:szCs w:val="14"/>
          <w:color w:val="auto"/>
        </w:rPr>
        <w:t>Signature 1 — Please keep signature within the box.</w:t>
      </w:r>
      <w:r>
        <w:rPr>
          <w:sz w:val="20"/>
          <w:szCs w:val="20"/>
          <w:color w:val="auto"/>
        </w:rPr>
        <w:tab/>
      </w:r>
      <w:r>
        <w:rPr>
          <w:rFonts w:ascii="Arial" w:cs="Arial" w:eastAsia="Arial" w:hAnsi="Arial"/>
          <w:sz w:val="12"/>
          <w:szCs w:val="12"/>
          <w:color w:val="auto"/>
        </w:rPr>
        <w:t>Signature 2 — Please keep signature within the box.</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536575</wp:posOffset>
            </wp:positionH>
            <wp:positionV relativeFrom="paragraph">
              <wp:posOffset>-6985</wp:posOffset>
            </wp:positionV>
            <wp:extent cx="6191885" cy="325755"/>
            <wp:wrapNone/>
            <wp:docPr id="130" name="Picture 1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0"/>
                    <pic:cNvPicPr>
                      <a:picLocks noChangeAspect="1" noChangeArrowheads="1"/>
                    </pic:cNvPicPr>
                  </pic:nvPicPr>
                  <pic:blipFill>
                    <a:blip r:embed="rId137">
                      <a:extLst>
                        <a:ext uri="{28A0092B-C50C-407E-A947-70E740481C1C}"/>
                      </a:extLst>
                    </a:blip>
                    <a:srcRect/>
                    <a:stretch>
                      <a:fillRect/>
                    </a:stretch>
                  </pic:blipFill>
                  <pic:spPr bwMode="auto">
                    <a:xfrm>
                      <a:off x="0" y="0"/>
                      <a:ext cx="6191885" cy="325755"/>
                    </a:xfrm>
                    <a:prstGeom prst="rect">
                      <a:avLst/>
                    </a:prstGeom>
                    <a:noFill/>
                  </pic:spPr>
                </pic:pic>
              </a:graphicData>
            </a:graphic>
          </wp:anchor>
        </w:drawing>
      </w:r>
    </w:p>
    <w:p>
      <w:pPr>
        <w:ind w:left="1660"/>
        <w:spacing w:after="0"/>
        <w:tabs>
          <w:tab w:leader="none" w:pos="2540" w:val="left"/>
        </w:tabs>
        <w:rPr>
          <w:sz w:val="20"/>
          <w:szCs w:val="20"/>
          <w:color w:val="auto"/>
        </w:rPr>
      </w:pPr>
      <w:r>
        <w:rPr>
          <w:rFonts w:ascii="Arial" w:cs="Arial" w:eastAsia="Arial" w:hAnsi="Arial"/>
          <w:sz w:val="40"/>
          <w:szCs w:val="40"/>
          <w:color w:val="auto"/>
        </w:rPr>
        <w:t>/</w:t>
      </w:r>
      <w:r>
        <w:rPr>
          <w:sz w:val="20"/>
          <w:szCs w:val="20"/>
          <w:color w:val="auto"/>
        </w:rPr>
        <w:tab/>
      </w:r>
      <w:r>
        <w:rPr>
          <w:rFonts w:ascii="Arial" w:cs="Arial" w:eastAsia="Arial" w:hAnsi="Arial"/>
          <w:sz w:val="40"/>
          <w:szCs w:val="40"/>
          <w:color w:val="auto"/>
        </w:rPr>
        <w:t>/</w:t>
      </w:r>
    </w:p>
    <w:p>
      <w:pPr>
        <w:spacing w:after="0" w:line="83" w:lineRule="exact"/>
        <w:rPr>
          <w:sz w:val="20"/>
          <w:szCs w:val="20"/>
          <w:color w:val="auto"/>
        </w:rPr>
      </w:pPr>
    </w:p>
    <w:p>
      <w:pPr>
        <w:jc w:val="right"/>
        <w:spacing w:after="0"/>
        <w:rPr>
          <w:sz w:val="20"/>
          <w:szCs w:val="20"/>
          <w:color w:val="auto"/>
        </w:rPr>
      </w:pPr>
      <w:r>
        <w:rPr>
          <w:rFonts w:ascii="Arial" w:cs="Arial" w:eastAsia="Arial" w:hAnsi="Arial"/>
          <w:sz w:val="40"/>
          <w:szCs w:val="40"/>
          <w:b w:val="1"/>
          <w:bCs w:val="1"/>
          <w:color w:val="auto"/>
        </w:rPr>
        <w:t>+</w:t>
      </w:r>
    </w:p>
    <w:sectPr>
      <w:pgSz w:w="11900" w:h="16838" w:orient="portrait"/>
      <w:cols w:equalWidth="0" w:num="1">
        <w:col w:w="10580"/>
      </w:cols>
      <w:pgMar w:left="240" w:top="455" w:right="107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684A481A"/>
    <w:multiLevelType w:val="hybridMultilevel"/>
    <w:lvl w:ilvl="0">
      <w:lvlJc w:val="left"/>
      <w:lvlText w:val="☐"/>
      <w:numFmt w:val="bullet"/>
      <w:start w:val="1"/>
    </w:lvl>
  </w:abstractNum>
  <w:abstractNum w:abstractNumId="1">
    <w:nsid w:val="579478FE"/>
    <w:multiLevelType w:val="hybridMultilevel"/>
    <w:lvl w:ilvl="0">
      <w:lvlJc w:val="left"/>
      <w:lvlText w:val="☒"/>
      <w:numFmt w:val="bullet"/>
      <w:start w:val="1"/>
    </w:lvl>
  </w:abstractNum>
  <w:abstractNum w:abstractNumId="2">
    <w:nsid w:val="749ABB43"/>
    <w:multiLevelType w:val="hybridMultilevel"/>
    <w:lvl w:ilvl="0">
      <w:lvlJc w:val="left"/>
      <w:lvlText w:val="☐"/>
      <w:numFmt w:val="bullet"/>
      <w:start w:val="1"/>
    </w:lvl>
    <w:lvl w:ilvl="1">
      <w:lvlJc w:val="left"/>
      <w:lvlText w:val="(%2)"/>
      <w:numFmt w:val="decimal"/>
      <w:start w:val="1"/>
    </w:lvl>
  </w:abstractNum>
  <w:abstractNum w:abstractNumId="3">
    <w:nsid w:val="3DC240FB"/>
    <w:multiLevelType w:val="hybridMultilevel"/>
    <w:lvl w:ilvl="0">
      <w:lvlJc w:val="left"/>
      <w:lvlText w:val="•"/>
      <w:numFmt w:val="bullet"/>
      <w:start w:val="1"/>
    </w:lvl>
  </w:abstractNum>
  <w:abstractNum w:abstractNumId="4">
    <w:nsid w:val="1BA026FA"/>
    <w:multiLevelType w:val="hybridMultilevel"/>
    <w:lvl w:ilvl="0">
      <w:lvlJc w:val="left"/>
      <w:lvlText w:val="•"/>
      <w:numFmt w:val="bullet"/>
      <w:start w:val="1"/>
    </w:lvl>
  </w:abstractNum>
  <w:abstractNum w:abstractNumId="5">
    <w:nsid w:val="79A1DEAA"/>
    <w:multiLevelType w:val="hybridMultilevel"/>
    <w:lvl w:ilvl="0">
      <w:lvlJc w:val="left"/>
      <w:lvlText w:val="•"/>
      <w:numFmt w:val="bullet"/>
      <w:start w:val="1"/>
    </w:lvl>
  </w:abstractNum>
  <w:abstractNum w:abstractNumId="6">
    <w:nsid w:val="75C6C33A"/>
    <w:multiLevelType w:val="hybridMultilevel"/>
    <w:lvl w:ilvl="0">
      <w:lvlJc w:val="left"/>
      <w:lvlText w:val="•"/>
      <w:numFmt w:val="bullet"/>
      <w:start w:val="1"/>
    </w:lvl>
  </w:abstractNum>
  <w:abstractNum w:abstractNumId="7">
    <w:nsid w:val="12E685FB"/>
    <w:multiLevelType w:val="hybridMultilevel"/>
    <w:lvl w:ilvl="0">
      <w:lvlJc w:val="left"/>
      <w:lvlText w:val="•"/>
      <w:numFmt w:val="bullet"/>
      <w:start w:val="1"/>
    </w:lvl>
  </w:abstractNum>
  <w:abstractNum w:abstractNumId="8">
    <w:nsid w:val="70C6A529"/>
    <w:multiLevelType w:val="hybridMultilevel"/>
    <w:lvl w:ilvl="0">
      <w:lvlJc w:val="left"/>
      <w:lvlText w:val="•"/>
      <w:numFmt w:val="bullet"/>
      <w:start w:val="1"/>
    </w:lvl>
  </w:abstractNum>
  <w:abstractNum w:abstractNumId="9">
    <w:nsid w:val="520EEDD1"/>
    <w:multiLevelType w:val="hybridMultilevel"/>
    <w:lvl w:ilvl="0">
      <w:lvlJc w:val="left"/>
      <w:lvlText w:val="•"/>
      <w:numFmt w:val="bullet"/>
      <w:start w:val="1"/>
    </w:lvl>
  </w:abstractNum>
  <w:abstractNum w:abstractNumId="10">
    <w:nsid w:val="374A3FE6"/>
    <w:multiLevelType w:val="hybridMultilevel"/>
    <w:lvl w:ilvl="0">
      <w:lvlJc w:val="left"/>
      <w:lvlText w:val="•"/>
      <w:numFmt w:val="bullet"/>
      <w:start w:val="1"/>
    </w:lvl>
  </w:abstractNum>
  <w:abstractNum w:abstractNumId="11">
    <w:nsid w:val="4F4EF005"/>
    <w:multiLevelType w:val="hybridMultilevel"/>
    <w:lvl w:ilvl="0">
      <w:lvlJc w:val="left"/>
      <w:lvlText w:val="•"/>
      <w:numFmt w:val="bullet"/>
      <w:start w:val="1"/>
    </w:lvl>
  </w:abstractNum>
  <w:abstractNum w:abstractNumId="12">
    <w:nsid w:val="23F9C13C"/>
    <w:multiLevelType w:val="hybridMultilevel"/>
    <w:lvl w:ilvl="0">
      <w:lvlJc w:val="left"/>
      <w:lvlText w:val="•"/>
      <w:numFmt w:val="bullet"/>
      <w:start w:val="1"/>
    </w:lvl>
  </w:abstractNum>
  <w:abstractNum w:abstractNumId="13">
    <w:nsid w:val="649BB77C"/>
    <w:multiLevelType w:val="hybridMultilevel"/>
    <w:lvl w:ilvl="0">
      <w:lvlJc w:val="left"/>
      <w:lvlText w:val="•"/>
      <w:numFmt w:val="bullet"/>
      <w:start w:val="1"/>
    </w:lvl>
  </w:abstractNum>
  <w:abstractNum w:abstractNumId="14">
    <w:nsid w:val="275AC794"/>
    <w:multiLevelType w:val="hybridMultilevel"/>
    <w:lvl w:ilvl="0">
      <w:lvlJc w:val="left"/>
      <w:lvlText w:val="•"/>
      <w:numFmt w:val="bullet"/>
      <w:start w:val="1"/>
    </w:lvl>
  </w:abstractNum>
  <w:abstractNum w:abstractNumId="15">
    <w:nsid w:val="39386575"/>
    <w:multiLevelType w:val="hybridMultilevel"/>
    <w:lvl w:ilvl="0">
      <w:lvlJc w:val="left"/>
      <w:lvlText w:val="•"/>
      <w:numFmt w:val="bullet"/>
      <w:start w:val="1"/>
    </w:lvl>
  </w:abstractNum>
  <w:abstractNum w:abstractNumId="16">
    <w:nsid w:val="1CF10FD8"/>
    <w:multiLevelType w:val="hybridMultilevel"/>
    <w:lvl w:ilvl="0">
      <w:lvlJc w:val="left"/>
      <w:lvlText w:val="•"/>
      <w:numFmt w:val="bullet"/>
      <w:start w:val="1"/>
    </w:lvl>
  </w:abstractNum>
  <w:abstractNum w:abstractNumId="17">
    <w:nsid w:val="180115BE"/>
    <w:multiLevelType w:val="hybridMultilevel"/>
    <w:lvl w:ilvl="0">
      <w:lvlJc w:val="left"/>
      <w:lvlText w:val="•"/>
      <w:numFmt w:val="bullet"/>
      <w:start w:val="1"/>
    </w:lvl>
  </w:abstractNum>
  <w:abstractNum w:abstractNumId="18">
    <w:nsid w:val="235BA861"/>
    <w:multiLevelType w:val="hybridMultilevel"/>
    <w:lvl w:ilvl="0">
      <w:lvlJc w:val="left"/>
      <w:lvlText w:val="•"/>
      <w:numFmt w:val="bullet"/>
      <w:start w:val="1"/>
    </w:lvl>
  </w:abstractNum>
  <w:abstractNum w:abstractNumId="19">
    <w:nsid w:val="47398C89"/>
    <w:multiLevelType w:val="hybridMultilevel"/>
    <w:lvl w:ilvl="0">
      <w:lvlJc w:val="left"/>
      <w:lvlText w:val="•"/>
      <w:numFmt w:val="bullet"/>
      <w:start w:val="1"/>
    </w:lvl>
  </w:abstractNum>
  <w:abstractNum w:abstractNumId="20">
    <w:nsid w:val="354FE9F9"/>
    <w:multiLevelType w:val="hybridMultilevel"/>
    <w:lvl w:ilvl="0">
      <w:lvlJc w:val="left"/>
      <w:lvlText w:val="•"/>
      <w:numFmt w:val="bullet"/>
      <w:start w:val="1"/>
    </w:lvl>
  </w:abstractNum>
  <w:abstractNum w:abstractNumId="21">
    <w:nsid w:val="15B5AF5C"/>
    <w:multiLevelType w:val="hybridMultilevel"/>
    <w:lvl w:ilvl="0">
      <w:lvlJc w:val="left"/>
      <w:lvlText w:val="•"/>
      <w:numFmt w:val="bullet"/>
      <w:start w:val="1"/>
    </w:lvl>
  </w:abstractNum>
  <w:abstractNum w:abstractNumId="22">
    <w:nsid w:val="741226BB"/>
    <w:multiLevelType w:val="hybridMultilevel"/>
    <w:lvl w:ilvl="0">
      <w:lvlJc w:val="left"/>
      <w:lvlText w:val="•"/>
      <w:numFmt w:val="bullet"/>
      <w:start w:val="1"/>
    </w:lvl>
  </w:abstractNum>
  <w:abstractNum w:abstractNumId="23">
    <w:nsid w:val="D34B6A8"/>
    <w:multiLevelType w:val="hybridMultilevel"/>
    <w:lvl w:ilvl="0">
      <w:lvlJc w:val="left"/>
      <w:lvlText w:val="•"/>
      <w:numFmt w:val="bullet"/>
      <w:start w:val="1"/>
    </w:lvl>
  </w:abstractNum>
  <w:abstractNum w:abstractNumId="24">
    <w:nsid w:val="10233C99"/>
    <w:multiLevelType w:val="hybridMultilevel"/>
    <w:lvl w:ilvl="0">
      <w:lvlJc w:val="left"/>
      <w:lvlText w:val="•"/>
      <w:numFmt w:val="bullet"/>
      <w:start w:val="1"/>
    </w:lvl>
  </w:abstractNum>
  <w:abstractNum w:abstractNumId="25">
    <w:nsid w:val="3F6AB60F"/>
    <w:multiLevelType w:val="hybridMultilevel"/>
    <w:lvl w:ilvl="0">
      <w:lvlJc w:val="left"/>
      <w:lvlText w:val="•"/>
      <w:numFmt w:val="bullet"/>
      <w:start w:val="1"/>
    </w:lvl>
  </w:abstractNum>
  <w:abstractNum w:abstractNumId="26">
    <w:nsid w:val="61574095"/>
    <w:multiLevelType w:val="hybridMultilevel"/>
    <w:lvl w:ilvl="0">
      <w:lvlJc w:val="left"/>
      <w:lvlText w:val="•"/>
      <w:numFmt w:val="bullet"/>
      <w:start w:val="1"/>
    </w:lvl>
  </w:abstractNum>
  <w:abstractNum w:abstractNumId="27">
    <w:nsid w:val="7E0C57B1"/>
    <w:multiLevelType w:val="hybridMultilevel"/>
    <w:lvl w:ilvl="0">
      <w:lvlJc w:val="left"/>
      <w:lvlText w:val="•"/>
      <w:numFmt w:val="bullet"/>
      <w:start w:val="1"/>
    </w:lvl>
  </w:abstractNum>
  <w:abstractNum w:abstractNumId="28">
    <w:nsid w:val="77AE35EB"/>
    <w:multiLevelType w:val="hybridMultilevel"/>
    <w:lvl w:ilvl="0">
      <w:lvlJc w:val="left"/>
      <w:lvlText w:val="•"/>
      <w:numFmt w:val="bullet"/>
      <w:start w:val="1"/>
    </w:lvl>
  </w:abstractNum>
  <w:abstractNum w:abstractNumId="29">
    <w:nsid w:val="579BE4F1"/>
    <w:multiLevelType w:val="hybridMultilevel"/>
    <w:lvl w:ilvl="0">
      <w:lvlJc w:val="left"/>
      <w:lvlText w:val="•"/>
      <w:numFmt w:val="bullet"/>
      <w:start w:val="1"/>
    </w:lvl>
  </w:abstractNum>
  <w:abstractNum w:abstractNumId="30">
    <w:nsid w:val="310C50B3"/>
    <w:multiLevelType w:val="hybridMultilevel"/>
    <w:lvl w:ilvl="0">
      <w:lvlJc w:val="left"/>
      <w:lvlText w:val="•"/>
      <w:numFmt w:val="bullet"/>
      <w:start w:val="1"/>
    </w:lvl>
  </w:abstractNum>
  <w:abstractNum w:abstractNumId="31">
    <w:nsid w:val="5FF87E05"/>
    <w:multiLevelType w:val="hybridMultilevel"/>
    <w:lvl w:ilvl="0">
      <w:lvlJc w:val="left"/>
      <w:lvlText w:val="•"/>
      <w:numFmt w:val="bullet"/>
      <w:start w:val="1"/>
    </w:lvl>
  </w:abstractNum>
  <w:abstractNum w:abstractNumId="32">
    <w:nsid w:val="2F305DEF"/>
    <w:multiLevelType w:val="hybridMultilevel"/>
    <w:lvl w:ilvl="0">
      <w:lvlJc w:val="left"/>
      <w:lvlText w:val="(%1)"/>
      <w:numFmt w:val="lowerLetter"/>
      <w:start w:val="1"/>
    </w:lvl>
  </w:abstractNum>
  <w:abstractNum w:abstractNumId="33">
    <w:nsid w:val="25A70BF7"/>
    <w:multiLevelType w:val="hybridMultilevel"/>
    <w:lvl w:ilvl="0">
      <w:lvlJc w:val="left"/>
      <w:lvlText w:val="(%1)"/>
      <w:numFmt w:val="lowerLetter"/>
      <w:start w:val="2"/>
    </w:lvl>
  </w:abstractNum>
  <w:abstractNum w:abstractNumId="34">
    <w:nsid w:val="1DBABF00"/>
    <w:multiLevelType w:val="hybridMultilevel"/>
    <w:lvl w:ilvl="0">
      <w:lvlJc w:val="left"/>
      <w:lvlText w:val="(%1)"/>
      <w:numFmt w:val="decimal"/>
      <w:start w:val="1"/>
    </w:lvl>
  </w:abstractNum>
  <w:abstractNum w:abstractNumId="35">
    <w:nsid w:val="4AD084E9"/>
    <w:multiLevelType w:val="hybridMultilevel"/>
    <w:lvl w:ilvl="0">
      <w:lvlJc w:val="left"/>
      <w:lvlText w:val="•"/>
      <w:numFmt w:val="bullet"/>
      <w:start w:val="1"/>
    </w:lvl>
  </w:abstractNum>
  <w:abstractNum w:abstractNumId="36">
    <w:nsid w:val="1F48EAA1"/>
    <w:multiLevelType w:val="hybridMultilevel"/>
    <w:lvl w:ilvl="0">
      <w:lvlJc w:val="left"/>
      <w:lvlText w:val="•"/>
      <w:numFmt w:val="bullet"/>
      <w:start w:val="1"/>
    </w:lvl>
  </w:abstractNum>
  <w:abstractNum w:abstractNumId="37">
    <w:nsid w:val="1381823A"/>
    <w:multiLevelType w:val="hybridMultilevel"/>
    <w:lvl w:ilvl="0">
      <w:lvlJc w:val="left"/>
      <w:lvlText w:val="•"/>
      <w:numFmt w:val="bullet"/>
      <w:start w:val="1"/>
    </w:lvl>
    <w:lvl w:ilvl="1">
      <w:lvlJc w:val="left"/>
      <w:lvlText w:val="\endash "/>
      <w:numFmt w:val="bullet"/>
      <w:start w:val="1"/>
    </w:lvl>
  </w:abstractNum>
  <w:abstractNum w:abstractNumId="38">
    <w:nsid w:val="5DB70AE5"/>
    <w:multiLevelType w:val="hybridMultilevel"/>
    <w:lvl w:ilvl="0">
      <w:lvlJc w:val="left"/>
      <w:lvlText w:val="•"/>
      <w:numFmt w:val="bullet"/>
      <w:start w:val="1"/>
    </w:lvl>
    <w:lvl w:ilvl="1">
      <w:lvlJc w:val="left"/>
      <w:lvlText w:val="\endash "/>
      <w:numFmt w:val="bullet"/>
      <w:start w:val="1"/>
    </w:lvl>
  </w:abstractNum>
  <w:abstractNum w:abstractNumId="39">
    <w:nsid w:val="100F8FCA"/>
    <w:multiLevelType w:val="hybridMultilevel"/>
    <w:lvl w:ilvl="0">
      <w:lvlJc w:val="left"/>
      <w:lvlText w:val="(%1)"/>
      <w:numFmt w:val="decimal"/>
      <w:start w:val="1"/>
    </w:lvl>
  </w:abstractNum>
  <w:abstractNum w:abstractNumId="40">
    <w:nsid w:val="6590700B"/>
    <w:multiLevelType w:val="hybridMultilevel"/>
    <w:lvl w:ilvl="0">
      <w:lvlJc w:val="left"/>
      <w:lvlText w:val="•"/>
      <w:numFmt w:val="bullet"/>
      <w:start w:val="1"/>
    </w:lvl>
  </w:abstractNum>
  <w:abstractNum w:abstractNumId="41">
    <w:nsid w:val="15014ACB"/>
    <w:multiLevelType w:val="hybridMultilevel"/>
    <w:lvl w:ilvl="0">
      <w:lvlJc w:val="left"/>
      <w:lvlText w:val="•"/>
      <w:numFmt w:val="bullet"/>
      <w:start w:val="1"/>
    </w:lvl>
    <w:lvl w:ilvl="1">
      <w:lvlJc w:val="left"/>
      <w:lvlText w:val="*"/>
      <w:numFmt w:val="bullet"/>
      <w:start w:val="1"/>
    </w:lvl>
  </w:abstractNum>
  <w:abstractNum w:abstractNumId="42">
    <w:nsid w:val="5F5E7FD0"/>
    <w:multiLevelType w:val="hybridMultilevel"/>
    <w:lvl w:ilvl="0">
      <w:lvlJc w:val="left"/>
      <w:lvlText w:val="•"/>
      <w:numFmt w:val="bullet"/>
      <w:start w:val="1"/>
    </w:lvl>
  </w:abstractNum>
  <w:abstractNum w:abstractNumId="43">
    <w:nsid w:val="98A3148"/>
    <w:multiLevelType w:val="hybridMultilevel"/>
    <w:lvl w:ilvl="0">
      <w:lvlJc w:val="left"/>
      <w:lvlText w:val="•"/>
      <w:numFmt w:val="bullet"/>
      <w:start w:val="1"/>
    </w:lvl>
  </w:abstractNum>
  <w:abstractNum w:abstractNumId="44">
    <w:nsid w:val="799D0247"/>
    <w:multiLevelType w:val="hybridMultilevel"/>
    <w:lvl w:ilvl="0">
      <w:lvlJc w:val="left"/>
      <w:lvlText w:val="\endash "/>
      <w:numFmt w:val="bullet"/>
      <w:start w:val="1"/>
    </w:lvl>
  </w:abstractNum>
  <w:abstractNum w:abstractNumId="45">
    <w:nsid w:val="6B94764"/>
    <w:multiLevelType w:val="hybridMultilevel"/>
    <w:lvl w:ilvl="0">
      <w:lvlJc w:val="left"/>
      <w:lvlText w:val="•"/>
      <w:numFmt w:val="bullet"/>
      <w:start w:val="1"/>
    </w:lvl>
  </w:abstractNum>
  <w:abstractNum w:abstractNumId="46">
    <w:nsid w:val="42C296BD"/>
    <w:multiLevelType w:val="hybridMultilevel"/>
    <w:lvl w:ilvl="0">
      <w:lvlJc w:val="left"/>
      <w:lvlText w:val="•"/>
      <w:numFmt w:val="bullet"/>
      <w:start w:val="1"/>
    </w:lvl>
    <w:lvl w:ilvl="1">
      <w:lvlJc w:val="left"/>
      <w:lvlText w:val="\endash "/>
      <w:numFmt w:val="bullet"/>
      <w:start w:val="1"/>
    </w:lvl>
  </w:abstractNum>
  <w:abstractNum w:abstractNumId="47">
    <w:nsid w:val="168E121F"/>
    <w:multiLevelType w:val="hybridMultilevel"/>
    <w:lvl w:ilvl="0">
      <w:lvlJc w:val="left"/>
      <w:lvlText w:val="•"/>
      <w:numFmt w:val="bullet"/>
      <w:start w:val="1"/>
    </w:lvl>
  </w:abstractNum>
  <w:abstractNum w:abstractNumId="48">
    <w:nsid w:val="1EBA5D23"/>
    <w:multiLevelType w:val="hybridMultilevel"/>
    <w:lvl w:ilvl="0">
      <w:lvlJc w:val="left"/>
      <w:lvlText w:val="•"/>
      <w:numFmt w:val="bullet"/>
      <w:start w:val="1"/>
    </w:lvl>
  </w:abstractNum>
  <w:abstractNum w:abstractNumId="49">
    <w:nsid w:val="661E3F1E"/>
    <w:multiLevelType w:val="hybridMultilevel"/>
    <w:lvl w:ilvl="0">
      <w:lvlJc w:val="left"/>
      <w:lvlText w:val="•"/>
      <w:numFmt w:val="bullet"/>
      <w:start w:val="1"/>
    </w:lvl>
  </w:abstractNum>
  <w:abstractNum w:abstractNumId="50">
    <w:nsid w:val="5DC79EA8"/>
    <w:multiLevelType w:val="hybridMultilevel"/>
    <w:lvl w:ilvl="0">
      <w:lvlJc w:val="left"/>
      <w:lvlText w:val="•"/>
      <w:numFmt w:val="bullet"/>
      <w:start w:val="1"/>
    </w:lvl>
  </w:abstractNum>
  <w:abstractNum w:abstractNumId="51">
    <w:nsid w:val="540A471C"/>
    <w:multiLevelType w:val="hybridMultilevel"/>
    <w:lvl w:ilvl="0">
      <w:lvlJc w:val="left"/>
      <w:lvlText w:val="•"/>
      <w:numFmt w:val="bullet"/>
      <w:start w:val="1"/>
    </w:lvl>
  </w:abstractNum>
  <w:abstractNum w:abstractNumId="52">
    <w:nsid w:val="7BD3EE7B"/>
    <w:multiLevelType w:val="hybridMultilevel"/>
    <w:lvl w:ilvl="0">
      <w:lvlJc w:val="left"/>
      <w:lvlText w:val="•"/>
      <w:numFmt w:val="bullet"/>
      <w:start w:val="1"/>
    </w:lvl>
    <w:lvl w:ilvl="1">
      <w:lvlJc w:val="left"/>
      <w:lvlText w:val="\endash "/>
      <w:numFmt w:val="bullet"/>
      <w:start w:val="1"/>
    </w:lvl>
  </w:abstractNum>
  <w:abstractNum w:abstractNumId="53">
    <w:nsid w:val="51D9C564"/>
    <w:multiLevelType w:val="hybridMultilevel"/>
    <w:lvl w:ilvl="0">
      <w:lvlJc w:val="left"/>
      <w:lvlText w:val="•"/>
      <w:numFmt w:val="bullet"/>
      <w:start w:val="1"/>
    </w:lvl>
  </w:abstractNum>
  <w:abstractNum w:abstractNumId="54">
    <w:nsid w:val="613EFDC5"/>
    <w:multiLevelType w:val="hybridMultilevel"/>
    <w:lvl w:ilvl="0">
      <w:lvlJc w:val="left"/>
      <w:lvlText w:val="•"/>
      <w:numFmt w:val="bullet"/>
      <w:start w:val="1"/>
    </w:lvl>
  </w:abstractNum>
  <w:abstractNum w:abstractNumId="55">
    <w:nsid w:val="BF72B14"/>
    <w:multiLevelType w:val="hybridMultilevel"/>
    <w:lvl w:ilvl="0">
      <w:lvlJc w:val="left"/>
      <w:lvlText w:val="•"/>
      <w:numFmt w:val="bullet"/>
      <w:start w:val="1"/>
    </w:lvl>
  </w:abstractNum>
  <w:abstractNum w:abstractNumId="56">
    <w:nsid w:val="11447B73"/>
    <w:multiLevelType w:val="hybridMultilevel"/>
    <w:lvl w:ilvl="0">
      <w:lvlJc w:val="left"/>
      <w:lvlText w:val="•"/>
      <w:numFmt w:val="bullet"/>
      <w:start w:val="1"/>
    </w:lvl>
  </w:abstractNum>
  <w:abstractNum w:abstractNumId="57">
    <w:nsid w:val="42963E5A"/>
    <w:multiLevelType w:val="hybridMultilevel"/>
    <w:lvl w:ilvl="0">
      <w:lvlJc w:val="left"/>
      <w:lvlText w:val="•"/>
      <w:numFmt w:val="bullet"/>
      <w:start w:val="1"/>
    </w:lvl>
    <w:lvl w:ilvl="1">
      <w:lvlJc w:val="left"/>
      <w:lvlText w:val="\endash "/>
      <w:numFmt w:val="bullet"/>
      <w:start w:val="1"/>
    </w:lvl>
  </w:abstractNum>
  <w:abstractNum w:abstractNumId="58">
    <w:nsid w:val="A0382C5"/>
    <w:multiLevelType w:val="hybridMultilevel"/>
    <w:lvl w:ilvl="0">
      <w:lvlJc w:val="left"/>
      <w:lvlText w:val="•"/>
      <w:numFmt w:val="bullet"/>
      <w:start w:val="1"/>
    </w:lvl>
  </w:abstractNum>
  <w:abstractNum w:abstractNumId="59">
    <w:nsid w:val="8F2B15E"/>
    <w:multiLevelType w:val="hybridMultilevel"/>
    <w:lvl w:ilvl="0">
      <w:lvlJc w:val="left"/>
      <w:lvlText w:val="•"/>
      <w:numFmt w:val="bullet"/>
      <w:start w:val="1"/>
    </w:lvl>
  </w:abstractNum>
  <w:abstractNum w:abstractNumId="60">
    <w:nsid w:val="1A32234B"/>
    <w:multiLevelType w:val="hybridMultilevel"/>
    <w:lvl w:ilvl="0">
      <w:lvlJc w:val="left"/>
      <w:lvlText w:val="•"/>
      <w:numFmt w:val="bullet"/>
      <w:start w:val="1"/>
    </w:lvl>
  </w:abstractNum>
  <w:abstractNum w:abstractNumId="61">
    <w:nsid w:val="3B0FD379"/>
    <w:multiLevelType w:val="hybridMultilevel"/>
    <w:lvl w:ilvl="0">
      <w:lvlJc w:val="left"/>
      <w:lvlText w:val="(%1)"/>
      <w:numFmt w:val="decimal"/>
      <w:start w:val="1"/>
    </w:lvl>
  </w:abstractNum>
  <w:abstractNum w:abstractNumId="62">
    <w:nsid w:val="68EB2F63"/>
    <w:multiLevelType w:val="hybridMultilevel"/>
    <w:lvl w:ilvl="0">
      <w:lvlJc w:val="left"/>
      <w:lvlText w:val="(%1)"/>
      <w:numFmt w:val="decimal"/>
      <w:start w:val="1"/>
    </w:lvl>
  </w:abstractNum>
  <w:abstractNum w:abstractNumId="63">
    <w:nsid w:val="4962813B"/>
    <w:multiLevelType w:val="hybridMultilevel"/>
    <w:lvl w:ilvl="0">
      <w:lvlJc w:val="left"/>
      <w:lvlText w:val="•"/>
      <w:numFmt w:val="bullet"/>
      <w:start w:val="1"/>
    </w:lvl>
  </w:abstractNum>
  <w:abstractNum w:abstractNumId="64">
    <w:nsid w:val="60B6DF70"/>
    <w:multiLevelType w:val="hybridMultilevel"/>
    <w:lvl w:ilvl="0">
      <w:lvlJc w:val="left"/>
      <w:lvlText w:val="•"/>
      <w:numFmt w:val="bullet"/>
      <w:start w:val="1"/>
    </w:lvl>
  </w:abstractNum>
  <w:abstractNum w:abstractNumId="65">
    <w:nsid w:val="6A5EE64"/>
    <w:multiLevelType w:val="hybridMultilevel"/>
    <w:lvl w:ilvl="0">
      <w:lvlJc w:val="left"/>
      <w:lvlText w:val="•"/>
      <w:numFmt w:val="bullet"/>
      <w:start w:val="1"/>
    </w:lvl>
  </w:abstractNum>
  <w:abstractNum w:abstractNumId="66">
    <w:nsid w:val="14330624"/>
    <w:multiLevelType w:val="hybridMultilevel"/>
    <w:lvl w:ilvl="0">
      <w:lvlJc w:val="left"/>
      <w:lvlText w:val="•"/>
      <w:numFmt w:val="bullet"/>
      <w:start w:val="1"/>
    </w:lvl>
  </w:abstractNum>
  <w:abstractNum w:abstractNumId="67">
    <w:nsid w:val="7FFFCA11"/>
    <w:multiLevelType w:val="hybridMultilevel"/>
    <w:lvl w:ilvl="0">
      <w:lvlJc w:val="left"/>
      <w:lvlText w:val="•"/>
      <w:numFmt w:val="bullet"/>
      <w:start w:val="1"/>
    </w:lvl>
  </w:abstractNum>
  <w:abstractNum w:abstractNumId="68">
    <w:nsid w:val="1A27709E"/>
    <w:multiLevelType w:val="hybridMultilevel"/>
    <w:lvl w:ilvl="0">
      <w:lvlJc w:val="left"/>
      <w:lvlText w:val="•"/>
      <w:numFmt w:val="bullet"/>
      <w:start w:val="1"/>
    </w:lvl>
  </w:abstractNum>
  <w:abstractNum w:abstractNumId="69">
    <w:nsid w:val="71EA1109"/>
    <w:multiLevelType w:val="hybridMultilevel"/>
    <w:lvl w:ilvl="0">
      <w:lvlJc w:val="left"/>
      <w:lvlText w:val="•"/>
      <w:numFmt w:val="bullet"/>
      <w:start w:val="1"/>
    </w:lvl>
  </w:abstractNum>
  <w:abstractNum w:abstractNumId="70">
    <w:nsid w:val="100F59DC"/>
    <w:multiLevelType w:val="hybridMultilevel"/>
    <w:lvl w:ilvl="0">
      <w:lvlJc w:val="left"/>
      <w:lvlText w:val="•"/>
      <w:numFmt w:val="bullet"/>
      <w:start w:val="1"/>
    </w:lvl>
  </w:abstractNum>
  <w:abstractNum w:abstractNumId="71">
    <w:nsid w:val="7FB7E0AA"/>
    <w:multiLevelType w:val="hybridMultilevel"/>
    <w:lvl w:ilvl="0">
      <w:lvlJc w:val="left"/>
      <w:lvlText w:val="•"/>
      <w:numFmt w:val="bullet"/>
      <w:start w:val="1"/>
    </w:lvl>
  </w:abstractNum>
  <w:abstractNum w:abstractNumId="72">
    <w:nsid w:val="6EB5BD4"/>
    <w:multiLevelType w:val="hybridMultilevel"/>
    <w:lvl w:ilvl="0">
      <w:lvlJc w:val="left"/>
      <w:lvlText w:val="•"/>
      <w:numFmt w:val="bullet"/>
      <w:start w:val="1"/>
    </w:lvl>
  </w:abstractNum>
  <w:abstractNum w:abstractNumId="73">
    <w:nsid w:val="6F6DD9AC"/>
    <w:multiLevelType w:val="hybridMultilevel"/>
    <w:lvl w:ilvl="0">
      <w:lvlJc w:val="left"/>
      <w:lvlText w:val="•"/>
      <w:numFmt w:val="bullet"/>
      <w:start w:val="1"/>
    </w:lvl>
  </w:abstractNum>
  <w:abstractNum w:abstractNumId="74">
    <w:nsid w:val="94211F2"/>
    <w:multiLevelType w:val="hybridMultilevel"/>
    <w:lvl w:ilvl="0">
      <w:lvlJc w:val="left"/>
      <w:lvlText w:val="•"/>
      <w:numFmt w:val="bullet"/>
      <w:start w:val="1"/>
    </w:lvl>
  </w:abstractNum>
  <w:abstractNum w:abstractNumId="75">
    <w:nsid w:val="885E1B"/>
    <w:multiLevelType w:val="hybridMultilevel"/>
    <w:lvl w:ilvl="0">
      <w:lvlJc w:val="left"/>
      <w:lvlText w:val="•"/>
      <w:numFmt w:val="bullet"/>
      <w:start w:val="1"/>
    </w:lvl>
  </w:abstractNum>
  <w:abstractNum w:abstractNumId="76">
    <w:nsid w:val="76272110"/>
    <w:multiLevelType w:val="hybridMultilevel"/>
    <w:lvl w:ilvl="0">
      <w:lvlJc w:val="left"/>
      <w:lvlText w:val="•"/>
      <w:numFmt w:val="bullet"/>
      <w:start w:val="1"/>
    </w:lvl>
  </w:abstractNum>
  <w:abstractNum w:abstractNumId="77">
    <w:nsid w:val="4C04A8AF"/>
    <w:multiLevelType w:val="hybridMultilevel"/>
    <w:lvl w:ilvl="0">
      <w:lvlJc w:val="left"/>
      <w:lvlText w:val="•"/>
      <w:numFmt w:val="bullet"/>
      <w:start w:val="1"/>
    </w:lvl>
  </w:abstractNum>
  <w:abstractNum w:abstractNumId="78">
    <w:nsid w:val="1716703B"/>
    <w:multiLevelType w:val="hybridMultilevel"/>
    <w:lvl w:ilvl="0">
      <w:lvlJc w:val="left"/>
      <w:lvlText w:val="•"/>
      <w:numFmt w:val="bullet"/>
      <w:start w:val="1"/>
    </w:lvl>
  </w:abstractNum>
  <w:abstractNum w:abstractNumId="79">
    <w:nsid w:val="14E17E33"/>
    <w:multiLevelType w:val="hybridMultilevel"/>
    <w:lvl w:ilvl="0">
      <w:lvlJc w:val="left"/>
      <w:lvlText w:val="•"/>
      <w:numFmt w:val="bullet"/>
      <w:start w:val="1"/>
    </w:lvl>
  </w:abstractNum>
  <w:abstractNum w:abstractNumId="80">
    <w:nsid w:val="3222E7CD"/>
    <w:multiLevelType w:val="hybridMultilevel"/>
    <w:lvl w:ilvl="0">
      <w:lvlJc w:val="left"/>
      <w:lvlText w:val="(%1)"/>
      <w:numFmt w:val="lowerLetter"/>
      <w:start w:val="1"/>
    </w:lvl>
  </w:abstractNum>
  <w:abstractNum w:abstractNumId="81">
    <w:nsid w:val="74DE0EE3"/>
    <w:multiLevelType w:val="hybridMultilevel"/>
    <w:lvl w:ilvl="0">
      <w:lvlJc w:val="left"/>
      <w:lvlText w:val="•"/>
      <w:numFmt w:val="bullet"/>
      <w:start w:val="1"/>
    </w:lvl>
  </w:abstractNum>
  <w:abstractNum w:abstractNumId="82">
    <w:nsid w:val="68EBC550"/>
    <w:multiLevelType w:val="hybridMultilevel"/>
    <w:lvl w:ilvl="0">
      <w:lvlJc w:val="left"/>
      <w:lvlText w:val="(%1)"/>
      <w:numFmt w:val="decimal"/>
      <w:start w:val="1"/>
    </w:lvl>
  </w:abstractNum>
  <w:abstractNum w:abstractNumId="83">
    <w:nsid w:val="2DF6D648"/>
    <w:multiLevelType w:val="hybridMultilevel"/>
    <w:lvl w:ilvl="0">
      <w:lvlJc w:val="left"/>
      <w:lvlText w:val="•"/>
      <w:numFmt w:val="bullet"/>
      <w:start w:val="1"/>
    </w:lvl>
  </w:abstractNum>
  <w:abstractNum w:abstractNumId="84">
    <w:nsid w:val="46B7D447"/>
    <w:multiLevelType w:val="hybridMultilevel"/>
    <w:lvl w:ilvl="0">
      <w:lvlJc w:val="left"/>
      <w:lvlText w:val="•"/>
      <w:numFmt w:val="bullet"/>
      <w:start w:val="1"/>
    </w:lvl>
  </w:abstractNum>
  <w:abstractNum w:abstractNumId="85">
    <w:nsid w:val="4A2AC315"/>
    <w:multiLevelType w:val="hybridMultilevel"/>
    <w:lvl w:ilvl="0">
      <w:lvlJc w:val="left"/>
      <w:lvlText w:val="•"/>
      <w:numFmt w:val="bullet"/>
      <w:start w:val="1"/>
    </w:lvl>
  </w:abstractNum>
  <w:abstractNum w:abstractNumId="86">
    <w:nsid w:val="39EE015C"/>
    <w:multiLevelType w:val="hybridMultilevel"/>
    <w:lvl w:ilvl="0">
      <w:lvlJc w:val="left"/>
      <w:lvlText w:val="•"/>
      <w:numFmt w:val="bullet"/>
      <w:start w:val="1"/>
    </w:lvl>
  </w:abstractNum>
  <w:abstractNum w:abstractNumId="87">
    <w:nsid w:val="57FC4FBB"/>
    <w:multiLevelType w:val="hybridMultilevel"/>
    <w:lvl w:ilvl="0">
      <w:lvlJc w:val="left"/>
      <w:lvlText w:val="•"/>
      <w:numFmt w:val="bullet"/>
      <w:start w:val="1"/>
    </w:lvl>
  </w:abstractNum>
  <w:abstractNum w:abstractNumId="88">
    <w:nsid w:val="CC1016F"/>
    <w:multiLevelType w:val="hybridMultilevel"/>
    <w:lvl w:ilvl="0">
      <w:lvlJc w:val="left"/>
      <w:lvlText w:val="•"/>
      <w:numFmt w:val="bullet"/>
      <w:start w:val="1"/>
    </w:lvl>
  </w:abstractNum>
  <w:abstractNum w:abstractNumId="89">
    <w:nsid w:val="43F18422"/>
    <w:multiLevelType w:val="hybridMultilevel"/>
    <w:lvl w:ilvl="0">
      <w:lvlJc w:val="left"/>
      <w:lvlText w:val="•"/>
      <w:numFmt w:val="bullet"/>
      <w:start w:val="1"/>
    </w:lvl>
  </w:abstractNum>
  <w:abstractNum w:abstractNumId="90">
    <w:nsid w:val="60EF0119"/>
    <w:multiLevelType w:val="hybridMultilevel"/>
    <w:lvl w:ilvl="0">
      <w:lvlJc w:val="left"/>
      <w:lvlText w:val="•"/>
      <w:numFmt w:val="bullet"/>
      <w:start w:val="1"/>
    </w:lvl>
  </w:abstractNum>
  <w:abstractNum w:abstractNumId="91">
    <w:nsid w:val="26F324BA"/>
    <w:multiLevelType w:val="hybridMultilevel"/>
    <w:lvl w:ilvl="0">
      <w:lvlJc w:val="left"/>
      <w:lvlText w:val="•"/>
      <w:numFmt w:val="bullet"/>
      <w:start w:val="1"/>
    </w:lvl>
  </w:abstractNum>
  <w:abstractNum w:abstractNumId="92">
    <w:nsid w:val="7F01579B"/>
    <w:multiLevelType w:val="hybridMultilevel"/>
    <w:lvl w:ilvl="0">
      <w:lvlJc w:val="left"/>
      <w:lvlText w:val="•"/>
      <w:numFmt w:val="bullet"/>
      <w:start w:val="1"/>
    </w:lvl>
  </w:abstractNum>
  <w:abstractNum w:abstractNumId="93">
    <w:nsid w:val="49DA307D"/>
    <w:multiLevelType w:val="hybridMultilevel"/>
    <w:lvl w:ilvl="0">
      <w:lvlJc w:val="left"/>
      <w:lvlText w:val="•"/>
      <w:numFmt w:val="bullet"/>
      <w:start w:val="1"/>
    </w:lvl>
  </w:abstractNum>
  <w:abstractNum w:abstractNumId="94">
    <w:nsid w:val="7055A5F5"/>
    <w:multiLevelType w:val="hybridMultilevel"/>
    <w:lvl w:ilvl="0">
      <w:lvlJc w:val="left"/>
      <w:lvlText w:val="•"/>
      <w:numFmt w:val="bullet"/>
      <w:start w:val="1"/>
    </w:lvl>
  </w:abstractNum>
  <w:abstractNum w:abstractNumId="95">
    <w:nsid w:val="5FB8370B"/>
    <w:multiLevelType w:val="hybridMultilevel"/>
    <w:lvl w:ilvl="0">
      <w:lvlJc w:val="left"/>
      <w:lvlText w:val="%1."/>
      <w:numFmt w:val="decimal"/>
      <w:start w:val="1"/>
    </w:lvl>
  </w:abstractNum>
  <w:abstractNum w:abstractNumId="96">
    <w:nsid w:val="50801EE1"/>
    <w:multiLevelType w:val="hybridMultilevel"/>
    <w:lvl w:ilvl="0">
      <w:lvlJc w:val="left"/>
      <w:lvlText w:val="•"/>
      <w:numFmt w:val="bullet"/>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 w:numId="56">
    <w:abstractNumId w:val="55"/>
  </w:num>
  <w:num w:numId="57">
    <w:abstractNumId w:val="56"/>
  </w:num>
  <w:num w:numId="58">
    <w:abstractNumId w:val="57"/>
  </w:num>
  <w:num w:numId="59">
    <w:abstractNumId w:val="58"/>
  </w:num>
  <w:num w:numId="60">
    <w:abstractNumId w:val="59"/>
  </w:num>
  <w:num w:numId="61">
    <w:abstractNumId w:val="60"/>
  </w:num>
  <w:num w:numId="62">
    <w:abstractNumId w:val="61"/>
  </w:num>
  <w:num w:numId="63">
    <w:abstractNumId w:val="62"/>
  </w:num>
  <w:num w:numId="64">
    <w:abstractNumId w:val="63"/>
  </w:num>
  <w:num w:numId="65">
    <w:abstractNumId w:val="64"/>
  </w:num>
  <w:num w:numId="66">
    <w:abstractNumId w:val="65"/>
  </w:num>
  <w:num w:numId="67">
    <w:abstractNumId w:val="66"/>
  </w:num>
  <w:num w:numId="68">
    <w:abstractNumId w:val="67"/>
  </w:num>
  <w:num w:numId="69">
    <w:abstractNumId w:val="68"/>
  </w:num>
  <w:num w:numId="70">
    <w:abstractNumId w:val="69"/>
  </w:num>
  <w:num w:numId="71">
    <w:abstractNumId w:val="70"/>
  </w:num>
  <w:num w:numId="72">
    <w:abstractNumId w:val="71"/>
  </w:num>
  <w:num w:numId="73">
    <w:abstractNumId w:val="72"/>
  </w:num>
  <w:num w:numId="74">
    <w:abstractNumId w:val="73"/>
  </w:num>
  <w:num w:numId="75">
    <w:abstractNumId w:val="74"/>
  </w:num>
  <w:num w:numId="76">
    <w:abstractNumId w:val="75"/>
  </w:num>
  <w:num w:numId="77">
    <w:abstractNumId w:val="76"/>
  </w:num>
  <w:num w:numId="78">
    <w:abstractNumId w:val="77"/>
  </w:num>
  <w:num w:numId="79">
    <w:abstractNumId w:val="78"/>
  </w:num>
  <w:num w:numId="80">
    <w:abstractNumId w:val="79"/>
  </w:num>
  <w:num w:numId="81">
    <w:abstractNumId w:val="80"/>
  </w:num>
  <w:num w:numId="82">
    <w:abstractNumId w:val="81"/>
  </w:num>
  <w:num w:numId="83">
    <w:abstractNumId w:val="82"/>
  </w:num>
  <w:num w:numId="84">
    <w:abstractNumId w:val="83"/>
  </w:num>
  <w:num w:numId="85">
    <w:abstractNumId w:val="84"/>
  </w:num>
  <w:num w:numId="86">
    <w:abstractNumId w:val="85"/>
  </w:num>
  <w:num w:numId="87">
    <w:abstractNumId w:val="86"/>
  </w:num>
  <w:num w:numId="88">
    <w:abstractNumId w:val="87"/>
  </w:num>
  <w:num w:numId="89">
    <w:abstractNumId w:val="88"/>
  </w:num>
  <w:num w:numId="90">
    <w:abstractNumId w:val="89"/>
  </w:num>
  <w:num w:numId="91">
    <w:abstractNumId w:val="90"/>
  </w:num>
  <w:num w:numId="92">
    <w:abstractNumId w:val="91"/>
  </w:num>
  <w:num w:numId="93">
    <w:abstractNumId w:val="92"/>
  </w:num>
  <w:num w:numId="94">
    <w:abstractNumId w:val="93"/>
  </w:num>
  <w:num w:numId="95">
    <w:abstractNumId w:val="94"/>
  </w:num>
  <w:num w:numId="96">
    <w:abstractNumId w:val="95"/>
  </w:num>
  <w:num w:numId="97">
    <w:abstractNumId w:val="9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jpeg"/><Relationship Id="rId16" Type="http://schemas.openxmlformats.org/officeDocument/2006/relationships/image" Target="media/image9.jpeg"/><Relationship Id="rId17" Type="http://schemas.openxmlformats.org/officeDocument/2006/relationships/image" Target="media/image10.jpe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jpeg"/><Relationship Id="rId21" Type="http://schemas.openxmlformats.org/officeDocument/2006/relationships/image" Target="media/image14.png"/><Relationship Id="rId22" Type="http://schemas.openxmlformats.org/officeDocument/2006/relationships/image" Target="media/image15.jpeg"/><Relationship Id="rId23" Type="http://schemas.openxmlformats.org/officeDocument/2006/relationships/image" Target="media/image16.jpeg"/><Relationship Id="rId24" Type="http://schemas.openxmlformats.org/officeDocument/2006/relationships/image" Target="media/image17.jpeg"/><Relationship Id="rId25" Type="http://schemas.openxmlformats.org/officeDocument/2006/relationships/image" Target="media/image18.png"/><Relationship Id="rId26" Type="http://schemas.openxmlformats.org/officeDocument/2006/relationships/image" Target="media/image19.jpe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jpe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jpe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jpeg"/><Relationship Id="rId77" Type="http://schemas.openxmlformats.org/officeDocument/2006/relationships/image" Target="media/image70.jpe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jpeg"/><Relationship Id="rId84" Type="http://schemas.openxmlformats.org/officeDocument/2006/relationships/image" Target="media/image77.png"/><Relationship Id="rId85" Type="http://schemas.openxmlformats.org/officeDocument/2006/relationships/image" Target="media/image78.jpeg"/><Relationship Id="rId86" Type="http://schemas.openxmlformats.org/officeDocument/2006/relationships/image" Target="media/image79.png"/><Relationship Id="rId87" Type="http://schemas.openxmlformats.org/officeDocument/2006/relationships/image" Target="media/image80.jpeg"/><Relationship Id="rId88" Type="http://schemas.openxmlformats.org/officeDocument/2006/relationships/image" Target="media/image81.png"/><Relationship Id="rId89" Type="http://schemas.openxmlformats.org/officeDocument/2006/relationships/image" Target="media/image82.png"/><Relationship Id="rId90" Type="http://schemas.openxmlformats.org/officeDocument/2006/relationships/image" Target="media/image83.png"/><Relationship Id="rId91" Type="http://schemas.openxmlformats.org/officeDocument/2006/relationships/image" Target="media/image84.png"/><Relationship Id="rId92" Type="http://schemas.openxmlformats.org/officeDocument/2006/relationships/image" Target="media/image85.png"/><Relationship Id="rId93" Type="http://schemas.openxmlformats.org/officeDocument/2006/relationships/image" Target="media/image86.png"/><Relationship Id="rId94" Type="http://schemas.openxmlformats.org/officeDocument/2006/relationships/image" Target="media/image87.png"/><Relationship Id="rId95" Type="http://schemas.openxmlformats.org/officeDocument/2006/relationships/image" Target="media/image88.jpeg"/><Relationship Id="rId96" Type="http://schemas.openxmlformats.org/officeDocument/2006/relationships/image" Target="media/image89.png"/><Relationship Id="rId97" Type="http://schemas.openxmlformats.org/officeDocument/2006/relationships/image" Target="media/image90.png"/><Relationship Id="rId98" Type="http://schemas.openxmlformats.org/officeDocument/2006/relationships/image" Target="media/image91.png"/><Relationship Id="rId99" Type="http://schemas.openxmlformats.org/officeDocument/2006/relationships/image" Target="media/image92.png"/><Relationship Id="rId100" Type="http://schemas.openxmlformats.org/officeDocument/2006/relationships/image" Target="media/image93.png"/><Relationship Id="rId101" Type="http://schemas.openxmlformats.org/officeDocument/2006/relationships/image" Target="media/image94.png"/><Relationship Id="rId102" Type="http://schemas.openxmlformats.org/officeDocument/2006/relationships/image" Target="media/image95.png"/><Relationship Id="rId103" Type="http://schemas.openxmlformats.org/officeDocument/2006/relationships/image" Target="media/image96.png"/><Relationship Id="rId104" Type="http://schemas.openxmlformats.org/officeDocument/2006/relationships/image" Target="media/image97.png"/><Relationship Id="rId105" Type="http://schemas.openxmlformats.org/officeDocument/2006/relationships/image" Target="media/image98.png"/><Relationship Id="rId106" Type="http://schemas.openxmlformats.org/officeDocument/2006/relationships/image" Target="media/image99.png"/><Relationship Id="rId107" Type="http://schemas.openxmlformats.org/officeDocument/2006/relationships/image" Target="media/image100.png"/><Relationship Id="rId108" Type="http://schemas.openxmlformats.org/officeDocument/2006/relationships/image" Target="media/image101.png"/><Relationship Id="rId109" Type="http://schemas.openxmlformats.org/officeDocument/2006/relationships/image" Target="media/image102.png"/><Relationship Id="rId110" Type="http://schemas.openxmlformats.org/officeDocument/2006/relationships/image" Target="media/image103.png"/><Relationship Id="rId111" Type="http://schemas.openxmlformats.org/officeDocument/2006/relationships/image" Target="media/image104.png"/><Relationship Id="rId112" Type="http://schemas.openxmlformats.org/officeDocument/2006/relationships/image" Target="media/image105.png"/><Relationship Id="rId113" Type="http://schemas.openxmlformats.org/officeDocument/2006/relationships/image" Target="media/image106.png"/><Relationship Id="rId114" Type="http://schemas.openxmlformats.org/officeDocument/2006/relationships/image" Target="media/image107.png"/><Relationship Id="rId115" Type="http://schemas.openxmlformats.org/officeDocument/2006/relationships/image" Target="media/image108.png"/><Relationship Id="rId116" Type="http://schemas.openxmlformats.org/officeDocument/2006/relationships/image" Target="media/image109.png"/><Relationship Id="rId117" Type="http://schemas.openxmlformats.org/officeDocument/2006/relationships/image" Target="media/image110.png"/><Relationship Id="rId118" Type="http://schemas.openxmlformats.org/officeDocument/2006/relationships/image" Target="media/image111.png"/><Relationship Id="rId119" Type="http://schemas.openxmlformats.org/officeDocument/2006/relationships/image" Target="media/image112.png"/><Relationship Id="rId120" Type="http://schemas.openxmlformats.org/officeDocument/2006/relationships/image" Target="media/image113.png"/><Relationship Id="rId121" Type="http://schemas.openxmlformats.org/officeDocument/2006/relationships/image" Target="media/image114.png"/><Relationship Id="rId122" Type="http://schemas.openxmlformats.org/officeDocument/2006/relationships/image" Target="media/image115.png"/><Relationship Id="rId123" Type="http://schemas.openxmlformats.org/officeDocument/2006/relationships/image" Target="media/image116.jpeg"/><Relationship Id="rId124" Type="http://schemas.openxmlformats.org/officeDocument/2006/relationships/image" Target="media/image117.png"/><Relationship Id="rId125" Type="http://schemas.openxmlformats.org/officeDocument/2006/relationships/image" Target="media/image118.jpeg"/><Relationship Id="rId126" Type="http://schemas.openxmlformats.org/officeDocument/2006/relationships/image" Target="media/image119.png"/><Relationship Id="rId127" Type="http://schemas.openxmlformats.org/officeDocument/2006/relationships/image" Target="media/image120.jpeg"/><Relationship Id="rId128" Type="http://schemas.openxmlformats.org/officeDocument/2006/relationships/image" Target="media/image121.jpeg"/><Relationship Id="rId129" Type="http://schemas.openxmlformats.org/officeDocument/2006/relationships/image" Target="media/image122.png"/><Relationship Id="rId130" Type="http://schemas.openxmlformats.org/officeDocument/2006/relationships/image" Target="media/image123.png"/><Relationship Id="rId131" Type="http://schemas.openxmlformats.org/officeDocument/2006/relationships/image" Target="media/image124.png"/><Relationship Id="rId132" Type="http://schemas.openxmlformats.org/officeDocument/2006/relationships/image" Target="media/image125.png"/><Relationship Id="rId133" Type="http://schemas.openxmlformats.org/officeDocument/2006/relationships/image" Target="media/image126.jpeg"/><Relationship Id="rId134" Type="http://schemas.openxmlformats.org/officeDocument/2006/relationships/image" Target="media/image127.png"/><Relationship Id="rId135" Type="http://schemas.openxmlformats.org/officeDocument/2006/relationships/image" Target="media/image128.png"/><Relationship Id="rId136" Type="http://schemas.openxmlformats.org/officeDocument/2006/relationships/image" Target="media/image129.png"/><Relationship Id="rId137" Type="http://schemas.openxmlformats.org/officeDocument/2006/relationships/image" Target="media/image130.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2019-12-05T05:05:58Z</dcterms:created>
  <dcterms:modified xsi:type="dcterms:W3CDTF">2019-12-05T05:05:58Z</dcterms:modified>
</cp:coreProperties>
</file>