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001-02256</w:t>
        </w:r>
      </w:hyperlink>
    </w:p>
    <w:p>
      <w:pPr>
        <w:spacing w:after="0" w:line="136" w:lineRule="exact"/>
        <w:rPr>
          <w:sz w:val="24"/>
          <w:szCs w:val="24"/>
          <w:color w:val="auto"/>
        </w:rPr>
      </w:pPr>
    </w:p>
    <w:p>
      <w:pPr>
        <w:ind w:left="3100"/>
        <w:spacing w:after="0"/>
        <w:tabs>
          <w:tab w:leader="none" w:pos="39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EXXON MOBIL CORP</w:t>
        </w:r>
      </w:hyperlink>
    </w:p>
    <w:p>
      <w:pPr>
        <w:spacing w:after="0" w:line="5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40"/>
        <w:spacing w:after="0"/>
        <w:tabs>
          <w:tab w:leader="none" w:pos="40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22777 Springwoods Village Pkwy</w:t>
      </w:r>
    </w:p>
    <w:p>
      <w:pPr>
        <w:spacing w:after="0" w:line="62" w:lineRule="exact"/>
        <w:rPr>
          <w:sz w:val="24"/>
          <w:szCs w:val="24"/>
          <w:color w:val="auto"/>
        </w:rPr>
      </w:pPr>
    </w:p>
    <w:tbl>
      <w:tblPr>
        <w:tblLayout w:type="fixed"/>
        <w:tblInd w:w="2440" w:type="dxa"/>
        <w:tblCellMar>
          <w:top w:w="0" w:type="dxa"/>
          <w:left w:w="0" w:type="dxa"/>
          <w:bottom w:w="0" w:type="dxa"/>
          <w:right w:w="0" w:type="dxa"/>
        </w:tblCellMar>
      </w:tblPr>
      <w:tr>
        <w:trPr>
          <w:trHeight w:val="228"/>
        </w:trPr>
        <w:tc>
          <w:tcPr>
            <w:tcW w:w="3080" w:type="dxa"/>
            <w:vAlign w:val="bottom"/>
          </w:tcPr>
          <w:p>
            <w:pPr>
              <w:ind w:left="1580"/>
              <w:spacing w:after="0"/>
              <w:rPr>
                <w:sz w:val="20"/>
                <w:szCs w:val="20"/>
                <w:color w:val="auto"/>
              </w:rPr>
            </w:pPr>
            <w:r>
              <w:rPr>
                <w:rFonts w:ascii="Times New Roman" w:cs="Times New Roman" w:eastAsia="Times New Roman" w:hAnsi="Times New Roman"/>
                <w:sz w:val="18"/>
                <w:szCs w:val="18"/>
                <w:color w:val="0000FF"/>
              </w:rPr>
              <w:t>Spring    TEXAS</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18"/>
                <w:szCs w:val="18"/>
                <w:color w:val="0000FF"/>
              </w:rPr>
              <w:t>77389</w:t>
            </w:r>
          </w:p>
        </w:tc>
      </w:tr>
      <w:tr>
        <w:trPr>
          <w:trHeight w:val="274"/>
        </w:trPr>
        <w:tc>
          <w:tcPr>
            <w:tcW w:w="3080" w:type="dxa"/>
            <w:vAlign w:val="bottom"/>
          </w:tcPr>
          <w:p>
            <w:pPr>
              <w:spacing w:after="0"/>
              <w:rPr>
                <w:sz w:val="20"/>
                <w:szCs w:val="20"/>
                <w:color w:val="auto"/>
              </w:rPr>
            </w:pPr>
            <w:r>
              <w:rPr>
                <w:rFonts w:ascii="Arial" w:cs="Arial" w:eastAsia="Arial" w:hAnsi="Arial"/>
                <w:sz w:val="18"/>
                <w:szCs w:val="18"/>
                <w:color w:val="auto"/>
              </w:rPr>
              <w:t>Telephone number: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(972) 940-6000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2026-07-02</w:t>
            </w: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5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Anthony Sozzi</w:t>
            </w:r>
          </w:p>
        </w:tc>
        <w:tc>
          <w:tcPr>
            <w:tcW w:w="260" w:type="dxa"/>
            <w:vAlign w:val="bottom"/>
          </w:tcPr>
          <w:p>
            <w:pPr>
              <w:spacing w:after="0"/>
              <w:rPr>
                <w:sz w:val="21"/>
                <w:szCs w:val="21"/>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Analyst, Market Watch</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5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45" w:lineRule="auto"/>
        <w:rPr>
          <w:sz w:val="20"/>
          <w:szCs w:val="20"/>
          <w:color w:val="auto"/>
        </w:rPr>
      </w:pPr>
      <w:r>
        <w:rPr>
          <w:rFonts w:ascii="Times New Roman" w:cs="Times New Roman" w:eastAsia="Times New Roman" w:hAnsi="Times New Roman"/>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July 13, 2026, pursuant to the provisions of Rule 12d2-2 (a). [ X ] 17 CFR 240.12d2-2(a)(3) That on July 1, 2026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On July 1, 2026, Exxon Mobil Corporation, a New Jersey corporation, completed its previously announced redomiciliation reorganization pursuant to the Agreement and Plan of Merger, dated as of April 8, 2026 , by and among ExxonMobil, ExxonMobil Holdings Corporation, a Texas corporation, and Ensign LLC, a Texas limited liability company. This Form 25 is only for the removal from listing on the Exchange of Exxon Mobil Corporation Common Stock (OLD XOM, CUSIP: 30231G102) and not a termination of the registration of ExxonMobil Holdings Corporation Common Stock (NEW XOM, CUSIP: 30233Q108) under Section 12(b) of the Exchange Act.</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02256" TargetMode="External"/><Relationship Id="rId11" Type="http://schemas.openxmlformats.org/officeDocument/2006/relationships/hyperlink" Target="http://www.sec.gov/cgi-bin/browse-edgar?action=getcompany&amp;CIK=0000034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2026-07-02T09:31:49Z</dcterms:created>
  <dcterms:modified xsi:type="dcterms:W3CDTF">2026-07-02T09:31:49Z</dcterms:modified>
</cp:coreProperties>
</file>