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22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E</w:t>
      </w:r>
      <w:r>
        <w:rPr>
          <w:rFonts w:ascii="Arial" w:cs="Arial" w:eastAsia="Arial" w:hAnsi="Arial"/>
          <w:sz w:val="32"/>
          <w:szCs w:val="32"/>
          <w:b w:val="1"/>
          <w:bCs w:val="1"/>
          <w:color w:val="auto"/>
        </w:rPr>
        <w:t>XXON</w:t>
      </w:r>
      <w:r>
        <w:rPr>
          <w:rFonts w:ascii="Arial" w:cs="Arial" w:eastAsia="Arial" w:hAnsi="Arial"/>
          <w:sz w:val="40"/>
          <w:szCs w:val="40"/>
          <w:b w:val="1"/>
          <w:bCs w:val="1"/>
          <w:color w:val="auto"/>
        </w:rPr>
        <w:t xml:space="preserve"> M</w:t>
      </w:r>
      <w:r>
        <w:rPr>
          <w:rFonts w:ascii="Arial" w:cs="Arial" w:eastAsia="Arial" w:hAnsi="Arial"/>
          <w:sz w:val="32"/>
          <w:szCs w:val="32"/>
          <w:b w:val="1"/>
          <w:bCs w:val="1"/>
          <w:color w:val="auto"/>
        </w:rPr>
        <w:t>OBIL</w:t>
      </w:r>
      <w:r>
        <w:rPr>
          <w:rFonts w:ascii="Arial" w:cs="Arial" w:eastAsia="Arial" w:hAnsi="Arial"/>
          <w:sz w:val="40"/>
          <w:szCs w:val="40"/>
          <w:b w:val="1"/>
          <w:bCs w:val="1"/>
          <w:color w:val="auto"/>
        </w:rPr>
        <w:t xml:space="preserve"> C</w:t>
      </w:r>
      <w:r>
        <w:rPr>
          <w:rFonts w:ascii="Arial" w:cs="Arial" w:eastAsia="Arial" w:hAnsi="Arial"/>
          <w:sz w:val="32"/>
          <w:szCs w:val="32"/>
          <w:b w:val="1"/>
          <w:bCs w:val="1"/>
          <w:color w:val="auto"/>
        </w:rPr>
        <w:t>ORPORATION</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517" w:right="559" w:bottom="160"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below terms/phrases may be used, alone or in combination with each other or previously files terms/phrases, in paid search marketing</w:t>
      </w:r>
    </w:p>
    <w:p>
      <w:pPr>
        <w:sectPr>
          <w:pgSz w:w="11900" w:h="16838" w:orient="portrait"/>
          <w:cols w:equalWidth="0" w:num="1">
            <w:col w:w="10600"/>
          </w:cols>
          <w:pgMar w:left="440" w:top="270" w:right="859" w:bottom="1440" w:gutter="0" w:footer="0" w:header="0"/>
        </w:sectPr>
      </w:pPr>
    </w:p>
    <w:p>
      <w:pPr>
        <w:spacing w:after="0" w:line="158"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Decreasing Methane Emissions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Energy Efficiency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Breakthrough Technologies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Advancing Climate Solutions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 Carbon Solutions Business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Carbon Capture &amp; Storage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Advancing Lower-Emission Energy Solutions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Working to advance low-carbon technologies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Partnering With Universities, Government Labs and Other Companies.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We’re working on technology that could lower emissions at industrial sites.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Commercializing and deploying technology from our industry-leading R&amp;D portfolio</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Innovations from ExxonMobil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scalable technologies to help address climate change.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Plans Are Expected to Reduce our Absolute Upstream GHG Emissions by ~30% by 2025</w:t>
      </w:r>
    </w:p>
    <w:p>
      <w:pPr>
        <w:sectPr>
          <w:pgSz w:w="11900" w:h="16838" w:orient="portrait"/>
          <w:cols w:equalWidth="0" w:num="1">
            <w:col w:w="10600"/>
          </w:cols>
          <w:pgMar w:left="440" w:top="270" w:right="8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Additional Information Regarding Proxy Solicitation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Exxon Mobil Corporation (“ExxonMobil”) has filed a definitive proxy statement and form of associated BLUE proxy card with the U.S. Securities and Exchange Commission (the “SEC”) in connection with the solicitation of proxies for ExxonMobil’s 2021 Annual Meeting (the “Proxy Statement”). ExxonMobil, its directors and certain of its executive officers will be participants in the solicitation of proxies from shareholders in respect of the 2021 Annual Meeting. Information regarding the names of ExxonMobil’s directors and executive officers and their respective interests in ExxonMobil by security holdings or otherwise is set forth in the Proxy Statement. To the extent holdings of such participants in ExxonMobil’s securities are not reported, or have changed since the amounts described, in the Proxy Statement, such changes have been reflected on Initial Statements of Beneficial Ownership on Form 3 or Statements of Change in Ownership on Form 4 filed with the SEC. Details concerning the nominees of ExxonMobil’s Board of Directors for election at the 2021 Annual Meeting are included in the Proxy Statement. BEFORE MAKING ANY VOTING DECISION, INVESTORS AND SHAREHOLDERS OF THE COMPANY ARE URGED TO READ ALL RELEVANT DOCUMENTS FILED WITH OR FURNISHED TO THE SEC, INCLUDING THE COMPANY’S DEFINITIVE PROXY STATEMENT AND ANY SUPPLEMENTS THERETO AND ACCOMPANYING BLUE PROXY CARD, BECAUSE THEY CONTAIN IMPORTANT INFORMATION. Investors and shareholders can obtain a copy of the Proxy Statement and other relevant documents filed by ExxonMobil free of charge from the SEC’s website, www.sec.gov. ExxonMobil’s shareholders can also obtain, without charge, a copy of the Proxy Statement and other relevant filed documents by directing a request by mail to ExxonMobil Shareholder Services at 5959 Las Colinas Boulevard, Irving, Texas, 75039-2298 or at shareholderrelations@exxonmobil.com or from the investor relations section of ExxonMobil’s website, www.exxonmobil.com/investor.</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2021-04-21T09:11:59Z</dcterms:created>
  <dcterms:modified xsi:type="dcterms:W3CDTF">2021-04-21T09:11:59Z</dcterms:modified>
</cp:coreProperties>
</file>