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333-194609</w:t>
      </w:r>
    </w:p>
    <w:p>
      <w:pPr>
        <w:spacing w:after="0" w:line="143"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C21128"/>
        </w:rPr>
        <w:t>The information in this preliminary prospectus is not complete and may be changed. This preliminary prospectus supplement and the accompanying prospectus are not an offer to sell these securities and we are not soliciting offers to buy these securities in any jurisdiction where the offer or sale is not permitted.</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color w:val="C21128"/>
        </w:rPr>
        <w:t>Subject to completion, dated March 17, 2014</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March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100330</wp:posOffset>
            </wp:positionV>
            <wp:extent cx="170688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688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Exxon Mobil Corporation</w:t>
      </w:r>
    </w:p>
    <w:p>
      <w:pPr>
        <w:spacing w:after="0" w:line="164" w:lineRule="exact"/>
        <w:rPr>
          <w:sz w:val="24"/>
          <w:szCs w:val="24"/>
          <w:color w:val="auto"/>
        </w:rPr>
      </w:pPr>
    </w:p>
    <w:p>
      <w:pPr>
        <w:ind w:left="5120" w:hanging="841"/>
        <w:spacing w:after="0"/>
        <w:tabs>
          <w:tab w:leader="none" w:pos="512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Floating Rate Notes due</w:t>
      </w:r>
    </w:p>
    <w:p>
      <w:pPr>
        <w:spacing w:after="0" w:line="21" w:lineRule="exact"/>
        <w:rPr>
          <w:sz w:val="24"/>
          <w:szCs w:val="24"/>
          <w:color w:val="auto"/>
        </w:rPr>
      </w:pPr>
    </w:p>
    <w:p>
      <w:pPr>
        <w:ind w:left="5120" w:hanging="841"/>
        <w:spacing w:after="0"/>
        <w:tabs>
          <w:tab w:leader="none" w:pos="51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Floating Rate Notes due</w:t>
      </w:r>
    </w:p>
    <w:p>
      <w:pPr>
        <w:ind w:left="5740" w:hanging="1134"/>
        <w:spacing w:after="0"/>
        <w:tabs>
          <w:tab w:leader="none" w:pos="57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Notes due</w:t>
      </w:r>
    </w:p>
    <w:p>
      <w:pPr>
        <w:ind w:left="5740" w:hanging="1134"/>
        <w:spacing w:after="0"/>
        <w:tabs>
          <w:tab w:leader="none" w:pos="57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Notes due</w:t>
      </w:r>
    </w:p>
    <w:p>
      <w:pPr>
        <w:ind w:left="5740" w:hanging="1134"/>
        <w:spacing w:after="0"/>
        <w:tabs>
          <w:tab w:leader="none" w:pos="57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Notes due</w:t>
      </w:r>
    </w:p>
    <w:p>
      <w:pPr>
        <w:spacing w:after="0" w:line="126" w:lineRule="exact"/>
        <w:rPr>
          <w:sz w:val="24"/>
          <w:szCs w:val="24"/>
          <w:color w:val="auto"/>
        </w:rPr>
      </w:pPr>
    </w:p>
    <w:p>
      <w:pPr>
        <w:ind w:left="360"/>
        <w:spacing w:after="0"/>
        <w:tabs>
          <w:tab w:leader="none" w:pos="3200" w:val="left"/>
          <w:tab w:leader="none" w:pos="4060" w:val="left"/>
          <w:tab w:leader="none" w:pos="7900" w:val="left"/>
          <w:tab w:leader="none" w:pos="8740" w:val="left"/>
        </w:tabs>
        <w:rPr>
          <w:sz w:val="20"/>
          <w:szCs w:val="20"/>
          <w:color w:val="auto"/>
        </w:rPr>
      </w:pPr>
      <w:r>
        <w:rPr>
          <w:rFonts w:ascii="Arial" w:cs="Arial" w:eastAsia="Arial" w:hAnsi="Arial"/>
          <w:sz w:val="16"/>
          <w:szCs w:val="16"/>
          <w:color w:val="auto"/>
        </w:rPr>
        <w:t>Each of the Floating Rate Notes due</w:t>
      </w:r>
      <w:r>
        <w:rPr>
          <w:sz w:val="20"/>
          <w:szCs w:val="20"/>
          <w:color w:val="auto"/>
        </w:rPr>
        <w:tab/>
      </w:r>
      <w:r>
        <w:rPr>
          <w:rFonts w:ascii="Arial" w:cs="Arial" w:eastAsia="Arial" w:hAnsi="Arial"/>
          <w:sz w:val="16"/>
          <w:szCs w:val="16"/>
          <w:color w:val="auto"/>
        </w:rPr>
        <w:t>(the “</w:t>
      </w:r>
      <w:r>
        <w:rPr>
          <w:sz w:val="20"/>
          <w:szCs w:val="20"/>
          <w:color w:val="auto"/>
        </w:rPr>
        <w:tab/>
      </w:r>
      <w:r>
        <w:rPr>
          <w:rFonts w:ascii="Arial" w:cs="Arial" w:eastAsia="Arial" w:hAnsi="Arial"/>
          <w:sz w:val="16"/>
          <w:szCs w:val="16"/>
          <w:color w:val="auto"/>
        </w:rPr>
        <w:t>Floating Rate Notes”), the Floating Rate Notes due</w:t>
      </w:r>
      <w:r>
        <w:rPr>
          <w:sz w:val="20"/>
          <w:szCs w:val="20"/>
          <w:color w:val="auto"/>
        </w:rPr>
        <w:tab/>
      </w:r>
      <w:r>
        <w:rPr>
          <w:rFonts w:ascii="Arial" w:cs="Arial" w:eastAsia="Arial" w:hAnsi="Arial"/>
          <w:sz w:val="16"/>
          <w:szCs w:val="16"/>
          <w:color w:val="auto"/>
        </w:rPr>
        <w:t>(the “</w:t>
      </w:r>
      <w:r>
        <w:rPr>
          <w:sz w:val="20"/>
          <w:szCs w:val="20"/>
          <w:color w:val="auto"/>
        </w:rPr>
        <w:tab/>
      </w:r>
      <w:r>
        <w:rPr>
          <w:rFonts w:ascii="Arial" w:cs="Arial" w:eastAsia="Arial" w:hAnsi="Arial"/>
          <w:sz w:val="14"/>
          <w:szCs w:val="14"/>
          <w:color w:val="auto"/>
        </w:rPr>
        <w:t>Floating Rate Notes” and, together with</w:t>
      </w:r>
    </w:p>
    <w:p>
      <w:pPr>
        <w:spacing w:after="0" w:line="22" w:lineRule="exact"/>
        <w:rPr>
          <w:sz w:val="24"/>
          <w:szCs w:val="24"/>
          <w:color w:val="auto"/>
        </w:rPr>
      </w:pPr>
    </w:p>
    <w:p>
      <w:pPr>
        <w:spacing w:after="0"/>
        <w:tabs>
          <w:tab w:leader="none" w:pos="720" w:val="left"/>
          <w:tab w:leader="none" w:pos="4580" w:val="left"/>
          <w:tab w:leader="none" w:pos="5940" w:val="left"/>
          <w:tab w:leader="none" w:pos="6800" w:val="left"/>
          <w:tab w:leader="none" w:pos="8580" w:val="left"/>
          <w:tab w:leader="none" w:pos="9920" w:val="left"/>
          <w:tab w:leader="none" w:pos="10780" w:val="left"/>
        </w:tabs>
        <w:rPr>
          <w:sz w:val="20"/>
          <w:szCs w:val="20"/>
          <w:color w:val="auto"/>
        </w:rPr>
      </w:pP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Floating Rate Notes, the “Floating Rate Notes”), the</w:t>
      </w:r>
      <w:r>
        <w:rPr>
          <w:sz w:val="20"/>
          <w:szCs w:val="20"/>
          <w:color w:val="auto"/>
        </w:rPr>
        <w:tab/>
      </w:r>
      <w:r>
        <w:rPr>
          <w:rFonts w:ascii="Arial" w:cs="Arial" w:eastAsia="Arial" w:hAnsi="Arial"/>
          <w:sz w:val="16"/>
          <w:szCs w:val="16"/>
          <w:color w:val="auto"/>
        </w:rPr>
        <w:t>% Notes due</w:t>
      </w:r>
      <w:r>
        <w:rPr>
          <w:sz w:val="20"/>
          <w:szCs w:val="20"/>
          <w:color w:val="auto"/>
        </w:rPr>
        <w:tab/>
      </w:r>
      <w:r>
        <w:rPr>
          <w:rFonts w:ascii="Arial" w:cs="Arial" w:eastAsia="Arial" w:hAnsi="Arial"/>
          <w:sz w:val="16"/>
          <w:szCs w:val="16"/>
          <w:color w:val="auto"/>
        </w:rPr>
        <w:t>(the “</w:t>
      </w:r>
      <w:r>
        <w:rPr>
          <w:sz w:val="20"/>
          <w:szCs w:val="20"/>
          <w:color w:val="auto"/>
        </w:rPr>
        <w:tab/>
      </w:r>
      <w:r>
        <w:rPr>
          <w:rFonts w:ascii="Arial" w:cs="Arial" w:eastAsia="Arial" w:hAnsi="Arial"/>
          <w:sz w:val="16"/>
          <w:szCs w:val="16"/>
          <w:color w:val="auto"/>
        </w:rPr>
        <w:t>Fixed Rate Notes”),</w:t>
      </w:r>
      <w:r>
        <w:rPr>
          <w:sz w:val="20"/>
          <w:szCs w:val="20"/>
          <w:color w:val="auto"/>
        </w:rPr>
        <w:tab/>
      </w:r>
      <w:r>
        <w:rPr>
          <w:rFonts w:ascii="Arial" w:cs="Arial" w:eastAsia="Arial" w:hAnsi="Arial"/>
          <w:sz w:val="16"/>
          <w:szCs w:val="16"/>
          <w:color w:val="auto"/>
        </w:rPr>
        <w:t>% Notes due</w:t>
      </w:r>
      <w:r>
        <w:rPr>
          <w:sz w:val="20"/>
          <w:szCs w:val="20"/>
          <w:color w:val="auto"/>
        </w:rPr>
        <w:tab/>
      </w:r>
      <w:r>
        <w:rPr>
          <w:rFonts w:ascii="Arial" w:cs="Arial" w:eastAsia="Arial" w:hAnsi="Arial"/>
          <w:sz w:val="16"/>
          <w:szCs w:val="16"/>
          <w:color w:val="auto"/>
        </w:rPr>
        <w:t>(the “</w:t>
      </w:r>
      <w:r>
        <w:rPr>
          <w:sz w:val="20"/>
          <w:szCs w:val="20"/>
          <w:color w:val="auto"/>
        </w:rPr>
        <w:tab/>
      </w:r>
      <w:r>
        <w:rPr>
          <w:rFonts w:ascii="Arial" w:cs="Arial" w:eastAsia="Arial" w:hAnsi="Arial"/>
          <w:sz w:val="14"/>
          <w:szCs w:val="14"/>
          <w:color w:val="auto"/>
        </w:rPr>
        <w:t>Fixed</w:t>
      </w:r>
    </w:p>
    <w:p>
      <w:pPr>
        <w:spacing w:after="0" w:line="19" w:lineRule="exact"/>
        <w:rPr>
          <w:sz w:val="24"/>
          <w:szCs w:val="24"/>
          <w:color w:val="auto"/>
        </w:rPr>
      </w:pPr>
    </w:p>
    <w:p>
      <w:pPr>
        <w:spacing w:after="0"/>
        <w:tabs>
          <w:tab w:leader="none" w:pos="1820" w:val="left"/>
          <w:tab w:leader="none" w:pos="3180" w:val="left"/>
          <w:tab w:leader="none" w:pos="4040" w:val="left"/>
          <w:tab w:leader="none" w:pos="7220" w:val="left"/>
          <w:tab w:leader="none" w:pos="9380" w:val="left"/>
        </w:tabs>
        <w:rPr>
          <w:sz w:val="20"/>
          <w:szCs w:val="20"/>
          <w:color w:val="auto"/>
        </w:rPr>
      </w:pPr>
      <w:r>
        <w:rPr>
          <w:rFonts w:ascii="Arial" w:cs="Arial" w:eastAsia="Arial" w:hAnsi="Arial"/>
          <w:sz w:val="16"/>
          <w:szCs w:val="16"/>
          <w:color w:val="auto"/>
        </w:rPr>
        <w:t>Rate Notes”) and the</w:t>
      </w:r>
      <w:r>
        <w:rPr>
          <w:sz w:val="20"/>
          <w:szCs w:val="20"/>
          <w:color w:val="auto"/>
        </w:rPr>
        <w:tab/>
      </w:r>
      <w:r>
        <w:rPr>
          <w:rFonts w:ascii="Arial" w:cs="Arial" w:eastAsia="Arial" w:hAnsi="Arial"/>
          <w:sz w:val="16"/>
          <w:szCs w:val="16"/>
          <w:color w:val="auto"/>
        </w:rPr>
        <w:t>% Notes due</w:t>
      </w:r>
      <w:r>
        <w:rPr>
          <w:sz w:val="20"/>
          <w:szCs w:val="20"/>
          <w:color w:val="auto"/>
        </w:rPr>
        <w:tab/>
      </w:r>
      <w:r>
        <w:rPr>
          <w:rFonts w:ascii="Arial" w:cs="Arial" w:eastAsia="Arial" w:hAnsi="Arial"/>
          <w:sz w:val="16"/>
          <w:szCs w:val="16"/>
          <w:color w:val="auto"/>
        </w:rPr>
        <w:t>(the “</w:t>
      </w:r>
      <w:r>
        <w:rPr>
          <w:sz w:val="20"/>
          <w:szCs w:val="20"/>
          <w:color w:val="auto"/>
        </w:rPr>
        <w:tab/>
      </w:r>
      <w:r>
        <w:rPr>
          <w:rFonts w:ascii="Arial" w:cs="Arial" w:eastAsia="Arial" w:hAnsi="Arial"/>
          <w:sz w:val="16"/>
          <w:szCs w:val="16"/>
          <w:color w:val="auto"/>
        </w:rPr>
        <w:t>Fixed Rate Notes” and, together with the</w:t>
      </w:r>
      <w:r>
        <w:rPr>
          <w:sz w:val="20"/>
          <w:szCs w:val="20"/>
          <w:color w:val="auto"/>
        </w:rPr>
        <w:tab/>
      </w:r>
      <w:r>
        <w:rPr>
          <w:rFonts w:ascii="Arial" w:cs="Arial" w:eastAsia="Arial" w:hAnsi="Arial"/>
          <w:sz w:val="16"/>
          <w:szCs w:val="16"/>
          <w:color w:val="auto"/>
        </w:rPr>
        <w:t>Fixed Rate Notes and the</w:t>
      </w:r>
      <w:r>
        <w:rPr>
          <w:sz w:val="20"/>
          <w:szCs w:val="20"/>
          <w:color w:val="auto"/>
        </w:rPr>
        <w:tab/>
      </w:r>
      <w:r>
        <w:rPr>
          <w:rFonts w:ascii="Arial" w:cs="Arial" w:eastAsia="Arial" w:hAnsi="Arial"/>
          <w:sz w:val="14"/>
          <w:szCs w:val="14"/>
          <w:color w:val="auto"/>
        </w:rPr>
        <w:t>Fixed Rate Notes, the “Fixed</w:t>
      </w:r>
    </w:p>
    <w:p>
      <w:pPr>
        <w:spacing w:after="0" w:line="19" w:lineRule="exact"/>
        <w:rPr>
          <w:sz w:val="24"/>
          <w:szCs w:val="24"/>
          <w:color w:val="auto"/>
        </w:rPr>
      </w:pPr>
    </w:p>
    <w:p>
      <w:pPr>
        <w:ind w:right="120"/>
        <w:spacing w:after="0" w:line="288" w:lineRule="auto"/>
        <w:rPr>
          <w:sz w:val="20"/>
          <w:szCs w:val="20"/>
          <w:color w:val="auto"/>
        </w:rPr>
      </w:pPr>
      <w:r>
        <w:rPr>
          <w:rFonts w:ascii="Arial" w:cs="Arial" w:eastAsia="Arial" w:hAnsi="Arial"/>
          <w:sz w:val="16"/>
          <w:szCs w:val="16"/>
          <w:color w:val="auto"/>
        </w:rPr>
        <w:t>Rate Notes”) are an issue of the debt securities described in the accompanying prospectus. We herein refer to the Floating Rate Notes and the Fixed Rate Notes collectively as the “Notes.”</w:t>
      </w:r>
    </w:p>
    <w:p>
      <w:pPr>
        <w:spacing w:after="0" w:line="108" w:lineRule="exact"/>
        <w:rPr>
          <w:sz w:val="24"/>
          <w:szCs w:val="24"/>
          <w:color w:val="auto"/>
        </w:rPr>
      </w:pPr>
    </w:p>
    <w:p>
      <w:pPr>
        <w:ind w:left="360"/>
        <w:spacing w:after="0"/>
        <w:tabs>
          <w:tab w:leader="none" w:pos="1100" w:val="left"/>
          <w:tab w:leader="none" w:pos="7340" w:val="left"/>
        </w:tabs>
        <w:rPr>
          <w:sz w:val="20"/>
          <w:szCs w:val="20"/>
          <w:color w:val="auto"/>
        </w:rPr>
      </w:pP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Floating Rate Notes will bear interest at a floating rate equal to three-month LIBOR plus</w:t>
      </w:r>
      <w:r>
        <w:rPr>
          <w:sz w:val="20"/>
          <w:szCs w:val="20"/>
          <w:color w:val="auto"/>
        </w:rPr>
        <w:tab/>
      </w:r>
      <w:r>
        <w:rPr>
          <w:rFonts w:ascii="Arial" w:cs="Arial" w:eastAsia="Arial" w:hAnsi="Arial"/>
          <w:sz w:val="14"/>
          <w:szCs w:val="14"/>
          <w:color w:val="auto"/>
        </w:rPr>
        <w:t>% per annum and the Floating Rate Notes will bear interest at</w:t>
      </w:r>
    </w:p>
    <w:p>
      <w:pPr>
        <w:spacing w:after="0" w:line="22" w:lineRule="exact"/>
        <w:rPr>
          <w:sz w:val="24"/>
          <w:szCs w:val="24"/>
          <w:color w:val="auto"/>
        </w:rPr>
      </w:pPr>
    </w:p>
    <w:p>
      <w:pPr>
        <w:spacing w:after="0"/>
        <w:tabs>
          <w:tab w:leader="none" w:pos="3600" w:val="left"/>
          <w:tab w:leader="none" w:pos="10440" w:val="left"/>
          <w:tab w:leader="none" w:pos="11120" w:val="left"/>
        </w:tabs>
        <w:rPr>
          <w:sz w:val="20"/>
          <w:szCs w:val="20"/>
          <w:color w:val="auto"/>
        </w:rPr>
      </w:pPr>
      <w:r>
        <w:rPr>
          <w:rFonts w:ascii="Arial" w:cs="Arial" w:eastAsia="Arial" w:hAnsi="Arial"/>
          <w:sz w:val="16"/>
          <w:szCs w:val="16"/>
          <w:color w:val="auto"/>
        </w:rPr>
        <w:t>a floating rate equal to three-month LIBOR plus</w:t>
      </w:r>
      <w:r>
        <w:rPr>
          <w:sz w:val="20"/>
          <w:szCs w:val="20"/>
          <w:color w:val="auto"/>
        </w:rPr>
        <w:tab/>
      </w:r>
      <w:r>
        <w:rPr>
          <w:rFonts w:ascii="Arial" w:cs="Arial" w:eastAsia="Arial" w:hAnsi="Arial"/>
          <w:sz w:val="15"/>
          <w:szCs w:val="15"/>
          <w:color w:val="auto"/>
        </w:rPr>
        <w:t>% per annum. Interest on the Floating Rate Notes of each series is payable quarterly in arrears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19" w:lineRule="exact"/>
        <w:rPr>
          <w:sz w:val="24"/>
          <w:szCs w:val="24"/>
          <w:color w:val="auto"/>
        </w:rPr>
      </w:pPr>
    </w:p>
    <w:p>
      <w:pPr>
        <w:ind w:left="500"/>
        <w:spacing w:after="0"/>
        <w:tabs>
          <w:tab w:leader="none" w:pos="1400" w:val="left"/>
          <w:tab w:leader="none" w:pos="3800" w:val="left"/>
          <w:tab w:leader="none" w:pos="1036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of each year commencing on</w:t>
      </w:r>
      <w:r>
        <w:rPr>
          <w:sz w:val="20"/>
          <w:szCs w:val="20"/>
          <w:color w:val="auto"/>
        </w:rPr>
        <w:tab/>
      </w:r>
      <w:r>
        <w:rPr>
          <w:rFonts w:ascii="Arial" w:cs="Arial" w:eastAsia="Arial" w:hAnsi="Arial"/>
          <w:sz w:val="16"/>
          <w:szCs w:val="16"/>
          <w:color w:val="auto"/>
        </w:rPr>
        <w:t>, 2014. Interest on the Fixed Rate Notes of each series is payable semi-annually in arrears on</w:t>
      </w:r>
      <w:r>
        <w:rPr>
          <w:sz w:val="20"/>
          <w:szCs w:val="20"/>
          <w:color w:val="auto"/>
        </w:rPr>
        <w:tab/>
      </w:r>
      <w:r>
        <w:rPr>
          <w:rFonts w:ascii="Arial" w:cs="Arial" w:eastAsia="Arial" w:hAnsi="Arial"/>
          <w:sz w:val="14"/>
          <w:szCs w:val="14"/>
          <w:color w:val="auto"/>
        </w:rPr>
        <w:t>and</w:t>
      </w:r>
    </w:p>
    <w:p>
      <w:pPr>
        <w:spacing w:after="0" w:line="19" w:lineRule="exact"/>
        <w:rPr>
          <w:sz w:val="24"/>
          <w:szCs w:val="24"/>
          <w:color w:val="auto"/>
        </w:rPr>
      </w:pPr>
    </w:p>
    <w:p>
      <w:pPr>
        <w:spacing w:after="0"/>
        <w:tabs>
          <w:tab w:leader="none" w:pos="1340" w:val="left"/>
          <w:tab w:leader="none" w:pos="3040" w:val="left"/>
        </w:tabs>
        <w:rPr>
          <w:sz w:val="20"/>
          <w:szCs w:val="20"/>
          <w:color w:val="auto"/>
        </w:rPr>
      </w:pPr>
      <w:r>
        <w:rPr>
          <w:rFonts w:ascii="Arial" w:cs="Arial" w:eastAsia="Arial" w:hAnsi="Arial"/>
          <w:sz w:val="16"/>
          <w:szCs w:val="16"/>
          <w:color w:val="auto"/>
        </w:rPr>
        <w:t>of each year</w:t>
      </w:r>
      <w:r>
        <w:rPr>
          <w:sz w:val="20"/>
          <w:szCs w:val="20"/>
          <w:color w:val="auto"/>
        </w:rPr>
        <w:tab/>
      </w:r>
      <w:r>
        <w:rPr>
          <w:rFonts w:ascii="Arial" w:cs="Arial" w:eastAsia="Arial" w:hAnsi="Arial"/>
          <w:sz w:val="16"/>
          <w:szCs w:val="16"/>
          <w:color w:val="auto"/>
        </w:rPr>
        <w:t>commencing on</w:t>
      </w:r>
      <w:r>
        <w:rPr>
          <w:sz w:val="20"/>
          <w:szCs w:val="20"/>
          <w:color w:val="auto"/>
        </w:rPr>
        <w:tab/>
      </w:r>
      <w:r>
        <w:rPr>
          <w:rFonts w:ascii="Arial" w:cs="Arial" w:eastAsia="Arial" w:hAnsi="Arial"/>
          <w:sz w:val="14"/>
          <w:szCs w:val="14"/>
          <w:color w:val="auto"/>
        </w:rPr>
        <w:t>, 2014.</w:t>
      </w:r>
    </w:p>
    <w:p>
      <w:pPr>
        <w:spacing w:after="0" w:line="163" w:lineRule="exact"/>
        <w:rPr>
          <w:sz w:val="24"/>
          <w:szCs w:val="24"/>
          <w:color w:val="auto"/>
        </w:rPr>
      </w:pPr>
    </w:p>
    <w:p>
      <w:pPr>
        <w:ind w:left="360"/>
        <w:spacing w:after="0"/>
        <w:tabs>
          <w:tab w:leader="none" w:pos="1100" w:val="left"/>
          <w:tab w:leader="none" w:pos="3740" w:val="left"/>
          <w:tab w:leader="none" w:pos="4360" w:val="left"/>
          <w:tab w:leader="none" w:pos="5360" w:val="left"/>
          <w:tab w:leader="none" w:pos="8000" w:val="left"/>
          <w:tab w:leader="none" w:pos="8560" w:val="left"/>
          <w:tab w:leader="none" w:pos="9420" w:val="left"/>
        </w:tabs>
        <w:rPr>
          <w:sz w:val="20"/>
          <w:szCs w:val="20"/>
          <w:color w:val="auto"/>
        </w:rPr>
      </w:pP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Floating Rate Notes mature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the</w:t>
      </w:r>
      <w:r>
        <w:rPr>
          <w:sz w:val="20"/>
          <w:szCs w:val="20"/>
          <w:color w:val="auto"/>
        </w:rPr>
        <w:tab/>
      </w:r>
      <w:r>
        <w:rPr>
          <w:rFonts w:ascii="Arial" w:cs="Arial" w:eastAsia="Arial" w:hAnsi="Arial"/>
          <w:sz w:val="16"/>
          <w:szCs w:val="16"/>
          <w:color w:val="auto"/>
        </w:rPr>
        <w:t>Floating Rate Notes mature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The</w:t>
      </w:r>
      <w:r>
        <w:rPr>
          <w:sz w:val="20"/>
          <w:szCs w:val="20"/>
          <w:color w:val="auto"/>
        </w:rPr>
        <w:tab/>
      </w:r>
      <w:r>
        <w:rPr>
          <w:rFonts w:ascii="Arial" w:cs="Arial" w:eastAsia="Arial" w:hAnsi="Arial"/>
          <w:sz w:val="14"/>
          <w:szCs w:val="14"/>
          <w:color w:val="auto"/>
        </w:rPr>
        <w:t>Fixed Rate Notes mature on</w:t>
      </w:r>
    </w:p>
    <w:p>
      <w:pPr>
        <w:spacing w:after="0" w:line="22" w:lineRule="exact"/>
        <w:rPr>
          <w:sz w:val="24"/>
          <w:szCs w:val="24"/>
          <w:color w:val="auto"/>
        </w:rPr>
      </w:pPr>
    </w:p>
    <w:p>
      <w:pPr>
        <w:ind w:left="620"/>
        <w:spacing w:after="0"/>
        <w:tabs>
          <w:tab w:leader="none" w:pos="1120" w:val="left"/>
          <w:tab w:leader="none" w:pos="1920" w:val="left"/>
          <w:tab w:leader="none" w:pos="4400" w:val="left"/>
          <w:tab w:leader="none" w:pos="4960" w:val="left"/>
          <w:tab w:leader="none" w:pos="5960" w:val="left"/>
          <w:tab w:leader="none" w:pos="8420" w:val="left"/>
          <w:tab w:leader="none" w:pos="90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the</w:t>
      </w:r>
      <w:r>
        <w:rPr>
          <w:sz w:val="20"/>
          <w:szCs w:val="20"/>
          <w:color w:val="auto"/>
        </w:rPr>
        <w:tab/>
      </w:r>
      <w:r>
        <w:rPr>
          <w:rFonts w:ascii="Arial" w:cs="Arial" w:eastAsia="Arial" w:hAnsi="Arial"/>
          <w:sz w:val="16"/>
          <w:szCs w:val="16"/>
          <w:color w:val="auto"/>
        </w:rPr>
        <w:t>Fixed Rate Notes mature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the</w:t>
      </w:r>
      <w:r>
        <w:rPr>
          <w:sz w:val="20"/>
          <w:szCs w:val="20"/>
          <w:color w:val="auto"/>
        </w:rPr>
        <w:tab/>
      </w:r>
      <w:r>
        <w:rPr>
          <w:rFonts w:ascii="Arial" w:cs="Arial" w:eastAsia="Arial" w:hAnsi="Arial"/>
          <w:sz w:val="16"/>
          <w:szCs w:val="16"/>
          <w:color w:val="auto"/>
        </w:rPr>
        <w:t>Fixed Rate Notes mature on</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15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We may redeem any or all of the Fixed Rate Notes of each series at any time and from time to time at the redemption prices described under the headings “Description of</w:t>
      </w:r>
    </w:p>
    <w:p>
      <w:pPr>
        <w:spacing w:after="0" w:line="45" w:lineRule="exact"/>
        <w:rPr>
          <w:sz w:val="24"/>
          <w:szCs w:val="24"/>
          <w:color w:val="auto"/>
        </w:rPr>
      </w:pPr>
    </w:p>
    <w:p>
      <w:pPr>
        <w:spacing w:after="0"/>
        <w:tabs>
          <w:tab w:leader="none" w:pos="2820" w:val="left"/>
          <w:tab w:leader="none" w:pos="7960" w:val="left"/>
        </w:tabs>
        <w:rPr>
          <w:sz w:val="20"/>
          <w:szCs w:val="20"/>
          <w:color w:val="auto"/>
        </w:rPr>
      </w:pPr>
      <w:r>
        <w:rPr>
          <w:rFonts w:ascii="Arial" w:cs="Arial" w:eastAsia="Arial" w:hAnsi="Arial"/>
          <w:sz w:val="16"/>
          <w:szCs w:val="16"/>
          <w:color w:val="auto"/>
        </w:rPr>
        <w:t>Notes—Optional redemption of the</w:t>
      </w:r>
      <w:r>
        <w:rPr>
          <w:sz w:val="20"/>
          <w:szCs w:val="20"/>
          <w:color w:val="auto"/>
        </w:rPr>
        <w:tab/>
      </w:r>
      <w:r>
        <w:rPr>
          <w:rFonts w:ascii="Arial" w:cs="Arial" w:eastAsia="Arial" w:hAnsi="Arial"/>
          <w:sz w:val="16"/>
          <w:szCs w:val="16"/>
          <w:color w:val="auto"/>
        </w:rPr>
        <w:t>Fixed Rate Notes,” “Description of Notes—Optional redemption of the</w:t>
      </w:r>
      <w:r>
        <w:rPr>
          <w:sz w:val="20"/>
          <w:szCs w:val="20"/>
          <w:color w:val="auto"/>
        </w:rPr>
        <w:tab/>
      </w:r>
      <w:r>
        <w:rPr>
          <w:rFonts w:ascii="Arial" w:cs="Arial" w:eastAsia="Arial" w:hAnsi="Arial"/>
          <w:sz w:val="15"/>
          <w:szCs w:val="15"/>
          <w:color w:val="auto"/>
        </w:rPr>
        <w:t>Fixed Rate Notes” and “Description of Notes—</w:t>
      </w:r>
    </w:p>
    <w:p>
      <w:pPr>
        <w:spacing w:after="0" w:line="19" w:lineRule="exact"/>
        <w:rPr>
          <w:sz w:val="24"/>
          <w:szCs w:val="24"/>
          <w:color w:val="auto"/>
        </w:rPr>
      </w:pPr>
    </w:p>
    <w:p>
      <w:pPr>
        <w:spacing w:after="0"/>
        <w:tabs>
          <w:tab w:leader="none" w:pos="2280" w:val="left"/>
        </w:tabs>
        <w:rPr>
          <w:sz w:val="20"/>
          <w:szCs w:val="20"/>
          <w:color w:val="auto"/>
        </w:rPr>
      </w:pPr>
      <w:r>
        <w:rPr>
          <w:rFonts w:ascii="Arial" w:cs="Arial" w:eastAsia="Arial" w:hAnsi="Arial"/>
          <w:sz w:val="16"/>
          <w:szCs w:val="16"/>
          <w:color w:val="auto"/>
        </w:rPr>
        <w:t>Optional redemption of the</w:t>
      </w:r>
      <w:r>
        <w:rPr>
          <w:sz w:val="20"/>
          <w:szCs w:val="20"/>
          <w:color w:val="auto"/>
        </w:rPr>
        <w:tab/>
      </w:r>
      <w:r>
        <w:rPr>
          <w:rFonts w:ascii="Arial" w:cs="Arial" w:eastAsia="Arial" w:hAnsi="Arial"/>
          <w:sz w:val="14"/>
          <w:szCs w:val="14"/>
          <w:color w:val="auto"/>
        </w:rPr>
        <w:t>Fixed Rate Notes.” Neither series of the Floating Rate Notes may be redeemed before maturity.</w:t>
      </w:r>
    </w:p>
    <w:p>
      <w:pPr>
        <w:spacing w:after="0" w:line="159" w:lineRule="exact"/>
        <w:rPr>
          <w:sz w:val="24"/>
          <w:szCs w:val="24"/>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certain risks. See “</w:t>
      </w:r>
      <w:hyperlink w:anchor="page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S-7.</w:t>
      </w:r>
    </w:p>
    <w:p>
      <w:pPr>
        <w:spacing w:after="0" w:line="171" w:lineRule="exact"/>
        <w:rPr>
          <w:sz w:val="24"/>
          <w:szCs w:val="24"/>
          <w:color w:val="auto"/>
        </w:rPr>
      </w:pPr>
    </w:p>
    <w:p>
      <w:pPr>
        <w:ind w:right="60" w:firstLine="342"/>
        <w:spacing w:after="0" w:line="293" w:lineRule="auto"/>
        <w:rPr>
          <w:sz w:val="20"/>
          <w:szCs w:val="20"/>
          <w:color w:val="auto"/>
        </w:rPr>
      </w:pPr>
      <w:r>
        <w:rPr>
          <w:rFonts w:ascii="Arial" w:cs="Arial" w:eastAsia="Arial" w:hAnsi="Arial"/>
          <w:sz w:val="16"/>
          <w:szCs w:val="16"/>
          <w:color w:val="auto"/>
        </w:rPr>
        <w:t>The Notes will be our general unsecured obligations and will rank equally in right of payment with all of our other existing and future unsecured and unsubordinated debt from time to time outstanding.</w:t>
      </w:r>
    </w:p>
    <w:p>
      <w:pPr>
        <w:spacing w:after="0" w:line="87" w:lineRule="exact"/>
        <w:rPr>
          <w:sz w:val="24"/>
          <w:szCs w:val="24"/>
          <w:color w:val="auto"/>
        </w:rPr>
      </w:pPr>
    </w:p>
    <w:p>
      <w:pPr>
        <w:ind w:right="380" w:firstLine="342"/>
        <w:spacing w:after="0" w:line="307"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Arial" w:cs="Arial" w:eastAsia="Arial" w:hAnsi="Arial"/>
                <w:sz w:val="16"/>
                <w:szCs w:val="16"/>
                <w:b w:val="1"/>
                <w:bCs w:val="1"/>
                <w:color w:val="auto"/>
              </w:rPr>
              <w:t>Underwriting</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Price to</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300"/>
              <w:spacing w:after="0"/>
              <w:rPr>
                <w:sz w:val="20"/>
                <w:szCs w:val="20"/>
                <w:color w:val="auto"/>
              </w:rPr>
            </w:pPr>
            <w:r>
              <w:rPr>
                <w:rFonts w:ascii="Arial" w:cs="Arial" w:eastAsia="Arial" w:hAnsi="Arial"/>
                <w:sz w:val="16"/>
                <w:szCs w:val="16"/>
                <w:b w:val="1"/>
                <w:bCs w:val="1"/>
                <w:color w:val="auto"/>
              </w:rPr>
              <w:t>Discounts and</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Proceeds, Before</w:t>
            </w:r>
          </w:p>
        </w:tc>
        <w:tc>
          <w:tcPr>
            <w:tcW w:w="580" w:type="dxa"/>
            <w:vAlign w:val="bottom"/>
          </w:tcPr>
          <w:p>
            <w:pPr>
              <w:spacing w:after="0"/>
              <w:rPr>
                <w:sz w:val="17"/>
                <w:szCs w:val="17"/>
                <w:color w:val="auto"/>
              </w:rPr>
            </w:pPr>
          </w:p>
        </w:tc>
      </w:tr>
      <w:tr>
        <w:trPr>
          <w:trHeight w:val="210"/>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Public(1)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320"/>
              <w:spacing w:after="0"/>
              <w:rPr>
                <w:sz w:val="20"/>
                <w:szCs w:val="20"/>
                <w:color w:val="auto"/>
              </w:rPr>
            </w:pPr>
            <w:r>
              <w:rPr>
                <w:rFonts w:ascii="Arial" w:cs="Arial" w:eastAsia="Arial" w:hAnsi="Arial"/>
                <w:sz w:val="16"/>
                <w:szCs w:val="16"/>
                <w:b w:val="1"/>
                <w:bCs w:val="1"/>
                <w:color w:val="auto"/>
              </w:rPr>
              <w:t>Commissions</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Expenses, to Us</w:t>
            </w:r>
          </w:p>
        </w:tc>
        <w:tc>
          <w:tcPr>
            <w:tcW w:w="580" w:type="dxa"/>
            <w:vAlign w:val="bottom"/>
          </w:tcPr>
          <w:p>
            <w:pPr>
              <w:spacing w:after="0"/>
              <w:rPr>
                <w:sz w:val="18"/>
                <w:szCs w:val="18"/>
                <w:color w:val="auto"/>
              </w:rPr>
            </w:pPr>
          </w:p>
        </w:tc>
      </w:tr>
      <w:tr>
        <w:trPr>
          <w:trHeight w:val="202"/>
        </w:trPr>
        <w:tc>
          <w:tcPr>
            <w:tcW w:w="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Per</w:t>
            </w:r>
          </w:p>
        </w:tc>
        <w:tc>
          <w:tcPr>
            <w:tcW w:w="2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Floating Rate Note</w:t>
            </w:r>
          </w:p>
        </w:tc>
        <w:tc>
          <w:tcPr>
            <w:tcW w:w="30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7"/>
                <w:szCs w:val="17"/>
                <w:color w:val="auto"/>
              </w:rPr>
            </w:pPr>
          </w:p>
        </w:tc>
        <w:tc>
          <w:tcPr>
            <w:tcW w:w="42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4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w:t>
            </w:r>
          </w:p>
        </w:tc>
        <w:tc>
          <w:tcPr>
            <w:tcW w:w="20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Floating Rate Note</w:t>
            </w:r>
          </w:p>
        </w:tc>
        <w:tc>
          <w:tcPr>
            <w:tcW w:w="3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7"/>
                <w:szCs w:val="17"/>
                <w:color w:val="auto"/>
              </w:rPr>
            </w:pPr>
          </w:p>
        </w:tc>
        <w:tc>
          <w:tcPr>
            <w:tcW w:w="42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4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w:t>
            </w:r>
          </w:p>
        </w:tc>
        <w:tc>
          <w:tcPr>
            <w:tcW w:w="20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Fixed Rate Note</w:t>
            </w:r>
          </w:p>
        </w:tc>
        <w:tc>
          <w:tcPr>
            <w:tcW w:w="3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7"/>
                <w:szCs w:val="17"/>
                <w:color w:val="auto"/>
              </w:rPr>
            </w:pPr>
          </w:p>
        </w:tc>
        <w:tc>
          <w:tcPr>
            <w:tcW w:w="42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4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w:t>
            </w:r>
          </w:p>
        </w:tc>
        <w:tc>
          <w:tcPr>
            <w:tcW w:w="20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Fixed Rate Note</w:t>
            </w:r>
          </w:p>
        </w:tc>
        <w:tc>
          <w:tcPr>
            <w:tcW w:w="3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7"/>
                <w:szCs w:val="17"/>
                <w:color w:val="auto"/>
              </w:rPr>
            </w:pPr>
          </w:p>
        </w:tc>
        <w:tc>
          <w:tcPr>
            <w:tcW w:w="42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4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w:t>
            </w:r>
          </w:p>
        </w:tc>
        <w:tc>
          <w:tcPr>
            <w:tcW w:w="20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Fixed Rate Note</w:t>
            </w:r>
          </w:p>
        </w:tc>
        <w:tc>
          <w:tcPr>
            <w:tcW w:w="30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8"/>
                <w:szCs w:val="18"/>
                <w:color w:val="auto"/>
              </w:rPr>
            </w:pPr>
          </w:p>
        </w:tc>
        <w:tc>
          <w:tcPr>
            <w:tcW w:w="422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54"/>
        </w:trPr>
        <w:tc>
          <w:tcPr>
            <w:tcW w:w="2740" w:type="dxa"/>
            <w:vAlign w:val="bottom"/>
            <w:tcBorders>
              <w:bottom w:val="single" w:sz="8" w:color="auto"/>
            </w:tcBorders>
            <w:gridSpan w:val="2"/>
          </w:tcPr>
          <w:p>
            <w:pPr>
              <w:spacing w:after="0"/>
              <w:rPr>
                <w:sz w:val="13"/>
                <w:szCs w:val="13"/>
                <w:color w:val="auto"/>
              </w:rPr>
            </w:pPr>
          </w:p>
        </w:tc>
        <w:tc>
          <w:tcPr>
            <w:tcW w:w="30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231"/>
        </w:trPr>
        <w:tc>
          <w:tcPr>
            <w:tcW w:w="2740" w:type="dxa"/>
            <w:vAlign w:val="bottom"/>
            <w:gridSpan w:val="2"/>
          </w:tcPr>
          <w:p>
            <w:pPr>
              <w:spacing w:after="0"/>
              <w:rPr>
                <w:sz w:val="20"/>
                <w:szCs w:val="20"/>
                <w:color w:val="auto"/>
              </w:rPr>
            </w:pPr>
            <w:r>
              <w:rPr>
                <w:rFonts w:ascii="Arial" w:cs="Arial" w:eastAsia="Arial" w:hAnsi="Arial"/>
                <w:sz w:val="16"/>
                <w:szCs w:val="16"/>
                <w:color w:val="auto"/>
              </w:rPr>
              <w:t>(1) Plus accrued interest, if any, from</w:t>
            </w:r>
          </w:p>
        </w:tc>
        <w:tc>
          <w:tcPr>
            <w:tcW w:w="3020" w:type="dxa"/>
            <w:vAlign w:val="bottom"/>
          </w:tcPr>
          <w:p>
            <w:pPr>
              <w:jc w:val="right"/>
              <w:ind w:right="2159"/>
              <w:spacing w:after="0"/>
              <w:rPr>
                <w:sz w:val="20"/>
                <w:szCs w:val="20"/>
                <w:color w:val="auto"/>
              </w:rPr>
            </w:pPr>
            <w:r>
              <w:rPr>
                <w:rFonts w:ascii="Arial" w:cs="Arial" w:eastAsia="Arial" w:hAnsi="Arial"/>
                <w:sz w:val="16"/>
                <w:szCs w:val="16"/>
                <w:color w:val="auto"/>
              </w:rPr>
              <w:t>, 2014.</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4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Notes will not be listed on any securities exchange. Currently, there is no public market for the Notes.</w:t>
      </w:r>
    </w:p>
    <w:p>
      <w:pPr>
        <w:spacing w:after="0" w:line="154" w:lineRule="exact"/>
        <w:rPr>
          <w:sz w:val="24"/>
          <w:szCs w:val="24"/>
          <w:color w:val="auto"/>
        </w:rPr>
      </w:pPr>
    </w:p>
    <w:p>
      <w:pPr>
        <w:ind w:left="360"/>
        <w:spacing w:after="0"/>
        <w:rPr>
          <w:sz w:val="20"/>
          <w:szCs w:val="20"/>
          <w:color w:val="auto"/>
        </w:rPr>
      </w:pPr>
      <w:r>
        <w:rPr>
          <w:rFonts w:ascii="Arial" w:cs="Arial" w:eastAsia="Arial" w:hAnsi="Arial"/>
          <w:sz w:val="15"/>
          <w:szCs w:val="15"/>
          <w:color w:val="auto"/>
        </w:rPr>
        <w:t>We expect that delivery of the Notes will be made to investors in book-entry form through the facilities of The Depository Trust Company and its participants, including</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color w:val="auto"/>
                <w:w w:val="96"/>
              </w:rPr>
              <w:t xml:space="preserve">Clearstream Banking, </w:t>
            </w:r>
            <w:r>
              <w:rPr>
                <w:rFonts w:ascii="Arial" w:cs="Arial" w:eastAsia="Arial" w:hAnsi="Arial"/>
                <w:sz w:val="16"/>
                <w:szCs w:val="16"/>
                <w:i w:val="1"/>
                <w:iCs w:val="1"/>
                <w:color w:val="auto"/>
                <w:w w:val="96"/>
              </w:rPr>
              <w:t>société anonyme</w:t>
            </w:r>
            <w:r>
              <w:rPr>
                <w:rFonts w:ascii="Arial" w:cs="Arial" w:eastAsia="Arial" w:hAnsi="Arial"/>
                <w:sz w:val="16"/>
                <w:szCs w:val="16"/>
                <w:color w:val="auto"/>
                <w:w w:val="96"/>
              </w:rPr>
              <w:t xml:space="preserve"> and Euroclear Bank SA/NV, on or about</w:t>
            </w:r>
          </w:p>
        </w:tc>
        <w:tc>
          <w:tcPr>
            <w:tcW w:w="720" w:type="dxa"/>
            <w:vAlign w:val="bottom"/>
          </w:tcPr>
          <w:p>
            <w:pPr>
              <w:jc w:val="right"/>
              <w:spacing w:after="0"/>
              <w:rPr>
                <w:sz w:val="20"/>
                <w:szCs w:val="20"/>
                <w:color w:val="auto"/>
              </w:rPr>
            </w:pPr>
            <w:r>
              <w:rPr>
                <w:rFonts w:ascii="Arial" w:cs="Arial" w:eastAsia="Arial" w:hAnsi="Arial"/>
                <w:sz w:val="16"/>
                <w:szCs w:val="16"/>
                <w:color w:val="auto"/>
              </w:rPr>
              <w:t>,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113030</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47" w:lineRule="exact"/>
        <w:rPr>
          <w:sz w:val="24"/>
          <w:szCs w:val="24"/>
          <w:color w:val="auto"/>
        </w:rPr>
      </w:pPr>
    </w:p>
    <w:p>
      <w:pPr>
        <w:spacing w:after="0"/>
        <w:tabs>
          <w:tab w:leader="none" w:pos="5080" w:val="left"/>
          <w:tab w:leader="none" w:pos="9420" w:val="left"/>
        </w:tabs>
        <w:rPr>
          <w:sz w:val="20"/>
          <w:szCs w:val="20"/>
          <w:color w:val="auto"/>
        </w:rPr>
      </w:pPr>
      <w:r>
        <w:rPr>
          <w:rFonts w:ascii="Arial" w:cs="Arial" w:eastAsia="Arial" w:hAnsi="Arial"/>
          <w:sz w:val="29"/>
          <w:szCs w:val="29"/>
          <w:b w:val="1"/>
          <w:bCs w:val="1"/>
          <w:color w:val="auto"/>
        </w:rPr>
        <w:t>HSBC</w:t>
      </w:r>
      <w:r>
        <w:rPr>
          <w:sz w:val="20"/>
          <w:szCs w:val="20"/>
          <w:color w:val="auto"/>
        </w:rPr>
        <w:tab/>
      </w: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6"/>
          <w:szCs w:val="26"/>
          <w:b w:val="1"/>
          <w:bCs w:val="1"/>
          <w:color w:val="auto"/>
        </w:rPr>
        <w:t>Morgan Stanley</w:t>
      </w:r>
    </w:p>
    <w:p>
      <w:pPr>
        <w:spacing w:after="0" w:line="41" w:lineRule="exact"/>
        <w:rPr>
          <w:sz w:val="24"/>
          <w:szCs w:val="24"/>
          <w:color w:val="auto"/>
        </w:rPr>
      </w:pPr>
    </w:p>
    <w:p>
      <w:pPr>
        <w:spacing w:after="0"/>
        <w:tabs>
          <w:tab w:leader="none" w:pos="4780" w:val="left"/>
          <w:tab w:leader="none" w:pos="1036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3"/>
          <w:szCs w:val="23"/>
          <w:b w:val="1"/>
          <w:bCs w:val="1"/>
          <w:color w:val="auto"/>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114300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230" w:right="239" w:bottom="1032" w:gutter="0" w:footer="0" w:header="0"/>
        </w:sect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2014</w:t>
      </w:r>
    </w:p>
    <w:p>
      <w:pPr>
        <w:sectPr>
          <w:pgSz w:w="11900" w:h="16838" w:orient="portrait"/>
          <w:cols w:equalWidth="0" w:num="1">
            <w:col w:w="11420"/>
          </w:cols>
          <w:pgMar w:left="240" w:top="230" w:right="239" w:bottom="103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in this prospectus supplement or the accompanying prospectus or incorporated by reference in this prospectus supplement and the accompanying prospectus or in any free writing prospectus prepared by or on behalf of us or to which we have referred you. We and the underwriters take no responsibility for, and can provide no assurance as to the reliability of, any other information that others may give you. You should not assume that the information contained or incorporated by reference in this prospectus supplement is accurate as of any date other than the date on the front cover of this prospectus supplement or that the information contained or incorporated by reference in the accompanying prospectus is accurate as of any date other than the date on the front cover of such document. We and the underwriters are offering to sell the Notes only in places where offers and sales are permitted.</w:t>
      </w:r>
    </w:p>
    <w:p>
      <w:pPr>
        <w:spacing w:after="0" w:line="218"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terms “ExxonMobil,” “the Company,” “we,” “us” and “our” refer to Exxon Mobil Corporation and its subsidiaries, unless otherwise stated or the context otherwise requires. However, in the “Description of Notes” section of this prospectus supplement and the “Description of Debt Securities” section of the accompanying prospectus, references to “the Company,” “we,” “us” and “our” are to Exxon Mobil Corporation only and not to any of its subsidiaries.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140" w:type="dxa"/>
            <w:vAlign w:val="bottom"/>
            <w:gridSpan w:val="2"/>
          </w:tcPr>
          <w:p>
            <w:pPr>
              <w:jc w:val="right"/>
              <w:ind w:right="4550"/>
              <w:spacing w:after="0"/>
              <w:rPr>
                <w:sz w:val="20"/>
                <w:szCs w:val="20"/>
                <w:color w:val="auto"/>
              </w:rPr>
            </w:pPr>
            <w:r>
              <w:rPr>
                <w:rFonts w:ascii="Arial" w:cs="Arial" w:eastAsia="Arial" w:hAnsi="Arial"/>
                <w:sz w:val="20"/>
                <w:szCs w:val="20"/>
                <w:b w:val="1"/>
                <w:bCs w:val="1"/>
                <w:color w:val="auto"/>
              </w:rPr>
              <w:t>TABLE OF CONTENTS</w:t>
            </w:r>
          </w:p>
        </w:tc>
        <w:tc>
          <w:tcPr>
            <w:tcW w:w="0" w:type="dxa"/>
            <w:vAlign w:val="bottom"/>
          </w:tcPr>
          <w:p>
            <w:pPr>
              <w:spacing w:after="0"/>
              <w:rPr>
                <w:sz w:val="1"/>
                <w:szCs w:val="1"/>
                <w:color w:val="auto"/>
              </w:rPr>
            </w:pPr>
          </w:p>
        </w:tc>
      </w:tr>
      <w:tr>
        <w:trPr>
          <w:trHeight w:val="50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80" w:type="dxa"/>
            <w:vAlign w:val="bottom"/>
            <w:vMerge w:val="restart"/>
          </w:tcPr>
          <w:p>
            <w:pPr>
              <w:jc w:val="right"/>
              <w:ind w:right="3949"/>
              <w:spacing w:after="0"/>
              <w:rPr>
                <w:sz w:val="20"/>
                <w:szCs w:val="20"/>
                <w:color w:val="auto"/>
              </w:rPr>
            </w:pPr>
            <w:r>
              <w:rPr>
                <w:rFonts w:ascii="Arial" w:cs="Arial" w:eastAsia="Arial" w:hAnsi="Arial"/>
                <w:sz w:val="18"/>
                <w:szCs w:val="18"/>
                <w:b w:val="1"/>
                <w:bCs w:val="1"/>
                <w:color w:val="auto"/>
              </w:rPr>
              <w:t>Prospectus Supplement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560" w:type="dxa"/>
            <w:vAlign w:val="bottom"/>
            <w:gridSpan w:val="15"/>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About This Prospectus Supplement</w:t>
              </w:r>
            </w:hyperlink>
          </w:p>
        </w:tc>
        <w:tc>
          <w:tcPr>
            <w:tcW w:w="1720" w:type="dxa"/>
            <w:vAlign w:val="bottom"/>
            <w:gridSpan w:val="4"/>
            <w:vMerge w:val="restart"/>
          </w:tcPr>
          <w:p>
            <w:pPr>
              <w:spacing w:after="0"/>
              <w:rPr>
                <w:sz w:val="17"/>
                <w:szCs w:val="17"/>
                <w:color w:val="auto"/>
              </w:rPr>
            </w:pPr>
          </w:p>
        </w:tc>
        <w:tc>
          <w:tcPr>
            <w:tcW w:w="6380" w:type="dxa"/>
            <w:vAlign w:val="bottom"/>
            <w:vMerge w:val="continue"/>
          </w:tcPr>
          <w:p>
            <w:pPr>
              <w:spacing w:after="0"/>
              <w:rPr>
                <w:sz w:val="17"/>
                <w:szCs w:val="17"/>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397"/>
        </w:trPr>
        <w:tc>
          <w:tcPr>
            <w:tcW w:w="2560" w:type="dxa"/>
            <w:vAlign w:val="bottom"/>
            <w:tcBorders>
              <w:bottom w:val="single" w:sz="8" w:color="0000EE"/>
            </w:tcBorders>
            <w:gridSpan w:val="15"/>
            <w:vMerge w:val="continue"/>
          </w:tcPr>
          <w:p>
            <w:pPr>
              <w:spacing w:after="0"/>
              <w:rPr>
                <w:sz w:val="24"/>
                <w:szCs w:val="24"/>
                <w:color w:val="auto"/>
              </w:rPr>
            </w:pPr>
          </w:p>
        </w:tc>
        <w:tc>
          <w:tcPr>
            <w:tcW w:w="1720" w:type="dxa"/>
            <w:vAlign w:val="bottom"/>
            <w:gridSpan w:val="4"/>
            <w:vMerge w:val="continue"/>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Supplement Summary</w:t>
              </w:r>
            </w:hyperlink>
          </w:p>
        </w:tc>
        <w:tc>
          <w:tcPr>
            <w:tcW w:w="1840" w:type="dxa"/>
            <w:vAlign w:val="bottom"/>
            <w:gridSpan w:val="6"/>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Offering</w:t>
              </w:r>
            </w:hyperlink>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304"/>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20" w:type="dxa"/>
            <w:vAlign w:val="bottom"/>
            <w:tcBorders>
              <w:top w:val="single" w:sz="8" w:color="0000EE"/>
            </w:tcBorders>
          </w:tcPr>
          <w:p>
            <w:pPr>
              <w:spacing w:after="0"/>
              <w:rPr>
                <w:sz w:val="24"/>
                <w:szCs w:val="24"/>
                <w:color w:val="auto"/>
              </w:rPr>
            </w:pPr>
          </w:p>
        </w:tc>
        <w:tc>
          <w:tcPr>
            <w:tcW w:w="3340" w:type="dxa"/>
            <w:vAlign w:val="bottom"/>
            <w:gridSpan w:val="16"/>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3100" w:type="dxa"/>
            <w:vAlign w:val="bottom"/>
            <w:gridSpan w:val="13"/>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Capitalization</w:t>
              </w:r>
            </w:hyperlink>
          </w:p>
        </w:tc>
        <w:tc>
          <w:tcPr>
            <w:tcW w:w="3260" w:type="dxa"/>
            <w:vAlign w:val="bottom"/>
            <w:gridSpan w:val="14"/>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Material U.S. Federal Income Tax Considerations</w:t>
              </w:r>
            </w:hyperlink>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304"/>
        </w:trPr>
        <w:tc>
          <w:tcPr>
            <w:tcW w:w="9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Underwriting</w:t>
              </w:r>
            </w:hyperlink>
          </w:p>
        </w:tc>
        <w:tc>
          <w:tcPr>
            <w:tcW w:w="2600" w:type="dxa"/>
            <w:vAlign w:val="bottom"/>
            <w:tcBorders>
              <w:top w:val="single" w:sz="8" w:color="0000EE"/>
            </w:tcBorders>
            <w:gridSpan w:val="13"/>
          </w:tcPr>
          <w:p>
            <w:pPr>
              <w:spacing w:after="0"/>
              <w:rPr>
                <w:sz w:val="24"/>
                <w:szCs w:val="24"/>
                <w:color w:val="auto"/>
              </w:rPr>
            </w:pPr>
          </w:p>
        </w:tc>
        <w:tc>
          <w:tcPr>
            <w:tcW w:w="700" w:type="dxa"/>
            <w:vAlign w:val="bottom"/>
            <w:gridSpan w:val="2"/>
          </w:tcPr>
          <w:p>
            <w:pPr>
              <w:spacing w:after="0"/>
              <w:rPr>
                <w:sz w:val="24"/>
                <w:szCs w:val="24"/>
                <w:color w:val="auto"/>
              </w:rPr>
            </w:pPr>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Validity of the Notes</w:t>
              </w:r>
            </w:hyperlink>
          </w:p>
        </w:tc>
        <w:tc>
          <w:tcPr>
            <w:tcW w:w="6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S-23</w:t>
            </w:r>
          </w:p>
        </w:tc>
        <w:tc>
          <w:tcPr>
            <w:tcW w:w="0" w:type="dxa"/>
            <w:vAlign w:val="bottom"/>
          </w:tcPr>
          <w:p>
            <w:pPr>
              <w:spacing w:after="0"/>
              <w:rPr>
                <w:sz w:val="1"/>
                <w:szCs w:val="1"/>
                <w:color w:val="auto"/>
              </w:rPr>
            </w:pPr>
          </w:p>
        </w:tc>
      </w:tr>
      <w:tr>
        <w:trPr>
          <w:trHeight w:val="561"/>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right"/>
              <w:ind w:right="525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8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Exxon Mobil Corporation</w:t>
              </w:r>
            </w:hyperlink>
          </w:p>
        </w:tc>
        <w:tc>
          <w:tcPr>
            <w:tcW w:w="2400" w:type="dxa"/>
            <w:vAlign w:val="bottom"/>
            <w:gridSpan w:val="9"/>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3100" w:type="dxa"/>
            <w:vAlign w:val="bottom"/>
            <w:gridSpan w:val="13"/>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22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24"/>
                <w:szCs w:val="24"/>
                <w:color w:val="auto"/>
              </w:rPr>
            </w:pPr>
          </w:p>
        </w:tc>
        <w:tc>
          <w:tcPr>
            <w:tcW w:w="1740" w:type="dxa"/>
            <w:vAlign w:val="bottom"/>
            <w:gridSpan w:val="5"/>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8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Forms of Debt Securities</w:t>
              </w:r>
            </w:hyperlink>
          </w:p>
        </w:tc>
        <w:tc>
          <w:tcPr>
            <w:tcW w:w="2460" w:type="dxa"/>
            <w:vAlign w:val="bottom"/>
            <w:gridSpan w:val="10"/>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5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Plan of Distribution</w:t>
              </w:r>
            </w:hyperlink>
          </w:p>
        </w:tc>
        <w:tc>
          <w:tcPr>
            <w:tcW w:w="2780" w:type="dxa"/>
            <w:vAlign w:val="bottom"/>
            <w:gridSpan w:val="12"/>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400" w:type="dxa"/>
            <w:vAlign w:val="bottom"/>
            <w:gridSpan w:val="3"/>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392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Information Concerning Forward-Looking Statements</w:t>
              </w:r>
            </w:hyperlink>
          </w:p>
        </w:tc>
        <w:tc>
          <w:tcPr>
            <w:tcW w:w="360" w:type="dxa"/>
            <w:vAlign w:val="bottom"/>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428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Validity of the Debt Securities</w:t>
              </w:r>
            </w:hyperlink>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5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Experts</w:t>
              </w:r>
            </w:hyperlink>
          </w:p>
        </w:tc>
        <w:tc>
          <w:tcPr>
            <w:tcW w:w="1620" w:type="dxa"/>
            <w:vAlign w:val="bottom"/>
            <w:tcBorders>
              <w:top w:val="single" w:sz="8" w:color="0000EE"/>
            </w:tcBorders>
            <w:gridSpan w:val="10"/>
          </w:tcPr>
          <w:p>
            <w:pPr>
              <w:spacing w:after="0"/>
              <w:rPr>
                <w:sz w:val="24"/>
                <w:szCs w:val="24"/>
                <w:color w:val="auto"/>
              </w:rPr>
            </w:pPr>
          </w:p>
        </w:tc>
        <w:tc>
          <w:tcPr>
            <w:tcW w:w="2100" w:type="dxa"/>
            <w:vAlign w:val="bottom"/>
            <w:gridSpan w:val="8"/>
          </w:tcPr>
          <w:p>
            <w:pPr>
              <w:spacing w:after="0"/>
              <w:rPr>
                <w:sz w:val="24"/>
                <w:szCs w:val="24"/>
                <w:color w:val="auto"/>
              </w:rPr>
            </w:pPr>
          </w:p>
        </w:tc>
        <w:tc>
          <w:tcPr>
            <w:tcW w:w="7140" w:type="dxa"/>
            <w:vAlign w:val="bottom"/>
            <w:gridSpan w:val="2"/>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ABOUT THIS PROSPECTUS SUPPLEMENT</w:t>
      </w:r>
    </w:p>
    <w:p>
      <w:pPr>
        <w:spacing w:after="0" w:line="2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document has two parts. The first part consists of this prospectus supplement, which describes the specific terms of this offering and the Notes offered. The second part, the accompanying prospectus, provides more general information, some of which may not apply to this offering. The accompanying prospectus also incorporates by reference documents that are described under “Where You Can Find More Information” in that prospectus. If the description of the offering varies between this prospectus supplement and the accompanying prospectus, you should rely on the information in this prospectus supplement.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Before purchasing any Notes, you should carefully read both this prospectus supplement and the accompanying prospectus, together with the additional information described under the heading “Where You Can Find More Information” in the accompanying prospectus.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62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26625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PROSPECTUS SUPPLEMENT SUMMARY</w:t>
      </w:r>
    </w:p>
    <w:p>
      <w:pPr>
        <w:spacing w:after="0" w:line="265"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This summary highlights information contained or incorporated by reference in this prospectus supplement or the accompanying prospectus. This summary does not contain all of the information that you should consider before deciding to invest in the Notes. You should carefully read this entire prospectus supplement and the accompanying prospectus, including the information incorporated by reference. See “Risk Factors.”</w:t>
      </w:r>
    </w:p>
    <w:p>
      <w:pPr>
        <w:spacing w:after="0" w:line="1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ExxonMobil was incorporated in the State of New Jersey in 1882. Our divisions and affiliated companies operate or market products in the United States and most other countries of the world. Our principal business is energy, involving exploration for, and production of, crude oil and natural gas, manufacture of petroleum products and transportation and sale of crude oil, natural gas and petroleum products. We are a major manufacturer and marketer of commodity petrochemicals, including olefins, aromatics, polyethylene and polypropylene plastics and a wide variety of specialty products. We also have interests in electric power generation facilities. Our affiliates conduct extensive research programs in support of these businesses.</w:t>
      </w:r>
    </w:p>
    <w:p>
      <w:pPr>
        <w:spacing w:after="0" w:line="199"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Our principal offices are located at 5959 Las Colinas Boulevard, Irving, Texas, 75039-2298, and our telephone number is (972) 444-1000. We maintain a website at www.exxonmobil.com where general information about us is available. We are not incorporating the contents of the website into this prospectus supplement or the accompanying prospectus.</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47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OFFERING</w:t>
      </w: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000" w:type="dxa"/>
            <w:vAlign w:val="bottom"/>
            <w:gridSpan w:val="2"/>
          </w:tcPr>
          <w:p>
            <w:pPr>
              <w:ind w:left="1900"/>
              <w:spacing w:after="0"/>
              <w:rPr>
                <w:sz w:val="20"/>
                <w:szCs w:val="20"/>
                <w:color w:val="auto"/>
              </w:rPr>
            </w:pPr>
            <w:r>
              <w:rPr>
                <w:rFonts w:ascii="Arial" w:cs="Arial" w:eastAsia="Arial" w:hAnsi="Arial"/>
                <w:sz w:val="18"/>
                <w:szCs w:val="18"/>
                <w:color w:val="auto"/>
              </w:rPr>
              <w:t>Exxon Mobil Corporation</w:t>
            </w:r>
          </w:p>
        </w:tc>
        <w:tc>
          <w:tcPr>
            <w:tcW w:w="1520" w:type="dxa"/>
            <w:vAlign w:val="bottom"/>
          </w:tcPr>
          <w:p>
            <w:pPr>
              <w:spacing w:after="0"/>
              <w:rPr>
                <w:sz w:val="20"/>
                <w:szCs w:val="20"/>
                <w:color w:val="auto"/>
              </w:rPr>
            </w:pPr>
          </w:p>
        </w:tc>
      </w:tr>
      <w:tr>
        <w:trPr>
          <w:trHeight w:val="458"/>
        </w:trPr>
        <w:tc>
          <w:tcPr>
            <w:tcW w:w="264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280" w:type="dxa"/>
            <w:vAlign w:val="bottom"/>
          </w:tcPr>
          <w:p>
            <w:pPr>
              <w:ind w:left="1900"/>
              <w:spacing w:after="0"/>
              <w:rPr>
                <w:sz w:val="20"/>
                <w:szCs w:val="20"/>
                <w:color w:val="auto"/>
              </w:rPr>
            </w:pPr>
            <w:r>
              <w:rPr>
                <w:rFonts w:ascii="Arial" w:cs="Arial" w:eastAsia="Arial" w:hAnsi="Arial"/>
                <w:sz w:val="18"/>
                <w:szCs w:val="18"/>
                <w:color w:val="auto"/>
              </w:rPr>
              <w:t>$</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w w:val="89"/>
              </w:rPr>
              <w:t>aggregate principal amount of Floating Rate Notes due</w:t>
            </w:r>
          </w:p>
        </w:tc>
      </w:tr>
      <w:tr>
        <w:trPr>
          <w:trHeight w:val="216"/>
        </w:trPr>
        <w:tc>
          <w:tcPr>
            <w:tcW w:w="2640" w:type="dxa"/>
            <w:vAlign w:val="bottom"/>
          </w:tcPr>
          <w:p>
            <w:pPr>
              <w:spacing w:after="0"/>
              <w:rPr>
                <w:sz w:val="18"/>
                <w:szCs w:val="18"/>
                <w:color w:val="auto"/>
              </w:rPr>
            </w:pPr>
          </w:p>
        </w:tc>
        <w:tc>
          <w:tcPr>
            <w:tcW w:w="2280" w:type="dxa"/>
            <w:vAlign w:val="bottom"/>
          </w:tcPr>
          <w:p>
            <w:pPr>
              <w:ind w:left="1900"/>
              <w:spacing w:after="0"/>
              <w:rPr>
                <w:sz w:val="20"/>
                <w:szCs w:val="20"/>
                <w:color w:val="auto"/>
              </w:rPr>
            </w:pPr>
            <w:r>
              <w:rPr>
                <w:rFonts w:ascii="Arial" w:cs="Arial" w:eastAsia="Arial" w:hAnsi="Arial"/>
                <w:sz w:val="18"/>
                <w:szCs w:val="18"/>
                <w:color w:val="auto"/>
              </w:rPr>
              <w:t>$</w:t>
            </w: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w w:val="89"/>
              </w:rPr>
              <w:t>aggregate principal amount of Floating Rate Notes due</w:t>
            </w:r>
          </w:p>
        </w:tc>
      </w:tr>
      <w:tr>
        <w:trPr>
          <w:trHeight w:val="216"/>
        </w:trPr>
        <w:tc>
          <w:tcPr>
            <w:tcW w:w="2640" w:type="dxa"/>
            <w:vAlign w:val="bottom"/>
          </w:tcPr>
          <w:p>
            <w:pPr>
              <w:spacing w:after="0"/>
              <w:rPr>
                <w:sz w:val="18"/>
                <w:szCs w:val="18"/>
                <w:color w:val="auto"/>
              </w:rPr>
            </w:pPr>
          </w:p>
        </w:tc>
        <w:tc>
          <w:tcPr>
            <w:tcW w:w="2280" w:type="dxa"/>
            <w:vAlign w:val="bottom"/>
          </w:tcPr>
          <w:p>
            <w:pPr>
              <w:ind w:left="1900"/>
              <w:spacing w:after="0"/>
              <w:rPr>
                <w:sz w:val="20"/>
                <w:szCs w:val="20"/>
                <w:color w:val="auto"/>
              </w:rPr>
            </w:pPr>
            <w:r>
              <w:rPr>
                <w:rFonts w:ascii="Arial" w:cs="Arial" w:eastAsia="Arial" w:hAnsi="Arial"/>
                <w:sz w:val="18"/>
                <w:szCs w:val="18"/>
                <w:color w:val="auto"/>
              </w:rPr>
              <w:t>$</w:t>
            </w:r>
          </w:p>
        </w:tc>
        <w:tc>
          <w:tcPr>
            <w:tcW w:w="2720" w:type="dxa"/>
            <w:vAlign w:val="bottom"/>
          </w:tcPr>
          <w:p>
            <w:pPr>
              <w:ind w:left="300"/>
              <w:spacing w:after="0"/>
              <w:rPr>
                <w:sz w:val="20"/>
                <w:szCs w:val="20"/>
                <w:color w:val="auto"/>
              </w:rPr>
            </w:pPr>
            <w:r>
              <w:rPr>
                <w:rFonts w:ascii="Arial" w:cs="Arial" w:eastAsia="Arial" w:hAnsi="Arial"/>
                <w:sz w:val="18"/>
                <w:szCs w:val="18"/>
                <w:color w:val="auto"/>
              </w:rPr>
              <w:t>aggregate principal amount of</w:t>
            </w:r>
          </w:p>
        </w:tc>
        <w:tc>
          <w:tcPr>
            <w:tcW w:w="1520" w:type="dxa"/>
            <w:vAlign w:val="bottom"/>
          </w:tcPr>
          <w:p>
            <w:pPr>
              <w:ind w:left="280"/>
              <w:spacing w:after="0"/>
              <w:rPr>
                <w:sz w:val="20"/>
                <w:szCs w:val="20"/>
                <w:color w:val="auto"/>
              </w:rPr>
            </w:pPr>
            <w:r>
              <w:rPr>
                <w:rFonts w:ascii="Arial" w:cs="Arial" w:eastAsia="Arial" w:hAnsi="Arial"/>
                <w:sz w:val="18"/>
                <w:szCs w:val="18"/>
                <w:color w:val="auto"/>
              </w:rPr>
              <w:t>% Notes due</w:t>
            </w:r>
          </w:p>
        </w:tc>
      </w:tr>
      <w:tr>
        <w:trPr>
          <w:trHeight w:val="216"/>
        </w:trPr>
        <w:tc>
          <w:tcPr>
            <w:tcW w:w="2640" w:type="dxa"/>
            <w:vAlign w:val="bottom"/>
          </w:tcPr>
          <w:p>
            <w:pPr>
              <w:spacing w:after="0"/>
              <w:rPr>
                <w:sz w:val="18"/>
                <w:szCs w:val="18"/>
                <w:color w:val="auto"/>
              </w:rPr>
            </w:pPr>
          </w:p>
        </w:tc>
        <w:tc>
          <w:tcPr>
            <w:tcW w:w="2280" w:type="dxa"/>
            <w:vAlign w:val="bottom"/>
          </w:tcPr>
          <w:p>
            <w:pPr>
              <w:ind w:left="1900"/>
              <w:spacing w:after="0"/>
              <w:rPr>
                <w:sz w:val="20"/>
                <w:szCs w:val="20"/>
                <w:color w:val="auto"/>
              </w:rPr>
            </w:pPr>
            <w:r>
              <w:rPr>
                <w:rFonts w:ascii="Arial" w:cs="Arial" w:eastAsia="Arial" w:hAnsi="Arial"/>
                <w:sz w:val="18"/>
                <w:szCs w:val="18"/>
                <w:color w:val="auto"/>
              </w:rPr>
              <w:t>$</w:t>
            </w:r>
          </w:p>
        </w:tc>
        <w:tc>
          <w:tcPr>
            <w:tcW w:w="2720" w:type="dxa"/>
            <w:vAlign w:val="bottom"/>
          </w:tcPr>
          <w:p>
            <w:pPr>
              <w:ind w:left="300"/>
              <w:spacing w:after="0"/>
              <w:rPr>
                <w:sz w:val="20"/>
                <w:szCs w:val="20"/>
                <w:color w:val="auto"/>
              </w:rPr>
            </w:pPr>
            <w:r>
              <w:rPr>
                <w:rFonts w:ascii="Arial" w:cs="Arial" w:eastAsia="Arial" w:hAnsi="Arial"/>
                <w:sz w:val="18"/>
                <w:szCs w:val="18"/>
                <w:color w:val="auto"/>
              </w:rPr>
              <w:t>aggregate principal amount of</w:t>
            </w:r>
          </w:p>
        </w:tc>
        <w:tc>
          <w:tcPr>
            <w:tcW w:w="1520" w:type="dxa"/>
            <w:vAlign w:val="bottom"/>
          </w:tcPr>
          <w:p>
            <w:pPr>
              <w:ind w:left="280"/>
              <w:spacing w:after="0"/>
              <w:rPr>
                <w:sz w:val="20"/>
                <w:szCs w:val="20"/>
                <w:color w:val="auto"/>
              </w:rPr>
            </w:pPr>
            <w:r>
              <w:rPr>
                <w:rFonts w:ascii="Arial" w:cs="Arial" w:eastAsia="Arial" w:hAnsi="Arial"/>
                <w:sz w:val="18"/>
                <w:szCs w:val="18"/>
                <w:color w:val="auto"/>
              </w:rPr>
              <w:t>% Notes due</w:t>
            </w:r>
          </w:p>
        </w:tc>
      </w:tr>
      <w:tr>
        <w:trPr>
          <w:trHeight w:val="230"/>
        </w:trPr>
        <w:tc>
          <w:tcPr>
            <w:tcW w:w="2640" w:type="dxa"/>
            <w:vAlign w:val="bottom"/>
          </w:tcPr>
          <w:p>
            <w:pPr>
              <w:spacing w:after="0"/>
              <w:rPr>
                <w:sz w:val="20"/>
                <w:szCs w:val="20"/>
                <w:color w:val="auto"/>
              </w:rPr>
            </w:pPr>
          </w:p>
        </w:tc>
        <w:tc>
          <w:tcPr>
            <w:tcW w:w="2280" w:type="dxa"/>
            <w:vAlign w:val="bottom"/>
          </w:tcPr>
          <w:p>
            <w:pPr>
              <w:ind w:left="1900"/>
              <w:spacing w:after="0"/>
              <w:rPr>
                <w:sz w:val="20"/>
                <w:szCs w:val="20"/>
                <w:color w:val="auto"/>
              </w:rPr>
            </w:pPr>
            <w:r>
              <w:rPr>
                <w:rFonts w:ascii="Arial" w:cs="Arial" w:eastAsia="Arial" w:hAnsi="Arial"/>
                <w:sz w:val="18"/>
                <w:szCs w:val="18"/>
                <w:color w:val="auto"/>
              </w:rPr>
              <w:t>$</w:t>
            </w:r>
          </w:p>
        </w:tc>
        <w:tc>
          <w:tcPr>
            <w:tcW w:w="2720" w:type="dxa"/>
            <w:vAlign w:val="bottom"/>
          </w:tcPr>
          <w:p>
            <w:pPr>
              <w:ind w:left="300"/>
              <w:spacing w:after="0"/>
              <w:rPr>
                <w:sz w:val="20"/>
                <w:szCs w:val="20"/>
                <w:color w:val="auto"/>
              </w:rPr>
            </w:pPr>
            <w:r>
              <w:rPr>
                <w:rFonts w:ascii="Arial" w:cs="Arial" w:eastAsia="Arial" w:hAnsi="Arial"/>
                <w:sz w:val="18"/>
                <w:szCs w:val="18"/>
                <w:color w:val="auto"/>
              </w:rPr>
              <w:t>aggregate principal amount of</w:t>
            </w:r>
          </w:p>
        </w:tc>
        <w:tc>
          <w:tcPr>
            <w:tcW w:w="1520" w:type="dxa"/>
            <w:vAlign w:val="bottom"/>
          </w:tcPr>
          <w:p>
            <w:pPr>
              <w:ind w:left="280"/>
              <w:spacing w:after="0"/>
              <w:rPr>
                <w:sz w:val="20"/>
                <w:szCs w:val="20"/>
                <w:color w:val="auto"/>
              </w:rPr>
            </w:pPr>
            <w:r>
              <w:rPr>
                <w:rFonts w:ascii="Arial" w:cs="Arial" w:eastAsia="Arial" w:hAnsi="Arial"/>
                <w:sz w:val="18"/>
                <w:szCs w:val="18"/>
                <w:color w:val="auto"/>
              </w:rPr>
              <w:t>% Notes due</w:t>
            </w:r>
          </w:p>
        </w:tc>
      </w:tr>
    </w:tbl>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290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 in the case of the</w:t>
            </w:r>
          </w:p>
        </w:tc>
        <w:tc>
          <w:tcPr>
            <w:tcW w:w="1740" w:type="dxa"/>
            <w:vAlign w:val="bottom"/>
          </w:tcPr>
          <w:p>
            <w:pPr>
              <w:ind w:left="300"/>
              <w:spacing w:after="0"/>
              <w:rPr>
                <w:sz w:val="20"/>
                <w:szCs w:val="20"/>
                <w:color w:val="auto"/>
              </w:rPr>
            </w:pPr>
            <w:r>
              <w:rPr>
                <w:rFonts w:ascii="Arial" w:cs="Arial" w:eastAsia="Arial" w:hAnsi="Arial"/>
                <w:sz w:val="18"/>
                <w:szCs w:val="18"/>
                <w:color w:val="auto"/>
                <w:w w:val="89"/>
              </w:rPr>
              <w:t>Floating Rate Notes</w:t>
            </w:r>
          </w:p>
        </w:tc>
      </w:tr>
      <w:tr>
        <w:trPr>
          <w:trHeight w:val="216"/>
        </w:trPr>
        <w:tc>
          <w:tcPr>
            <w:tcW w:w="290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 in the case of the</w:t>
            </w:r>
          </w:p>
        </w:tc>
        <w:tc>
          <w:tcPr>
            <w:tcW w:w="1740" w:type="dxa"/>
            <w:vAlign w:val="bottom"/>
          </w:tcPr>
          <w:p>
            <w:pPr>
              <w:ind w:left="300"/>
              <w:spacing w:after="0"/>
              <w:rPr>
                <w:sz w:val="20"/>
                <w:szCs w:val="20"/>
                <w:color w:val="auto"/>
              </w:rPr>
            </w:pPr>
            <w:r>
              <w:rPr>
                <w:rFonts w:ascii="Arial" w:cs="Arial" w:eastAsia="Arial" w:hAnsi="Arial"/>
                <w:sz w:val="18"/>
                <w:szCs w:val="18"/>
                <w:color w:val="auto"/>
                <w:w w:val="89"/>
              </w:rPr>
              <w:t>Floating Rate Notes</w:t>
            </w:r>
          </w:p>
        </w:tc>
      </w:tr>
      <w:tr>
        <w:trPr>
          <w:trHeight w:val="216"/>
        </w:trPr>
        <w:tc>
          <w:tcPr>
            <w:tcW w:w="290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 in the case of the</w:t>
            </w:r>
          </w:p>
        </w:tc>
        <w:tc>
          <w:tcPr>
            <w:tcW w:w="1740" w:type="dxa"/>
            <w:vAlign w:val="bottom"/>
          </w:tcPr>
          <w:p>
            <w:pPr>
              <w:ind w:left="300"/>
              <w:spacing w:after="0"/>
              <w:rPr>
                <w:sz w:val="20"/>
                <w:szCs w:val="20"/>
                <w:color w:val="auto"/>
              </w:rPr>
            </w:pPr>
            <w:r>
              <w:rPr>
                <w:rFonts w:ascii="Arial" w:cs="Arial" w:eastAsia="Arial" w:hAnsi="Arial"/>
                <w:sz w:val="18"/>
                <w:szCs w:val="18"/>
                <w:color w:val="auto"/>
              </w:rPr>
              <w:t>Fixed Rate Notes</w:t>
            </w:r>
          </w:p>
        </w:tc>
      </w:tr>
      <w:tr>
        <w:trPr>
          <w:trHeight w:val="216"/>
        </w:trPr>
        <w:tc>
          <w:tcPr>
            <w:tcW w:w="290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 in the case of the</w:t>
            </w:r>
          </w:p>
        </w:tc>
        <w:tc>
          <w:tcPr>
            <w:tcW w:w="1740" w:type="dxa"/>
            <w:vAlign w:val="bottom"/>
          </w:tcPr>
          <w:p>
            <w:pPr>
              <w:ind w:left="300"/>
              <w:spacing w:after="0"/>
              <w:rPr>
                <w:sz w:val="20"/>
                <w:szCs w:val="20"/>
                <w:color w:val="auto"/>
              </w:rPr>
            </w:pPr>
            <w:r>
              <w:rPr>
                <w:rFonts w:ascii="Arial" w:cs="Arial" w:eastAsia="Arial" w:hAnsi="Arial"/>
                <w:sz w:val="18"/>
                <w:szCs w:val="18"/>
                <w:color w:val="auto"/>
              </w:rPr>
              <w:t>Fixed Rate Notes</w:t>
            </w:r>
          </w:p>
        </w:tc>
      </w:tr>
      <w:tr>
        <w:trPr>
          <w:trHeight w:val="230"/>
        </w:trPr>
        <w:tc>
          <w:tcPr>
            <w:tcW w:w="2900" w:type="dxa"/>
            <w:vAlign w:val="bottom"/>
          </w:tcPr>
          <w:p>
            <w:pPr>
              <w:spacing w:after="0"/>
              <w:rPr>
                <w:sz w:val="20"/>
                <w:szCs w:val="20"/>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 in the case of the</w:t>
            </w:r>
          </w:p>
        </w:tc>
        <w:tc>
          <w:tcPr>
            <w:tcW w:w="1740" w:type="dxa"/>
            <w:vAlign w:val="bottom"/>
          </w:tcPr>
          <w:p>
            <w:pPr>
              <w:ind w:left="300"/>
              <w:spacing w:after="0"/>
              <w:rPr>
                <w:sz w:val="20"/>
                <w:szCs w:val="20"/>
                <w:color w:val="auto"/>
              </w:rPr>
            </w:pPr>
            <w:r>
              <w:rPr>
                <w:rFonts w:ascii="Arial" w:cs="Arial" w:eastAsia="Arial" w:hAnsi="Arial"/>
                <w:sz w:val="18"/>
                <w:szCs w:val="18"/>
                <w:color w:val="auto"/>
              </w:rPr>
              <w:t>Fixed Rate Notes</w:t>
            </w:r>
          </w:p>
        </w:tc>
      </w:tr>
    </w:tbl>
    <w:p>
      <w:pPr>
        <w:spacing w:after="0" w:line="200" w:lineRule="exact"/>
        <w:rPr>
          <w:sz w:val="20"/>
          <w:szCs w:val="20"/>
          <w:color w:val="auto"/>
        </w:rPr>
      </w:pPr>
    </w:p>
    <w:p>
      <w:pPr>
        <w:sectPr>
          <w:pgSz w:w="11900" w:h="16838" w:orient="portrait"/>
          <w:cols w:equalWidth="0" w:num="1">
            <w:col w:w="11460"/>
          </w:cols>
          <w:pgMar w:left="240" w:top="459" w:right="199" w:bottom="1440" w:gutter="0" w:footer="0" w:header="0"/>
        </w:sectPr>
      </w:pP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Three-month LIBOR plus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per annum, in the case of the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Floating Rate</w:t>
      </w:r>
    </w:p>
    <w:p>
      <w:pPr>
        <w:spacing w:after="0" w:line="46" w:lineRule="exact"/>
        <w:rPr>
          <w:sz w:val="20"/>
          <w:szCs w:val="20"/>
          <w:color w:val="auto"/>
        </w:rPr>
      </w:pPr>
    </w:p>
    <w:p>
      <w:pPr>
        <w:sectPr>
          <w:pgSz w:w="11900" w:h="16838" w:orient="portrait"/>
          <w:cols w:equalWidth="0" w:num="4">
            <w:col w:w="4020" w:space="720"/>
            <w:col w:w="1860" w:space="540"/>
            <w:col w:w="2280" w:space="580"/>
            <w:col w:w="1460"/>
          </w:cols>
          <w:pgMar w:left="240" w:top="459" w:right="199" w:bottom="1440" w:gutter="0" w:footer="0" w:header="0"/>
          <w:type w:val="continuous"/>
        </w:sectPr>
      </w:pPr>
    </w:p>
    <w:p>
      <w:pPr>
        <w:ind w:left="4740"/>
        <w:spacing w:after="0"/>
        <w:rPr>
          <w:sz w:val="20"/>
          <w:szCs w:val="20"/>
          <w:color w:val="auto"/>
        </w:rPr>
      </w:pPr>
      <w:r>
        <w:rPr>
          <w:rFonts w:ascii="Arial" w:cs="Arial" w:eastAsia="Arial" w:hAnsi="Arial"/>
          <w:sz w:val="16"/>
          <w:szCs w:val="16"/>
          <w:color w:val="auto"/>
        </w:rPr>
        <w:t>Notes</w:t>
      </w:r>
    </w:p>
    <w:p>
      <w:pPr>
        <w:sectPr>
          <w:pgSz w:w="11900" w:h="16838" w:orient="portrait"/>
          <w:cols w:equalWidth="0" w:num="1">
            <w:col w:w="11460"/>
          </w:cols>
          <w:pgMar w:left="240" w:top="459" w:right="199" w:bottom="1440" w:gutter="0" w:footer="0" w:header="0"/>
          <w:type w:val="continuous"/>
        </w:sectPr>
      </w:pP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Three-month LIBOR plus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per annum, in the case of the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Floating Rate</w:t>
      </w:r>
    </w:p>
    <w:p>
      <w:pPr>
        <w:spacing w:after="0" w:line="32" w:lineRule="exact"/>
        <w:rPr>
          <w:sz w:val="20"/>
          <w:szCs w:val="20"/>
          <w:color w:val="auto"/>
        </w:rPr>
      </w:pPr>
    </w:p>
    <w:p>
      <w:pPr>
        <w:sectPr>
          <w:pgSz w:w="11900" w:h="16838" w:orient="portrait"/>
          <w:cols w:equalWidth="0" w:num="3">
            <w:col w:w="6600" w:space="540"/>
            <w:col w:w="2280" w:space="580"/>
            <w:col w:w="1460"/>
          </w:cols>
          <w:pgMar w:left="240" w:top="459" w:right="199" w:bottom="1440" w:gutter="0" w:footer="0" w:header="0"/>
          <w:type w:val="continuous"/>
        </w:sectPr>
      </w:pPr>
    </w:p>
    <w:p>
      <w:pPr>
        <w:ind w:left="4740"/>
        <w:spacing w:after="0"/>
        <w:rPr>
          <w:sz w:val="20"/>
          <w:szCs w:val="20"/>
          <w:color w:val="auto"/>
        </w:rPr>
      </w:pPr>
      <w:r>
        <w:rPr>
          <w:rFonts w:ascii="Arial" w:cs="Arial" w:eastAsia="Arial" w:hAnsi="Arial"/>
          <w:sz w:val="16"/>
          <w:szCs w:val="16"/>
          <w:color w:val="auto"/>
        </w:rPr>
        <w:t>Notes</w:t>
      </w:r>
    </w:p>
    <w:p>
      <w:pPr>
        <w:sectPr>
          <w:pgSz w:w="11900" w:h="16838" w:orient="portrait"/>
          <w:cols w:equalWidth="0" w:num="1">
            <w:col w:w="11460"/>
          </w:cols>
          <w:pgMar w:left="240" w:top="459" w:right="199" w:bottom="1440" w:gutter="0" w:footer="0" w:header="0"/>
          <w:type w:val="continuous"/>
        </w:sectPr>
      </w:pPr>
    </w:p>
    <w:p>
      <w:pPr>
        <w:spacing w:after="0" w:line="3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 per annum, in the case of the</w:t>
      </w:r>
    </w:p>
    <w:p>
      <w:pPr>
        <w:spacing w:after="0" w:line="4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 per annum, in the case of the</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 per annum, in the case of the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w:t>
      </w:r>
    </w:p>
    <w:p>
      <w:pPr>
        <w:spacing w:after="0" w:line="200" w:lineRule="exact"/>
        <w:rPr>
          <w:sz w:val="20"/>
          <w:szCs w:val="20"/>
          <w:color w:val="auto"/>
        </w:rPr>
      </w:pPr>
    </w:p>
    <w:p>
      <w:pPr>
        <w:sectPr>
          <w:pgSz w:w="11900" w:h="16838" w:orient="portrait"/>
          <w:cols w:equalWidth="0" w:num="2">
            <w:col w:w="7500" w:space="580"/>
            <w:col w:w="3380"/>
          </w:cols>
          <w:pgMar w:left="240" w:top="459" w:right="19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ind w:left="200"/>
              <w:spacing w:after="0"/>
              <w:rPr>
                <w:sz w:val="20"/>
                <w:szCs w:val="20"/>
                <w:color w:val="auto"/>
              </w:rPr>
            </w:pPr>
            <w:r>
              <w:rPr>
                <w:rFonts w:ascii="Arial" w:cs="Arial" w:eastAsia="Arial" w:hAnsi="Arial"/>
                <w:sz w:val="18"/>
                <w:szCs w:val="18"/>
                <w:b w:val="1"/>
                <w:bCs w:val="1"/>
                <w:color w:val="auto"/>
              </w:rPr>
              <w:t>Interest payment dates</w:t>
            </w:r>
          </w:p>
        </w:tc>
        <w:tc>
          <w:tcPr>
            <w:tcW w:w="6300" w:type="dxa"/>
            <w:vAlign w:val="bottom"/>
            <w:gridSpan w:val="6"/>
          </w:tcPr>
          <w:p>
            <w:pPr>
              <w:ind w:left="1400"/>
              <w:spacing w:after="0"/>
              <w:rPr>
                <w:sz w:val="20"/>
                <w:szCs w:val="20"/>
                <w:color w:val="auto"/>
              </w:rPr>
            </w:pPr>
            <w:r>
              <w:rPr>
                <w:rFonts w:ascii="Arial" w:cs="Arial" w:eastAsia="Arial" w:hAnsi="Arial"/>
                <w:sz w:val="18"/>
                <w:szCs w:val="18"/>
                <w:color w:val="auto"/>
                <w:w w:val="92"/>
              </w:rPr>
              <w:t>Interest on the Floating Rate Notes of each series will accrue from</w:t>
            </w:r>
          </w:p>
        </w:tc>
        <w:tc>
          <w:tcPr>
            <w:tcW w:w="1540" w:type="dxa"/>
            <w:vAlign w:val="bottom"/>
          </w:tcPr>
          <w:p>
            <w:pPr>
              <w:ind w:left="420"/>
              <w:spacing w:after="0"/>
              <w:rPr>
                <w:sz w:val="20"/>
                <w:szCs w:val="20"/>
                <w:color w:val="auto"/>
              </w:rPr>
            </w:pPr>
            <w:r>
              <w:rPr>
                <w:rFonts w:ascii="Arial" w:cs="Arial" w:eastAsia="Arial" w:hAnsi="Arial"/>
                <w:sz w:val="18"/>
                <w:szCs w:val="18"/>
                <w:color w:val="auto"/>
                <w:w w:val="95"/>
              </w:rPr>
              <w:t>, 2014 and will</w:t>
            </w:r>
          </w:p>
        </w:tc>
        <w:tc>
          <w:tcPr>
            <w:tcW w:w="28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4200" w:type="dxa"/>
            <w:vAlign w:val="bottom"/>
            <w:gridSpan w:val="3"/>
          </w:tcPr>
          <w:p>
            <w:pPr>
              <w:ind w:left="1400"/>
              <w:spacing w:after="0"/>
              <w:rPr>
                <w:sz w:val="20"/>
                <w:szCs w:val="20"/>
                <w:color w:val="auto"/>
              </w:rPr>
            </w:pPr>
            <w:r>
              <w:rPr>
                <w:rFonts w:ascii="Arial" w:cs="Arial" w:eastAsia="Arial" w:hAnsi="Arial"/>
                <w:sz w:val="18"/>
                <w:szCs w:val="18"/>
                <w:color w:val="auto"/>
              </w:rPr>
              <w:t>be payable quarterly in arrears 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ind w:left="240"/>
              <w:spacing w:after="0"/>
              <w:rPr>
                <w:sz w:val="20"/>
                <w:szCs w:val="20"/>
                <w:color w:val="auto"/>
              </w:rPr>
            </w:pPr>
            <w:r>
              <w:rPr>
                <w:rFonts w:ascii="Arial" w:cs="Arial" w:eastAsia="Arial" w:hAnsi="Arial"/>
                <w:sz w:val="18"/>
                <w:szCs w:val="18"/>
                <w:color w:val="auto"/>
              </w:rPr>
              <w:t>and</w:t>
            </w:r>
          </w:p>
        </w:tc>
        <w:tc>
          <w:tcPr>
            <w:tcW w:w="1540" w:type="dxa"/>
            <w:vAlign w:val="bottom"/>
          </w:tcPr>
          <w:p>
            <w:pPr>
              <w:ind w:left="120"/>
              <w:spacing w:after="0"/>
              <w:rPr>
                <w:sz w:val="20"/>
                <w:szCs w:val="20"/>
                <w:color w:val="auto"/>
              </w:rPr>
            </w:pPr>
            <w:r>
              <w:rPr>
                <w:rFonts w:ascii="Arial" w:cs="Arial" w:eastAsia="Arial" w:hAnsi="Arial"/>
                <w:sz w:val="18"/>
                <w:szCs w:val="18"/>
                <w:color w:val="auto"/>
              </w:rPr>
              <w:t>of each year,</w:t>
            </w:r>
          </w:p>
        </w:tc>
        <w:tc>
          <w:tcPr>
            <w:tcW w:w="28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2680" w:type="dxa"/>
            <w:vAlign w:val="bottom"/>
          </w:tcPr>
          <w:p>
            <w:pPr>
              <w:ind w:left="1400"/>
              <w:spacing w:after="0"/>
              <w:rPr>
                <w:sz w:val="20"/>
                <w:szCs w:val="20"/>
                <w:color w:val="auto"/>
              </w:rPr>
            </w:pPr>
            <w:r>
              <w:rPr>
                <w:rFonts w:ascii="Arial" w:cs="Arial" w:eastAsia="Arial" w:hAnsi="Arial"/>
                <w:sz w:val="18"/>
                <w:szCs w:val="18"/>
                <w:color w:val="auto"/>
              </w:rPr>
              <w:t>beginning on</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 2014.</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99"/>
        </w:trPr>
        <w:tc>
          <w:tcPr>
            <w:tcW w:w="3340" w:type="dxa"/>
            <w:vAlign w:val="bottom"/>
          </w:tcPr>
          <w:p>
            <w:pPr>
              <w:spacing w:after="0"/>
              <w:rPr>
                <w:sz w:val="24"/>
                <w:szCs w:val="24"/>
                <w:color w:val="auto"/>
              </w:rPr>
            </w:pPr>
          </w:p>
        </w:tc>
        <w:tc>
          <w:tcPr>
            <w:tcW w:w="6300" w:type="dxa"/>
            <w:vAlign w:val="bottom"/>
            <w:gridSpan w:val="6"/>
          </w:tcPr>
          <w:p>
            <w:pPr>
              <w:ind w:left="1400"/>
              <w:spacing w:after="0"/>
              <w:rPr>
                <w:sz w:val="20"/>
                <w:szCs w:val="20"/>
                <w:color w:val="auto"/>
              </w:rPr>
            </w:pPr>
            <w:r>
              <w:rPr>
                <w:rFonts w:ascii="Arial" w:cs="Arial" w:eastAsia="Arial" w:hAnsi="Arial"/>
                <w:sz w:val="18"/>
                <w:szCs w:val="18"/>
                <w:color w:val="auto"/>
                <w:w w:val="96"/>
              </w:rPr>
              <w:t>Interest on the Fixed Rate Notes of each series will accrue from</w:t>
            </w:r>
          </w:p>
        </w:tc>
        <w:tc>
          <w:tcPr>
            <w:tcW w:w="1540" w:type="dxa"/>
            <w:vAlign w:val="bottom"/>
          </w:tcPr>
          <w:p>
            <w:pPr>
              <w:ind w:left="220"/>
              <w:spacing w:after="0"/>
              <w:rPr>
                <w:sz w:val="20"/>
                <w:szCs w:val="20"/>
                <w:color w:val="auto"/>
              </w:rPr>
            </w:pPr>
            <w:r>
              <w:rPr>
                <w:rFonts w:ascii="Arial" w:cs="Arial" w:eastAsia="Arial" w:hAnsi="Arial"/>
                <w:sz w:val="18"/>
                <w:szCs w:val="18"/>
                <w:color w:val="auto"/>
                <w:w w:val="92"/>
              </w:rPr>
              <w:t>, 2014 and will be</w:t>
            </w:r>
          </w:p>
        </w:tc>
        <w:tc>
          <w:tcPr>
            <w:tcW w:w="28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4200" w:type="dxa"/>
            <w:vAlign w:val="bottom"/>
            <w:gridSpan w:val="3"/>
          </w:tcPr>
          <w:p>
            <w:pPr>
              <w:ind w:left="1400"/>
              <w:spacing w:after="0"/>
              <w:rPr>
                <w:sz w:val="20"/>
                <w:szCs w:val="20"/>
                <w:color w:val="auto"/>
              </w:rPr>
            </w:pPr>
            <w:r>
              <w:rPr>
                <w:rFonts w:ascii="Arial" w:cs="Arial" w:eastAsia="Arial" w:hAnsi="Arial"/>
                <w:sz w:val="18"/>
                <w:szCs w:val="18"/>
                <w:color w:val="auto"/>
                <w:w w:val="97"/>
              </w:rPr>
              <w:t>payable semi-annually in arrears on</w:t>
            </w:r>
          </w:p>
        </w:tc>
        <w:tc>
          <w:tcPr>
            <w:tcW w:w="280" w:type="dxa"/>
            <w:vAlign w:val="bottom"/>
          </w:tcPr>
          <w:p>
            <w:pPr>
              <w:spacing w:after="0"/>
              <w:rPr>
                <w:sz w:val="18"/>
                <w:szCs w:val="18"/>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and</w:t>
            </w: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of each year, beginning on</w:t>
            </w:r>
          </w:p>
        </w:tc>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r>
      <w:tr>
        <w:trPr>
          <w:trHeight w:val="230"/>
        </w:trPr>
        <w:tc>
          <w:tcPr>
            <w:tcW w:w="3340" w:type="dxa"/>
            <w:vAlign w:val="bottom"/>
          </w:tcPr>
          <w:p>
            <w:pPr>
              <w:spacing w:after="0"/>
              <w:rPr>
                <w:sz w:val="20"/>
                <w:szCs w:val="20"/>
                <w:color w:val="auto"/>
              </w:rPr>
            </w:pPr>
          </w:p>
        </w:tc>
        <w:tc>
          <w:tcPr>
            <w:tcW w:w="2680" w:type="dxa"/>
            <w:vAlign w:val="bottom"/>
          </w:tcPr>
          <w:p>
            <w:pPr>
              <w:ind w:left="1400"/>
              <w:spacing w:after="0"/>
              <w:rPr>
                <w:sz w:val="20"/>
                <w:szCs w:val="20"/>
                <w:color w:val="auto"/>
              </w:rPr>
            </w:pPr>
            <w:r>
              <w:rPr>
                <w:rFonts w:ascii="Arial" w:cs="Arial" w:eastAsia="Arial" w:hAnsi="Arial"/>
                <w:sz w:val="18"/>
                <w:szCs w:val="18"/>
                <w:color w:val="auto"/>
              </w:rPr>
              <w:t>2014.</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72"/>
        </w:trPr>
        <w:tc>
          <w:tcPr>
            <w:tcW w:w="3340" w:type="dxa"/>
            <w:vAlign w:val="bottom"/>
          </w:tcPr>
          <w:p>
            <w:pPr>
              <w:ind w:left="200"/>
              <w:spacing w:after="0"/>
              <w:rPr>
                <w:sz w:val="20"/>
                <w:szCs w:val="20"/>
                <w:color w:val="auto"/>
              </w:rPr>
            </w:pPr>
            <w:r>
              <w:rPr>
                <w:rFonts w:ascii="Arial" w:cs="Arial" w:eastAsia="Arial" w:hAnsi="Arial"/>
                <w:sz w:val="18"/>
                <w:szCs w:val="18"/>
                <w:b w:val="1"/>
                <w:bCs w:val="1"/>
                <w:color w:val="auto"/>
              </w:rPr>
              <w:t>Record dates</w:t>
            </w:r>
          </w:p>
        </w:tc>
        <w:tc>
          <w:tcPr>
            <w:tcW w:w="7840" w:type="dxa"/>
            <w:vAlign w:val="bottom"/>
            <w:gridSpan w:val="7"/>
          </w:tcPr>
          <w:p>
            <w:pPr>
              <w:ind w:left="1400"/>
              <w:spacing w:after="0"/>
              <w:rPr>
                <w:sz w:val="20"/>
                <w:szCs w:val="20"/>
                <w:color w:val="auto"/>
              </w:rPr>
            </w:pPr>
            <w:r>
              <w:rPr>
                <w:rFonts w:ascii="Arial" w:cs="Arial" w:eastAsia="Arial" w:hAnsi="Arial"/>
                <w:sz w:val="18"/>
                <w:szCs w:val="18"/>
                <w:color w:val="auto"/>
                <w:w w:val="91"/>
              </w:rPr>
              <w:t>Interest on the Floating Rate Notes of each series will be paid to holders of record at the</w:t>
            </w:r>
          </w:p>
        </w:tc>
        <w:tc>
          <w:tcPr>
            <w:tcW w:w="28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3560" w:type="dxa"/>
            <w:vAlign w:val="bottom"/>
            <w:gridSpan w:val="2"/>
          </w:tcPr>
          <w:p>
            <w:pPr>
              <w:ind w:left="1400"/>
              <w:spacing w:after="0"/>
              <w:rPr>
                <w:sz w:val="20"/>
                <w:szCs w:val="20"/>
                <w:color w:val="auto"/>
              </w:rPr>
            </w:pPr>
            <w:r>
              <w:rPr>
                <w:rFonts w:ascii="Arial" w:cs="Arial" w:eastAsia="Arial" w:hAnsi="Arial"/>
                <w:sz w:val="18"/>
                <w:szCs w:val="18"/>
                <w:color w:val="auto"/>
              </w:rPr>
              <w:t>close of business on each</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and</w:t>
            </w:r>
          </w:p>
        </w:tc>
        <w:tc>
          <w:tcPr>
            <w:tcW w:w="2800" w:type="dxa"/>
            <w:vAlign w:val="bottom"/>
            <w:gridSpan w:val="3"/>
          </w:tcPr>
          <w:p>
            <w:pPr>
              <w:jc w:val="right"/>
              <w:ind w:right="190"/>
              <w:spacing w:after="0"/>
              <w:rPr>
                <w:sz w:val="20"/>
                <w:szCs w:val="20"/>
                <w:color w:val="auto"/>
              </w:rPr>
            </w:pPr>
            <w:r>
              <w:rPr>
                <w:rFonts w:ascii="Arial" w:cs="Arial" w:eastAsia="Arial" w:hAnsi="Arial"/>
                <w:sz w:val="18"/>
                <w:szCs w:val="18"/>
                <w:color w:val="auto"/>
              </w:rPr>
              <w:t>immediately preceding each</w:t>
            </w:r>
          </w:p>
        </w:tc>
      </w:tr>
      <w:tr>
        <w:trPr>
          <w:trHeight w:val="230"/>
        </w:trPr>
        <w:tc>
          <w:tcPr>
            <w:tcW w:w="3340" w:type="dxa"/>
            <w:vAlign w:val="bottom"/>
          </w:tcPr>
          <w:p>
            <w:pPr>
              <w:spacing w:after="0"/>
              <w:rPr>
                <w:sz w:val="20"/>
                <w:szCs w:val="20"/>
                <w:color w:val="auto"/>
              </w:rPr>
            </w:pPr>
          </w:p>
        </w:tc>
        <w:tc>
          <w:tcPr>
            <w:tcW w:w="3560" w:type="dxa"/>
            <w:vAlign w:val="bottom"/>
            <w:gridSpan w:val="2"/>
          </w:tcPr>
          <w:p>
            <w:pPr>
              <w:ind w:left="1400"/>
              <w:spacing w:after="0"/>
              <w:rPr>
                <w:sz w:val="20"/>
                <w:szCs w:val="20"/>
                <w:color w:val="auto"/>
              </w:rPr>
            </w:pPr>
            <w:r>
              <w:rPr>
                <w:rFonts w:ascii="Arial" w:cs="Arial" w:eastAsia="Arial" w:hAnsi="Arial"/>
                <w:sz w:val="18"/>
                <w:szCs w:val="18"/>
                <w:color w:val="auto"/>
              </w:rPr>
              <w:t>interest payment date.</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99"/>
        </w:trPr>
        <w:tc>
          <w:tcPr>
            <w:tcW w:w="3340" w:type="dxa"/>
            <w:vAlign w:val="bottom"/>
          </w:tcPr>
          <w:p>
            <w:pPr>
              <w:spacing w:after="0"/>
              <w:rPr>
                <w:sz w:val="24"/>
                <w:szCs w:val="24"/>
                <w:color w:val="auto"/>
              </w:rPr>
            </w:pPr>
          </w:p>
        </w:tc>
        <w:tc>
          <w:tcPr>
            <w:tcW w:w="7840" w:type="dxa"/>
            <w:vAlign w:val="bottom"/>
            <w:gridSpan w:val="7"/>
          </w:tcPr>
          <w:p>
            <w:pPr>
              <w:ind w:left="1400"/>
              <w:spacing w:after="0"/>
              <w:rPr>
                <w:sz w:val="20"/>
                <w:szCs w:val="20"/>
                <w:color w:val="auto"/>
              </w:rPr>
            </w:pPr>
            <w:r>
              <w:rPr>
                <w:rFonts w:ascii="Arial" w:cs="Arial" w:eastAsia="Arial" w:hAnsi="Arial"/>
                <w:sz w:val="18"/>
                <w:szCs w:val="18"/>
                <w:color w:val="auto"/>
                <w:w w:val="94"/>
              </w:rPr>
              <w:t>Interest on the Fixed Rate Notes of each series will be paid to holders of record at the</w:t>
            </w:r>
          </w:p>
        </w:tc>
        <w:tc>
          <w:tcPr>
            <w:tcW w:w="28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3560" w:type="dxa"/>
            <w:vAlign w:val="bottom"/>
            <w:gridSpan w:val="2"/>
          </w:tcPr>
          <w:p>
            <w:pPr>
              <w:ind w:left="1400"/>
              <w:spacing w:after="0"/>
              <w:rPr>
                <w:sz w:val="20"/>
                <w:szCs w:val="20"/>
                <w:color w:val="auto"/>
              </w:rPr>
            </w:pPr>
            <w:r>
              <w:rPr>
                <w:rFonts w:ascii="Arial" w:cs="Arial" w:eastAsia="Arial" w:hAnsi="Arial"/>
                <w:sz w:val="18"/>
                <w:szCs w:val="18"/>
                <w:color w:val="auto"/>
              </w:rPr>
              <w:t>close of business on each</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and</w:t>
            </w:r>
          </w:p>
        </w:tc>
        <w:tc>
          <w:tcPr>
            <w:tcW w:w="280" w:type="dxa"/>
            <w:vAlign w:val="bottom"/>
          </w:tcPr>
          <w:p>
            <w:pPr>
              <w:spacing w:after="0"/>
              <w:rPr>
                <w:sz w:val="18"/>
                <w:szCs w:val="18"/>
                <w:color w:val="auto"/>
              </w:rPr>
            </w:pPr>
          </w:p>
        </w:tc>
        <w:tc>
          <w:tcPr>
            <w:tcW w:w="3640" w:type="dxa"/>
            <w:vAlign w:val="bottom"/>
            <w:gridSpan w:val="4"/>
          </w:tcPr>
          <w:p>
            <w:pPr>
              <w:jc w:val="right"/>
              <w:ind w:right="110"/>
              <w:spacing w:after="0"/>
              <w:rPr>
                <w:sz w:val="20"/>
                <w:szCs w:val="20"/>
                <w:color w:val="auto"/>
              </w:rPr>
            </w:pPr>
            <w:r>
              <w:rPr>
                <w:rFonts w:ascii="Arial" w:cs="Arial" w:eastAsia="Arial" w:hAnsi="Arial"/>
                <w:sz w:val="18"/>
                <w:szCs w:val="18"/>
                <w:color w:val="auto"/>
                <w:w w:val="94"/>
              </w:rPr>
              <w:t>immediately preceding each interest payment</w:t>
            </w:r>
          </w:p>
        </w:tc>
      </w:tr>
      <w:tr>
        <w:trPr>
          <w:trHeight w:val="230"/>
        </w:trPr>
        <w:tc>
          <w:tcPr>
            <w:tcW w:w="3340" w:type="dxa"/>
            <w:vAlign w:val="bottom"/>
          </w:tcPr>
          <w:p>
            <w:pPr>
              <w:spacing w:after="0"/>
              <w:rPr>
                <w:sz w:val="20"/>
                <w:szCs w:val="20"/>
                <w:color w:val="auto"/>
              </w:rPr>
            </w:pPr>
          </w:p>
        </w:tc>
        <w:tc>
          <w:tcPr>
            <w:tcW w:w="2680" w:type="dxa"/>
            <w:vAlign w:val="bottom"/>
          </w:tcPr>
          <w:p>
            <w:pPr>
              <w:ind w:left="1400"/>
              <w:spacing w:after="0"/>
              <w:rPr>
                <w:sz w:val="20"/>
                <w:szCs w:val="20"/>
                <w:color w:val="auto"/>
              </w:rPr>
            </w:pPr>
            <w:r>
              <w:rPr>
                <w:rFonts w:ascii="Arial" w:cs="Arial" w:eastAsia="Arial" w:hAnsi="Arial"/>
                <w:sz w:val="18"/>
                <w:szCs w:val="18"/>
                <w:color w:val="auto"/>
              </w:rPr>
              <w:t>date.</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72"/>
        </w:trPr>
        <w:tc>
          <w:tcPr>
            <w:tcW w:w="3340" w:type="dxa"/>
            <w:vAlign w:val="bottom"/>
          </w:tcPr>
          <w:p>
            <w:pPr>
              <w:ind w:left="200"/>
              <w:spacing w:after="0"/>
              <w:rPr>
                <w:sz w:val="20"/>
                <w:szCs w:val="20"/>
                <w:color w:val="auto"/>
              </w:rPr>
            </w:pPr>
            <w:r>
              <w:rPr>
                <w:rFonts w:ascii="Arial" w:cs="Arial" w:eastAsia="Arial" w:hAnsi="Arial"/>
                <w:sz w:val="18"/>
                <w:szCs w:val="18"/>
                <w:b w:val="1"/>
                <w:bCs w:val="1"/>
                <w:color w:val="auto"/>
              </w:rPr>
              <w:t>Ranking</w:t>
            </w:r>
          </w:p>
        </w:tc>
        <w:tc>
          <w:tcPr>
            <w:tcW w:w="7840" w:type="dxa"/>
            <w:vAlign w:val="bottom"/>
            <w:gridSpan w:val="7"/>
          </w:tcPr>
          <w:p>
            <w:pPr>
              <w:ind w:left="1400"/>
              <w:spacing w:after="0"/>
              <w:rPr>
                <w:sz w:val="20"/>
                <w:szCs w:val="20"/>
                <w:color w:val="auto"/>
              </w:rPr>
            </w:pPr>
            <w:r>
              <w:rPr>
                <w:rFonts w:ascii="Arial" w:cs="Arial" w:eastAsia="Arial" w:hAnsi="Arial"/>
                <w:sz w:val="18"/>
                <w:szCs w:val="18"/>
                <w:color w:val="auto"/>
                <w:w w:val="92"/>
              </w:rPr>
              <w:t>The Notes of each series will be our general unsecured and unsubordinated obligations</w:t>
            </w:r>
          </w:p>
        </w:tc>
        <w:tc>
          <w:tcPr>
            <w:tcW w:w="28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7840" w:type="dxa"/>
            <w:vAlign w:val="bottom"/>
            <w:gridSpan w:val="7"/>
          </w:tcPr>
          <w:p>
            <w:pPr>
              <w:ind w:left="1400"/>
              <w:spacing w:after="0"/>
              <w:rPr>
                <w:sz w:val="20"/>
                <w:szCs w:val="20"/>
                <w:color w:val="auto"/>
              </w:rPr>
            </w:pPr>
            <w:r>
              <w:rPr>
                <w:rFonts w:ascii="Arial" w:cs="Arial" w:eastAsia="Arial" w:hAnsi="Arial"/>
                <w:sz w:val="18"/>
                <w:szCs w:val="18"/>
                <w:color w:val="auto"/>
              </w:rPr>
              <w:t>and will rank equally in right of payment with all of our other existing and future</w:t>
            </w:r>
          </w:p>
        </w:tc>
        <w:tc>
          <w:tcPr>
            <w:tcW w:w="280" w:type="dxa"/>
            <w:vAlign w:val="bottom"/>
          </w:tcPr>
          <w:p>
            <w:pPr>
              <w:spacing w:after="0"/>
              <w:rPr>
                <w:sz w:val="18"/>
                <w:szCs w:val="18"/>
                <w:color w:val="auto"/>
              </w:rPr>
            </w:pPr>
          </w:p>
        </w:tc>
      </w:tr>
      <w:tr>
        <w:trPr>
          <w:trHeight w:val="230"/>
        </w:trPr>
        <w:tc>
          <w:tcPr>
            <w:tcW w:w="3340" w:type="dxa"/>
            <w:vAlign w:val="bottom"/>
          </w:tcPr>
          <w:p>
            <w:pPr>
              <w:spacing w:after="0"/>
              <w:rPr>
                <w:sz w:val="20"/>
                <w:szCs w:val="20"/>
                <w:color w:val="auto"/>
              </w:rPr>
            </w:pPr>
          </w:p>
        </w:tc>
        <w:tc>
          <w:tcPr>
            <w:tcW w:w="6300" w:type="dxa"/>
            <w:vAlign w:val="bottom"/>
            <w:gridSpan w:val="6"/>
          </w:tcPr>
          <w:p>
            <w:pPr>
              <w:ind w:left="1400"/>
              <w:spacing w:after="0"/>
              <w:rPr>
                <w:sz w:val="20"/>
                <w:szCs w:val="20"/>
                <w:color w:val="auto"/>
              </w:rPr>
            </w:pPr>
            <w:r>
              <w:rPr>
                <w:rFonts w:ascii="Arial" w:cs="Arial" w:eastAsia="Arial" w:hAnsi="Arial"/>
                <w:sz w:val="18"/>
                <w:szCs w:val="18"/>
                <w:color w:val="auto"/>
                <w:w w:val="92"/>
              </w:rPr>
              <w:t>unsecured and unsubordinated debt from time to time outstanding.</w:t>
            </w: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59"/>
        </w:trPr>
        <w:tc>
          <w:tcPr>
            <w:tcW w:w="33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342"/>
        </w:trPr>
        <w:tc>
          <w:tcPr>
            <w:tcW w:w="3340" w:type="dxa"/>
            <w:vAlign w:val="bottom"/>
          </w:tcPr>
          <w:p>
            <w:pPr>
              <w:spacing w:after="0"/>
              <w:rPr>
                <w:sz w:val="24"/>
                <w:szCs w:val="24"/>
                <w:color w:val="auto"/>
              </w:rPr>
            </w:pPr>
          </w:p>
        </w:tc>
        <w:tc>
          <w:tcPr>
            <w:tcW w:w="2680" w:type="dxa"/>
            <w:vAlign w:val="bottom"/>
          </w:tcPr>
          <w:p>
            <w:pPr>
              <w:ind w:left="2260"/>
              <w:spacing w:after="0"/>
              <w:rPr>
                <w:sz w:val="20"/>
                <w:szCs w:val="20"/>
                <w:color w:val="auto"/>
              </w:rPr>
            </w:pPr>
            <w:r>
              <w:rPr>
                <w:rFonts w:ascii="Arial" w:cs="Arial" w:eastAsia="Arial" w:hAnsi="Arial"/>
                <w:sz w:val="16"/>
                <w:szCs w:val="16"/>
                <w:color w:val="auto"/>
              </w:rPr>
              <w:t>S-3</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04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prior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No optional redemption of the Floating Rate Notes</w:t>
      </w:r>
    </w:p>
    <w:p>
      <w:pPr>
        <w:spacing w:after="0" w:line="200" w:lineRule="exact"/>
        <w:rPr>
          <w:sz w:val="20"/>
          <w:szCs w:val="20"/>
          <w:color w:val="auto"/>
        </w:rPr>
      </w:pPr>
    </w:p>
    <w:p>
      <w:pPr>
        <w:spacing w:after="0" w:line="345" w:lineRule="exact"/>
        <w:rPr>
          <w:sz w:val="20"/>
          <w:szCs w:val="20"/>
          <w:color w:val="auto"/>
        </w:rPr>
      </w:pPr>
    </w:p>
    <w:p>
      <w:pPr>
        <w:ind w:left="200"/>
        <w:spacing w:after="0"/>
        <w:tabs>
          <w:tab w:leader="none" w:pos="2860" w:val="left"/>
        </w:tabs>
        <w:rPr>
          <w:sz w:val="20"/>
          <w:szCs w:val="20"/>
          <w:color w:val="auto"/>
        </w:rPr>
      </w:pPr>
      <w:r>
        <w:rPr>
          <w:rFonts w:ascii="Arial" w:cs="Arial" w:eastAsia="Arial" w:hAnsi="Arial"/>
          <w:sz w:val="18"/>
          <w:szCs w:val="18"/>
          <w:b w:val="1"/>
          <w:bCs w:val="1"/>
          <w:color w:val="auto"/>
        </w:rPr>
        <w:t>Optional redemption of the</w:t>
      </w:r>
      <w:r>
        <w:rPr>
          <w:sz w:val="20"/>
          <w:szCs w:val="20"/>
          <w:color w:val="auto"/>
        </w:rPr>
        <w:tab/>
      </w:r>
      <w:r>
        <w:rPr>
          <w:rFonts w:ascii="Arial" w:cs="Arial" w:eastAsia="Arial" w:hAnsi="Arial"/>
          <w:sz w:val="16"/>
          <w:szCs w:val="16"/>
          <w:b w:val="1"/>
          <w:bCs w:val="1"/>
          <w:color w:val="auto"/>
        </w:rPr>
        <w:t>Fixed Rate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tabs>
          <w:tab w:leader="none" w:pos="2860" w:val="left"/>
        </w:tabs>
        <w:rPr>
          <w:sz w:val="20"/>
          <w:szCs w:val="20"/>
          <w:color w:val="auto"/>
        </w:rPr>
      </w:pPr>
      <w:r>
        <w:rPr>
          <w:rFonts w:ascii="Arial" w:cs="Arial" w:eastAsia="Arial" w:hAnsi="Arial"/>
          <w:sz w:val="18"/>
          <w:szCs w:val="18"/>
          <w:b w:val="1"/>
          <w:bCs w:val="1"/>
          <w:color w:val="auto"/>
        </w:rPr>
        <w:t>Optional redemption of the</w:t>
      </w:r>
      <w:r>
        <w:rPr>
          <w:sz w:val="20"/>
          <w:szCs w:val="20"/>
          <w:color w:val="auto"/>
        </w:rPr>
        <w:tab/>
      </w:r>
      <w:r>
        <w:rPr>
          <w:rFonts w:ascii="Arial" w:cs="Arial" w:eastAsia="Arial" w:hAnsi="Arial"/>
          <w:sz w:val="16"/>
          <w:szCs w:val="16"/>
          <w:b w:val="1"/>
          <w:bCs w:val="1"/>
          <w:color w:val="auto"/>
        </w:rPr>
        <w:t>Fixed Rate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 w:right="60"/>
        <w:spacing w:after="0" w:line="293" w:lineRule="auto"/>
        <w:rPr>
          <w:sz w:val="20"/>
          <w:szCs w:val="20"/>
          <w:color w:val="auto"/>
        </w:rPr>
      </w:pPr>
      <w:r>
        <w:rPr>
          <w:rFonts w:ascii="Arial" w:cs="Arial" w:eastAsia="Arial" w:hAnsi="Arial"/>
          <w:sz w:val="16"/>
          <w:szCs w:val="16"/>
          <w:color w:val="auto"/>
        </w:rPr>
        <w:t>The Notes of each series are new securities and there is currently no established trading market for the Notes. We do not intend to apply for listing of the Notes on any securities exchange. Although the underwriters have informed us that they intend to make a market in the Notes, they are not obligated to do so and they may discontinue market making activities at any time without notice. Accordingly, we cannot assure you that a liquid market for the Notes will develop or be maintained. See “Underwriting.”</w:t>
      </w:r>
    </w:p>
    <w:p>
      <w:pPr>
        <w:spacing w:after="0" w:line="200" w:lineRule="exact"/>
        <w:rPr>
          <w:sz w:val="20"/>
          <w:szCs w:val="20"/>
          <w:color w:val="auto"/>
        </w:rPr>
      </w:pPr>
    </w:p>
    <w:p>
      <w:pPr>
        <w:spacing w:after="0" w:line="262" w:lineRule="exact"/>
        <w:rPr>
          <w:sz w:val="20"/>
          <w:szCs w:val="20"/>
          <w:color w:val="auto"/>
        </w:rPr>
      </w:pPr>
    </w:p>
    <w:p>
      <w:pPr>
        <w:ind w:left="1"/>
        <w:spacing w:after="0"/>
        <w:rPr>
          <w:sz w:val="20"/>
          <w:szCs w:val="20"/>
          <w:color w:val="auto"/>
        </w:rPr>
      </w:pPr>
      <w:r>
        <w:rPr>
          <w:rFonts w:ascii="Arial" w:cs="Arial" w:eastAsia="Arial" w:hAnsi="Arial"/>
          <w:sz w:val="18"/>
          <w:szCs w:val="18"/>
          <w:color w:val="auto"/>
        </w:rPr>
        <w:t>We do not have the right to redeem the Floating Rate Notes prior to maturity.</w:t>
      </w:r>
    </w:p>
    <w:p>
      <w:pPr>
        <w:spacing w:after="0" w:line="200" w:lineRule="exact"/>
        <w:rPr>
          <w:sz w:val="20"/>
          <w:szCs w:val="20"/>
          <w:color w:val="auto"/>
        </w:rPr>
      </w:pPr>
    </w:p>
    <w:p>
      <w:pPr>
        <w:spacing w:after="0" w:line="349" w:lineRule="exact"/>
        <w:rPr>
          <w:sz w:val="20"/>
          <w:szCs w:val="20"/>
          <w:color w:val="auto"/>
        </w:rPr>
      </w:pPr>
    </w:p>
    <w:p>
      <w:pPr>
        <w:ind w:left="1"/>
        <w:spacing w:after="0"/>
        <w:tabs>
          <w:tab w:leader="none" w:pos="2921" w:val="left"/>
        </w:tabs>
        <w:rPr>
          <w:sz w:val="20"/>
          <w:szCs w:val="20"/>
          <w:color w:val="auto"/>
        </w:rPr>
      </w:pPr>
      <w:r>
        <w:rPr>
          <w:rFonts w:ascii="Arial" w:cs="Arial" w:eastAsia="Arial" w:hAnsi="Arial"/>
          <w:sz w:val="18"/>
          <w:szCs w:val="18"/>
          <w:color w:val="auto"/>
        </w:rPr>
        <w:t>We may redeem any or all of the</w:t>
      </w:r>
      <w:r>
        <w:rPr>
          <w:sz w:val="20"/>
          <w:szCs w:val="20"/>
          <w:color w:val="auto"/>
        </w:rPr>
        <w:tab/>
      </w:r>
      <w:r>
        <w:rPr>
          <w:rFonts w:ascii="Arial" w:cs="Arial" w:eastAsia="Arial" w:hAnsi="Arial"/>
          <w:sz w:val="16"/>
          <w:szCs w:val="16"/>
          <w:color w:val="auto"/>
        </w:rPr>
        <w:t>Fixed Rate Notes at our option at any time prior</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maturity, at a redemption price equal to the greater of:</w:t>
      </w:r>
    </w:p>
    <w:p>
      <w:pPr>
        <w:spacing w:after="0" w:line="232" w:lineRule="exact"/>
        <w:rPr>
          <w:sz w:val="20"/>
          <w:szCs w:val="20"/>
          <w:color w:val="auto"/>
        </w:rPr>
      </w:pPr>
    </w:p>
    <w:p>
      <w:pPr>
        <w:ind w:left="1"/>
        <w:spacing w:after="0"/>
        <w:tabs>
          <w:tab w:leader="none" w:pos="421" w:val="left"/>
          <w:tab w:leader="none" w:pos="3621" w:val="left"/>
        </w:tabs>
        <w:rPr>
          <w:sz w:val="20"/>
          <w:szCs w:val="20"/>
          <w:color w:val="auto"/>
        </w:rPr>
      </w:pPr>
      <w:r>
        <w:rPr>
          <w:rFonts w:ascii="Arial" w:cs="Arial" w:eastAsia="Arial" w:hAnsi="Arial"/>
          <w:sz w:val="25"/>
          <w:szCs w:val="25"/>
          <w:color w:val="auto"/>
        </w:rPr>
        <w:t>•</w:t>
      </w:r>
      <w:r>
        <w:rPr>
          <w:sz w:val="20"/>
          <w:szCs w:val="20"/>
          <w:color w:val="auto"/>
        </w:rPr>
        <w:tab/>
      </w:r>
      <w:r>
        <w:rPr>
          <w:rFonts w:ascii="Arial" w:cs="Arial" w:eastAsia="Arial" w:hAnsi="Arial"/>
          <w:sz w:val="18"/>
          <w:szCs w:val="18"/>
          <w:color w:val="auto"/>
        </w:rPr>
        <w:t>100% of the principal amount of the</w:t>
      </w:r>
      <w:r>
        <w:rPr>
          <w:sz w:val="20"/>
          <w:szCs w:val="20"/>
          <w:color w:val="auto"/>
        </w:rPr>
        <w:tab/>
      </w:r>
      <w:r>
        <w:rPr>
          <w:rFonts w:ascii="Arial" w:cs="Arial" w:eastAsia="Arial" w:hAnsi="Arial"/>
          <w:sz w:val="16"/>
          <w:szCs w:val="16"/>
          <w:color w:val="auto"/>
        </w:rPr>
        <w:t>Fixed Rate Notes being redeemed; or</w:t>
      </w:r>
    </w:p>
    <w:p>
      <w:pPr>
        <w:spacing w:after="0" w:line="200" w:lineRule="exact"/>
        <w:rPr>
          <w:sz w:val="20"/>
          <w:szCs w:val="20"/>
          <w:color w:val="auto"/>
        </w:rPr>
      </w:pPr>
    </w:p>
    <w:p>
      <w:pPr>
        <w:spacing w:after="0" w:line="225" w:lineRule="exact"/>
        <w:rPr>
          <w:sz w:val="20"/>
          <w:szCs w:val="20"/>
          <w:color w:val="auto"/>
        </w:rPr>
      </w:pPr>
    </w:p>
    <w:p>
      <w:pPr>
        <w:ind w:left="441" w:hanging="441"/>
        <w:spacing w:after="0"/>
        <w:tabs>
          <w:tab w:leader="none" w:pos="441" w:val="left"/>
        </w:tabs>
        <w:numPr>
          <w:ilvl w:val="0"/>
          <w:numId w:val="6"/>
        </w:numPr>
        <w:rPr>
          <w:rFonts w:ascii="Arial" w:cs="Arial" w:eastAsia="Arial" w:hAnsi="Arial"/>
          <w:sz w:val="22"/>
          <w:szCs w:val="22"/>
          <w:color w:val="auto"/>
        </w:rPr>
      </w:pPr>
      <w:r>
        <w:rPr>
          <w:rFonts w:ascii="Arial" w:cs="Arial" w:eastAsia="Arial" w:hAnsi="Arial"/>
          <w:sz w:val="16"/>
          <w:szCs w:val="16"/>
          <w:color w:val="auto"/>
        </w:rPr>
        <w:t>the sum of the present values of the remaining scheduled payments of principal and</w:t>
      </w:r>
    </w:p>
    <w:p>
      <w:pPr>
        <w:spacing w:after="0" w:line="15" w:lineRule="exact"/>
        <w:rPr>
          <w:sz w:val="20"/>
          <w:szCs w:val="20"/>
          <w:color w:val="auto"/>
        </w:rPr>
      </w:pPr>
    </w:p>
    <w:p>
      <w:pPr>
        <w:ind w:left="361"/>
        <w:spacing w:after="0" w:line="281" w:lineRule="auto"/>
        <w:rPr>
          <w:sz w:val="20"/>
          <w:szCs w:val="20"/>
          <w:color w:val="auto"/>
        </w:rPr>
      </w:pPr>
      <w:r>
        <w:rPr>
          <w:rFonts w:ascii="Arial" w:cs="Arial" w:eastAsia="Arial" w:hAnsi="Arial"/>
          <w:sz w:val="16"/>
          <w:szCs w:val="16"/>
          <w:color w:val="auto"/>
        </w:rPr>
        <w:t>interest thereon (not including any portion of such payments of interest accrued as of the date of redemption), discounted to their present value as of such date of redemption on a semiannual basis (assuming a 360-day year consisting of twelve 30-</w:t>
      </w:r>
    </w:p>
    <w:p>
      <w:pPr>
        <w:ind w:left="361"/>
        <w:spacing w:after="0"/>
        <w:tabs>
          <w:tab w:leader="none" w:pos="5101" w:val="left"/>
        </w:tabs>
        <w:rPr>
          <w:sz w:val="20"/>
          <w:szCs w:val="20"/>
          <w:color w:val="auto"/>
        </w:rPr>
      </w:pPr>
      <w:r>
        <w:rPr>
          <w:rFonts w:ascii="Arial" w:cs="Arial" w:eastAsia="Arial" w:hAnsi="Arial"/>
          <w:sz w:val="18"/>
          <w:szCs w:val="18"/>
          <w:color w:val="auto"/>
        </w:rPr>
        <w:t>day months) at the Treasury Rate (as defined herein), plus</w:t>
      </w:r>
      <w:r>
        <w:rPr>
          <w:sz w:val="20"/>
          <w:szCs w:val="20"/>
          <w:color w:val="auto"/>
        </w:rPr>
        <w:tab/>
      </w:r>
      <w:r>
        <w:rPr>
          <w:rFonts w:ascii="Arial" w:cs="Arial" w:eastAsia="Arial" w:hAnsi="Arial"/>
          <w:sz w:val="15"/>
          <w:szCs w:val="15"/>
          <w:color w:val="auto"/>
        </w:rPr>
        <w:t>basis points.</w:t>
      </w:r>
    </w:p>
    <w:p>
      <w:pPr>
        <w:spacing w:after="0" w:line="26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260" w:type="dxa"/>
            <w:vAlign w:val="bottom"/>
            <w:gridSpan w:val="6"/>
          </w:tcPr>
          <w:p>
            <w:pPr>
              <w:spacing w:after="0"/>
              <w:rPr>
                <w:sz w:val="20"/>
                <w:szCs w:val="20"/>
                <w:color w:val="auto"/>
              </w:rPr>
            </w:pPr>
            <w:r>
              <w:rPr>
                <w:rFonts w:ascii="Arial" w:cs="Arial" w:eastAsia="Arial" w:hAnsi="Arial"/>
                <w:sz w:val="18"/>
                <w:szCs w:val="18"/>
                <w:color w:val="auto"/>
                <w:w w:val="96"/>
              </w:rPr>
              <w:t>We will also pay the accrued and unpaid interest on the</w:t>
            </w: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w w:val="95"/>
              </w:rPr>
              <w:t>Fixed Rate Notes to the</w:t>
            </w:r>
          </w:p>
        </w:tc>
      </w:tr>
      <w:tr>
        <w:trPr>
          <w:trHeight w:val="216"/>
        </w:trPr>
        <w:tc>
          <w:tcPr>
            <w:tcW w:w="5560" w:type="dxa"/>
            <w:vAlign w:val="bottom"/>
            <w:gridSpan w:val="7"/>
          </w:tcPr>
          <w:p>
            <w:pPr>
              <w:spacing w:after="0"/>
              <w:rPr>
                <w:sz w:val="20"/>
                <w:szCs w:val="20"/>
                <w:color w:val="auto"/>
              </w:rPr>
            </w:pPr>
            <w:r>
              <w:rPr>
                <w:rFonts w:ascii="Arial" w:cs="Arial" w:eastAsia="Arial" w:hAnsi="Arial"/>
                <w:sz w:val="18"/>
                <w:szCs w:val="18"/>
                <w:color w:val="auto"/>
                <w:w w:val="96"/>
              </w:rPr>
              <w:t>redemption date. See “Description of Notes—Optional redemption of the</w:t>
            </w:r>
          </w:p>
        </w:tc>
        <w:tc>
          <w:tcPr>
            <w:tcW w:w="820" w:type="dxa"/>
            <w:vAlign w:val="bottom"/>
          </w:tcPr>
          <w:p>
            <w:pPr>
              <w:ind w:left="300"/>
              <w:spacing w:after="0"/>
              <w:rPr>
                <w:sz w:val="20"/>
                <w:szCs w:val="20"/>
                <w:color w:val="auto"/>
              </w:rPr>
            </w:pPr>
            <w:r>
              <w:rPr>
                <w:rFonts w:ascii="Arial" w:cs="Arial" w:eastAsia="Arial" w:hAnsi="Arial"/>
                <w:sz w:val="18"/>
                <w:szCs w:val="18"/>
                <w:color w:val="auto"/>
              </w:rPr>
              <w:t>Fixed</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Rate Notes.”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26"/>
        </w:trPr>
        <w:tc>
          <w:tcPr>
            <w:tcW w:w="2640" w:type="dxa"/>
            <w:vAlign w:val="bottom"/>
            <w:gridSpan w:val="4"/>
          </w:tcPr>
          <w:p>
            <w:pPr>
              <w:spacing w:after="0"/>
              <w:rPr>
                <w:sz w:val="20"/>
                <w:szCs w:val="20"/>
                <w:color w:val="auto"/>
              </w:rPr>
            </w:pPr>
            <w:r>
              <w:rPr>
                <w:rFonts w:ascii="Arial" w:cs="Arial" w:eastAsia="Arial" w:hAnsi="Arial"/>
                <w:sz w:val="18"/>
                <w:szCs w:val="18"/>
                <w:color w:val="auto"/>
              </w:rPr>
              <w:t>We may redeem any or all of the</w:t>
            </w:r>
          </w:p>
        </w:tc>
        <w:tc>
          <w:tcPr>
            <w:tcW w:w="3740" w:type="dxa"/>
            <w:vAlign w:val="bottom"/>
            <w:gridSpan w:val="4"/>
          </w:tcPr>
          <w:p>
            <w:pPr>
              <w:ind w:left="300"/>
              <w:spacing w:after="0"/>
              <w:rPr>
                <w:sz w:val="20"/>
                <w:szCs w:val="20"/>
                <w:color w:val="auto"/>
              </w:rPr>
            </w:pPr>
            <w:r>
              <w:rPr>
                <w:rFonts w:ascii="Arial" w:cs="Arial" w:eastAsia="Arial" w:hAnsi="Arial"/>
                <w:sz w:val="18"/>
                <w:szCs w:val="18"/>
                <w:color w:val="auto"/>
                <w:w w:val="90"/>
              </w:rPr>
              <w:t>Fixed Rate Notes at our option at any time prior</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to</w:t>
            </w: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740" w:type="dxa"/>
            <w:vAlign w:val="bottom"/>
            <w:gridSpan w:val="5"/>
          </w:tcPr>
          <w:p>
            <w:pPr>
              <w:ind w:left="260"/>
              <w:spacing w:after="0"/>
              <w:rPr>
                <w:sz w:val="20"/>
                <w:szCs w:val="20"/>
                <w:color w:val="auto"/>
              </w:rPr>
            </w:pPr>
            <w:r>
              <w:rPr>
                <w:rFonts w:ascii="Arial" w:cs="Arial" w:eastAsia="Arial" w:hAnsi="Arial"/>
                <w:sz w:val="18"/>
                <w:szCs w:val="18"/>
                <w:color w:val="auto"/>
                <w:w w:val="95"/>
              </w:rPr>
              <w:t>months before maturity), at a redemption price equal to the</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greater of:</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62"/>
        </w:trPr>
        <w:tc>
          <w:tcPr>
            <w:tcW w:w="300" w:type="dxa"/>
            <w:vAlign w:val="bottom"/>
          </w:tcPr>
          <w:p>
            <w:pPr>
              <w:spacing w:after="0"/>
              <w:rPr>
                <w:sz w:val="20"/>
                <w:szCs w:val="20"/>
                <w:color w:val="auto"/>
              </w:rPr>
            </w:pPr>
            <w:r>
              <w:rPr>
                <w:rFonts w:ascii="Arial" w:cs="Arial" w:eastAsia="Arial" w:hAnsi="Arial"/>
                <w:sz w:val="25"/>
                <w:szCs w:val="25"/>
                <w:color w:val="auto"/>
              </w:rPr>
              <w:t>•</w:t>
            </w:r>
          </w:p>
        </w:tc>
        <w:tc>
          <w:tcPr>
            <w:tcW w:w="3040" w:type="dxa"/>
            <w:vAlign w:val="bottom"/>
            <w:gridSpan w:val="4"/>
          </w:tcPr>
          <w:p>
            <w:pPr>
              <w:ind w:left="140"/>
              <w:spacing w:after="0"/>
              <w:rPr>
                <w:sz w:val="20"/>
                <w:szCs w:val="20"/>
                <w:color w:val="auto"/>
              </w:rPr>
            </w:pPr>
            <w:r>
              <w:rPr>
                <w:rFonts w:ascii="Arial" w:cs="Arial" w:eastAsia="Arial" w:hAnsi="Arial"/>
                <w:sz w:val="18"/>
                <w:szCs w:val="18"/>
                <w:color w:val="auto"/>
              </w:rPr>
              <w:t>100% of the principal amount of the</w:t>
            </w:r>
          </w:p>
        </w:tc>
        <w:tc>
          <w:tcPr>
            <w:tcW w:w="3040" w:type="dxa"/>
            <w:vAlign w:val="bottom"/>
            <w:gridSpan w:val="3"/>
          </w:tcPr>
          <w:p>
            <w:pPr>
              <w:ind w:left="300"/>
              <w:spacing w:after="0"/>
              <w:rPr>
                <w:sz w:val="20"/>
                <w:szCs w:val="20"/>
                <w:color w:val="auto"/>
              </w:rPr>
            </w:pPr>
            <w:r>
              <w:rPr>
                <w:rFonts w:ascii="Arial" w:cs="Arial" w:eastAsia="Arial" w:hAnsi="Arial"/>
                <w:sz w:val="18"/>
                <w:szCs w:val="18"/>
                <w:color w:val="auto"/>
                <w:w w:val="90"/>
              </w:rPr>
              <w:t>Fixed Rate Notes being redeemed; or</w:t>
            </w:r>
          </w:p>
        </w:tc>
      </w:tr>
    </w:tbl>
    <w:p>
      <w:pPr>
        <w:spacing w:after="0" w:line="301" w:lineRule="exact"/>
        <w:rPr>
          <w:sz w:val="20"/>
          <w:szCs w:val="20"/>
          <w:color w:val="auto"/>
        </w:rPr>
      </w:pPr>
    </w:p>
    <w:p>
      <w:pPr>
        <w:jc w:val="both"/>
        <w:ind w:left="361" w:hanging="361"/>
        <w:spacing w:after="0" w:line="261" w:lineRule="auto"/>
        <w:tabs>
          <w:tab w:leader="none" w:pos="449" w:val="left"/>
        </w:tabs>
        <w:numPr>
          <w:ilvl w:val="0"/>
          <w:numId w:val="7"/>
        </w:numPr>
        <w:rPr>
          <w:rFonts w:ascii="Arial" w:cs="Arial" w:eastAsia="Arial" w:hAnsi="Arial"/>
          <w:sz w:val="22"/>
          <w:szCs w:val="22"/>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 of interest accrued as of the date of redemption), discounted to their present value as of such date of</w:t>
      </w:r>
    </w:p>
    <w:p>
      <w:pPr>
        <w:spacing w:after="0" w:line="1" w:lineRule="exact"/>
        <w:rPr>
          <w:sz w:val="20"/>
          <w:szCs w:val="20"/>
          <w:color w:val="auto"/>
        </w:rPr>
      </w:pPr>
    </w:p>
    <w:p>
      <w:pPr>
        <w:ind w:left="361"/>
        <w:spacing w:after="0"/>
        <w:rPr>
          <w:sz w:val="20"/>
          <w:szCs w:val="20"/>
          <w:color w:val="auto"/>
        </w:rPr>
      </w:pPr>
      <w:r>
        <w:rPr>
          <w:rFonts w:ascii="Arial" w:cs="Arial" w:eastAsia="Arial" w:hAnsi="Arial"/>
          <w:sz w:val="16"/>
          <w:szCs w:val="16"/>
          <w:color w:val="auto"/>
        </w:rPr>
        <w:t>redemption on a semiannual basis (assuming a 360-day year consisting of twelve 30-</w:t>
      </w:r>
    </w:p>
    <w:p>
      <w:pPr>
        <w:spacing w:after="0" w:line="32" w:lineRule="exact"/>
        <w:rPr>
          <w:sz w:val="20"/>
          <w:szCs w:val="20"/>
          <w:color w:val="auto"/>
        </w:rPr>
      </w:pPr>
    </w:p>
    <w:p>
      <w:pPr>
        <w:ind w:left="361"/>
        <w:spacing w:after="0"/>
        <w:tabs>
          <w:tab w:leader="none" w:pos="3701" w:val="left"/>
        </w:tabs>
        <w:rPr>
          <w:sz w:val="20"/>
          <w:szCs w:val="20"/>
          <w:color w:val="auto"/>
        </w:rPr>
      </w:pPr>
      <w:r>
        <w:rPr>
          <w:rFonts w:ascii="Arial" w:cs="Arial" w:eastAsia="Arial" w:hAnsi="Arial"/>
          <w:sz w:val="18"/>
          <w:szCs w:val="18"/>
          <w:color w:val="auto"/>
        </w:rPr>
        <w:t>day months) at the Treasury Rate, plus</w:t>
      </w:r>
      <w:r>
        <w:rPr>
          <w:sz w:val="20"/>
          <w:szCs w:val="20"/>
          <w:color w:val="auto"/>
        </w:rPr>
        <w:tab/>
      </w:r>
      <w:r>
        <w:rPr>
          <w:rFonts w:ascii="Arial" w:cs="Arial" w:eastAsia="Arial" w:hAnsi="Arial"/>
          <w:sz w:val="16"/>
          <w:szCs w:val="16"/>
          <w:color w:val="auto"/>
        </w:rPr>
        <w:t>basis points.</w:t>
      </w:r>
    </w:p>
    <w:p>
      <w:pPr>
        <w:spacing w:after="0" w:line="200" w:lineRule="exact"/>
        <w:rPr>
          <w:sz w:val="20"/>
          <w:szCs w:val="20"/>
          <w:color w:val="auto"/>
        </w:rPr>
      </w:pPr>
    </w:p>
    <w:p>
      <w:pPr>
        <w:sectPr>
          <w:pgSz w:w="11900" w:h="16838" w:orient="portrait"/>
          <w:cols w:equalWidth="0" w:num="2">
            <w:col w:w="4180" w:space="559"/>
            <w:col w:w="6481"/>
          </w:cols>
          <w:pgMar w:left="240" w:top="459" w:right="439" w:bottom="1440" w:gutter="0" w:footer="0" w:header="0"/>
          <w:type w:val="continuous"/>
        </w:sectPr>
      </w:pP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S-4</w:t>
      </w:r>
    </w:p>
    <w:p>
      <w:pPr>
        <w:sectPr>
          <w:pgSz w:w="11900" w:h="16838" w:orient="portrait"/>
          <w:cols w:equalWidth="0" w:num="1">
            <w:col w:w="11220"/>
          </w:cols>
          <w:pgMar w:left="24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740"/>
        <w:spacing w:after="0"/>
        <w:tabs>
          <w:tab w:leader="none" w:pos="7660" w:val="left"/>
          <w:tab w:leader="none" w:pos="10240" w:val="left"/>
        </w:tabs>
        <w:rPr>
          <w:sz w:val="20"/>
          <w:szCs w:val="20"/>
          <w:color w:val="auto"/>
        </w:rPr>
      </w:pPr>
      <w:r>
        <w:rPr>
          <w:rFonts w:ascii="Arial" w:cs="Arial" w:eastAsia="Arial" w:hAnsi="Arial"/>
          <w:sz w:val="18"/>
          <w:szCs w:val="18"/>
          <w:color w:val="auto"/>
        </w:rPr>
        <w:t>We may redeem any or all of the</w:t>
      </w:r>
      <w:r>
        <w:rPr>
          <w:sz w:val="20"/>
          <w:szCs w:val="20"/>
          <w:color w:val="auto"/>
        </w:rPr>
        <w:tab/>
      </w:r>
      <w:r>
        <w:rPr>
          <w:rFonts w:ascii="Arial" w:cs="Arial" w:eastAsia="Arial" w:hAnsi="Arial"/>
          <w:sz w:val="18"/>
          <w:szCs w:val="18"/>
          <w:color w:val="auto"/>
        </w:rPr>
        <w:t>Fixed Rate Notes on or after</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5340" w:hanging="601"/>
        <w:spacing w:after="0"/>
        <w:tabs>
          <w:tab w:leader="none" w:pos="5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months before maturity), at a redemption price equal to 100% of the principal</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amount of the</w:t>
            </w:r>
          </w:p>
        </w:tc>
        <w:tc>
          <w:tcPr>
            <w:tcW w:w="320" w:type="dxa"/>
            <w:vAlign w:val="bottom"/>
          </w:tcPr>
          <w:p>
            <w:pPr>
              <w:spacing w:after="0"/>
              <w:rPr>
                <w:sz w:val="17"/>
                <w:szCs w:val="17"/>
                <w:color w:val="auto"/>
              </w:rPr>
            </w:pPr>
          </w:p>
        </w:tc>
        <w:tc>
          <w:tcPr>
            <w:tcW w:w="5040" w:type="dxa"/>
            <w:vAlign w:val="bottom"/>
            <w:gridSpan w:val="4"/>
          </w:tcPr>
          <w:p>
            <w:pPr>
              <w:jc w:val="right"/>
              <w:ind w:right="50"/>
              <w:spacing w:after="0"/>
              <w:rPr>
                <w:sz w:val="20"/>
                <w:szCs w:val="20"/>
                <w:color w:val="auto"/>
              </w:rPr>
            </w:pPr>
            <w:r>
              <w:rPr>
                <w:rFonts w:ascii="Arial" w:cs="Arial" w:eastAsia="Arial" w:hAnsi="Arial"/>
                <w:sz w:val="18"/>
                <w:szCs w:val="18"/>
                <w:color w:val="auto"/>
                <w:w w:val="91"/>
              </w:rPr>
              <w:t>Fixed Rate Notes being redeemed on the redemption date. We will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940" w:type="dxa"/>
            <w:vAlign w:val="bottom"/>
            <w:gridSpan w:val="5"/>
          </w:tcPr>
          <w:p>
            <w:pPr>
              <w:ind w:left="280"/>
              <w:spacing w:after="0"/>
              <w:rPr>
                <w:sz w:val="20"/>
                <w:szCs w:val="20"/>
                <w:color w:val="auto"/>
              </w:rPr>
            </w:pPr>
            <w:r>
              <w:rPr>
                <w:rFonts w:ascii="Arial" w:cs="Arial" w:eastAsia="Arial" w:hAnsi="Arial"/>
                <w:sz w:val="18"/>
                <w:szCs w:val="18"/>
                <w:color w:val="auto"/>
                <w:w w:val="95"/>
              </w:rPr>
              <w:t>also pay the accrued and unpaid interest on the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w w:val="99"/>
              </w:rPr>
              <w:t>Fixed Rate Notes to the redemption</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80" w:type="dxa"/>
            <w:vAlign w:val="bottom"/>
            <w:gridSpan w:val="6"/>
          </w:tcPr>
          <w:p>
            <w:pPr>
              <w:ind w:left="280"/>
              <w:spacing w:after="0"/>
              <w:rPr>
                <w:sz w:val="20"/>
                <w:szCs w:val="20"/>
                <w:color w:val="auto"/>
              </w:rPr>
            </w:pPr>
            <w:r>
              <w:rPr>
                <w:rFonts w:ascii="Arial" w:cs="Arial" w:eastAsia="Arial" w:hAnsi="Arial"/>
                <w:sz w:val="18"/>
                <w:szCs w:val="18"/>
                <w:color w:val="auto"/>
                <w:w w:val="97"/>
              </w:rPr>
              <w:t>date. See “Description of Notes—Optional redemption of the</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Fixed Rate Notes.”</w:t>
            </w:r>
          </w:p>
        </w:tc>
        <w:tc>
          <w:tcPr>
            <w:tcW w:w="0" w:type="dxa"/>
            <w:vAlign w:val="bottom"/>
          </w:tcPr>
          <w:p>
            <w:pPr>
              <w:spacing w:after="0"/>
              <w:rPr>
                <w:sz w:val="1"/>
                <w:szCs w:val="1"/>
                <w:color w:val="auto"/>
              </w:rPr>
            </w:pPr>
          </w:p>
        </w:tc>
      </w:tr>
      <w:tr>
        <w:trPr>
          <w:trHeight w:val="473"/>
        </w:trPr>
        <w:tc>
          <w:tcPr>
            <w:tcW w:w="2380" w:type="dxa"/>
            <w:vAlign w:val="bottom"/>
          </w:tcPr>
          <w:p>
            <w:pPr>
              <w:spacing w:after="0"/>
              <w:rPr>
                <w:sz w:val="20"/>
                <w:szCs w:val="20"/>
                <w:color w:val="auto"/>
              </w:rPr>
            </w:pPr>
            <w:r>
              <w:rPr>
                <w:rFonts w:ascii="Arial" w:cs="Arial" w:eastAsia="Arial" w:hAnsi="Arial"/>
                <w:sz w:val="18"/>
                <w:szCs w:val="18"/>
                <w:b w:val="1"/>
                <w:bCs w:val="1"/>
                <w:color w:val="auto"/>
              </w:rPr>
              <w:t>Optional redemption of the</w:t>
            </w:r>
          </w:p>
        </w:tc>
        <w:tc>
          <w:tcPr>
            <w:tcW w:w="1880" w:type="dxa"/>
            <w:vAlign w:val="bottom"/>
          </w:tcPr>
          <w:p>
            <w:pPr>
              <w:ind w:left="300"/>
              <w:spacing w:after="0"/>
              <w:rPr>
                <w:sz w:val="20"/>
                <w:szCs w:val="20"/>
                <w:color w:val="auto"/>
              </w:rPr>
            </w:pPr>
            <w:r>
              <w:rPr>
                <w:rFonts w:ascii="Arial" w:cs="Arial" w:eastAsia="Arial" w:hAnsi="Arial"/>
                <w:sz w:val="18"/>
                <w:szCs w:val="18"/>
                <w:b w:val="1"/>
                <w:bCs w:val="1"/>
                <w:color w:val="auto"/>
              </w:rPr>
              <w:t>Fixed Rate Notes</w:t>
            </w:r>
          </w:p>
        </w:tc>
        <w:tc>
          <w:tcPr>
            <w:tcW w:w="2920" w:type="dxa"/>
            <w:vAlign w:val="bottom"/>
            <w:gridSpan w:val="4"/>
            <w:vMerge w:val="restart"/>
          </w:tcPr>
          <w:p>
            <w:pPr>
              <w:ind w:left="280"/>
              <w:spacing w:after="0"/>
              <w:rPr>
                <w:sz w:val="20"/>
                <w:szCs w:val="20"/>
                <w:color w:val="auto"/>
              </w:rPr>
            </w:pPr>
            <w:r>
              <w:rPr>
                <w:rFonts w:ascii="Arial" w:cs="Arial" w:eastAsia="Arial" w:hAnsi="Arial"/>
                <w:sz w:val="18"/>
                <w:szCs w:val="18"/>
                <w:color w:val="auto"/>
              </w:rPr>
              <w:t>We may redeem any or all of the</w:t>
            </w:r>
          </w:p>
        </w:tc>
        <w:tc>
          <w:tcPr>
            <w:tcW w:w="38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98"/>
              </w:rPr>
              <w:t>Fixed Rate Notes at our option at any time prior</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920" w:type="dxa"/>
            <w:vAlign w:val="bottom"/>
            <w:gridSpan w:val="4"/>
            <w:vMerge w:val="continue"/>
          </w:tcPr>
          <w:p>
            <w:pPr>
              <w:spacing w:after="0"/>
              <w:rPr>
                <w:sz w:val="4"/>
                <w:szCs w:val="4"/>
                <w:color w:val="auto"/>
              </w:rPr>
            </w:pPr>
          </w:p>
        </w:tc>
        <w:tc>
          <w:tcPr>
            <w:tcW w:w="3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to</w:t>
            </w:r>
          </w:p>
        </w:tc>
        <w:tc>
          <w:tcPr>
            <w:tcW w:w="7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40" w:type="dxa"/>
            <w:vAlign w:val="bottom"/>
            <w:gridSpan w:val="4"/>
          </w:tcPr>
          <w:p>
            <w:pPr>
              <w:jc w:val="right"/>
              <w:ind w:right="270"/>
              <w:spacing w:after="0"/>
              <w:rPr>
                <w:sz w:val="20"/>
                <w:szCs w:val="20"/>
                <w:color w:val="auto"/>
              </w:rPr>
            </w:pPr>
            <w:r>
              <w:rPr>
                <w:rFonts w:ascii="Arial" w:cs="Arial" w:eastAsia="Arial" w:hAnsi="Arial"/>
                <w:sz w:val="18"/>
                <w:szCs w:val="18"/>
                <w:color w:val="auto"/>
                <w:w w:val="99"/>
              </w:rPr>
              <w:t>months before maturity), at a redemption price equal to the</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greater of:</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459" w:right="399" w:bottom="1440" w:gutter="0" w:footer="0" w:header="0"/>
        </w:sectPr>
      </w:pPr>
    </w:p>
    <w:p>
      <w:pPr>
        <w:spacing w:after="0" w:line="4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w:t>
      </w:r>
    </w:p>
    <w:p>
      <w:pPr>
        <w:spacing w:after="0" w:line="30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80"/>
        <w:spacing w:after="0"/>
        <w:tabs>
          <w:tab w:leader="none" w:pos="3260" w:val="left"/>
        </w:tabs>
        <w:rPr>
          <w:sz w:val="20"/>
          <w:szCs w:val="20"/>
          <w:color w:val="auto"/>
        </w:rPr>
      </w:pPr>
      <w:r>
        <w:rPr>
          <w:rFonts w:ascii="Arial" w:cs="Arial" w:eastAsia="Arial" w:hAnsi="Arial"/>
          <w:sz w:val="18"/>
          <w:szCs w:val="18"/>
          <w:color w:val="auto"/>
        </w:rPr>
        <w:t>100% of the principal amount of the</w:t>
      </w:r>
      <w:r>
        <w:rPr>
          <w:sz w:val="20"/>
          <w:szCs w:val="20"/>
          <w:color w:val="auto"/>
        </w:rPr>
        <w:tab/>
      </w:r>
      <w:r>
        <w:rPr>
          <w:rFonts w:ascii="Arial" w:cs="Arial" w:eastAsia="Arial" w:hAnsi="Arial"/>
          <w:sz w:val="16"/>
          <w:szCs w:val="16"/>
          <w:color w:val="auto"/>
        </w:rPr>
        <w:t>Fixed Rate Notes being redeemed; or</w:t>
      </w:r>
    </w:p>
    <w:p>
      <w:pPr>
        <w:spacing w:after="0" w:line="347" w:lineRule="exact"/>
        <w:rPr>
          <w:sz w:val="20"/>
          <w:szCs w:val="20"/>
          <w:color w:val="auto"/>
        </w:rPr>
      </w:pPr>
    </w:p>
    <w:p>
      <w:pPr>
        <w:ind w:right="40" w:firstLine="88"/>
        <w:spacing w:after="0" w:line="290" w:lineRule="auto"/>
        <w:rPr>
          <w:sz w:val="20"/>
          <w:szCs w:val="20"/>
          <w:color w:val="auto"/>
        </w:rPr>
      </w:pPr>
      <w:r>
        <w:rPr>
          <w:rFonts w:ascii="Arial" w:cs="Arial" w:eastAsia="Arial" w:hAnsi="Arial"/>
          <w:sz w:val="16"/>
          <w:szCs w:val="16"/>
          <w:color w:val="auto"/>
        </w:rPr>
        <w:t>the sum of the present values of the remaining scheduled payments of principal and interest thereon (not including any portion of such payments of interest accrued as of the date of redemption), discounted to their present value as of such date of redemption on a semiannual basis (assuming a 360-day year consisting of twelve 30-</w:t>
      </w:r>
    </w:p>
    <w:p>
      <w:pPr>
        <w:spacing w:after="0" w:line="3"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color w:val="auto"/>
        </w:rPr>
        <w:t>day months) at the Treasury Rate, plus</w:t>
      </w:r>
      <w:r>
        <w:rPr>
          <w:sz w:val="20"/>
          <w:szCs w:val="20"/>
          <w:color w:val="auto"/>
        </w:rPr>
        <w:tab/>
      </w:r>
      <w:r>
        <w:rPr>
          <w:rFonts w:ascii="Arial" w:cs="Arial" w:eastAsia="Arial" w:hAnsi="Arial"/>
          <w:sz w:val="16"/>
          <w:szCs w:val="16"/>
          <w:color w:val="auto"/>
        </w:rPr>
        <w:t>basis points.</w:t>
      </w:r>
    </w:p>
    <w:p>
      <w:pPr>
        <w:spacing w:after="0" w:line="200" w:lineRule="exact"/>
        <w:rPr>
          <w:sz w:val="20"/>
          <w:szCs w:val="20"/>
          <w:color w:val="auto"/>
        </w:rPr>
      </w:pPr>
    </w:p>
    <w:p>
      <w:pPr>
        <w:sectPr>
          <w:pgSz w:w="11900" w:h="16838" w:orient="portrait"/>
          <w:cols w:equalWidth="0" w:num="2">
            <w:col w:w="4820" w:space="280"/>
            <w:col w:w="6160"/>
          </w:cols>
          <w:pgMar w:left="240" w:top="459" w:right="399" w:bottom="1440" w:gutter="0" w:footer="0" w:header="0"/>
          <w:type w:val="continuous"/>
        </w:sectPr>
      </w:pPr>
    </w:p>
    <w:p>
      <w:pPr>
        <w:spacing w:after="0" w:line="51" w:lineRule="exact"/>
        <w:rPr>
          <w:sz w:val="20"/>
          <w:szCs w:val="20"/>
          <w:color w:val="auto"/>
        </w:rPr>
      </w:pPr>
    </w:p>
    <w:p>
      <w:pPr>
        <w:ind w:left="4740"/>
        <w:spacing w:after="0"/>
        <w:tabs>
          <w:tab w:leader="none" w:pos="7660" w:val="left"/>
          <w:tab w:leader="none" w:pos="10240" w:val="left"/>
        </w:tabs>
        <w:rPr>
          <w:sz w:val="20"/>
          <w:szCs w:val="20"/>
          <w:color w:val="auto"/>
        </w:rPr>
      </w:pPr>
      <w:r>
        <w:rPr>
          <w:rFonts w:ascii="Arial" w:cs="Arial" w:eastAsia="Arial" w:hAnsi="Arial"/>
          <w:sz w:val="18"/>
          <w:szCs w:val="18"/>
          <w:color w:val="auto"/>
        </w:rPr>
        <w:t>We may redeem any or all of the</w:t>
      </w:r>
      <w:r>
        <w:rPr>
          <w:sz w:val="20"/>
          <w:szCs w:val="20"/>
          <w:color w:val="auto"/>
        </w:rPr>
        <w:tab/>
      </w:r>
      <w:r>
        <w:rPr>
          <w:rFonts w:ascii="Arial" w:cs="Arial" w:eastAsia="Arial" w:hAnsi="Arial"/>
          <w:sz w:val="18"/>
          <w:szCs w:val="18"/>
          <w:color w:val="auto"/>
        </w:rPr>
        <w:t>Fixed Rate Notes on or after</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ind w:left="5340" w:hanging="601"/>
        <w:spacing w:after="0"/>
        <w:tabs>
          <w:tab w:leader="none" w:pos="5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months before maturity), at a redemption price equal to 100% of the principal</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640" w:type="dxa"/>
            <w:vAlign w:val="bottom"/>
          </w:tcPr>
          <w:p>
            <w:pPr>
              <w:ind w:left="1340"/>
              <w:spacing w:after="0"/>
              <w:rPr>
                <w:sz w:val="20"/>
                <w:szCs w:val="20"/>
                <w:color w:val="auto"/>
              </w:rPr>
            </w:pPr>
            <w:r>
              <w:rPr>
                <w:rFonts w:ascii="Arial" w:cs="Arial" w:eastAsia="Arial" w:hAnsi="Arial"/>
                <w:sz w:val="18"/>
                <w:szCs w:val="18"/>
                <w:color w:val="auto"/>
              </w:rPr>
              <w:t>amount of the</w:t>
            </w:r>
          </w:p>
        </w:tc>
        <w:tc>
          <w:tcPr>
            <w:tcW w:w="5220" w:type="dxa"/>
            <w:vAlign w:val="bottom"/>
            <w:gridSpan w:val="3"/>
          </w:tcPr>
          <w:p>
            <w:pPr>
              <w:jc w:val="right"/>
              <w:ind w:right="50"/>
              <w:spacing w:after="0"/>
              <w:rPr>
                <w:sz w:val="20"/>
                <w:szCs w:val="20"/>
                <w:color w:val="auto"/>
              </w:rPr>
            </w:pPr>
            <w:r>
              <w:rPr>
                <w:rFonts w:ascii="Arial" w:cs="Arial" w:eastAsia="Arial" w:hAnsi="Arial"/>
                <w:sz w:val="18"/>
                <w:szCs w:val="18"/>
                <w:color w:val="auto"/>
                <w:w w:val="95"/>
              </w:rPr>
              <w:t>Fixed Rate Notes being redeemed on the redemption date. We will</w:t>
            </w:r>
          </w:p>
        </w:tc>
      </w:tr>
      <w:tr>
        <w:trPr>
          <w:trHeight w:val="216"/>
        </w:trPr>
        <w:tc>
          <w:tcPr>
            <w:tcW w:w="3200" w:type="dxa"/>
            <w:vAlign w:val="bottom"/>
          </w:tcPr>
          <w:p>
            <w:pPr>
              <w:spacing w:after="0"/>
              <w:rPr>
                <w:sz w:val="18"/>
                <w:szCs w:val="18"/>
                <w:color w:val="auto"/>
              </w:rPr>
            </w:pPr>
          </w:p>
        </w:tc>
        <w:tc>
          <w:tcPr>
            <w:tcW w:w="5220" w:type="dxa"/>
            <w:vAlign w:val="bottom"/>
            <w:gridSpan w:val="2"/>
          </w:tcPr>
          <w:p>
            <w:pPr>
              <w:ind w:left="1340"/>
              <w:spacing w:after="0"/>
              <w:rPr>
                <w:sz w:val="20"/>
                <w:szCs w:val="20"/>
                <w:color w:val="auto"/>
              </w:rPr>
            </w:pPr>
            <w:r>
              <w:rPr>
                <w:rFonts w:ascii="Arial" w:cs="Arial" w:eastAsia="Arial" w:hAnsi="Arial"/>
                <w:sz w:val="18"/>
                <w:szCs w:val="18"/>
                <w:color w:val="auto"/>
              </w:rPr>
              <w:t>also pay the accrued and unpaid interest on the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w w:val="92"/>
              </w:rPr>
              <w:t>Fixed Rate Notes to the redemption</w:t>
            </w:r>
          </w:p>
        </w:tc>
      </w:tr>
      <w:tr>
        <w:trPr>
          <w:trHeight w:val="230"/>
        </w:trPr>
        <w:tc>
          <w:tcPr>
            <w:tcW w:w="3200" w:type="dxa"/>
            <w:vAlign w:val="bottom"/>
          </w:tcPr>
          <w:p>
            <w:pPr>
              <w:spacing w:after="0"/>
              <w:rPr>
                <w:sz w:val="20"/>
                <w:szCs w:val="20"/>
                <w:color w:val="auto"/>
              </w:rPr>
            </w:pPr>
          </w:p>
        </w:tc>
        <w:tc>
          <w:tcPr>
            <w:tcW w:w="6040" w:type="dxa"/>
            <w:vAlign w:val="bottom"/>
            <w:gridSpan w:val="3"/>
          </w:tcPr>
          <w:p>
            <w:pPr>
              <w:ind w:left="1340"/>
              <w:spacing w:after="0"/>
              <w:rPr>
                <w:sz w:val="20"/>
                <w:szCs w:val="20"/>
                <w:color w:val="auto"/>
              </w:rPr>
            </w:pPr>
            <w:r>
              <w:rPr>
                <w:rFonts w:ascii="Arial" w:cs="Arial" w:eastAsia="Arial" w:hAnsi="Arial"/>
                <w:sz w:val="18"/>
                <w:szCs w:val="18"/>
                <w:color w:val="auto"/>
                <w:w w:val="97"/>
              </w:rPr>
              <w:t>date. See “Description of Notes—Optional redemption of the</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Fixed Rate Notes.”</w:t>
            </w:r>
          </w:p>
        </w:tc>
      </w:tr>
      <w:tr>
        <w:trPr>
          <w:trHeight w:val="458"/>
        </w:trPr>
        <w:tc>
          <w:tcPr>
            <w:tcW w:w="3200" w:type="dxa"/>
            <w:vAlign w:val="bottom"/>
          </w:tcPr>
          <w:p>
            <w:pPr>
              <w:spacing w:after="0"/>
              <w:rPr>
                <w:sz w:val="20"/>
                <w:szCs w:val="20"/>
                <w:color w:val="auto"/>
              </w:rPr>
            </w:pPr>
            <w:r>
              <w:rPr>
                <w:rFonts w:ascii="Arial" w:cs="Arial" w:eastAsia="Arial" w:hAnsi="Arial"/>
                <w:sz w:val="18"/>
                <w:szCs w:val="18"/>
                <w:b w:val="1"/>
                <w:bCs w:val="1"/>
                <w:color w:val="auto"/>
              </w:rPr>
              <w:t>Further issuances</w:t>
            </w: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94"/>
              </w:rPr>
              <w:t>We may from time to time, without notice to or the consent of the holders of a series of</w:t>
            </w:r>
          </w:p>
        </w:tc>
      </w:tr>
      <w:tr>
        <w:trPr>
          <w:trHeight w:val="216"/>
        </w:trPr>
        <w:tc>
          <w:tcPr>
            <w:tcW w:w="3200" w:type="dxa"/>
            <w:vAlign w:val="bottom"/>
          </w:tcPr>
          <w:p>
            <w:pPr>
              <w:spacing w:after="0"/>
              <w:rPr>
                <w:sz w:val="18"/>
                <w:szCs w:val="18"/>
                <w:color w:val="auto"/>
              </w:rPr>
            </w:pP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89"/>
              </w:rPr>
              <w:t>the Notes, create and issue additional debt securities having the same terms (except for the</w:t>
            </w:r>
          </w:p>
        </w:tc>
      </w:tr>
      <w:tr>
        <w:trPr>
          <w:trHeight w:val="216"/>
        </w:trPr>
        <w:tc>
          <w:tcPr>
            <w:tcW w:w="3200" w:type="dxa"/>
            <w:vAlign w:val="bottom"/>
          </w:tcPr>
          <w:p>
            <w:pPr>
              <w:spacing w:after="0"/>
              <w:rPr>
                <w:sz w:val="18"/>
                <w:szCs w:val="18"/>
                <w:color w:val="auto"/>
              </w:rPr>
            </w:pP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98"/>
              </w:rPr>
              <w:t>issue date, the public offering price and the first interest payment date) and ranking</w:t>
            </w:r>
          </w:p>
        </w:tc>
      </w:tr>
      <w:tr>
        <w:trPr>
          <w:trHeight w:val="216"/>
        </w:trPr>
        <w:tc>
          <w:tcPr>
            <w:tcW w:w="3200" w:type="dxa"/>
            <w:vAlign w:val="bottom"/>
          </w:tcPr>
          <w:p>
            <w:pPr>
              <w:spacing w:after="0"/>
              <w:rPr>
                <w:sz w:val="18"/>
                <w:szCs w:val="18"/>
                <w:color w:val="auto"/>
              </w:rPr>
            </w:pP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97"/>
              </w:rPr>
              <w:t>equally and ratably with such series of the Notes, in all respects, as described under</w:t>
            </w:r>
          </w:p>
        </w:tc>
      </w:tr>
      <w:tr>
        <w:trPr>
          <w:trHeight w:val="230"/>
        </w:trPr>
        <w:tc>
          <w:tcPr>
            <w:tcW w:w="3200" w:type="dxa"/>
            <w:vAlign w:val="bottom"/>
          </w:tcPr>
          <w:p>
            <w:pPr>
              <w:spacing w:after="0"/>
              <w:rPr>
                <w:sz w:val="20"/>
                <w:szCs w:val="20"/>
                <w:color w:val="auto"/>
              </w:rPr>
            </w:pPr>
          </w:p>
        </w:tc>
        <w:tc>
          <w:tcPr>
            <w:tcW w:w="5220" w:type="dxa"/>
            <w:vAlign w:val="bottom"/>
            <w:gridSpan w:val="2"/>
          </w:tcPr>
          <w:p>
            <w:pPr>
              <w:ind w:left="1340"/>
              <w:spacing w:after="0"/>
              <w:rPr>
                <w:sz w:val="20"/>
                <w:szCs w:val="20"/>
                <w:color w:val="auto"/>
              </w:rPr>
            </w:pPr>
            <w:r>
              <w:rPr>
                <w:rFonts w:ascii="Arial" w:cs="Arial" w:eastAsia="Arial" w:hAnsi="Arial"/>
                <w:sz w:val="18"/>
                <w:szCs w:val="18"/>
                <w:color w:val="auto"/>
                <w:w w:val="93"/>
              </w:rPr>
              <w:t>“Description of Notes—General terms of the Notes.”</w:t>
            </w:r>
          </w:p>
        </w:tc>
        <w:tc>
          <w:tcPr>
            <w:tcW w:w="8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8"/>
        </w:trPr>
        <w:tc>
          <w:tcPr>
            <w:tcW w:w="3200" w:type="dxa"/>
            <w:vAlign w:val="bottom"/>
          </w:tcPr>
          <w:p>
            <w:pPr>
              <w:spacing w:after="0"/>
              <w:rPr>
                <w:sz w:val="20"/>
                <w:szCs w:val="20"/>
                <w:color w:val="auto"/>
              </w:rPr>
            </w:pPr>
            <w:r>
              <w:rPr>
                <w:rFonts w:ascii="Arial" w:cs="Arial" w:eastAsia="Arial" w:hAnsi="Arial"/>
                <w:sz w:val="18"/>
                <w:szCs w:val="18"/>
                <w:b w:val="1"/>
                <w:bCs w:val="1"/>
                <w:color w:val="auto"/>
              </w:rPr>
              <w:t>Denomination and form</w:t>
            </w: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94"/>
              </w:rPr>
              <w:t>We will issue the Notes of each series in the form of one or more fully registered global</w:t>
            </w:r>
          </w:p>
        </w:tc>
      </w:tr>
      <w:tr>
        <w:trPr>
          <w:trHeight w:val="230"/>
        </w:trPr>
        <w:tc>
          <w:tcPr>
            <w:tcW w:w="3200" w:type="dxa"/>
            <w:vAlign w:val="bottom"/>
          </w:tcPr>
          <w:p>
            <w:pPr>
              <w:spacing w:after="0"/>
              <w:rPr>
                <w:sz w:val="20"/>
                <w:szCs w:val="20"/>
                <w:color w:val="auto"/>
              </w:rPr>
            </w:pPr>
          </w:p>
        </w:tc>
        <w:tc>
          <w:tcPr>
            <w:tcW w:w="7860" w:type="dxa"/>
            <w:vAlign w:val="bottom"/>
            <w:gridSpan w:val="4"/>
          </w:tcPr>
          <w:p>
            <w:pPr>
              <w:ind w:left="1340"/>
              <w:spacing w:after="0"/>
              <w:rPr>
                <w:sz w:val="20"/>
                <w:szCs w:val="20"/>
                <w:color w:val="auto"/>
              </w:rPr>
            </w:pPr>
            <w:r>
              <w:rPr>
                <w:rFonts w:ascii="Arial" w:cs="Arial" w:eastAsia="Arial" w:hAnsi="Arial"/>
                <w:sz w:val="18"/>
                <w:szCs w:val="18"/>
                <w:color w:val="auto"/>
                <w:w w:val="93"/>
              </w:rPr>
              <w:t>notes registered in the name of the nominee of The Depository Trust Company (“DTC”).</w:t>
            </w:r>
          </w:p>
        </w:tc>
      </w:tr>
    </w:tbl>
    <w:p>
      <w:pPr>
        <w:ind w:left="4740" w:right="160"/>
        <w:spacing w:after="0" w:line="254" w:lineRule="auto"/>
        <w:rPr>
          <w:sz w:val="20"/>
          <w:szCs w:val="20"/>
          <w:color w:val="auto"/>
        </w:rPr>
      </w:pPr>
      <w:r>
        <w:rPr>
          <w:rFonts w:ascii="Arial" w:cs="Arial" w:eastAsia="Arial" w:hAnsi="Arial"/>
          <w:sz w:val="18"/>
          <w:szCs w:val="18"/>
          <w:color w:val="auto"/>
        </w:rPr>
        <w:t>Beneficial interests in the Notes will be represented through book-entry accounts of financial institutions acting on behalf of beneficial owners as direct and indirect participants in DTC. Except in the limited circumstances described in the accompanying prospectus, owners</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60"/>
          </w:cols>
          <w:pgMar w:left="240" w:top="459" w:right="3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93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 beneficial interests in the Notes will not be entitled to have</w:t>
      </w:r>
    </w:p>
    <w:p>
      <w:pPr>
        <w:spacing w:after="0" w:line="23" w:lineRule="exact"/>
        <w:rPr>
          <w:sz w:val="20"/>
          <w:szCs w:val="20"/>
          <w:color w:val="auto"/>
        </w:rPr>
      </w:pPr>
    </w:p>
    <w:p>
      <w:pPr>
        <w:ind w:left="4740" w:right="340"/>
        <w:spacing w:after="0" w:line="254" w:lineRule="auto"/>
        <w:rPr>
          <w:sz w:val="20"/>
          <w:szCs w:val="20"/>
          <w:color w:val="auto"/>
        </w:rPr>
      </w:pPr>
      <w:r>
        <w:rPr>
          <w:rFonts w:ascii="Arial" w:cs="Arial" w:eastAsia="Arial" w:hAnsi="Arial"/>
          <w:sz w:val="18"/>
          <w:szCs w:val="18"/>
          <w:color w:val="auto"/>
        </w:rPr>
        <w:t>Notes registered in their names, will not receive or be entitled to receive Notes in definitive form and will not be considered holders of Notes under the indenture. The Notes will be issued only in denominations of $2,000 and integral multiples of $1,000 in excess thereof.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Trustee</w:t>
            </w:r>
          </w:p>
        </w:tc>
        <w:tc>
          <w:tcPr>
            <w:tcW w:w="8420" w:type="dxa"/>
            <w:vAlign w:val="bottom"/>
          </w:tcPr>
          <w:p>
            <w:pPr>
              <w:ind w:left="1700"/>
              <w:spacing w:after="0"/>
              <w:rPr>
                <w:sz w:val="20"/>
                <w:szCs w:val="20"/>
                <w:color w:val="auto"/>
              </w:rPr>
            </w:pPr>
            <w:r>
              <w:rPr>
                <w:rFonts w:ascii="Arial" w:cs="Arial" w:eastAsia="Arial" w:hAnsi="Arial"/>
                <w:sz w:val="18"/>
                <w:szCs w:val="18"/>
                <w:color w:val="auto"/>
              </w:rPr>
              <w:t>Deutsche Bank Trust Company Americas</w:t>
            </w:r>
          </w:p>
        </w:tc>
      </w:tr>
      <w:tr>
        <w:trPr>
          <w:trHeight w:val="473"/>
        </w:trPr>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Governing law</w:t>
            </w:r>
          </w:p>
        </w:tc>
        <w:tc>
          <w:tcPr>
            <w:tcW w:w="8420" w:type="dxa"/>
            <w:vAlign w:val="bottom"/>
          </w:tcPr>
          <w:p>
            <w:pPr>
              <w:ind w:left="1700"/>
              <w:spacing w:after="0"/>
              <w:rPr>
                <w:sz w:val="20"/>
                <w:szCs w:val="20"/>
                <w:color w:val="auto"/>
              </w:rPr>
            </w:pPr>
            <w:r>
              <w:rPr>
                <w:rFonts w:ascii="Arial" w:cs="Arial" w:eastAsia="Arial" w:hAnsi="Arial"/>
                <w:sz w:val="18"/>
                <w:szCs w:val="18"/>
                <w:color w:val="auto"/>
              </w:rPr>
              <w:t>New York</w:t>
            </w:r>
          </w:p>
        </w:tc>
      </w:tr>
      <w:tr>
        <w:trPr>
          <w:trHeight w:val="159"/>
        </w:trPr>
        <w:tc>
          <w:tcPr>
            <w:tcW w:w="3040" w:type="dxa"/>
            <w:vAlign w:val="bottom"/>
            <w:tcBorders>
              <w:bottom w:val="single" w:sz="8" w:color="auto"/>
            </w:tcBorders>
          </w:tcPr>
          <w:p>
            <w:pPr>
              <w:spacing w:after="0"/>
              <w:rPr>
                <w:sz w:val="13"/>
                <w:szCs w:val="13"/>
                <w:color w:val="auto"/>
              </w:rPr>
            </w:pPr>
          </w:p>
        </w:tc>
        <w:tc>
          <w:tcPr>
            <w:tcW w:w="8420" w:type="dxa"/>
            <w:vAlign w:val="bottom"/>
            <w:tcBorders>
              <w:bottom w:val="single" w:sz="8" w:color="auto"/>
            </w:tcBorders>
          </w:tcPr>
          <w:p>
            <w:pPr>
              <w:spacing w:after="0"/>
              <w:rPr>
                <w:sz w:val="13"/>
                <w:szCs w:val="13"/>
                <w:color w:val="auto"/>
              </w:rPr>
            </w:pPr>
          </w:p>
        </w:tc>
      </w:tr>
      <w:tr>
        <w:trPr>
          <w:trHeight w:val="342"/>
        </w:trPr>
        <w:tc>
          <w:tcPr>
            <w:tcW w:w="3040" w:type="dxa"/>
            <w:vAlign w:val="bottom"/>
          </w:tcPr>
          <w:p>
            <w:pPr>
              <w:spacing w:after="0"/>
              <w:rPr>
                <w:sz w:val="24"/>
                <w:szCs w:val="24"/>
                <w:color w:val="auto"/>
              </w:rPr>
            </w:pPr>
          </w:p>
        </w:tc>
        <w:tc>
          <w:tcPr>
            <w:tcW w:w="8420" w:type="dxa"/>
            <w:vAlign w:val="bottom"/>
          </w:tcPr>
          <w:p>
            <w:pPr>
              <w:ind w:left="2560"/>
              <w:spacing w:after="0"/>
              <w:rPr>
                <w:sz w:val="20"/>
                <w:szCs w:val="20"/>
                <w:color w:val="auto"/>
              </w:rPr>
            </w:pPr>
            <w:r>
              <w:rPr>
                <w:rFonts w:ascii="Arial" w:cs="Arial" w:eastAsia="Arial" w:hAnsi="Arial"/>
                <w:sz w:val="16"/>
                <w:szCs w:val="16"/>
                <w:color w:val="auto"/>
              </w:rPr>
              <w:t>S-6</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RISK FACTORS</w:t>
      </w:r>
    </w:p>
    <w:p>
      <w:pPr>
        <w:spacing w:after="0" w:line="2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Investing in the Notes involves risks. You should carefully consider all the information set forth in this prospectus supplement, the accompanying prospectus and the documents incorporated by reference herein before deciding to invest in the Notes. In particular, we urge you to consider carefully the risk factors set forth under the heading “Item 1A. Risk Factors” in our annual report on Form 10-K for the fiscal year ended December 31, 2013 incorporated by reference into this prospectus supplement and the accompanying prospectus.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USE OF PROCEEDS</w:t>
      </w:r>
    </w:p>
    <w:p>
      <w:pPr>
        <w:spacing w:after="0" w:line="2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estimate that the net proceeds to us from the sale of the Notes will be approximately $ , after deducting underwriting discounts and commissions and estimated offering expenses payable by us. We intend to use the net proceeds from the sale of the Notes for general corporate purposes, including, but not limited to, funding for working capital, acquisitions, capital expenditures, refinancing a portion of our existing commercial paper borrowings and other business opportunities. As of February 28, 2014 our commercial paper bore interest at an average rate of 0.07% and was incurred to finance working capital needs. We may temporarily invest funds that are not immediately needed for these purposes in short-term investments, including, but not limited to, marketable securities.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CAPITALIZATION</w:t>
      </w:r>
    </w:p>
    <w:p>
      <w:pPr>
        <w:spacing w:after="0" w:line="2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and cash equivalents and capitalization on an actual and as adjusted basis as of December 31, 2013. Our consolidated cash and cash equivalents and capitalization, as adjusted, gives effect to the issuance of the Notes offered by this prospectus supplement, but not the application of the net proceeds thereof. See “Use of Proceeds.” This table should be read in conjunction with “Item 7. Management’s Discussion and Analysis of Financial Condition and Results of Operations” and the consolidated financial statements and notes in our annual report on Form 10-K for the fiscal year ended December 31, 2013 incorporated by reference into this prospectus supplement and the accompanying prospectus.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6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As of December 31, 2013</w:t>
            </w:r>
          </w:p>
        </w:tc>
      </w:tr>
      <w:tr>
        <w:trPr>
          <w:trHeight w:val="191"/>
        </w:trPr>
        <w:tc>
          <w:tcPr>
            <w:tcW w:w="9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ind w:left="100"/>
              <w:spacing w:after="0" w:line="191" w:lineRule="exact"/>
              <w:rPr>
                <w:sz w:val="20"/>
                <w:szCs w:val="20"/>
                <w:color w:val="auto"/>
              </w:rPr>
            </w:pPr>
            <w:r>
              <w:rPr>
                <w:rFonts w:ascii="Arial" w:cs="Arial" w:eastAsia="Arial" w:hAnsi="Arial"/>
                <w:sz w:val="18"/>
                <w:szCs w:val="18"/>
                <w:b w:val="1"/>
                <w:bCs w:val="1"/>
                <w:color w:val="auto"/>
              </w:rPr>
              <w:t>(Dollars in millions)</w:t>
            </w:r>
          </w:p>
        </w:tc>
        <w:tc>
          <w:tcPr>
            <w:tcW w:w="100" w:type="dxa"/>
            <w:vAlign w:val="bottom"/>
          </w:tcPr>
          <w:p>
            <w:pPr>
              <w:spacing w:after="0"/>
              <w:rPr>
                <w:sz w:val="16"/>
                <w:szCs w:val="16"/>
                <w:color w:val="auto"/>
              </w:rPr>
            </w:pPr>
          </w:p>
        </w:tc>
      </w:tr>
      <w:tr>
        <w:trPr>
          <w:trHeight w:val="234"/>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Actual</w:t>
            </w:r>
          </w:p>
        </w:tc>
        <w:tc>
          <w:tcPr>
            <w:tcW w:w="2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As Adjusted</w:t>
            </w:r>
          </w:p>
        </w:tc>
      </w:tr>
      <w:tr>
        <w:trPr>
          <w:trHeight w:val="210"/>
        </w:trPr>
        <w:tc>
          <w:tcPr>
            <w:tcW w:w="93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equivalents(1)</w:t>
            </w: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9360" w:type="dxa"/>
            <w:vAlign w:val="bottom"/>
          </w:tcPr>
          <w:p>
            <w:pPr>
              <w:ind w:left="100"/>
              <w:spacing w:after="0"/>
              <w:rPr>
                <w:sz w:val="20"/>
                <w:szCs w:val="20"/>
                <w:color w:val="auto"/>
              </w:rPr>
            </w:pPr>
            <w:r>
              <w:rPr>
                <w:rFonts w:ascii="Arial" w:cs="Arial" w:eastAsia="Arial" w:hAnsi="Arial"/>
                <w:sz w:val="18"/>
                <w:szCs w:val="18"/>
                <w:color w:val="auto"/>
              </w:rPr>
              <w:t>Portion of long-term debt due within one year</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 (excluding the Notes offered hereby)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360" w:type="dxa"/>
            <w:vAlign w:val="bottom"/>
          </w:tcPr>
          <w:p>
            <w:pPr>
              <w:ind w:left="100"/>
              <w:spacing w:after="0"/>
              <w:rPr>
                <w:sz w:val="20"/>
                <w:szCs w:val="20"/>
                <w:color w:val="auto"/>
              </w:rPr>
            </w:pPr>
            <w:r>
              <w:rPr>
                <w:rFonts w:ascii="Arial" w:cs="Arial" w:eastAsia="Arial" w:hAnsi="Arial"/>
                <w:sz w:val="18"/>
                <w:szCs w:val="18"/>
                <w:color w:val="auto"/>
              </w:rPr>
              <w:t>Notes offered hereby</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9360" w:type="dxa"/>
            <w:vAlign w:val="bottom"/>
          </w:tcPr>
          <w:p>
            <w:pPr>
              <w:ind w:left="100"/>
              <w:spacing w:after="0"/>
              <w:rPr>
                <w:sz w:val="20"/>
                <w:szCs w:val="20"/>
                <w:color w:val="auto"/>
              </w:rPr>
            </w:pPr>
            <w:r>
              <w:rPr>
                <w:rFonts w:ascii="Arial" w:cs="Arial" w:eastAsia="Arial" w:hAnsi="Arial"/>
                <w:sz w:val="18"/>
                <w:szCs w:val="18"/>
                <w:color w:val="auto"/>
              </w:rPr>
              <w:t>Total Exxon Mobil Corporation shareholders’ equity</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180,495</w:t>
            </w:r>
          </w:p>
        </w:tc>
        <w:tc>
          <w:tcPr>
            <w:tcW w:w="2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capitalization</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187,386</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60" w:right="440" w:hanging="344"/>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restricted cash and cash equivalents of $269 million. This amount is included in cash and cash equivalents - restricted in the consolidated financial statements and notes in our annual report on Form 10-K for the fiscal year ended December 31, 2013 incorporated by reference into this prospectus supplement and the accompanying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DESCRIPTION OF NOTES</w:t>
      </w:r>
    </w:p>
    <w:p>
      <w:pPr>
        <w:spacing w:after="0" w:line="26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Notes will be issued under an indenture to be entered between ExxonMobil and Deutsche Bank Trust Company Americas, as trustee (the “Trustee”), as supplemented by an officer’s certificate of certain authorized officers of ExxonMobil setting forth the final terms of the Notes (together, the “Indenture”).</w:t>
      </w:r>
    </w:p>
    <w:p>
      <w:pPr>
        <w:spacing w:after="0" w:line="22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following description of the particular terms of the Notes of each series offered by this prospectus supplement augments, and to the extent inconsistent replaces, the description of the general terms and provisions of the debt securities under “Description of Debt Securities” in the accompanying prospectus. The following discussion summarizes selected provisions of the Indenture. Because this is only a summary, it is not complete and does not describe every aspect of the Notes and the Indenture. Whenever there is a reference to defined terms of the Indenture, the statement is qualified in its entirety to such ascribed definition.</w:t>
      </w:r>
    </w:p>
    <w:p>
      <w:pPr>
        <w:spacing w:after="0" w:line="215"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A copy of the Indenture can be obtained by following the instructions under the heading “Where You Can Find More Information” in the accompanying prospectus. You should read the Indenture for provisions that may be important to you but which are not included in this summary.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Notes</w:t>
      </w:r>
    </w:p>
    <w:p>
      <w:pPr>
        <w:sectPr>
          <w:pgSz w:w="11900" w:h="16838" w:orient="portrait"/>
          <w:cols w:equalWidth="0" w:num="1">
            <w:col w:w="11360"/>
          </w:cols>
          <w:pgMar w:left="240" w:top="459" w:right="299" w:bottom="1440" w:gutter="0" w:footer="0" w:header="0"/>
        </w:sectPr>
      </w:pPr>
    </w:p>
    <w:p>
      <w:pPr>
        <w:spacing w:after="0" w:line="270" w:lineRule="exact"/>
        <w:rPr>
          <w:sz w:val="20"/>
          <w:szCs w:val="20"/>
          <w:color w:val="auto"/>
        </w:rPr>
      </w:pPr>
    </w:p>
    <w:p>
      <w:pPr>
        <w:ind w:left="540" w:hanging="83"/>
        <w:spacing w:after="0" w:line="256" w:lineRule="auto"/>
        <w:rPr>
          <w:sz w:val="20"/>
          <w:szCs w:val="20"/>
          <w:color w:val="auto"/>
        </w:rPr>
      </w:pPr>
      <w:r>
        <w:rPr>
          <w:rFonts w:ascii="Arial" w:cs="Arial" w:eastAsia="Arial" w:hAnsi="Arial"/>
          <w:sz w:val="18"/>
          <w:szCs w:val="18"/>
          <w:color w:val="auto"/>
        </w:rPr>
        <w:t>The</w:t>
      </w:r>
      <w:r>
        <w:rPr>
          <w:sz w:val="20"/>
          <w:szCs w:val="20"/>
          <w:color w:val="auto"/>
        </w:rPr>
        <w:t xml:space="preserve"> </w:t>
      </w:r>
      <w:r>
        <w:rPr>
          <w:rFonts w:ascii="Arial" w:cs="Arial" w:eastAsia="Arial" w:hAnsi="Arial"/>
          <w:sz w:val="18"/>
          <w:szCs w:val="18"/>
          <w:color w:val="auto"/>
        </w:rPr>
        <w:t>Floating Rate Notes will mature on , at 100% of their principal amount, the Floating Rate Notes will mature on , at 100% of their principal amount, the Fixed Rate Notes will mature on , at 100% of their principal amount, the Fixed Rate Notes will mature on , at 100% of their principal amount and the Fixed Rate Notes will mature 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at</w:t>
      </w:r>
    </w:p>
    <w:p>
      <w:pPr>
        <w:spacing w:after="0" w:line="47" w:lineRule="exact"/>
        <w:rPr>
          <w:sz w:val="20"/>
          <w:szCs w:val="20"/>
          <w:color w:val="auto"/>
        </w:rPr>
      </w:pPr>
    </w:p>
    <w:p>
      <w:pPr>
        <w:sectPr>
          <w:pgSz w:w="11900" w:h="16838" w:orient="portrait"/>
          <w:cols w:equalWidth="0" w:num="2">
            <w:col w:w="10980" w:space="180"/>
            <w:col w:w="200"/>
          </w:cols>
          <w:pgMar w:left="240" w:top="459" w:right="299" w:bottom="1440" w:gutter="0" w:footer="0" w:header="0"/>
          <w:type w:val="continuous"/>
        </w:sectPr>
      </w:pPr>
    </w:p>
    <w:p>
      <w:pPr>
        <w:spacing w:after="0" w:line="253" w:lineRule="auto"/>
        <w:rPr>
          <w:sz w:val="20"/>
          <w:szCs w:val="20"/>
          <w:color w:val="auto"/>
        </w:rPr>
      </w:pPr>
      <w:r>
        <w:rPr>
          <w:rFonts w:ascii="Arial" w:cs="Arial" w:eastAsia="Arial" w:hAnsi="Arial"/>
          <w:sz w:val="18"/>
          <w:szCs w:val="18"/>
          <w:color w:val="auto"/>
        </w:rPr>
        <w:t>100% of their principal amount. The Notes will be our general unsecured and unsubordinated obligations and will rank on parity with all of our other unsecured and unsubordinated indebtedness from time to time outstanding. The Notes will be effectively subordinated to all liabilities of our subsidiaries, including trade payables. See Note 6, Additional Working Capital Information and Note 14, Long-Term Debt to our audited consolidated financial statements in our annual report on Form 10-K for the fiscal year ended December 31, 2013 incorporated by reference herein for additional detail about our debt and financing arrangements.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limit the amount of notes, debentures or other evidences of indebtedness that we may issue under the Indenture and provides</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that notes, debentures or other evidences of indebtedness may be issued from time to time in one or more series. The Floating Rate Notes, the Floating Rate Notes, the Fixed Rate Notes, the Fixed Rate Notes and the Fixed Rate Notes will each constitute a separate series of securities under the Indenture.</w:t>
      </w:r>
    </w:p>
    <w:p>
      <w:pPr>
        <w:spacing w:after="0" w:line="2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may from time to time, without giving notice to or seeking the consent of the holders of a series of the Notes, issue securities having the same ranking and the same interest rate, maturity and other terms as such series of the Notes other than issue date, issue price and the payment of interest accruing prior to the issue date of the additional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securities are not fungible with the then-outstanding Notes for U.S. federal income tax purposes, the additional securities shall have a separate CUSIP number. Any additional securities having such similar terms, together with the relevant series of the Notes, will constitute a single series of securities under the Indenture. The provisions of the Indenture relating to defeasance and discharge will apply to the Notes.</w:t>
      </w:r>
    </w:p>
    <w:p>
      <w:pPr>
        <w:spacing w:after="0" w:line="23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Any payment otherwise required to be made in respect of the Notes on a date that is not a business day for the Notes may be made on the next succeeding business day with the same force and effect as if made on that date. No additional interest shall accrue as a result of a delayed payment. A “business day” means each Monday, Tuesday, Wednesday, Thursday and Friday which is not a day on which banking institutions in New York City (or other place of payment of the principal of and interest on the Notes as specified pursuant to the Indenture) are authorized or obligated by law or executive order to close, </w:t>
      </w:r>
      <w:r>
        <w:rPr>
          <w:rFonts w:ascii="Arial" w:cs="Arial" w:eastAsia="Arial" w:hAnsi="Arial"/>
          <w:sz w:val="17"/>
          <w:szCs w:val="17"/>
          <w:i w:val="1"/>
          <w:iCs w:val="1"/>
          <w:color w:val="auto"/>
        </w:rPr>
        <w:t>provided</w:t>
      </w:r>
      <w:r>
        <w:rPr>
          <w:rFonts w:ascii="Arial" w:cs="Arial" w:eastAsia="Arial" w:hAnsi="Arial"/>
          <w:sz w:val="17"/>
          <w:szCs w:val="17"/>
          <w:color w:val="auto"/>
        </w:rPr>
        <w:t>, that as such term applies to the Floating Rate Notes, such day is also a London business day. A “London business day” is a day on which dealings in deposits in U.S. dollars are transacted in the London interbank market. Principal and interest will be payable, and</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360"/>
          </w:cols>
          <w:pgMar w:left="240" w:top="459" w:right="2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Notes will be transferable or exchangeable, at the office or offices or agency maintained by us for this purpose, which will initially be the corporate trust office of the Trustee in New York City.</w:t>
      </w:r>
    </w:p>
    <w:p>
      <w:pPr>
        <w:spacing w:after="0" w:line="21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Notes will be issued only in fully registered form without coupons in denominations of $2,000 and any integral multiples of $1,000 in excess thereof. No service charge will be made for any transfer or exchange of the Notes, but we may require payment of a sum sufficient to cover any tax or other governmental charge payable in connection with a transfer or exchange. The Notes of each series will be represented by one or more global securities registered in the name of a nominee of DTC. The Notes will be available only in book entry form. See “Forms of Debt Securities—Registered global securities” in the accompanying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will initially appoint the Trustee at its corporate trust office as a paying agent, transfer agent and registrar for the Notes, and as calculation agent for the Floating Rate Notes. We will cause each transfer agent to act as a co-registrar and will cause to be kept at the office of the registrar a register in which, subject to such reasonable regulations as we may prescribe, we will provide for the registration of the Notes and registration of transfers of the Notes. We may vary or terminate the appointment of any paying agent, transfer agent or calculation agent, or appoint additional or other such agents or approve any change in the office through which any such agent acts. We will provide you with notice of any resignation, termination or appointment of the Trustee or any paying agent, transfer agent or calculation agent, and of any change in the office through which any such agent will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Floating Rate Notes</w:t>
      </w:r>
    </w:p>
    <w:p>
      <w:pPr>
        <w:spacing w:after="0" w:line="2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Floating Rate Notes of each series will bear interest for each interest period at a rate determined by the calculation agent. The calculation agent will set the initial interest rate on the Floating Rate Notes and reset such interest rate for each interest period on the date of payment of interest on the Floating</w:t>
      </w:r>
    </w:p>
    <w:tbl>
      <w:tblPr>
        <w:tblLayout w:type="fixed"/>
        <w:tblInd w:w="0" w:type="dxa"/>
        <w:tblCellMar>
          <w:top w:w="0" w:type="dxa"/>
          <w:left w:w="0" w:type="dxa"/>
          <w:bottom w:w="0" w:type="dxa"/>
          <w:right w:w="0" w:type="dxa"/>
        </w:tblCellMar>
      </w:tblPr>
      <w:tr>
        <w:trPr>
          <w:trHeight w:val="202"/>
        </w:trPr>
        <w:tc>
          <w:tcPr>
            <w:tcW w:w="3820" w:type="dxa"/>
            <w:vAlign w:val="bottom"/>
            <w:gridSpan w:val="4"/>
          </w:tcPr>
          <w:p>
            <w:pPr>
              <w:spacing w:after="0" w:line="202" w:lineRule="exact"/>
              <w:rPr>
                <w:sz w:val="20"/>
                <w:szCs w:val="20"/>
                <w:color w:val="auto"/>
              </w:rPr>
            </w:pPr>
            <w:r>
              <w:rPr>
                <w:rFonts w:ascii="Arial" w:cs="Arial" w:eastAsia="Arial" w:hAnsi="Arial"/>
                <w:sz w:val="18"/>
                <w:szCs w:val="18"/>
                <w:color w:val="auto"/>
                <w:w w:val="97"/>
              </w:rPr>
              <w:t>Rate Notes for the preceding interest period. The</w:t>
            </w:r>
          </w:p>
        </w:tc>
        <w:tc>
          <w:tcPr>
            <w:tcW w:w="758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0"/>
              </w:rPr>
              <w:t>Floating Rate Notes will bear interest for a particular interest period at a rate per annum equal to</w:t>
            </w:r>
          </w:p>
        </w:tc>
      </w:tr>
      <w:tr>
        <w:trPr>
          <w:trHeight w:val="216"/>
        </w:trPr>
        <w:tc>
          <w:tcPr>
            <w:tcW w:w="5540" w:type="dxa"/>
            <w:vAlign w:val="bottom"/>
            <w:gridSpan w:val="5"/>
          </w:tcPr>
          <w:p>
            <w:pPr>
              <w:spacing w:after="0"/>
              <w:rPr>
                <w:sz w:val="20"/>
                <w:szCs w:val="20"/>
                <w:color w:val="auto"/>
              </w:rPr>
            </w:pPr>
            <w:r>
              <w:rPr>
                <w:rFonts w:ascii="Arial" w:cs="Arial" w:eastAsia="Arial" w:hAnsi="Arial"/>
                <w:sz w:val="18"/>
                <w:szCs w:val="18"/>
                <w:color w:val="auto"/>
                <w:w w:val="94"/>
              </w:rPr>
              <w:t>three-month LIBOR as determined on the interest determination date plus</w:t>
            </w:r>
          </w:p>
        </w:tc>
        <w:tc>
          <w:tcPr>
            <w:tcW w:w="1040" w:type="dxa"/>
            <w:vAlign w:val="bottom"/>
          </w:tcPr>
          <w:p>
            <w:pPr>
              <w:jc w:val="right"/>
              <w:spacing w:after="0"/>
              <w:rPr>
                <w:sz w:val="20"/>
                <w:szCs w:val="20"/>
                <w:color w:val="auto"/>
              </w:rPr>
            </w:pPr>
            <w:r>
              <w:rPr>
                <w:rFonts w:ascii="Arial" w:cs="Arial" w:eastAsia="Arial" w:hAnsi="Arial"/>
                <w:sz w:val="18"/>
                <w:szCs w:val="18"/>
                <w:color w:val="auto"/>
              </w:rPr>
              <w:t>% and the</w:t>
            </w:r>
          </w:p>
        </w:tc>
        <w:tc>
          <w:tcPr>
            <w:tcW w:w="100" w:type="dxa"/>
            <w:vAlign w:val="bottom"/>
          </w:tcPr>
          <w:p>
            <w:pPr>
              <w:spacing w:after="0"/>
              <w:rPr>
                <w:sz w:val="18"/>
                <w:szCs w:val="18"/>
                <w:color w:val="auto"/>
              </w:rPr>
            </w:pPr>
          </w:p>
        </w:tc>
        <w:tc>
          <w:tcPr>
            <w:tcW w:w="4720" w:type="dxa"/>
            <w:vAlign w:val="bottom"/>
            <w:gridSpan w:val="2"/>
          </w:tcPr>
          <w:p>
            <w:pPr>
              <w:ind w:left="480"/>
              <w:spacing w:after="0"/>
              <w:rPr>
                <w:sz w:val="20"/>
                <w:szCs w:val="20"/>
                <w:color w:val="auto"/>
              </w:rPr>
            </w:pPr>
            <w:r>
              <w:rPr>
                <w:rFonts w:ascii="Arial" w:cs="Arial" w:eastAsia="Arial" w:hAnsi="Arial"/>
                <w:sz w:val="18"/>
                <w:szCs w:val="18"/>
                <w:color w:val="auto"/>
              </w:rPr>
              <w:t>Floating Rate Notes will bear interest for a particular</w:t>
            </w:r>
          </w:p>
        </w:tc>
      </w:tr>
      <w:tr>
        <w:trPr>
          <w:trHeight w:val="216"/>
        </w:trPr>
        <w:tc>
          <w:tcPr>
            <w:tcW w:w="8460" w:type="dxa"/>
            <w:vAlign w:val="bottom"/>
            <w:gridSpan w:val="8"/>
          </w:tcPr>
          <w:p>
            <w:pPr>
              <w:spacing w:after="0"/>
              <w:rPr>
                <w:sz w:val="20"/>
                <w:szCs w:val="20"/>
                <w:color w:val="auto"/>
              </w:rPr>
            </w:pPr>
            <w:r>
              <w:rPr>
                <w:rFonts w:ascii="Arial" w:cs="Arial" w:eastAsia="Arial" w:hAnsi="Arial"/>
                <w:sz w:val="18"/>
                <w:szCs w:val="18"/>
                <w:color w:val="auto"/>
                <w:w w:val="90"/>
              </w:rPr>
              <w:t>interest period at a rate per annum equal to three-month LIBOR as determined on the interest determination date plus</w:t>
            </w:r>
          </w:p>
        </w:tc>
        <w:tc>
          <w:tcPr>
            <w:tcW w:w="2940" w:type="dxa"/>
            <w:vAlign w:val="bottom"/>
          </w:tcPr>
          <w:p>
            <w:pPr>
              <w:ind w:left="520"/>
              <w:spacing w:after="0"/>
              <w:rPr>
                <w:sz w:val="20"/>
                <w:szCs w:val="20"/>
                <w:color w:val="auto"/>
              </w:rPr>
            </w:pPr>
            <w:r>
              <w:rPr>
                <w:rFonts w:ascii="Arial" w:cs="Arial" w:eastAsia="Arial" w:hAnsi="Arial"/>
                <w:sz w:val="18"/>
                <w:szCs w:val="18"/>
                <w:color w:val="auto"/>
                <w:w w:val="88"/>
              </w:rPr>
              <w:t>%, in each case payable quarterly</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in arrears on</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and</w:t>
            </w:r>
          </w:p>
        </w:tc>
        <w:tc>
          <w:tcPr>
            <w:tcW w:w="2760" w:type="dxa"/>
            <w:vAlign w:val="bottom"/>
            <w:gridSpan w:val="2"/>
          </w:tcPr>
          <w:p>
            <w:pPr>
              <w:jc w:val="right"/>
              <w:ind w:right="470"/>
              <w:spacing w:after="0"/>
              <w:rPr>
                <w:sz w:val="20"/>
                <w:szCs w:val="20"/>
                <w:color w:val="auto"/>
              </w:rPr>
            </w:pPr>
            <w:r>
              <w:rPr>
                <w:rFonts w:ascii="Arial" w:cs="Arial" w:eastAsia="Arial" w:hAnsi="Arial"/>
                <w:sz w:val="18"/>
                <w:szCs w:val="18"/>
                <w:color w:val="auto"/>
              </w:rPr>
              <w:t>of each year, commencing</w:t>
            </w:r>
          </w:p>
        </w:tc>
        <w:tc>
          <w:tcPr>
            <w:tcW w:w="100" w:type="dxa"/>
            <w:vAlign w:val="bottom"/>
          </w:tcPr>
          <w:p>
            <w:pPr>
              <w:spacing w:after="0"/>
              <w:rPr>
                <w:sz w:val="18"/>
                <w:szCs w:val="18"/>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w w:val="89"/>
              </w:rPr>
              <w:t>, 2014, to the persons in whose names such Floating Rate Notes</w:t>
            </w:r>
          </w:p>
        </w:tc>
      </w:tr>
      <w:tr>
        <w:trPr>
          <w:trHeight w:val="230"/>
        </w:trPr>
        <w:tc>
          <w:tcPr>
            <w:tcW w:w="5540" w:type="dxa"/>
            <w:vAlign w:val="bottom"/>
            <w:gridSpan w:val="5"/>
          </w:tcPr>
          <w:p>
            <w:pPr>
              <w:spacing w:after="0"/>
              <w:rPr>
                <w:sz w:val="20"/>
                <w:szCs w:val="20"/>
                <w:color w:val="auto"/>
              </w:rPr>
            </w:pPr>
            <w:r>
              <w:rPr>
                <w:rFonts w:ascii="Arial" w:cs="Arial" w:eastAsia="Arial" w:hAnsi="Arial"/>
                <w:sz w:val="18"/>
                <w:szCs w:val="18"/>
                <w:color w:val="auto"/>
                <w:w w:val="99"/>
              </w:rPr>
              <w:t>were registered at the close of business on the immediately preceding</w:t>
            </w: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0" w:type="dxa"/>
            <w:vAlign w:val="bottom"/>
          </w:tcPr>
          <w:p>
            <w:pPr>
              <w:jc w:val="right"/>
              <w:ind w:right="10"/>
              <w:spacing w:after="0"/>
              <w:rPr>
                <w:sz w:val="20"/>
                <w:szCs w:val="20"/>
                <w:color w:val="auto"/>
              </w:rPr>
            </w:pPr>
            <w:r>
              <w:rPr>
                <w:rFonts w:ascii="Arial" w:cs="Arial" w:eastAsia="Arial" w:hAnsi="Arial"/>
                <w:sz w:val="10"/>
                <w:szCs w:val="10"/>
                <w:color w:val="auto"/>
                <w:w w:val="70"/>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940" w:type="dxa"/>
            <w:vAlign w:val="bottom"/>
          </w:tcPr>
          <w:p>
            <w:pPr>
              <w:spacing w:after="0"/>
              <w:rPr>
                <w:sz w:val="20"/>
                <w:szCs w:val="20"/>
                <w:color w:val="auto"/>
              </w:rPr>
            </w:pPr>
            <w:r>
              <w:rPr>
                <w:rFonts w:ascii="Arial" w:cs="Arial" w:eastAsia="Arial" w:hAnsi="Arial"/>
                <w:sz w:val="18"/>
                <w:szCs w:val="18"/>
                <w:color w:val="auto"/>
                <w:w w:val="90"/>
              </w:rPr>
              <w:t>, respectively (whether or not a business</w:t>
            </w:r>
          </w:p>
        </w:tc>
      </w:tr>
    </w:tbl>
    <w:p>
      <w:pPr>
        <w:jc w:val="both"/>
        <w:ind w:right="220"/>
        <w:spacing w:after="0" w:line="277" w:lineRule="auto"/>
        <w:rPr>
          <w:sz w:val="20"/>
          <w:szCs w:val="20"/>
          <w:color w:val="auto"/>
        </w:rPr>
      </w:pPr>
      <w:r>
        <w:rPr>
          <w:rFonts w:ascii="Arial" w:cs="Arial" w:eastAsia="Arial" w:hAnsi="Arial"/>
          <w:sz w:val="17"/>
          <w:szCs w:val="17"/>
          <w:color w:val="auto"/>
        </w:rPr>
        <w:t>day). Interest on the Floating Rate Notes will be computed on the basis of a 360-day year and the actual number of days that have elapsed in the applicable interest period. The interest determination date for an interest period will be the second London business day preceding the first day of such interest period. Promptly upon determination, the calculation agent will inform us of the interest rate for the next interest period.</w:t>
      </w:r>
    </w:p>
    <w:p>
      <w:pPr>
        <w:spacing w:after="0" w:line="214"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If any date of payment of interest on the Floating Rate Notes, other than the date of maturity, falls on a day that is not a business day, then such date of payment will be postponed to the next day that is a business day, except that, if that business day falls in the next succeeding calendar month, then, unless it relates to interest payable at maturity, the date of payment will be the immediately preceding business day. If the date of maturity of the Floating Rate Notes falls on a day that is not a business day, then the related payment of principal and interest will be made on the next day that is a business day with the same effect as if made on the date that the payment was first due, and no interest will accrue on the amount so payable for the period from the date of maturity.</w:t>
      </w:r>
    </w:p>
    <w:p>
      <w:pPr>
        <w:spacing w:after="0" w:line="1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any interest determination date, LIBOR will be equal to the offered rate to leading banks in the London interbank market for deposits in U.S. dollars having an index maturity of three months, as such rate appears on the Reuters Monitor Money Rates Service (“Reuters”) page LIBOR 01 (or on such other page as may replace Reuters page LIBOR 01 on that service), or, if on such interest determination date, the three-month LIBOR does not appear or is not available on the designated Reuters page, on such other comparable publicly available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service for displaying offered rates for deposits in U.S. dollars in the London interbank market as may be selected by the Company with the consent of the calculation agent, in each case as of approximately 11:00 a.m., London time, on such interest determination date.</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three-month LIBOR does not appear on either of the pages described above, the three-month LIBOR, in respect of such interest determination date, will be determined as follows: the calculation agent will request the principal London offices of each of four major reference banks in the London interbank market, as selected by the calculation agent (after consultation with us), to provide the calculation agent with its offered quotation for deposits in U.S. dollars for the period of three months commencing on the applicable interest reset date, to prime banks in the London interbank market at approximately 11:00 a.m., London time, on that interest determination date and in a principal amount of not less than $1,000,000 for a single transaction in U.S. dollars in such market at such time. If at least two quotations are provided, then the three-month LIBOR on such interest determination date will be the arithmetic mean of such quotations. If fewer than two such quotations are provided, then the three-month LIBOR on such interest determination date will be the arithmetic mean of the rates quoted at approximately 11:00 a.m., New York City time, on such interest determination date by three major reference banks in New York City selected by the calculation agent (after consultation with us) for loans in U.S. dollars to leading European banks, having an index maturity of three months and in a principal amount of not less than $1,000,000 for a single transaction in U.S. dollars in such market at such time;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the banks selected by the calculation agent are not providing quotations in the manner described by this sentence, the three-month LIBOR determined as of such interest determination date will be the three-month LIBOR in effect for the prior interest period.</w:t>
      </w:r>
    </w:p>
    <w:p>
      <w:pPr>
        <w:spacing w:after="0" w:line="22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All percentages resulting from any calculation of any interest rate for the Floating Rate Notes of each series will be rounded, if necessary, to the nearest one hundred thousandth of a percentage point, with five one-millionths of a percentage point rounded upward (e.g., 3.876545% (or .03876545) would be rounded to 3.87655% (or .0387655)), and all U.S. dollar amounts will be rounded to the nearest cent, with one-half cent being rounded upward. Each calculation of the interest rate on the Floating Rate Notes of each series by the calculation agent will (in the absence of manifest error) be final and binding on the holders of the Floating Rate Notes of each series, the Trustee and us.</w:t>
      </w:r>
    </w:p>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interest rate on the Floating Rate Notes will in no event be higher than the maximum rate permitted by New York law or other applicable state law as such law may be modified by United States law of general application.</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Upon written request from any holder of Floating Rate Notes, the calculation agent will provide the interest rate in effect on such Floating Rate Notes for the current interest period and, if it has been determined, the interest rate to be in effect for the next interest period.</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Regulators and law enforcement agencies in the United Kingdom and elsewhere are conducting civil and criminal investigations into whether the banks that provide rates in connection with the calculation of LIBOR may have been under-reporting or otherwise manipulating or attempting to manipulate LIBOR. Actions by regulators or law enforcement agencies may result in changes to the manner in which LIBOR is determined. At this time, it is not possible to predict the effect of any such changes and any other reforms to LIBOR that may be enacted in the United Kingdom or elsewhere. Uncertainty as to the nature of such potential changes may adversely affect the trading market for LIBOR-based securities, including the Floating Rate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Fixed Rate Notes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Fixed Rate Notes will bear interest at the rate per annum of</w:t>
      </w:r>
    </w:p>
    <w:p>
      <w:pPr>
        <w:spacing w:after="0" w:line="46"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color w:val="auto"/>
        </w:rPr>
        <w:t>% and the</w:t>
      </w:r>
      <w:r>
        <w:rPr>
          <w:sz w:val="20"/>
          <w:szCs w:val="20"/>
          <w:color w:val="auto"/>
        </w:rPr>
        <w:tab/>
      </w:r>
      <w:r>
        <w:rPr>
          <w:rFonts w:ascii="Arial" w:cs="Arial" w:eastAsia="Arial" w:hAnsi="Arial"/>
          <w:sz w:val="16"/>
          <w:szCs w:val="16"/>
          <w:color w:val="auto"/>
        </w:rPr>
        <w:t>Fixed Rate Notes will bear interest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the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will bear interest at the rate per annum</w:t>
      </w:r>
    </w:p>
    <w:p>
      <w:pPr>
        <w:spacing w:after="0" w:line="401" w:lineRule="exact"/>
        <w:rPr>
          <w:sz w:val="20"/>
          <w:szCs w:val="20"/>
          <w:color w:val="auto"/>
        </w:rPr>
      </w:pPr>
    </w:p>
    <w:p>
      <w:pPr>
        <w:sectPr>
          <w:pgSz w:w="11900" w:h="16838" w:orient="portrait"/>
          <w:cols w:equalWidth="0" w:num="4">
            <w:col w:w="160" w:space="300"/>
            <w:col w:w="5140" w:space="540"/>
            <w:col w:w="460" w:space="580"/>
            <w:col w:w="42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S-12</w:t>
      </w:r>
    </w:p>
    <w:p>
      <w:pPr>
        <w:sectPr>
          <w:pgSz w:w="11900" w:h="16838" w:orient="portrait"/>
          <w:cols w:equalWidth="0" w:num="1">
            <w:col w:w="11420"/>
          </w:cols>
          <w:pgMar w:left="240" w:top="459"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519"/>
        </w:trPr>
        <w:tc>
          <w:tcPr>
            <w:tcW w:w="1760" w:type="dxa"/>
            <w:vAlign w:val="bottom"/>
            <w:gridSpan w:val="2"/>
          </w:tcPr>
          <w:p>
            <w:pPr>
              <w:spacing w:after="0"/>
              <w:rPr>
                <w:sz w:val="20"/>
                <w:szCs w:val="20"/>
                <w:color w:val="auto"/>
              </w:rPr>
            </w:pPr>
            <w:r>
              <w:rPr>
                <w:rFonts w:ascii="Arial" w:cs="Arial" w:eastAsia="Arial" w:hAnsi="Arial"/>
                <w:sz w:val="18"/>
                <w:szCs w:val="18"/>
                <w:color w:val="auto"/>
                <w:w w:val="90"/>
              </w:rPr>
              <w:t>at the rate per annum of</w:t>
            </w:r>
          </w:p>
        </w:tc>
        <w:tc>
          <w:tcPr>
            <w:tcW w:w="1840" w:type="dxa"/>
            <w:vAlign w:val="bottom"/>
          </w:tcPr>
          <w:p>
            <w:pPr>
              <w:ind w:left="500"/>
              <w:spacing w:after="0"/>
              <w:rPr>
                <w:sz w:val="20"/>
                <w:szCs w:val="20"/>
                <w:color w:val="auto"/>
              </w:rPr>
            </w:pPr>
            <w:r>
              <w:rPr>
                <w:rFonts w:ascii="Arial" w:cs="Arial" w:eastAsia="Arial" w:hAnsi="Arial"/>
                <w:sz w:val="18"/>
                <w:szCs w:val="18"/>
                <w:color w:val="auto"/>
              </w:rPr>
              <w:t>%, each from</w:t>
            </w:r>
          </w:p>
        </w:tc>
        <w:tc>
          <w:tcPr>
            <w:tcW w:w="3840" w:type="dxa"/>
            <w:vAlign w:val="bottom"/>
          </w:tcPr>
          <w:p>
            <w:pPr>
              <w:ind w:left="400"/>
              <w:spacing w:after="0"/>
              <w:rPr>
                <w:sz w:val="20"/>
                <w:szCs w:val="20"/>
                <w:color w:val="auto"/>
              </w:rPr>
            </w:pPr>
            <w:r>
              <w:rPr>
                <w:rFonts w:ascii="Arial" w:cs="Arial" w:eastAsia="Arial" w:hAnsi="Arial"/>
                <w:sz w:val="18"/>
                <w:szCs w:val="18"/>
                <w:color w:val="auto"/>
              </w:rPr>
              <w:t>, 2014, payable semiannually in arrears on</w:t>
            </w:r>
          </w:p>
        </w:tc>
        <w:tc>
          <w:tcPr>
            <w:tcW w:w="1080" w:type="dxa"/>
            <w:vAlign w:val="bottom"/>
          </w:tcPr>
          <w:p>
            <w:pPr>
              <w:ind w:left="420"/>
              <w:spacing w:after="0"/>
              <w:rPr>
                <w:sz w:val="20"/>
                <w:szCs w:val="20"/>
                <w:color w:val="auto"/>
              </w:rPr>
            </w:pPr>
            <w:r>
              <w:rPr>
                <w:rFonts w:ascii="Arial" w:cs="Arial" w:eastAsia="Arial" w:hAnsi="Arial"/>
                <w:sz w:val="18"/>
                <w:szCs w:val="18"/>
                <w:color w:val="auto"/>
              </w:rPr>
              <w:t>and</w:t>
            </w:r>
          </w:p>
        </w:tc>
        <w:tc>
          <w:tcPr>
            <w:tcW w:w="2640" w:type="dxa"/>
            <w:vAlign w:val="bottom"/>
          </w:tcPr>
          <w:p>
            <w:pPr>
              <w:ind w:left="400"/>
              <w:spacing w:after="0"/>
              <w:rPr>
                <w:sz w:val="20"/>
                <w:szCs w:val="20"/>
                <w:color w:val="auto"/>
              </w:rPr>
            </w:pPr>
            <w:r>
              <w:rPr>
                <w:rFonts w:ascii="Arial" w:cs="Arial" w:eastAsia="Arial" w:hAnsi="Arial"/>
                <w:sz w:val="18"/>
                <w:szCs w:val="18"/>
                <w:color w:val="auto"/>
              </w:rPr>
              <w:t>of each year,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commencing</w:t>
            </w:r>
          </w:p>
        </w:tc>
        <w:tc>
          <w:tcPr>
            <w:tcW w:w="9800" w:type="dxa"/>
            <w:vAlign w:val="bottom"/>
            <w:gridSpan w:val="5"/>
          </w:tcPr>
          <w:p>
            <w:pPr>
              <w:ind w:left="340"/>
              <w:spacing w:after="0"/>
              <w:rPr>
                <w:sz w:val="20"/>
                <w:szCs w:val="20"/>
                <w:color w:val="auto"/>
              </w:rPr>
            </w:pPr>
            <w:r>
              <w:rPr>
                <w:rFonts w:ascii="Arial" w:cs="Arial" w:eastAsia="Arial" w:hAnsi="Arial"/>
                <w:sz w:val="18"/>
                <w:szCs w:val="18"/>
                <w:color w:val="auto"/>
                <w:w w:val="89"/>
              </w:rPr>
              <w:t>, 2014, to the persons in whose names such Fixed Rate Notes were registered at the close of business on the immediately preceding</w:t>
            </w:r>
          </w:p>
        </w:tc>
      </w:tr>
      <w:tr>
        <w:trPr>
          <w:trHeight w:val="230"/>
        </w:trPr>
        <w:tc>
          <w:tcPr>
            <w:tcW w:w="1360" w:type="dxa"/>
            <w:vAlign w:val="bottom"/>
          </w:tcPr>
          <w:p>
            <w:pPr>
              <w:ind w:left="780"/>
              <w:spacing w:after="0"/>
              <w:rPr>
                <w:sz w:val="20"/>
                <w:szCs w:val="20"/>
                <w:color w:val="auto"/>
              </w:rPr>
            </w:pPr>
            <w:r>
              <w:rPr>
                <w:rFonts w:ascii="Arial" w:cs="Arial" w:eastAsia="Arial" w:hAnsi="Arial"/>
                <w:sz w:val="18"/>
                <w:szCs w:val="18"/>
                <w:color w:val="auto"/>
              </w:rPr>
              <w:t>and</w:t>
            </w:r>
          </w:p>
        </w:tc>
        <w:tc>
          <w:tcPr>
            <w:tcW w:w="400" w:type="dxa"/>
            <w:vAlign w:val="bottom"/>
          </w:tcPr>
          <w:p>
            <w:pPr>
              <w:spacing w:after="0"/>
              <w:rPr>
                <w:sz w:val="20"/>
                <w:szCs w:val="20"/>
                <w:color w:val="auto"/>
              </w:rPr>
            </w:pPr>
          </w:p>
        </w:tc>
        <w:tc>
          <w:tcPr>
            <w:tcW w:w="9400" w:type="dxa"/>
            <w:vAlign w:val="bottom"/>
            <w:gridSpan w:val="4"/>
          </w:tcPr>
          <w:p>
            <w:pPr>
              <w:ind w:left="40"/>
              <w:spacing w:after="0"/>
              <w:rPr>
                <w:sz w:val="20"/>
                <w:szCs w:val="20"/>
                <w:color w:val="auto"/>
              </w:rPr>
            </w:pPr>
            <w:r>
              <w:rPr>
                <w:rFonts w:ascii="Arial" w:cs="Arial" w:eastAsia="Arial" w:hAnsi="Arial"/>
                <w:sz w:val="18"/>
                <w:szCs w:val="18"/>
                <w:color w:val="auto"/>
                <w:w w:val="91"/>
              </w:rPr>
              <w:t>, respectively (whether or not a business day). Interest on the Fixed Rate Notes will be computed on the basis of a 360-day year</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comprised of twelve 30-day months.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of the Floating Rate Notes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the right to redeem Floating Rate Notes of either series before maturity.</w:t>
      </w:r>
    </w:p>
    <w:p>
      <w:pPr>
        <w:sectPr>
          <w:pgSz w:w="11900" w:h="16838" w:orient="portrait"/>
          <w:cols w:equalWidth="0" w:num="1">
            <w:col w:w="11400"/>
          </w:cols>
          <w:pgMar w:left="240" w:top="446"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 of the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Rate Notes</w:t>
      </w:r>
    </w:p>
    <w:p>
      <w:pPr>
        <w:spacing w:after="0" w:line="200" w:lineRule="exact"/>
        <w:rPr>
          <w:sz w:val="20"/>
          <w:szCs w:val="20"/>
          <w:color w:val="auto"/>
        </w:rPr>
      </w:pPr>
    </w:p>
    <w:p>
      <w:pPr>
        <w:sectPr>
          <w:pgSz w:w="11900" w:h="16838" w:orient="portrait"/>
          <w:cols w:equalWidth="0" w:num="2">
            <w:col w:w="2100" w:space="580"/>
            <w:col w:w="8720"/>
          </w:cols>
          <w:pgMar w:left="240" w:top="446" w:right="259" w:bottom="1440" w:gutter="0" w:footer="0" w:header="0"/>
          <w:type w:val="continuous"/>
        </w:sectPr>
      </w:pPr>
    </w:p>
    <w:p>
      <w:pPr>
        <w:spacing w:after="0" w:line="9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Any or all of the following amounts: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may be redeemed at our option at any time prior to maturity at a redemption price equal to the greater of the</w:t>
      </w:r>
    </w:p>
    <w:p>
      <w:pPr>
        <w:spacing w:after="0" w:line="517" w:lineRule="exact"/>
        <w:rPr>
          <w:sz w:val="20"/>
          <w:szCs w:val="20"/>
          <w:color w:val="auto"/>
        </w:rPr>
      </w:pPr>
    </w:p>
    <w:p>
      <w:pPr>
        <w:sectPr>
          <w:pgSz w:w="11900" w:h="16838" w:orient="portrait"/>
          <w:cols w:equalWidth="0" w:num="2">
            <w:col w:w="1660" w:space="580"/>
            <w:col w:w="9160"/>
          </w:cols>
          <w:pgMar w:left="240" w:top="446" w:right="25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100% of the principal amount of the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being redeemed on the redemption date; or</w:t>
      </w:r>
    </w:p>
    <w:p>
      <w:pPr>
        <w:spacing w:after="0" w:line="266" w:lineRule="exact"/>
        <w:rPr>
          <w:sz w:val="20"/>
          <w:szCs w:val="20"/>
          <w:color w:val="auto"/>
        </w:rPr>
      </w:pPr>
    </w:p>
    <w:p>
      <w:pPr>
        <w:sectPr>
          <w:pgSz w:w="11900" w:h="16838" w:orient="portrait"/>
          <w:cols w:equalWidth="0" w:num="3">
            <w:col w:w="540" w:space="240"/>
            <w:col w:w="2600" w:space="600"/>
            <w:col w:w="7420"/>
          </w:cols>
          <w:pgMar w:left="240" w:top="446" w:right="259" w:bottom="1440" w:gutter="0" w:footer="0" w:header="0"/>
          <w:type w:val="continuous"/>
        </w:sectPr>
      </w:pPr>
    </w:p>
    <w:p>
      <w:pPr>
        <w:spacing w:after="0" w:line="141" w:lineRule="exact"/>
        <w:rPr>
          <w:sz w:val="20"/>
          <w:szCs w:val="20"/>
          <w:color w:val="auto"/>
        </w:rPr>
      </w:pPr>
    </w:p>
    <w:p>
      <w:pPr>
        <w:ind w:left="780" w:right="60" w:hanging="319"/>
        <w:spacing w:after="0" w:line="232" w:lineRule="auto"/>
        <w:tabs>
          <w:tab w:leader="none" w:pos="760" w:val="left"/>
        </w:tabs>
        <w:rPr>
          <w:sz w:val="20"/>
          <w:szCs w:val="20"/>
          <w:color w:val="auto"/>
        </w:rPr>
      </w:pPr>
      <w:r>
        <w:rPr>
          <w:rFonts w:ascii="Arial" w:cs="Arial" w:eastAsia="Arial" w:hAnsi="Arial"/>
          <w:sz w:val="25"/>
          <w:szCs w:val="25"/>
          <w:color w:val="auto"/>
        </w:rPr>
        <w:t>•</w:t>
      </w:r>
      <w:r>
        <w:rPr>
          <w:sz w:val="20"/>
          <w:szCs w:val="20"/>
          <w:color w:val="auto"/>
        </w:rPr>
        <w:tab/>
      </w:r>
      <w:r>
        <w:rPr>
          <w:rFonts w:ascii="Arial" w:cs="Arial" w:eastAsia="Arial" w:hAnsi="Arial"/>
          <w:sz w:val="18"/>
          <w:szCs w:val="18"/>
          <w:color w:val="auto"/>
        </w:rPr>
        <w:t>the sum of the present values of the remaining scheduled payments of principal and interest on the Fixed Rate Notes being redeemed on that redemption date (not including any portion of any payments of interest accrued to the redemption date) discounted to their present value as of such redemption date on a semiannual basis at the Treasury Rate (as defined below), as determined by the Reference Treasury Dealer (as defined below), plus basis points;</w:t>
      </w:r>
    </w:p>
    <w:p>
      <w:pPr>
        <w:sectPr>
          <w:pgSz w:w="11900" w:h="16838" w:orient="portrait"/>
          <w:cols w:equalWidth="0" w:num="1">
            <w:col w:w="11400"/>
          </w:cols>
          <w:pgMar w:left="240" w:top="446" w:right="25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plus, in each case, accrued and unpaid interest on the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to the redemption date.</w:t>
      </w:r>
    </w:p>
    <w:p>
      <w:pPr>
        <w:spacing w:after="0" w:line="200" w:lineRule="exact"/>
        <w:rPr>
          <w:sz w:val="20"/>
          <w:szCs w:val="20"/>
          <w:color w:val="auto"/>
        </w:rPr>
      </w:pPr>
    </w:p>
    <w:p>
      <w:pPr>
        <w:sectPr>
          <w:pgSz w:w="11900" w:h="16838" w:orient="portrait"/>
          <w:cols w:equalWidth="0" w:num="2">
            <w:col w:w="3820" w:space="580"/>
            <w:col w:w="7000"/>
          </w:cols>
          <w:pgMar w:left="240" w:top="446" w:right="259" w:bottom="1440" w:gutter="0" w:footer="0" w:header="0"/>
          <w:type w:val="continuous"/>
        </w:sectPr>
      </w:pPr>
    </w:p>
    <w:p>
      <w:pPr>
        <w:spacing w:after="0" w:line="75"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8"/>
          <w:szCs w:val="18"/>
          <w:color w:val="auto"/>
        </w:rPr>
        <w:t>Notwithstanding the foregoing, installments of interest on the</w:t>
      </w:r>
      <w:r>
        <w:rPr>
          <w:sz w:val="20"/>
          <w:szCs w:val="20"/>
          <w:color w:val="auto"/>
        </w:rPr>
        <w:tab/>
      </w:r>
      <w:r>
        <w:rPr>
          <w:rFonts w:ascii="Arial" w:cs="Arial" w:eastAsia="Arial" w:hAnsi="Arial"/>
          <w:sz w:val="16"/>
          <w:szCs w:val="16"/>
          <w:color w:val="auto"/>
        </w:rPr>
        <w:t>Fixed Rate Notes that are due and payable on interest payment dates falling on or</w:t>
      </w:r>
    </w:p>
    <w:p>
      <w:pPr>
        <w:sectPr>
          <w:pgSz w:w="11900" w:h="16838" w:orient="portrait"/>
          <w:cols w:equalWidth="0" w:num="1">
            <w:col w:w="11400"/>
          </w:cols>
          <w:pgMar w:left="240" w:top="446" w:right="259" w:bottom="1440" w:gutter="0" w:footer="0" w:header="0"/>
          <w:type w:val="continuous"/>
        </w:sectPr>
      </w:pP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prior to a redemption date will be payable on the interest payment date to the registered holders as of the close of business on the relevant record date. The redemption price will be calculated on the basis of a 360-day year consisting of twelve 30-day months.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send notice of any redemption at least 10 days but not more than 60 days before the redemption date to each registered holder of the</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Fixed Rate Notes to be redeemed. Once notice of redemption is sent, the Fixed Rate Notes called for redemption will become due and payable on the redemption date and at the applicable redemption price, plus accrued and unpaid interest to the redemption date, subject to any conditions precedent specified in such notice.</w:t>
      </w:r>
    </w:p>
    <w:p>
      <w:pPr>
        <w:spacing w:after="0" w:line="231" w:lineRule="exact"/>
        <w:rPr>
          <w:sz w:val="20"/>
          <w:szCs w:val="20"/>
          <w:color w:val="auto"/>
        </w:rPr>
      </w:pPr>
    </w:p>
    <w:p>
      <w:pPr>
        <w:ind w:left="460"/>
        <w:spacing w:after="0"/>
        <w:tabs>
          <w:tab w:leader="none" w:pos="5980" w:val="left"/>
        </w:tabs>
        <w:rPr>
          <w:sz w:val="20"/>
          <w:szCs w:val="20"/>
          <w:color w:val="auto"/>
        </w:rPr>
      </w:pPr>
      <w:r>
        <w:rPr>
          <w:rFonts w:ascii="Arial" w:cs="Arial" w:eastAsia="Arial" w:hAnsi="Arial"/>
          <w:sz w:val="18"/>
          <w:szCs w:val="18"/>
          <w:color w:val="auto"/>
        </w:rPr>
        <w:t>On and after the redemption date, interest will cease to accrue on the</w:t>
      </w:r>
      <w:r>
        <w:rPr>
          <w:sz w:val="20"/>
          <w:szCs w:val="20"/>
          <w:color w:val="auto"/>
        </w:rPr>
        <w:tab/>
      </w:r>
      <w:r>
        <w:rPr>
          <w:rFonts w:ascii="Arial" w:cs="Arial" w:eastAsia="Arial" w:hAnsi="Arial"/>
          <w:sz w:val="16"/>
          <w:szCs w:val="16"/>
          <w:color w:val="auto"/>
        </w:rPr>
        <w:t>Fixed Rate Notes or any portion of the Fixed Rate Notes called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redemption (unless we default in the payment of the redemption price and accrued interest). On or before the redemption date, we will deposit with a paying</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agent or the Trustee money sufficient to pay the redemption price of and accrued interest on the Fixed Rate Notes to be redeemed on that date. If less than all of the Fixed Rate Notes are to be redeemed, the Fixed Rate Notes to be redeemed shall be selected by the Trustee pro rata, by lot, or by such other method the Trustee deems to be fair and appropriate, in each case in accordance with the applicable procedures of DTC. The Fixed Rate Notes will not be entitled to the benefit of any mandatory redemption or sinking fund.</w:t>
      </w:r>
    </w:p>
    <w:p>
      <w:pPr>
        <w:sectPr>
          <w:pgSz w:w="11900" w:h="16838" w:orient="portrait"/>
          <w:cols w:equalWidth="0" w:num="1">
            <w:col w:w="11400"/>
          </w:cols>
          <w:pgMar w:left="240" w:top="446" w:right="2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 of the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Rate Notes</w:t>
      </w:r>
    </w:p>
    <w:p>
      <w:pPr>
        <w:spacing w:after="0" w:line="200" w:lineRule="exact"/>
        <w:rPr>
          <w:sz w:val="20"/>
          <w:szCs w:val="20"/>
          <w:color w:val="auto"/>
        </w:rPr>
      </w:pPr>
    </w:p>
    <w:p>
      <w:pPr>
        <w:sectPr>
          <w:pgSz w:w="11900" w:h="16838" w:orient="portrait"/>
          <w:cols w:equalWidth="0" w:num="2">
            <w:col w:w="2100" w:space="580"/>
            <w:col w:w="8720"/>
          </w:cols>
          <w:pgMar w:left="240" w:top="446" w:right="259" w:bottom="1440" w:gutter="0" w:footer="0" w:header="0"/>
          <w:type w:val="continuous"/>
        </w:sectPr>
      </w:pPr>
    </w:p>
    <w:p>
      <w:pPr>
        <w:spacing w:after="0" w:line="93"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8"/>
          <w:szCs w:val="18"/>
          <w:color w:val="auto"/>
        </w:rPr>
        <w:t>Any or all of the</w:t>
      </w:r>
      <w:r>
        <w:rPr>
          <w:sz w:val="20"/>
          <w:szCs w:val="20"/>
          <w:color w:val="auto"/>
        </w:rPr>
        <w:tab/>
      </w:r>
      <w:r>
        <w:rPr>
          <w:rFonts w:ascii="Arial" w:cs="Arial" w:eastAsia="Arial" w:hAnsi="Arial"/>
          <w:sz w:val="16"/>
          <w:szCs w:val="16"/>
          <w:color w:val="auto"/>
        </w:rPr>
        <w:t>Fixed Rate Notes may be redeemed at our option at any time prior to</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months before maturity) at a</w:t>
      </w:r>
    </w:p>
    <w:p>
      <w:pPr>
        <w:spacing w:after="0" w:line="45" w:lineRule="exact"/>
        <w:rPr>
          <w:sz w:val="20"/>
          <w:szCs w:val="20"/>
          <w:color w:val="auto"/>
        </w:rPr>
      </w:pPr>
    </w:p>
    <w:p>
      <w:pPr>
        <w:sectPr>
          <w:pgSz w:w="11900" w:h="16838" w:orient="portrait"/>
          <w:cols w:equalWidth="0" w:num="4">
            <w:col w:w="7240" w:space="720"/>
            <w:col w:w="40" w:space="460"/>
            <w:col w:w="100" w:space="720"/>
            <w:col w:w="2120"/>
          </w:cols>
          <w:pgMar w:left="240" w:top="446"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price equal to the greater of the following amounts:</w:t>
      </w:r>
    </w:p>
    <w:p>
      <w:pPr>
        <w:sectPr>
          <w:pgSz w:w="11900" w:h="16838" w:orient="portrait"/>
          <w:cols w:equalWidth="0" w:num="1">
            <w:col w:w="11400"/>
          </w:cols>
          <w:pgMar w:left="240" w:top="446" w:right="259" w:bottom="1440" w:gutter="0" w:footer="0" w:header="0"/>
          <w:type w:val="continuous"/>
        </w:sect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100% of the principal amount of the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being redeemed on the redemption date; or</w:t>
      </w:r>
    </w:p>
    <w:p>
      <w:pPr>
        <w:spacing w:after="0" w:line="266" w:lineRule="exact"/>
        <w:rPr>
          <w:sz w:val="20"/>
          <w:szCs w:val="20"/>
          <w:color w:val="auto"/>
        </w:rPr>
      </w:pPr>
    </w:p>
    <w:p>
      <w:pPr>
        <w:sectPr>
          <w:pgSz w:w="11900" w:h="16838" w:orient="portrait"/>
          <w:cols w:equalWidth="0" w:num="3">
            <w:col w:w="540" w:space="240"/>
            <w:col w:w="2600" w:space="600"/>
            <w:col w:w="7420"/>
          </w:cols>
          <w:pgMar w:left="240" w:top="446" w:right="25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S-13</w:t>
      </w:r>
    </w:p>
    <w:p>
      <w:pPr>
        <w:sectPr>
          <w:pgSz w:w="11900" w:h="16838" w:orient="portrait"/>
          <w:cols w:equalWidth="0" w:num="1">
            <w:col w:w="11400"/>
          </w:cols>
          <w:pgMar w:left="240" w:top="446" w:right="2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9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35"/>
        </w:trPr>
        <w:tc>
          <w:tcPr>
            <w:tcW w:w="660" w:type="dxa"/>
            <w:vAlign w:val="bottom"/>
          </w:tcPr>
          <w:p>
            <w:pPr>
              <w:ind w:left="460"/>
              <w:spacing w:after="0"/>
              <w:rPr>
                <w:sz w:val="20"/>
                <w:szCs w:val="20"/>
                <w:color w:val="auto"/>
              </w:rPr>
            </w:pPr>
            <w:r>
              <w:rPr>
                <w:rFonts w:ascii="Arial" w:cs="Arial" w:eastAsia="Arial" w:hAnsi="Arial"/>
                <w:sz w:val="25"/>
                <w:szCs w:val="25"/>
                <w:color w:val="auto"/>
              </w:rPr>
              <w:t>•</w:t>
            </w:r>
          </w:p>
        </w:tc>
        <w:tc>
          <w:tcPr>
            <w:tcW w:w="10680" w:type="dxa"/>
            <w:vAlign w:val="bottom"/>
            <w:gridSpan w:val="3"/>
          </w:tcPr>
          <w:p>
            <w:pPr>
              <w:ind w:left="120"/>
              <w:spacing w:after="0"/>
              <w:rPr>
                <w:sz w:val="20"/>
                <w:szCs w:val="20"/>
                <w:color w:val="auto"/>
              </w:rPr>
            </w:pPr>
            <w:r>
              <w:rPr>
                <w:rFonts w:ascii="Arial" w:cs="Arial" w:eastAsia="Arial" w:hAnsi="Arial"/>
                <w:sz w:val="18"/>
                <w:szCs w:val="18"/>
                <w:color w:val="auto"/>
                <w:w w:val="93"/>
              </w:rPr>
              <w:t>the sum of the present values of the remaining scheduled payments of principal and interest on the Fixed Rate Notes being redeemed on that</w:t>
            </w:r>
          </w:p>
        </w:tc>
      </w:tr>
      <w:tr>
        <w:trPr>
          <w:trHeight w:val="200"/>
        </w:trPr>
        <w:tc>
          <w:tcPr>
            <w:tcW w:w="660" w:type="dxa"/>
            <w:vAlign w:val="bottom"/>
          </w:tcPr>
          <w:p>
            <w:pPr>
              <w:spacing w:after="0"/>
              <w:rPr>
                <w:sz w:val="17"/>
                <w:szCs w:val="17"/>
                <w:color w:val="auto"/>
              </w:rPr>
            </w:pPr>
          </w:p>
        </w:tc>
        <w:tc>
          <w:tcPr>
            <w:tcW w:w="10680" w:type="dxa"/>
            <w:vAlign w:val="bottom"/>
            <w:gridSpan w:val="3"/>
          </w:tcPr>
          <w:p>
            <w:pPr>
              <w:ind w:left="120"/>
              <w:spacing w:after="0" w:line="200" w:lineRule="exact"/>
              <w:rPr>
                <w:sz w:val="20"/>
                <w:szCs w:val="20"/>
                <w:color w:val="auto"/>
              </w:rPr>
            </w:pPr>
            <w:r>
              <w:rPr>
                <w:rFonts w:ascii="Arial" w:cs="Arial" w:eastAsia="Arial" w:hAnsi="Arial"/>
                <w:sz w:val="18"/>
                <w:szCs w:val="18"/>
                <w:color w:val="auto"/>
                <w:w w:val="90"/>
              </w:rPr>
              <w:t>redemption date (not including any portion of any payments of interest accrued to the redemption date) discounted to their present value as of such</w:t>
            </w:r>
          </w:p>
        </w:tc>
      </w:tr>
      <w:tr>
        <w:trPr>
          <w:trHeight w:val="230"/>
        </w:trPr>
        <w:tc>
          <w:tcPr>
            <w:tcW w:w="660" w:type="dxa"/>
            <w:vAlign w:val="bottom"/>
          </w:tcPr>
          <w:p>
            <w:pPr>
              <w:spacing w:after="0"/>
              <w:rPr>
                <w:sz w:val="20"/>
                <w:szCs w:val="20"/>
                <w:color w:val="auto"/>
              </w:rPr>
            </w:pP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redemption date on a semiannual basis at the Treasury Rate, as determined by the Reference Treasury Dealer, plus</w:t>
            </w:r>
          </w:p>
        </w:tc>
        <w:tc>
          <w:tcPr>
            <w:tcW w:w="2040" w:type="dxa"/>
            <w:vAlign w:val="bottom"/>
          </w:tcPr>
          <w:p>
            <w:pPr>
              <w:ind w:left="280"/>
              <w:spacing w:after="0"/>
              <w:rPr>
                <w:sz w:val="20"/>
                <w:szCs w:val="20"/>
                <w:color w:val="auto"/>
              </w:rPr>
            </w:pPr>
            <w:r>
              <w:rPr>
                <w:rFonts w:ascii="Arial" w:cs="Arial" w:eastAsia="Arial" w:hAnsi="Arial"/>
                <w:sz w:val="18"/>
                <w:szCs w:val="18"/>
                <w:color w:val="auto"/>
              </w:rPr>
              <w:t>basis points;</w:t>
            </w:r>
          </w:p>
        </w:tc>
      </w:tr>
    </w:tbl>
    <w:p>
      <w:pPr>
        <w:ind w:left="28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plus, in each case, accrued and unpaid interest on the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to the redemption date.</w:t>
      </w:r>
    </w:p>
    <w:p>
      <w:pPr>
        <w:spacing w:after="0" w:line="200" w:lineRule="exact"/>
        <w:rPr>
          <w:sz w:val="20"/>
          <w:szCs w:val="20"/>
          <w:color w:val="auto"/>
        </w:rPr>
      </w:pPr>
    </w:p>
    <w:p>
      <w:pPr>
        <w:sectPr>
          <w:pgSz w:w="11900" w:h="16838" w:orient="portrait"/>
          <w:cols w:equalWidth="0" w:num="2">
            <w:col w:w="3820" w:space="580"/>
            <w:col w:w="7000"/>
          </w:cols>
          <w:pgMar w:left="240" w:top="446" w:right="259" w:bottom="1440" w:gutter="0" w:footer="0" w:header="0"/>
          <w:type w:val="continuous"/>
        </w:sectPr>
      </w:pPr>
    </w:p>
    <w:p>
      <w:pPr>
        <w:spacing w:after="0" w:line="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 or all of the Fixed Rate Notes may be redeemed on or after , (the date that is months before maturity), at a redemption price equal to 100% of the principal amount of the Fixed Rate Notes being redeemed on the redemption date plus, in each case, accrued and unpaid interest on the Fixed Rate Notes to the redemption date.</w:t>
      </w:r>
    </w:p>
    <w:p>
      <w:pPr>
        <w:spacing w:after="0" w:line="208"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8"/>
          <w:szCs w:val="18"/>
          <w:color w:val="auto"/>
        </w:rPr>
        <w:t>Notwithstanding the foregoing, installments of interest on the</w:t>
      </w:r>
      <w:r>
        <w:rPr>
          <w:sz w:val="20"/>
          <w:szCs w:val="20"/>
          <w:color w:val="auto"/>
        </w:rPr>
        <w:tab/>
      </w:r>
      <w:r>
        <w:rPr>
          <w:rFonts w:ascii="Arial" w:cs="Arial" w:eastAsia="Arial" w:hAnsi="Arial"/>
          <w:sz w:val="16"/>
          <w:szCs w:val="16"/>
          <w:color w:val="auto"/>
        </w:rPr>
        <w:t>Fixed Rate Notes that are due and payable on interest payment dates falling on or</w:t>
      </w:r>
    </w:p>
    <w:p>
      <w:pPr>
        <w:sectPr>
          <w:pgSz w:w="11900" w:h="16838" w:orient="portrait"/>
          <w:cols w:equalWidth="0" w:num="1">
            <w:col w:w="11400"/>
          </w:cols>
          <w:pgMar w:left="240" w:top="446" w:right="259" w:bottom="1440" w:gutter="0" w:footer="0" w:header="0"/>
          <w:type w:val="continuous"/>
        </w:sectPr>
      </w:pP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prior to a redemption date will be payable on the interest payment date to the registered holders as of the close of business on the relevant record date. The redemption price will be calculated on the basis of a 360-day year consisting of twelve 30-day months.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send notice of any redemption at least 10 days but not more than 60 days before the redemption date to each registered holder of the</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Fixed Rate Notes to be redeemed. Once notice of redemption is sent, the Fixed Rate Notes called for redemption will become due and payable on the redemption date and at the applicable redemption price, plus accrued and unpaid interest to the redemption date, subject to any conditions precedent specified in such notice.</w:t>
      </w:r>
    </w:p>
    <w:p>
      <w:pPr>
        <w:spacing w:after="0" w:line="231" w:lineRule="exact"/>
        <w:rPr>
          <w:sz w:val="20"/>
          <w:szCs w:val="20"/>
          <w:color w:val="auto"/>
        </w:rPr>
      </w:pPr>
    </w:p>
    <w:p>
      <w:pPr>
        <w:ind w:left="460"/>
        <w:spacing w:after="0"/>
        <w:tabs>
          <w:tab w:leader="none" w:pos="5980" w:val="left"/>
        </w:tabs>
        <w:rPr>
          <w:sz w:val="20"/>
          <w:szCs w:val="20"/>
          <w:color w:val="auto"/>
        </w:rPr>
      </w:pPr>
      <w:r>
        <w:rPr>
          <w:rFonts w:ascii="Arial" w:cs="Arial" w:eastAsia="Arial" w:hAnsi="Arial"/>
          <w:sz w:val="18"/>
          <w:szCs w:val="18"/>
          <w:color w:val="auto"/>
        </w:rPr>
        <w:t>On and after the redemption date, interest will cease to accrue on the</w:t>
      </w:r>
      <w:r>
        <w:rPr>
          <w:sz w:val="20"/>
          <w:szCs w:val="20"/>
          <w:color w:val="auto"/>
        </w:rPr>
        <w:tab/>
      </w:r>
      <w:r>
        <w:rPr>
          <w:rFonts w:ascii="Arial" w:cs="Arial" w:eastAsia="Arial" w:hAnsi="Arial"/>
          <w:sz w:val="16"/>
          <w:szCs w:val="16"/>
          <w:color w:val="auto"/>
        </w:rPr>
        <w:t>Fixed Rate Notes or any portion of the Fixed Rate Notes called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redemption (unless we default in the payment of the redemption price and accrued interest). On or before the redemption date, we will deposit with a paying</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agent or the Trustee money sufficient to pay the redemption price of and accrued interest on the Fixed Rate Notes to be redeemed on that date. If less than all of the Fixed Rate Notes are to be redeemed, the Fixed Rate Notes to be redeemed shall be selected by the Trustee pro rata, by lot, or by such other method the Trustee deems to be fair and appropriate, in each case in accordance with the applicable procedures of DTC. The Fixed Rate Notes will not be entitled to the benefit of any mandatory redemption or sinking fund.</w:t>
      </w:r>
    </w:p>
    <w:p>
      <w:pPr>
        <w:sectPr>
          <w:pgSz w:w="11900" w:h="16838" w:orient="portrait"/>
          <w:cols w:equalWidth="0" w:num="1">
            <w:col w:w="11400"/>
          </w:cols>
          <w:pgMar w:left="240" w:top="446" w:right="259" w:bottom="1440" w:gutter="0" w:footer="0" w:header="0"/>
          <w:type w:val="continuous"/>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 of the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Fixed Rate Notes</w:t>
      </w:r>
    </w:p>
    <w:p>
      <w:pPr>
        <w:spacing w:after="0" w:line="200" w:lineRule="exact"/>
        <w:rPr>
          <w:sz w:val="20"/>
          <w:szCs w:val="20"/>
          <w:color w:val="auto"/>
        </w:rPr>
      </w:pPr>
    </w:p>
    <w:p>
      <w:pPr>
        <w:sectPr>
          <w:pgSz w:w="11900" w:h="16838" w:orient="portrait"/>
          <w:cols w:equalWidth="0" w:num="2">
            <w:col w:w="2100" w:space="580"/>
            <w:col w:w="8720"/>
          </w:cols>
          <w:pgMar w:left="240" w:top="446" w:right="259" w:bottom="1440" w:gutter="0" w:footer="0" w:header="0"/>
          <w:type w:val="continuous"/>
        </w:sectPr>
      </w:pPr>
    </w:p>
    <w:p>
      <w:pPr>
        <w:spacing w:after="0" w:line="93"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8"/>
          <w:szCs w:val="18"/>
          <w:color w:val="auto"/>
        </w:rPr>
        <w:t>Any or all of the</w:t>
      </w:r>
      <w:r>
        <w:rPr>
          <w:sz w:val="20"/>
          <w:szCs w:val="20"/>
          <w:color w:val="auto"/>
        </w:rPr>
        <w:tab/>
      </w:r>
      <w:r>
        <w:rPr>
          <w:rFonts w:ascii="Arial" w:cs="Arial" w:eastAsia="Arial" w:hAnsi="Arial"/>
          <w:sz w:val="16"/>
          <w:szCs w:val="16"/>
          <w:color w:val="auto"/>
        </w:rPr>
        <w:t>Fixed Rate Notes may be redeemed at our option at any time prior to</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months before maturity) at a</w:t>
      </w:r>
    </w:p>
    <w:p>
      <w:pPr>
        <w:spacing w:after="0" w:line="45" w:lineRule="exact"/>
        <w:rPr>
          <w:sz w:val="20"/>
          <w:szCs w:val="20"/>
          <w:color w:val="auto"/>
        </w:rPr>
      </w:pPr>
    </w:p>
    <w:p>
      <w:pPr>
        <w:sectPr>
          <w:pgSz w:w="11900" w:h="16838" w:orient="portrait"/>
          <w:cols w:equalWidth="0" w:num="4">
            <w:col w:w="7240" w:space="720"/>
            <w:col w:w="40" w:space="460"/>
            <w:col w:w="100" w:space="720"/>
            <w:col w:w="2120"/>
          </w:cols>
          <w:pgMar w:left="240" w:top="446"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price equal to the greater of the following amounts:</w:t>
      </w:r>
    </w:p>
    <w:p>
      <w:pPr>
        <w:sectPr>
          <w:pgSz w:w="11900" w:h="16838" w:orient="portrait"/>
          <w:cols w:equalWidth="0" w:num="1">
            <w:col w:w="11400"/>
          </w:cols>
          <w:pgMar w:left="240" w:top="446" w:right="259" w:bottom="1440" w:gutter="0" w:footer="0" w:header="0"/>
          <w:type w:val="continuous"/>
        </w:sectPr>
      </w:pPr>
    </w:p>
    <w:p>
      <w:pPr>
        <w:spacing w:after="0" w:line="3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100% of the principal amount of the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being redeemed on the redemption date; or</w:t>
      </w:r>
    </w:p>
    <w:p>
      <w:pPr>
        <w:spacing w:after="0" w:line="169" w:lineRule="exact"/>
        <w:rPr>
          <w:sz w:val="20"/>
          <w:szCs w:val="20"/>
          <w:color w:val="auto"/>
        </w:rPr>
      </w:pPr>
    </w:p>
    <w:p>
      <w:pPr>
        <w:sectPr>
          <w:pgSz w:w="11900" w:h="16838" w:orient="portrait"/>
          <w:cols w:equalWidth="0" w:num="3">
            <w:col w:w="540" w:space="240"/>
            <w:col w:w="2600" w:space="600"/>
            <w:col w:w="7420"/>
          </w:cols>
          <w:pgMar w:left="240" w:top="446" w:right="259" w:bottom="1440" w:gutter="0" w:footer="0" w:header="0"/>
          <w:type w:val="continuous"/>
        </w:sectPr>
      </w:pPr>
    </w:p>
    <w:p>
      <w:pPr>
        <w:ind w:left="780" w:hanging="326"/>
        <w:spacing w:after="0"/>
        <w:tabs>
          <w:tab w:leader="none" w:pos="780" w:val="left"/>
        </w:tabs>
        <w:numPr>
          <w:ilvl w:val="0"/>
          <w:numId w:val="11"/>
        </w:numPr>
        <w:rPr>
          <w:rFonts w:ascii="Arial" w:cs="Arial" w:eastAsia="Arial" w:hAnsi="Arial"/>
          <w:sz w:val="41"/>
          <w:szCs w:val="41"/>
          <w:color w:val="auto"/>
          <w:vertAlign w:val="subscript"/>
        </w:rPr>
      </w:pPr>
      <w:r>
        <w:rPr>
          <w:rFonts w:ascii="Arial" w:cs="Arial" w:eastAsia="Arial" w:hAnsi="Arial"/>
          <w:sz w:val="16"/>
          <w:szCs w:val="16"/>
          <w:color w:val="auto"/>
        </w:rPr>
        <w:t>the sum of the present values of the remaining scheduled payments of principal and interest on the Fixed Rate Notes being redeemed on that</w:t>
      </w:r>
    </w:p>
    <w:p>
      <w:pPr>
        <w:spacing w:after="0" w:line="1" w:lineRule="exact"/>
        <w:rPr>
          <w:rFonts w:ascii="Arial" w:cs="Arial" w:eastAsia="Arial" w:hAnsi="Arial"/>
          <w:sz w:val="41"/>
          <w:szCs w:val="41"/>
          <w:color w:val="auto"/>
          <w:vertAlign w:val="subscript"/>
        </w:rPr>
      </w:pPr>
    </w:p>
    <w:p>
      <w:pPr>
        <w:ind w:left="780"/>
        <w:spacing w:after="0"/>
        <w:rPr>
          <w:rFonts w:ascii="Arial" w:cs="Arial" w:eastAsia="Arial" w:hAnsi="Arial"/>
          <w:sz w:val="41"/>
          <w:szCs w:val="41"/>
          <w:color w:val="auto"/>
          <w:vertAlign w:val="subscript"/>
        </w:rPr>
      </w:pPr>
      <w:r>
        <w:rPr>
          <w:rFonts w:ascii="Arial" w:cs="Arial" w:eastAsia="Arial" w:hAnsi="Arial"/>
          <w:sz w:val="16"/>
          <w:szCs w:val="16"/>
          <w:color w:val="auto"/>
        </w:rPr>
        <w:t>redemption date (not including any portion of any payments of interest accrued to the redemption date) discounted to their present value as of such</w:t>
      </w:r>
    </w:p>
    <w:p>
      <w:pPr>
        <w:spacing w:after="0" w:line="202" w:lineRule="exact"/>
        <w:rPr>
          <w:sz w:val="20"/>
          <w:szCs w:val="20"/>
          <w:color w:val="auto"/>
        </w:rPr>
      </w:pPr>
    </w:p>
    <w:p>
      <w:pPr>
        <w:ind w:left="780"/>
        <w:spacing w:after="0"/>
        <w:tabs>
          <w:tab w:leader="none" w:pos="9560" w:val="left"/>
        </w:tabs>
        <w:rPr>
          <w:sz w:val="20"/>
          <w:szCs w:val="20"/>
          <w:color w:val="auto"/>
        </w:rPr>
      </w:pPr>
      <w:r>
        <w:rPr>
          <w:rFonts w:ascii="Arial" w:cs="Arial" w:eastAsia="Arial" w:hAnsi="Arial"/>
          <w:sz w:val="18"/>
          <w:szCs w:val="18"/>
          <w:color w:val="auto"/>
        </w:rPr>
        <w:t>redemption date on a semiannual basis at the Treasury Rate, as determined by the Reference Treasury Dealer, plus</w:t>
      </w:r>
      <w:r>
        <w:rPr>
          <w:sz w:val="20"/>
          <w:szCs w:val="20"/>
          <w:color w:val="auto"/>
        </w:rPr>
        <w:tab/>
      </w:r>
      <w:r>
        <w:rPr>
          <w:rFonts w:ascii="Arial" w:cs="Arial" w:eastAsia="Arial" w:hAnsi="Arial"/>
          <w:sz w:val="16"/>
          <w:szCs w:val="16"/>
          <w:color w:val="auto"/>
        </w:rPr>
        <w:t>basis points;</w:t>
      </w:r>
    </w:p>
    <w:p>
      <w:pPr>
        <w:sectPr>
          <w:pgSz w:w="11900" w:h="16838" w:orient="portrait"/>
          <w:cols w:equalWidth="0" w:num="1">
            <w:col w:w="11400"/>
          </w:cols>
          <w:pgMar w:left="240" w:top="446" w:right="25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plus, in each case, accrued and unpaid interest on the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Fixed Rate Notes to the redemption date.</w:t>
      </w:r>
    </w:p>
    <w:p>
      <w:pPr>
        <w:spacing w:after="0" w:line="200" w:lineRule="exact"/>
        <w:rPr>
          <w:sz w:val="20"/>
          <w:szCs w:val="20"/>
          <w:color w:val="auto"/>
        </w:rPr>
      </w:pPr>
    </w:p>
    <w:p>
      <w:pPr>
        <w:sectPr>
          <w:pgSz w:w="11900" w:h="16838" w:orient="portrait"/>
          <w:cols w:equalWidth="0" w:num="2">
            <w:col w:w="3820" w:space="580"/>
            <w:col w:w="7000"/>
          </w:cols>
          <w:pgMar w:left="240" w:top="446" w:right="259" w:bottom="1440" w:gutter="0" w:footer="0" w:header="0"/>
          <w:type w:val="continuous"/>
        </w:sectPr>
      </w:pPr>
    </w:p>
    <w:p>
      <w:pPr>
        <w:spacing w:after="0" w:line="7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Any or all of the Fixed Rate Notes may be redeemed on or after , (the date that is months before maturity), at a redemption price equal to 100% of the principal amount of the Fixed Rate Notes being redeemed on the redemption date plus, in each case, accrued and unpaid interest on the Fixed Rate Notes to the redemption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00"/>
          </w:cols>
          <w:pgMar w:left="240" w:top="446"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5460" w:val="left"/>
        </w:tabs>
        <w:rPr>
          <w:sz w:val="20"/>
          <w:szCs w:val="20"/>
          <w:color w:val="auto"/>
        </w:rPr>
      </w:pPr>
      <w:r>
        <w:rPr>
          <w:rFonts w:ascii="Arial" w:cs="Arial" w:eastAsia="Arial" w:hAnsi="Arial"/>
          <w:sz w:val="18"/>
          <w:szCs w:val="18"/>
          <w:color w:val="auto"/>
        </w:rPr>
        <w:t>Notwithstanding the foregoing, installments of interest on the</w:t>
      </w:r>
      <w:r>
        <w:rPr>
          <w:sz w:val="20"/>
          <w:szCs w:val="20"/>
          <w:color w:val="auto"/>
        </w:rPr>
        <w:tab/>
      </w:r>
      <w:r>
        <w:rPr>
          <w:rFonts w:ascii="Arial" w:cs="Arial" w:eastAsia="Arial" w:hAnsi="Arial"/>
          <w:sz w:val="16"/>
          <w:szCs w:val="16"/>
          <w:color w:val="auto"/>
        </w:rPr>
        <w:t>Fixed Rate Notes that are due and payable on interest payment dates falling on or</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prior to a redemption date will be payable on the interest payment date to the registered holders as of the close of business on the relevant record date. The redemption price will be calculated on the basis of a 360-day year consisting of twelve 30-day months.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send notice of any redemption at least 10 days but not more than 60 days before the redemption date to each registered holder of the</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Fixed Rate Notes to be redeemed. Once notice of redemption is sent, the Fixed Rate Notes called for redemption will become due and payable on the redemption date and at the applicable redemption price, plus accrued and unpaid interest to the redemption date, subject to any conditions precedent specified in such notice.</w:t>
      </w:r>
    </w:p>
    <w:p>
      <w:pPr>
        <w:spacing w:after="0" w:line="231" w:lineRule="exact"/>
        <w:rPr>
          <w:sz w:val="20"/>
          <w:szCs w:val="20"/>
          <w:color w:val="auto"/>
        </w:rPr>
      </w:pPr>
    </w:p>
    <w:p>
      <w:pPr>
        <w:ind w:left="460"/>
        <w:spacing w:after="0"/>
        <w:tabs>
          <w:tab w:leader="none" w:pos="5980" w:val="left"/>
        </w:tabs>
        <w:rPr>
          <w:sz w:val="20"/>
          <w:szCs w:val="20"/>
          <w:color w:val="auto"/>
        </w:rPr>
      </w:pPr>
      <w:r>
        <w:rPr>
          <w:rFonts w:ascii="Arial" w:cs="Arial" w:eastAsia="Arial" w:hAnsi="Arial"/>
          <w:sz w:val="18"/>
          <w:szCs w:val="18"/>
          <w:color w:val="auto"/>
        </w:rPr>
        <w:t>On and after the redemption date, interest will cease to accrue on the</w:t>
      </w:r>
      <w:r>
        <w:rPr>
          <w:sz w:val="20"/>
          <w:szCs w:val="20"/>
          <w:color w:val="auto"/>
        </w:rPr>
        <w:tab/>
      </w:r>
      <w:r>
        <w:rPr>
          <w:rFonts w:ascii="Arial" w:cs="Arial" w:eastAsia="Arial" w:hAnsi="Arial"/>
          <w:sz w:val="16"/>
          <w:szCs w:val="16"/>
          <w:color w:val="auto"/>
        </w:rPr>
        <w:t>Fixed Rate Notes or any portion of the Fixed Rate Notes called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redemption (unless we default in the payment of the redemption price and accrued interest). On or before the redemption date, we will deposit with a paying</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agent or the Trustee money sufficient to pay the redemption price of and accrued interest on the Fixed Rate Notes to be redeemed on that date. If less than all of the Fixed Rate Notes are to be redeemed, the Fixed Rate Notes to be redeemed shall be selected by the Trustee pro rata, by lot, or by such other method the Trustee deems to be fair and appropriate, in each case in accordance with the applicable procedures of DTC. The Fixed Rate Notes will not be entitled to the benefit of any mandatory redemption or sinking fund.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 related to optional redemptions of the Fixed Rate Notes</w:t>
      </w:r>
    </w:p>
    <w:p>
      <w:pPr>
        <w:spacing w:after="0" w:line="266"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having a maturity comparable to the remaining term of the Fixed Rate Notes to be redeemed that would be utilized, at the time of selection and in accordance with customary financial practice, in pricing new issues of corporate debt securities of comparable maturity to the remaining term of such Fixed Rate Notes.</w:t>
      </w:r>
    </w:p>
    <w:p>
      <w:pPr>
        <w:spacing w:after="0" w:line="22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such redemption date, after excluding the highest and lowest such Reference Treasury Dealer Quotations, or (ii) if the Company obtains fewer than four such Reference Treasury Dealer Quotations, the average of all such quotations, or (iii) if only one Reference Treasury Dealer Quotation is received, such quotation.</w:t>
      </w:r>
    </w:p>
    <w:p>
      <w:pPr>
        <w:spacing w:after="0" w:line="17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(i) each of HSBC Securities (USA) Inc., J.P. Morgan Securities LLC and Morgan Stanley &amp; Co. LLC (or their respective affiliates which are Primary Treasury Dealers (as defined below)), and their respective successors;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of the foregoing shall cease to be a primary U.S. Government securities dealer in the United States of America (a “Primary Treasury Dealer”), we will substitute therefor another Primary Treasury Dealer; and (ii) any other Primary Treasury Dealer(s) selected by us.</w:t>
      </w:r>
    </w:p>
    <w:p>
      <w:pPr>
        <w:spacing w:after="0" w:line="21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Company, of the bid and asked prices for the applicable Comparable Treasury Issue (expressed in each case as a percentage of its principal amount) quoted in writing to the Company by such Reference Treasury Dealer at 5:00 p.m. (New York City time) on the third business day preceding such redemption date.</w:t>
      </w:r>
    </w:p>
    <w:p>
      <w:pPr>
        <w:spacing w:after="0" w:line="22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applicable Comparable Treasury Issue, assuming a price for such Comparable Treasury Issue (expressed as a percentage of its principal amount) equal to the Comparable Treasury Price for such redemption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25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Deutsche Bank Trust Company Americas is the Trustee under the Indenture, with its corporate trust office at 60 Wall Street, 16</w:t>
      </w:r>
      <w:r>
        <w:rPr>
          <w:rFonts w:ascii="Arial" w:cs="Arial" w:eastAsia="Arial" w:hAnsi="Arial"/>
          <w:sz w:val="15"/>
          <w:szCs w:val="15"/>
          <w:color w:val="auto"/>
        </w:rPr>
        <w:t>th</w:t>
      </w:r>
      <w:r>
        <w:rPr>
          <w:rFonts w:ascii="Arial" w:cs="Arial" w:eastAsia="Arial" w:hAnsi="Arial"/>
          <w:sz w:val="18"/>
          <w:szCs w:val="18"/>
          <w:color w:val="auto"/>
        </w:rPr>
        <w:t xml:space="preserve"> Floor, Trust and Agency Services, New York, New York 10005.</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customary banking relationships with the Trustee and its affiliates. In addition, the Trustee may serve as trustee for other debt securities issued by ExxonMobil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MATERIAL U.S. FEDERAL INCOME TAX CONSIDERATIONS</w:t>
      </w:r>
    </w:p>
    <w:p>
      <w:pPr>
        <w:spacing w:after="0" w:line="26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for each series of Notes, will be the applicable “issue price” indicated on the cover of this prospectus supplement, and held as capital assets for U.S. federal income tax purposes.</w:t>
      </w:r>
    </w:p>
    <w:p>
      <w:pPr>
        <w:spacing w:after="0" w:line="222"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and Medicare contribution tax consequences, and differing tax consequences that may apply if you are, for instance:</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financial institution;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 dealer or trader in securities;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holding Notes as part of a “straddle” or integrated transaction;</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 U.S. Holder (as defined below) whose functional currency is not the U.S. dollar;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partnership for U.S. federal income tax purposes; 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 tax-exempt entity.</w:t>
      </w:r>
    </w:p>
    <w:p>
      <w:pPr>
        <w:spacing w:after="0" w:line="243" w:lineRule="exact"/>
        <w:rPr>
          <w:sz w:val="20"/>
          <w:szCs w:val="20"/>
          <w:color w:val="auto"/>
        </w:rPr>
      </w:pPr>
    </w:p>
    <w:p>
      <w:pPr>
        <w:sectPr>
          <w:pgSz w:w="11900" w:h="16838" w:orient="portrait"/>
          <w:cols w:equalWidth="0" w:num="2">
            <w:col w:w="540" w:space="240"/>
            <w:col w:w="10640"/>
          </w:cols>
          <w:pgMar w:left="240" w:top="459" w:right="239" w:bottom="1440" w:gutter="0" w:footer="0" w:header="0"/>
          <w:type w:val="continuous"/>
        </w:sectPr>
      </w:pPr>
    </w:p>
    <w:p>
      <w:pPr>
        <w:spacing w:after="0" w:line="6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your partners will generally depend on the status of the partner and your activities.</w:t>
      </w:r>
    </w:p>
    <w:p>
      <w:pPr>
        <w:spacing w:after="0" w:line="19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that is:</w:t>
      </w:r>
    </w:p>
    <w:p>
      <w:pPr>
        <w:ind w:left="780" w:hanging="326"/>
        <w:spacing w:after="0" w:line="214" w:lineRule="auto"/>
        <w:tabs>
          <w:tab w:leader="none" w:pos="780" w:val="left"/>
        </w:tabs>
        <w:numPr>
          <w:ilvl w:val="0"/>
          <w:numId w:val="12"/>
        </w:numPr>
        <w:rPr>
          <w:rFonts w:ascii="Arial" w:cs="Arial" w:eastAsia="Arial" w:hAnsi="Arial"/>
          <w:sz w:val="50"/>
          <w:szCs w:val="50"/>
          <w:color w:val="auto"/>
          <w:vertAlign w:val="subscript"/>
        </w:rPr>
      </w:pPr>
      <w:r>
        <w:rPr>
          <w:rFonts w:ascii="Arial" w:cs="Arial" w:eastAsia="Arial" w:hAnsi="Arial"/>
          <w:sz w:val="18"/>
          <w:szCs w:val="18"/>
          <w:color w:val="auto"/>
        </w:rPr>
        <w:t>a citizen or individual resident of the United States;</w:t>
      </w:r>
    </w:p>
    <w:p>
      <w:pPr>
        <w:spacing w:after="0" w:line="365" w:lineRule="exact"/>
        <w:rPr>
          <w:rFonts w:ascii="Arial" w:cs="Arial" w:eastAsia="Arial" w:hAnsi="Arial"/>
          <w:sz w:val="50"/>
          <w:szCs w:val="50"/>
          <w:color w:val="auto"/>
          <w:vertAlign w:val="subscript"/>
        </w:rPr>
      </w:pPr>
    </w:p>
    <w:p>
      <w:pPr>
        <w:ind w:left="780" w:hanging="326"/>
        <w:spacing w:after="0" w:line="182" w:lineRule="auto"/>
        <w:tabs>
          <w:tab w:leader="none" w:pos="780" w:val="left"/>
        </w:tabs>
        <w:numPr>
          <w:ilvl w:val="0"/>
          <w:numId w:val="12"/>
        </w:numPr>
        <w:rPr>
          <w:rFonts w:ascii="Arial" w:cs="Arial" w:eastAsia="Arial" w:hAnsi="Arial"/>
          <w:sz w:val="36"/>
          <w:szCs w:val="36"/>
          <w:color w:val="auto"/>
          <w:vertAlign w:val="subscript"/>
        </w:rPr>
      </w:pPr>
      <w:r>
        <w:rPr>
          <w:rFonts w:ascii="Arial" w:cs="Arial" w:eastAsia="Arial" w:hAnsi="Arial"/>
          <w:sz w:val="15"/>
          <w:szCs w:val="15"/>
          <w:color w:val="auto"/>
        </w:rPr>
        <w:t>a corporation, or other entity taxable as a corporation, created or organized in or under the laws of the United States, any state therein or the District of Columbia; or</w:t>
      </w:r>
    </w:p>
    <w:p>
      <w:pPr>
        <w:spacing w:after="0" w:line="1" w:lineRule="exact"/>
        <w:rPr>
          <w:rFonts w:ascii="Arial" w:cs="Arial" w:eastAsia="Arial" w:hAnsi="Arial"/>
          <w:sz w:val="36"/>
          <w:szCs w:val="36"/>
          <w:color w:val="auto"/>
          <w:vertAlign w:val="subscript"/>
        </w:rPr>
      </w:pPr>
    </w:p>
    <w:p>
      <w:pPr>
        <w:ind w:left="780" w:hanging="326"/>
        <w:spacing w:after="0" w:line="214" w:lineRule="auto"/>
        <w:tabs>
          <w:tab w:leader="none" w:pos="780" w:val="left"/>
        </w:tabs>
        <w:numPr>
          <w:ilvl w:val="0"/>
          <w:numId w:val="12"/>
        </w:numPr>
        <w:rPr>
          <w:rFonts w:ascii="Arial" w:cs="Arial" w:eastAsia="Arial" w:hAnsi="Arial"/>
          <w:sz w:val="50"/>
          <w:szCs w:val="50"/>
          <w:color w:val="auto"/>
          <w:vertAlign w:val="subscript"/>
        </w:rPr>
      </w:pPr>
      <w:r>
        <w:rPr>
          <w:rFonts w:ascii="Arial" w:cs="Arial" w:eastAsia="Arial" w:hAnsi="Arial"/>
          <w:sz w:val="18"/>
          <w:szCs w:val="18"/>
          <w:color w:val="auto"/>
        </w:rPr>
        <w:t>an estate or trust the income of which is subject to U.S. federal income taxation regardless of its source.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Stated interest paid on a Note will be taxable to you as ordinary interest income at the time it accrues or is received, in accordance with your method of accounting for federal income tax purposes. It is expected, and therefore this discussion assumes, that each series of the Notes will be issued without original issue discount for U.S.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Upon the sale or other taxable disposition of a Note, you will recognize gain or loss equal to the difference between the amount realized and your tax basis in the Note, which will equal its cost. For these purposes, the amount realized does not include any amount attributable to accrued interest, which would be treated as described under “Payments of interest” above. Gain or loss realized on the sale or other taxable disposition of a Note will generally be capital gain or loss and will be long term capital gain or loss if you have held the Note for more than one year. The deductibility of capital losses is subject to limitations.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With certain exceptions, information returns will be filed with the IRS in connection with payments on the Notes and the proceeds from a sale or other disposition of the Notes. You may be subject to backup withholding on these payments if you fail to comply with certain certification procedures. The amount of any backup withholding will be allowed as a credit against your U.S. federal income tax liability and may entitle you to a refund, provided that the required information is timely furnished to the IRS.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a Note that is:</w:t>
      </w:r>
    </w:p>
    <w:p>
      <w:pPr>
        <w:sectPr>
          <w:pgSz w:w="11900" w:h="16838" w:orient="portrait"/>
          <w:cols w:equalWidth="0" w:num="1">
            <w:col w:w="11400"/>
          </w:cols>
          <w:pgMar w:left="240" w:top="459" w:right="259" w:bottom="1440" w:gutter="0" w:footer="0" w:header="0"/>
        </w:sectPr>
      </w:pPr>
    </w:p>
    <w:p>
      <w:pPr>
        <w:spacing w:after="0" w:line="24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nonresident alien individual;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foreign corporation; 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 foreign estate or trust.</w:t>
      </w:r>
    </w:p>
    <w:p>
      <w:pPr>
        <w:spacing w:after="0" w:line="243" w:lineRule="exact"/>
        <w:rPr>
          <w:sz w:val="20"/>
          <w:szCs w:val="20"/>
          <w:color w:val="auto"/>
        </w:rPr>
      </w:pPr>
    </w:p>
    <w:p>
      <w:pPr>
        <w:sectPr>
          <w:pgSz w:w="11900" w:h="16838" w:orient="portrait"/>
          <w:cols w:equalWidth="0" w:num="2">
            <w:col w:w="540" w:space="240"/>
            <w:col w:w="10620"/>
          </w:cols>
          <w:pgMar w:left="240" w:top="459" w:right="259" w:bottom="1440" w:gutter="0" w:footer="0" w:header="0"/>
          <w:type w:val="continuous"/>
        </w:sectPr>
      </w:pPr>
    </w:p>
    <w:p>
      <w:pPr>
        <w:spacing w:after="0" w:line="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You are not a Non-U.S. Holder for purposes of this discussion if you are a nonresident alien individual present in the United States for 183 days or more in the taxable year of disposition or if you are a former citizen or former resident of the United States, in either of which cases you should consult your tax adviser regarding the U.S. federal income tax consequences of owning and disposing of a Note.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the Notes and dispositions of the Notes</w:t>
      </w:r>
    </w:p>
    <w:p>
      <w:pPr>
        <w:spacing w:after="0" w:line="225"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Payments to you on a Note, and any gain you realize on a sale or exchange of your Notes, generally will not be subject to U.S. federal income tax, including withholding tax, provided that (i) you certify on a properly executed IRS Form W-8 appropriate to your circumstances that you are not a United States person; and (ii) such amounts are not effectively connected with your conduct of a trade or business in the United States.</w:t>
      </w:r>
    </w:p>
    <w:p>
      <w:pPr>
        <w:spacing w:after="0" w:line="20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interest or gain from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In this case, you will be required to provide a properly executed IRS Form W-8ECI in order to claim an exemption from withholding tax on interest. You should consult your tax adviser with respect to other U.S. tax consequences of owning and disposing of Notes, including the possible imposition of a branch profits tax at a rate of 30% (or a lower treaty rate) if you are a corporation.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and you may be subject to backup withholding on payments on the Notes or on the proceeds from a sale or other disposition of the Notes. The certification of non-U.S. status on an IRS Form W-8 appropriate to your circumstances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UNDERWRITING</w:t>
      </w:r>
    </w:p>
    <w:p>
      <w:pPr>
        <w:spacing w:after="0" w:line="2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as of the date of this prospectus supplement, the underwriters named below, for whom HSBC Securities (USA) Inc., J.P. Morgan Securities LLC and Morgan Stanley &amp; Co. LLC are acting as managers, have severally agreed to purchase, and we have agreed to sell to them, severally, the principal amount of the Notes of each series set forth opposite each underwriter’s name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4"/>
              </w:rPr>
              <w:t>Principal</w:t>
            </w:r>
          </w:p>
        </w:tc>
      </w:tr>
      <w:tr>
        <w:trPr>
          <w:trHeight w:val="210"/>
        </w:trPr>
        <w:tc>
          <w:tcPr>
            <w:tcW w:w="65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amount of</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amount of</w:t>
            </w:r>
          </w:p>
        </w:tc>
        <w:tc>
          <w:tcPr>
            <w:tcW w:w="14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6"/>
                <w:szCs w:val="16"/>
                <w:b w:val="1"/>
                <w:bCs w:val="1"/>
                <w:color w:val="auto"/>
                <w:w w:val="93"/>
              </w:rPr>
              <w:t>amount of</w:t>
            </w:r>
          </w:p>
        </w:tc>
        <w:tc>
          <w:tcPr>
            <w:tcW w:w="14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6"/>
                <w:szCs w:val="16"/>
                <w:b w:val="1"/>
                <w:bCs w:val="1"/>
                <w:color w:val="auto"/>
                <w:w w:val="93"/>
              </w:rPr>
              <w:t>amount of</w:t>
            </w:r>
          </w:p>
        </w:tc>
        <w:tc>
          <w:tcPr>
            <w:tcW w:w="1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 of</w:t>
            </w:r>
          </w:p>
        </w:tc>
      </w:tr>
      <w:tr>
        <w:trPr>
          <w:trHeight w:val="397"/>
        </w:trPr>
        <w:tc>
          <w:tcPr>
            <w:tcW w:w="65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Floating Rate</w:t>
            </w: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Floating Rate</w:t>
            </w:r>
          </w:p>
        </w:tc>
        <w:tc>
          <w:tcPr>
            <w:tcW w:w="1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b w:val="1"/>
                <w:bCs w:val="1"/>
                <w:color w:val="auto"/>
                <w:w w:val="91"/>
              </w:rPr>
              <w:t>Fixed Rate</w:t>
            </w:r>
          </w:p>
        </w:tc>
        <w:tc>
          <w:tcPr>
            <w:tcW w:w="1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b w:val="1"/>
                <w:bCs w:val="1"/>
                <w:color w:val="auto"/>
                <w:w w:val="91"/>
              </w:rPr>
              <w:t>Fixed Rate</w:t>
            </w:r>
          </w:p>
        </w:tc>
        <w:tc>
          <w:tcPr>
            <w:tcW w:w="18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Fixed Rate</w:t>
            </w:r>
          </w:p>
        </w:tc>
      </w:tr>
      <w:tr>
        <w:trPr>
          <w:trHeight w:val="210"/>
        </w:trPr>
        <w:tc>
          <w:tcPr>
            <w:tcW w:w="6540" w:type="dxa"/>
            <w:vAlign w:val="bottom"/>
          </w:tcPr>
          <w:p>
            <w:pPr>
              <w:ind w:left="80"/>
              <w:spacing w:after="0"/>
              <w:rPr>
                <w:sz w:val="20"/>
                <w:szCs w:val="20"/>
                <w:color w:val="auto"/>
              </w:rPr>
            </w:pPr>
            <w:r>
              <w:rPr>
                <w:rFonts w:ascii="Arial" w:cs="Arial" w:eastAsia="Arial" w:hAnsi="Arial"/>
                <w:sz w:val="16"/>
                <w:szCs w:val="16"/>
                <w:b w:val="1"/>
                <w:bCs w:val="1"/>
                <w:color w:val="auto"/>
              </w:rPr>
              <w:t>Underwriter</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5"/>
              </w:rPr>
              <w:t>Notes</w:t>
            </w: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Notes</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Notes</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Notes</w:t>
            </w:r>
          </w:p>
        </w:tc>
        <w:tc>
          <w:tcPr>
            <w:tcW w:w="1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Notes</w:t>
            </w:r>
          </w:p>
        </w:tc>
      </w:tr>
      <w:tr>
        <w:trPr>
          <w:trHeight w:val="60"/>
        </w:trPr>
        <w:tc>
          <w:tcPr>
            <w:tcW w:w="6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HSBC Securities (USA) Inc.</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J.P. Morgan Securities LLC</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Morgan Stanley &amp; Co. LLC</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100"/>
              <w:spacing w:after="0"/>
              <w:rPr>
                <w:sz w:val="20"/>
                <w:szCs w:val="20"/>
                <w:color w:val="auto"/>
              </w:rPr>
            </w:pPr>
            <w:r>
              <w:rPr>
                <w:rFonts w:ascii="Arial" w:cs="Arial" w:eastAsia="Arial" w:hAnsi="Arial"/>
                <w:sz w:val="18"/>
                <w:szCs w:val="18"/>
                <w:color w:val="auto"/>
              </w:rPr>
              <w:t>Barclays Capital Inc.</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Citigroup Global Markets Inc.</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540" w:type="dxa"/>
            <w:vAlign w:val="bottom"/>
          </w:tcPr>
          <w:p>
            <w:pPr>
              <w:ind w:left="100"/>
              <w:spacing w:after="0" w:line="201" w:lineRule="exact"/>
              <w:rPr>
                <w:sz w:val="20"/>
                <w:szCs w:val="20"/>
                <w:color w:val="auto"/>
              </w:rPr>
            </w:pPr>
            <w:r>
              <w:rPr>
                <w:rFonts w:ascii="Arial" w:cs="Arial" w:eastAsia="Arial" w:hAnsi="Arial"/>
                <w:sz w:val="18"/>
                <w:szCs w:val="18"/>
                <w:color w:val="auto"/>
              </w:rPr>
              <w:t>Merrill Lynch, Pierce, Fenner &amp; Smith</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40" w:type="dxa"/>
            <w:vAlign w:val="bottom"/>
          </w:tcPr>
          <w:p>
            <w:pPr>
              <w:ind w:left="1040"/>
              <w:spacing w:after="0"/>
              <w:rPr>
                <w:sz w:val="20"/>
                <w:szCs w:val="20"/>
                <w:color w:val="auto"/>
              </w:rPr>
            </w:pPr>
            <w:r>
              <w:rPr>
                <w:rFonts w:ascii="Arial" w:cs="Arial" w:eastAsia="Arial" w:hAnsi="Arial"/>
                <w:sz w:val="18"/>
                <w:szCs w:val="18"/>
                <w:color w:val="auto"/>
              </w:rPr>
              <w:t>Incorporated</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Notes directly to the public at the offering prices described on the cover page of this prospectus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60" w:type="dxa"/>
            <w:vAlign w:val="bottom"/>
            <w:gridSpan w:val="10"/>
          </w:tcPr>
          <w:p>
            <w:pPr>
              <w:spacing w:after="0"/>
              <w:rPr>
                <w:sz w:val="20"/>
                <w:szCs w:val="20"/>
                <w:color w:val="auto"/>
              </w:rPr>
            </w:pPr>
            <w:r>
              <w:rPr>
                <w:rFonts w:ascii="Arial" w:cs="Arial" w:eastAsia="Arial" w:hAnsi="Arial"/>
                <w:sz w:val="18"/>
                <w:szCs w:val="18"/>
                <w:color w:val="auto"/>
                <w:w w:val="94"/>
              </w:rPr>
              <w:t>supplement. In addition, the underwriters initially propose to offer to certain dealers at prices that represent a concession not in excess of</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 of the</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principal amount of the</w:t>
            </w:r>
          </w:p>
        </w:tc>
        <w:tc>
          <w:tcPr>
            <w:tcW w:w="2080" w:type="dxa"/>
            <w:vAlign w:val="bottom"/>
          </w:tcPr>
          <w:p>
            <w:pPr>
              <w:ind w:left="60"/>
              <w:spacing w:after="0"/>
              <w:rPr>
                <w:sz w:val="20"/>
                <w:szCs w:val="20"/>
                <w:color w:val="auto"/>
              </w:rPr>
            </w:pPr>
            <w:r>
              <w:rPr>
                <w:rFonts w:ascii="Arial" w:cs="Arial" w:eastAsia="Arial" w:hAnsi="Arial"/>
                <w:sz w:val="18"/>
                <w:szCs w:val="18"/>
                <w:color w:val="auto"/>
              </w:rPr>
              <w:t>Floating Rate Notes,</w:t>
            </w:r>
          </w:p>
        </w:tc>
        <w:tc>
          <w:tcPr>
            <w:tcW w:w="2900" w:type="dxa"/>
            <w:vAlign w:val="bottom"/>
            <w:gridSpan w:val="3"/>
          </w:tcPr>
          <w:p>
            <w:pPr>
              <w:spacing w:after="0"/>
              <w:rPr>
                <w:sz w:val="20"/>
                <w:szCs w:val="20"/>
                <w:color w:val="auto"/>
              </w:rPr>
            </w:pPr>
            <w:r>
              <w:rPr>
                <w:rFonts w:ascii="Arial" w:cs="Arial" w:eastAsia="Arial" w:hAnsi="Arial"/>
                <w:sz w:val="18"/>
                <w:szCs w:val="18"/>
                <w:color w:val="auto"/>
              </w:rPr>
              <w:t>% of the principal amount of the</w:t>
            </w:r>
          </w:p>
        </w:tc>
        <w:tc>
          <w:tcPr>
            <w:tcW w:w="1780" w:type="dxa"/>
            <w:vAlign w:val="bottom"/>
          </w:tcPr>
          <w:p>
            <w:pPr>
              <w:ind w:left="20"/>
              <w:spacing w:after="0"/>
              <w:rPr>
                <w:sz w:val="20"/>
                <w:szCs w:val="20"/>
                <w:color w:val="auto"/>
              </w:rPr>
            </w:pPr>
            <w:r>
              <w:rPr>
                <w:rFonts w:ascii="Arial" w:cs="Arial" w:eastAsia="Arial" w:hAnsi="Arial"/>
                <w:sz w:val="18"/>
                <w:szCs w:val="18"/>
                <w:color w:val="auto"/>
              </w:rPr>
              <w:t>Floating Rate Notes,</w:t>
            </w:r>
          </w:p>
        </w:tc>
        <w:tc>
          <w:tcPr>
            <w:tcW w:w="2440" w:type="dxa"/>
            <w:vAlign w:val="bottom"/>
            <w:gridSpan w:val="5"/>
          </w:tcPr>
          <w:p>
            <w:pPr>
              <w:ind w:left="280"/>
              <w:spacing w:after="0"/>
              <w:rPr>
                <w:sz w:val="20"/>
                <w:szCs w:val="20"/>
                <w:color w:val="auto"/>
              </w:rPr>
            </w:pPr>
            <w:r>
              <w:rPr>
                <w:rFonts w:ascii="Arial" w:cs="Arial" w:eastAsia="Arial" w:hAnsi="Arial"/>
                <w:sz w:val="18"/>
                <w:szCs w:val="18"/>
                <w:color w:val="auto"/>
                <w:w w:val="95"/>
              </w:rPr>
              <w:t>% of the principal amount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the</w:t>
            </w:r>
          </w:p>
        </w:tc>
        <w:tc>
          <w:tcPr>
            <w:tcW w:w="1760" w:type="dxa"/>
            <w:vAlign w:val="bottom"/>
            <w:gridSpan w:val="2"/>
          </w:tcPr>
          <w:p>
            <w:pPr>
              <w:ind w:left="360"/>
              <w:spacing w:after="0"/>
              <w:rPr>
                <w:sz w:val="20"/>
                <w:szCs w:val="20"/>
                <w:color w:val="auto"/>
              </w:rPr>
            </w:pPr>
            <w:r>
              <w:rPr>
                <w:rFonts w:ascii="Arial" w:cs="Arial" w:eastAsia="Arial" w:hAnsi="Arial"/>
                <w:sz w:val="18"/>
                <w:szCs w:val="18"/>
                <w:color w:val="auto"/>
                <w:w w:val="95"/>
              </w:rPr>
              <w:t>Fixed Rate Notes,</w:t>
            </w:r>
          </w:p>
        </w:tc>
        <w:tc>
          <w:tcPr>
            <w:tcW w:w="3060" w:type="dxa"/>
            <w:vAlign w:val="bottom"/>
            <w:gridSpan w:val="2"/>
          </w:tcPr>
          <w:p>
            <w:pPr>
              <w:ind w:left="420"/>
              <w:spacing w:after="0"/>
              <w:rPr>
                <w:sz w:val="20"/>
                <w:szCs w:val="20"/>
                <w:color w:val="auto"/>
              </w:rPr>
            </w:pPr>
            <w:r>
              <w:rPr>
                <w:rFonts w:ascii="Arial" w:cs="Arial" w:eastAsia="Arial" w:hAnsi="Arial"/>
                <w:sz w:val="18"/>
                <w:szCs w:val="18"/>
                <w:color w:val="auto"/>
              </w:rPr>
              <w:t>% of the principal amount of the</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w w:val="91"/>
              </w:rPr>
              <w:t>Fixed Rate Notes and</w:t>
            </w:r>
          </w:p>
        </w:tc>
        <w:tc>
          <w:tcPr>
            <w:tcW w:w="3060" w:type="dxa"/>
            <w:vAlign w:val="bottom"/>
            <w:gridSpan w:val="3"/>
          </w:tcPr>
          <w:p>
            <w:pPr>
              <w:ind w:left="460"/>
              <w:spacing w:after="0"/>
              <w:rPr>
                <w:sz w:val="20"/>
                <w:szCs w:val="20"/>
                <w:color w:val="auto"/>
              </w:rPr>
            </w:pPr>
            <w:r>
              <w:rPr>
                <w:rFonts w:ascii="Arial" w:cs="Arial" w:eastAsia="Arial" w:hAnsi="Arial"/>
                <w:sz w:val="18"/>
                <w:szCs w:val="18"/>
                <w:color w:val="auto"/>
              </w:rPr>
              <w:t>% of the principal amount of the</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Fixed Rate</w:t>
            </w:r>
          </w:p>
        </w:tc>
        <w:tc>
          <w:tcPr>
            <w:tcW w:w="0" w:type="dxa"/>
            <w:vAlign w:val="bottom"/>
          </w:tcPr>
          <w:p>
            <w:pPr>
              <w:spacing w:after="0"/>
              <w:rPr>
                <w:sz w:val="1"/>
                <w:szCs w:val="1"/>
                <w:color w:val="auto"/>
              </w:rPr>
            </w:pPr>
          </w:p>
        </w:tc>
      </w:tr>
      <w:tr>
        <w:trPr>
          <w:trHeight w:val="216"/>
        </w:trPr>
        <w:tc>
          <w:tcPr>
            <w:tcW w:w="7200" w:type="dxa"/>
            <w:vAlign w:val="bottom"/>
            <w:gridSpan w:val="7"/>
          </w:tcPr>
          <w:p>
            <w:pPr>
              <w:spacing w:after="0"/>
              <w:rPr>
                <w:sz w:val="20"/>
                <w:szCs w:val="20"/>
                <w:color w:val="auto"/>
              </w:rPr>
            </w:pPr>
            <w:r>
              <w:rPr>
                <w:rFonts w:ascii="Arial" w:cs="Arial" w:eastAsia="Arial" w:hAnsi="Arial"/>
                <w:sz w:val="18"/>
                <w:szCs w:val="18"/>
                <w:color w:val="auto"/>
                <w:w w:val="91"/>
              </w:rPr>
              <w:t>Notes. Any underwriter may allow, and any such dealer may reallow, a concession not in excess of</w:t>
            </w:r>
          </w:p>
        </w:tc>
        <w:tc>
          <w:tcPr>
            <w:tcW w:w="3060" w:type="dxa"/>
            <w:vAlign w:val="bottom"/>
            <w:gridSpan w:val="3"/>
          </w:tcPr>
          <w:p>
            <w:pPr>
              <w:ind w:left="460"/>
              <w:spacing w:after="0"/>
              <w:rPr>
                <w:sz w:val="20"/>
                <w:szCs w:val="20"/>
                <w:color w:val="auto"/>
              </w:rPr>
            </w:pPr>
            <w:r>
              <w:rPr>
                <w:rFonts w:ascii="Arial" w:cs="Arial" w:eastAsia="Arial" w:hAnsi="Arial"/>
                <w:sz w:val="18"/>
                <w:szCs w:val="18"/>
                <w:color w:val="auto"/>
              </w:rPr>
              <w:t>% of the principal amount of the</w:t>
            </w: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Floating</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w w:val="90"/>
              </w:rPr>
              <w:t>Rate Notes,</w:t>
            </w:r>
          </w:p>
        </w:tc>
        <w:tc>
          <w:tcPr>
            <w:tcW w:w="3420" w:type="dxa"/>
            <w:vAlign w:val="bottom"/>
            <w:gridSpan w:val="2"/>
          </w:tcPr>
          <w:p>
            <w:pPr>
              <w:ind w:left="500"/>
              <w:spacing w:after="0"/>
              <w:rPr>
                <w:sz w:val="20"/>
                <w:szCs w:val="20"/>
                <w:color w:val="auto"/>
              </w:rPr>
            </w:pPr>
            <w:r>
              <w:rPr>
                <w:rFonts w:ascii="Arial" w:cs="Arial" w:eastAsia="Arial" w:hAnsi="Arial"/>
                <w:sz w:val="18"/>
                <w:szCs w:val="18"/>
                <w:color w:val="auto"/>
              </w:rPr>
              <w:t>% of the principal amount of the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Floating Rate Notes,</w:t>
            </w:r>
          </w:p>
        </w:tc>
        <w:tc>
          <w:tcPr>
            <w:tcW w:w="2880" w:type="dxa"/>
            <w:vAlign w:val="bottom"/>
            <w:gridSpan w:val="2"/>
          </w:tcPr>
          <w:p>
            <w:pPr>
              <w:ind w:left="240"/>
              <w:spacing w:after="0"/>
              <w:rPr>
                <w:sz w:val="20"/>
                <w:szCs w:val="20"/>
                <w:color w:val="auto"/>
              </w:rPr>
            </w:pPr>
            <w:r>
              <w:rPr>
                <w:rFonts w:ascii="Arial" w:cs="Arial" w:eastAsia="Arial" w:hAnsi="Arial"/>
                <w:sz w:val="18"/>
                <w:szCs w:val="18"/>
                <w:color w:val="auto"/>
              </w:rPr>
              <w:t>% of the principal amount of the</w:t>
            </w:r>
          </w:p>
        </w:tc>
        <w:tc>
          <w:tcPr>
            <w:tcW w:w="1580" w:type="dxa"/>
            <w:vAlign w:val="bottom"/>
            <w:gridSpan w:val="3"/>
          </w:tcPr>
          <w:p>
            <w:pPr>
              <w:ind w:left="280"/>
              <w:spacing w:after="0"/>
              <w:rPr>
                <w:sz w:val="20"/>
                <w:szCs w:val="20"/>
                <w:color w:val="auto"/>
              </w:rPr>
            </w:pPr>
            <w:r>
              <w:rPr>
                <w:rFonts w:ascii="Arial" w:cs="Arial" w:eastAsia="Arial" w:hAnsi="Arial"/>
                <w:sz w:val="18"/>
                <w:szCs w:val="18"/>
                <w:color w:val="auto"/>
                <w:w w:val="88"/>
              </w:rPr>
              <w:t>Fixed Rate Notes,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w w:val="94"/>
              </w:rPr>
              <w:t>of the principal amount of the</w:t>
            </w:r>
          </w:p>
        </w:tc>
        <w:tc>
          <w:tcPr>
            <w:tcW w:w="2080" w:type="dxa"/>
            <w:vAlign w:val="bottom"/>
          </w:tcPr>
          <w:p>
            <w:pPr>
              <w:ind w:left="520"/>
              <w:spacing w:after="0"/>
              <w:rPr>
                <w:sz w:val="20"/>
                <w:szCs w:val="20"/>
                <w:color w:val="auto"/>
              </w:rPr>
            </w:pPr>
            <w:r>
              <w:rPr>
                <w:rFonts w:ascii="Arial" w:cs="Arial" w:eastAsia="Arial" w:hAnsi="Arial"/>
                <w:sz w:val="18"/>
                <w:szCs w:val="18"/>
                <w:color w:val="auto"/>
                <w:w w:val="88"/>
              </w:rPr>
              <w:t>Fixed Rate Notes and</w:t>
            </w:r>
          </w:p>
        </w:tc>
        <w:tc>
          <w:tcPr>
            <w:tcW w:w="2900" w:type="dxa"/>
            <w:vAlign w:val="bottom"/>
            <w:gridSpan w:val="3"/>
          </w:tcPr>
          <w:p>
            <w:pPr>
              <w:ind w:left="540"/>
              <w:spacing w:after="0"/>
              <w:rPr>
                <w:sz w:val="20"/>
                <w:szCs w:val="20"/>
                <w:color w:val="auto"/>
              </w:rPr>
            </w:pPr>
            <w:r>
              <w:rPr>
                <w:rFonts w:ascii="Arial" w:cs="Arial" w:eastAsia="Arial" w:hAnsi="Arial"/>
                <w:sz w:val="18"/>
                <w:szCs w:val="18"/>
                <w:color w:val="auto"/>
                <w:w w:val="92"/>
              </w:rPr>
              <w:t>% of the principal amount of the</w:t>
            </w:r>
          </w:p>
        </w:tc>
        <w:tc>
          <w:tcPr>
            <w:tcW w:w="4220" w:type="dxa"/>
            <w:vAlign w:val="bottom"/>
            <w:gridSpan w:val="6"/>
          </w:tcPr>
          <w:p>
            <w:pPr>
              <w:jc w:val="right"/>
              <w:ind w:right="260"/>
              <w:spacing w:after="0"/>
              <w:rPr>
                <w:sz w:val="20"/>
                <w:szCs w:val="20"/>
                <w:color w:val="auto"/>
              </w:rPr>
            </w:pPr>
            <w:r>
              <w:rPr>
                <w:rFonts w:ascii="Arial" w:cs="Arial" w:eastAsia="Arial" w:hAnsi="Arial"/>
                <w:sz w:val="18"/>
                <w:szCs w:val="18"/>
                <w:color w:val="auto"/>
              </w:rPr>
              <w:t>Fixed Rate Notes to certain other dealers. After</w:t>
            </w:r>
          </w:p>
        </w:tc>
        <w:tc>
          <w:tcPr>
            <w:tcW w:w="0" w:type="dxa"/>
            <w:vAlign w:val="bottom"/>
          </w:tcPr>
          <w:p>
            <w:pPr>
              <w:spacing w:after="0"/>
              <w:rPr>
                <w:sz w:val="1"/>
                <w:szCs w:val="1"/>
                <w:color w:val="auto"/>
              </w:rPr>
            </w:pPr>
          </w:p>
        </w:tc>
      </w:tr>
      <w:tr>
        <w:trPr>
          <w:trHeight w:val="230"/>
        </w:trPr>
        <w:tc>
          <w:tcPr>
            <w:tcW w:w="8980" w:type="dxa"/>
            <w:vAlign w:val="bottom"/>
            <w:gridSpan w:val="8"/>
          </w:tcPr>
          <w:p>
            <w:pPr>
              <w:spacing w:after="0"/>
              <w:rPr>
                <w:sz w:val="20"/>
                <w:szCs w:val="20"/>
                <w:color w:val="auto"/>
              </w:rPr>
            </w:pPr>
            <w:r>
              <w:rPr>
                <w:rFonts w:ascii="Arial" w:cs="Arial" w:eastAsia="Arial" w:hAnsi="Arial"/>
                <w:sz w:val="18"/>
                <w:szCs w:val="18"/>
                <w:color w:val="auto"/>
                <w:w w:val="95"/>
              </w:rPr>
              <w:t>the initial offering of the Notes, the underwriters may from time to time vary the offering prices and other selling terms.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9800" w:type="dxa"/>
            <w:vAlign w:val="bottom"/>
            <w:gridSpan w:val="9"/>
          </w:tcPr>
          <w:p>
            <w:pPr>
              <w:jc w:val="right"/>
              <w:ind w:right="54"/>
              <w:spacing w:after="0"/>
              <w:rPr>
                <w:sz w:val="20"/>
                <w:szCs w:val="20"/>
                <w:color w:val="auto"/>
              </w:rPr>
            </w:pPr>
            <w:r>
              <w:rPr>
                <w:rFonts w:ascii="Arial" w:cs="Arial" w:eastAsia="Arial" w:hAnsi="Arial"/>
                <w:sz w:val="18"/>
                <w:szCs w:val="18"/>
                <w:color w:val="auto"/>
                <w:w w:val="92"/>
              </w:rPr>
              <w:t>The following table shows the underwriting discount that we will pay to the underwriters in connection with the offering of the Notes: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Paid by ExxonMobil</w:t>
            </w:r>
          </w:p>
        </w:tc>
        <w:tc>
          <w:tcPr>
            <w:tcW w:w="0" w:type="dxa"/>
            <w:vAlign w:val="bottom"/>
          </w:tcPr>
          <w:p>
            <w:pPr>
              <w:spacing w:after="0"/>
              <w:rPr>
                <w:sz w:val="1"/>
                <w:szCs w:val="1"/>
                <w:color w:val="auto"/>
              </w:rPr>
            </w:pPr>
          </w:p>
        </w:tc>
      </w:tr>
      <w:tr>
        <w:trPr>
          <w:trHeight w:val="46"/>
        </w:trPr>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w:t>
            </w:r>
          </w:p>
        </w:tc>
        <w:tc>
          <w:tcPr>
            <w:tcW w:w="4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Floating Rate Note</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ind w:left="100"/>
              <w:spacing w:after="0"/>
              <w:rPr>
                <w:sz w:val="20"/>
                <w:szCs w:val="20"/>
                <w:color w:val="auto"/>
              </w:rPr>
            </w:pPr>
            <w:r>
              <w:rPr>
                <w:rFonts w:ascii="Arial" w:cs="Arial" w:eastAsia="Arial" w:hAnsi="Arial"/>
                <w:sz w:val="18"/>
                <w:szCs w:val="18"/>
                <w:color w:val="auto"/>
              </w:rPr>
              <w:t>Per</w:t>
            </w:r>
          </w:p>
        </w:tc>
        <w:tc>
          <w:tcPr>
            <w:tcW w:w="420" w:type="dxa"/>
            <w:vAlign w:val="bottom"/>
          </w:tcPr>
          <w:p>
            <w:pPr>
              <w:spacing w:after="0"/>
              <w:rPr>
                <w:sz w:val="18"/>
                <w:szCs w:val="18"/>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Floating Rate Note</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Fixed Rate Note</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ind w:left="100"/>
              <w:spacing w:after="0"/>
              <w:rPr>
                <w:sz w:val="20"/>
                <w:szCs w:val="20"/>
                <w:color w:val="auto"/>
              </w:rPr>
            </w:pPr>
            <w:r>
              <w:rPr>
                <w:rFonts w:ascii="Arial" w:cs="Arial" w:eastAsia="Arial" w:hAnsi="Arial"/>
                <w:sz w:val="18"/>
                <w:szCs w:val="18"/>
                <w:color w:val="auto"/>
              </w:rPr>
              <w:t>Per</w:t>
            </w:r>
          </w:p>
        </w:tc>
        <w:tc>
          <w:tcPr>
            <w:tcW w:w="420" w:type="dxa"/>
            <w:vAlign w:val="bottom"/>
          </w:tcPr>
          <w:p>
            <w:pPr>
              <w:spacing w:after="0"/>
              <w:rPr>
                <w:sz w:val="18"/>
                <w:szCs w:val="18"/>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w w:val="98"/>
              </w:rPr>
              <w:t>Fixed Rate Note</w:t>
            </w: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Fixed Rate Note</w:t>
            </w:r>
          </w:p>
        </w:tc>
        <w:tc>
          <w:tcPr>
            <w:tcW w:w="2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vMerge w:val="restart"/>
          </w:tcPr>
          <w:p>
            <w:pPr>
              <w:ind w:left="100"/>
              <w:spacing w:after="0"/>
              <w:rPr>
                <w:sz w:val="20"/>
                <w:szCs w:val="20"/>
                <w:color w:val="auto"/>
              </w:rPr>
            </w:pPr>
            <w:r>
              <w:rPr>
                <w:rFonts w:ascii="Arial" w:cs="Arial" w:eastAsia="Arial" w:hAnsi="Arial"/>
                <w:sz w:val="18"/>
                <w:szCs w:val="18"/>
                <w:color w:val="auto"/>
                <w:w w:val="84"/>
              </w:rPr>
              <w:t>Total</w:t>
            </w: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9"/>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6"/>
                <w:szCs w:val="16"/>
                <w:color w:val="auto"/>
              </w:rPr>
              <w:t>S-20</w:t>
            </w:r>
          </w:p>
        </w:tc>
        <w:tc>
          <w:tcPr>
            <w:tcW w:w="1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prices of the Notes. Specifically, the underwriters may overallot in connection with the offering of the Notes, creating syndicate short positions. In addition, the underwriters may bid for and purchase Notes in the open market to cover syndicate short positions or to stabilize the prices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w:t>
      </w:r>
    </w:p>
    <w:p>
      <w:pPr>
        <w:spacing w:after="0" w:line="23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underwriters are not required to engage in any of these activities, and may end any of them at any time. The Notes are new issues of securities and there are currently no established trading markets for the Notes. We do not intend to apply for listings of the Notes on any securities exchange or for quotation on an automated dealer quotation system. Accordingly, there can be no assurance as to the development or liquidity of any markets for the Notes. The underwriters have advised us that they currently intend to make a market in the Notes of each series. However, they are not obligated to do so, and any market making with respect to the Notes may be discontinued at any time without notice.</w:t>
      </w:r>
    </w:p>
    <w:p>
      <w:pPr>
        <w:spacing w:after="0" w:line="200" w:lineRule="exact"/>
        <w:rPr>
          <w:sz w:val="20"/>
          <w:szCs w:val="20"/>
          <w:color w:val="auto"/>
        </w:rPr>
      </w:pPr>
    </w:p>
    <w:p>
      <w:pPr>
        <w:ind w:left="460"/>
        <w:spacing w:after="0"/>
        <w:tabs>
          <w:tab w:leader="none" w:pos="11340" w:val="left"/>
        </w:tabs>
        <w:rPr>
          <w:sz w:val="20"/>
          <w:szCs w:val="20"/>
          <w:color w:val="auto"/>
        </w:rPr>
      </w:pPr>
      <w:r>
        <w:rPr>
          <w:rFonts w:ascii="Arial" w:cs="Arial" w:eastAsia="Arial" w:hAnsi="Arial"/>
          <w:sz w:val="17"/>
          <w:szCs w:val="17"/>
          <w:color w:val="auto"/>
        </w:rPr>
        <w:t>Expenses associated with this offering to be paid by us, other than underwriting discounts and commissions, are estimated to be approximately $</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From time to time in the ordinary course of their respective businesses, certain of the underwriters and their affiliates have engaged in and may in the future engage in commercial banking and/or financial advisory, investment banking and other commercial transactions and services with us and our affiliates.</w:t>
      </w:r>
    </w:p>
    <w:p>
      <w:pPr>
        <w:spacing w:after="0" w:line="164"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or the accompanying prospectus to the public in that Relevant Member State other than:</w:t>
      </w:r>
    </w:p>
    <w:p>
      <w:pPr>
        <w:spacing w:after="0" w:line="212"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65" w:lineRule="exact"/>
        <w:rPr>
          <w:rFonts w:ascii="Arial" w:cs="Arial" w:eastAsia="Arial" w:hAnsi="Arial"/>
          <w:sz w:val="18"/>
          <w:szCs w:val="18"/>
          <w:color w:val="auto"/>
        </w:rPr>
      </w:pPr>
    </w:p>
    <w:p>
      <w:pPr>
        <w:ind w:left="460" w:right="20" w:firstLine="4"/>
        <w:spacing w:after="0" w:line="264"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managers of the underwriters for any such offer; or</w:t>
      </w:r>
    </w:p>
    <w:p>
      <w:pPr>
        <w:spacing w:after="0" w:line="208"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6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provided that no such offer of Notes shall require ExxonMobil or any underwriter to publish a prospectus pursuant to Article 3 of the Prospectus Directive.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Notes which are the subject of the offering contemplated by this prospectus supplement or the accompanying prospectus to the public” in relation to any Notes in any Relevant Member State means the communication in any form and by any means of sufficient information on the terms of the offer and the Notes to be offered so as to enable an investor to decide to purchase or subscribe for the Notes,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266" w:lineRule="exact"/>
        <w:rPr>
          <w:sz w:val="20"/>
          <w:szCs w:val="20"/>
          <w:color w:val="auto"/>
        </w:rPr>
      </w:pPr>
    </w:p>
    <w:p>
      <w:pPr>
        <w:ind w:left="460" w:right="200" w:firstLine="4"/>
        <w:spacing w:after="0" w:line="312"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Markets Act of 2000 (the “FSMA”)) received by it in connection with the issue or sale of the Notes in circumstances in which Section 21(1) of the FSMA does not apply to ExxonMobil; and</w:t>
      </w:r>
    </w:p>
    <w:p>
      <w:pPr>
        <w:spacing w:after="0" w:line="173" w:lineRule="exact"/>
        <w:rPr>
          <w:rFonts w:ascii="Arial" w:cs="Arial" w:eastAsia="Arial" w:hAnsi="Arial"/>
          <w:sz w:val="16"/>
          <w:szCs w:val="16"/>
          <w:color w:val="auto"/>
        </w:rPr>
      </w:pPr>
    </w:p>
    <w:p>
      <w:pPr>
        <w:ind w:left="460" w:right="100" w:firstLine="4"/>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VALIDITY OF THE NOTES</w:t>
      </w:r>
    </w:p>
    <w:p>
      <w:pPr>
        <w:spacing w:after="0" w:line="2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validity of the Notes will be passed upon for us by Davis Polk &amp; Wardwell LLP, New York, New York and for the underwriters by Latham &amp; Watkins LLP, New York, New York. James E. Parsons, Esq., ExxonMobil’s Coordinator – Corporate Securities and Finance Law, will issue an opinion concerning certain matters relating to laws of the State of New Jersey.</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0960"/>
          </w:cols>
          <w:pgMar w:left="24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154940</wp:posOffset>
            </wp:positionV>
            <wp:extent cx="1706880"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068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Exxon Mobil Corporation</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189" w:lineRule="exact"/>
        <w:rPr>
          <w:sz w:val="20"/>
          <w:szCs w:val="20"/>
          <w:color w:val="auto"/>
        </w:rPr>
      </w:pPr>
    </w:p>
    <w:p>
      <w:pPr>
        <w:ind w:right="400" w:firstLine="342"/>
        <w:spacing w:after="0" w:line="277" w:lineRule="auto"/>
        <w:rPr>
          <w:sz w:val="20"/>
          <w:szCs w:val="20"/>
          <w:color w:val="auto"/>
        </w:rPr>
      </w:pPr>
      <w:r>
        <w:rPr>
          <w:rFonts w:ascii="Arial" w:cs="Arial" w:eastAsia="Arial" w:hAnsi="Arial"/>
          <w:sz w:val="18"/>
          <w:szCs w:val="18"/>
          <w:color w:val="auto"/>
        </w:rPr>
        <w:t>We may offer debt securities from time to time. We may offer the debt securities in separate series or classes and in amounts, at prices and on terms described in one or more supplements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186055</wp:posOffset>
            </wp:positionV>
            <wp:extent cx="22383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67" w:lineRule="exact"/>
        <w:rPr>
          <w:sz w:val="20"/>
          <w:szCs w:val="20"/>
          <w:color w:val="auto"/>
        </w:rPr>
      </w:pPr>
    </w:p>
    <w:p>
      <w:pPr>
        <w:ind w:right="160" w:firstLine="342"/>
        <w:spacing w:after="0" w:line="277" w:lineRule="auto"/>
        <w:rPr>
          <w:sz w:val="20"/>
          <w:szCs w:val="20"/>
          <w:color w:val="auto"/>
        </w:rPr>
      </w:pPr>
      <w:r>
        <w:rPr>
          <w:rFonts w:ascii="Arial" w:cs="Arial" w:eastAsia="Arial" w:hAnsi="Arial"/>
          <w:sz w:val="18"/>
          <w:szCs w:val="18"/>
          <w:color w:val="auto"/>
        </w:rPr>
        <w:t>We urge you to carefully read this prospectus and the accompanying prospectus supplement, together with the documents we incorporate by reference, which will describe the specific terms of these debt securities,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186055</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63" w:lineRule="exact"/>
        <w:rPr>
          <w:sz w:val="20"/>
          <w:szCs w:val="20"/>
          <w:color w:val="auto"/>
        </w:rPr>
      </w:pPr>
    </w:p>
    <w:p>
      <w:pPr>
        <w:ind w:firstLine="342"/>
        <w:spacing w:after="0" w:line="347" w:lineRule="auto"/>
        <w:rPr>
          <w:sz w:val="20"/>
          <w:szCs w:val="20"/>
          <w:color w:val="auto"/>
        </w:rPr>
      </w:pPr>
      <w:r>
        <w:rPr>
          <w:rFonts w:ascii="Arial" w:cs="Arial" w:eastAsia="Arial" w:hAnsi="Arial"/>
          <w:sz w:val="16"/>
          <w:szCs w:val="16"/>
          <w:b w:val="1"/>
          <w:bCs w:val="1"/>
          <w:color w:val="auto"/>
        </w:rPr>
        <w:t>Investing in these securities involves certain risks. See “Risk Factors” in our most recent annual report on Form 10-K, which is incorporated by reference herein, as well as in any other recently filed quarterly or current reports and, if any, in the relevant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154305</wp:posOffset>
            </wp:positionV>
            <wp:extent cx="2238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12" w:lineRule="exact"/>
        <w:rPr>
          <w:sz w:val="20"/>
          <w:szCs w:val="20"/>
          <w:color w:val="auto"/>
        </w:rPr>
      </w:pPr>
    </w:p>
    <w:p>
      <w:pPr>
        <w:ind w:right="540" w:firstLine="342"/>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168275</wp:posOffset>
            </wp:positionV>
            <wp:extent cx="223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March 17, 2014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342"/>
        <w:spacing w:after="0" w:line="255"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or in any related prospectus supplement or free writing prospectus prepared by or on behalf of us or to which we have referred you. We take no responsibility for, and can provide no assurance as to the reliability of, any other information that others may give you. We are not making an offer of these debt securities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93" w:lineRule="exact"/>
        <w:rPr>
          <w:sz w:val="20"/>
          <w:szCs w:val="20"/>
          <w:color w:val="auto"/>
        </w:rPr>
      </w:pPr>
    </w:p>
    <w:p>
      <w:pPr>
        <w:jc w:val="both"/>
        <w:ind w:right="120" w:firstLine="342"/>
        <w:spacing w:after="0" w:line="264" w:lineRule="auto"/>
        <w:rPr>
          <w:sz w:val="20"/>
          <w:szCs w:val="20"/>
          <w:color w:val="auto"/>
        </w:rPr>
      </w:pPr>
      <w:r>
        <w:rPr>
          <w:rFonts w:ascii="Arial" w:cs="Arial" w:eastAsia="Arial" w:hAnsi="Arial"/>
          <w:sz w:val="18"/>
          <w:szCs w:val="18"/>
          <w:color w:val="auto"/>
        </w:rPr>
        <w:t>The terms “ExxonMobil,” “the Company,” “we,” “us” and “our” refer to Exxon Mobil Corporation and its subsidiaries, unless otherwise stated or the context otherwise requires. However, in the “Description of Debt Securities” section of this prospectus, references to “the Company,” “we,” “us” and “our” are to Exxon Mobil Corporation only and not to any of its subsidiaries.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60" w:type="dxa"/>
            <w:vAlign w:val="bottom"/>
            <w:gridSpan w:val="3"/>
          </w:tcPr>
          <w:p>
            <w:pPr>
              <w:jc w:val="right"/>
              <w:ind w:right="4568"/>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189"/>
        </w:trPr>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20" w:type="dxa"/>
            <w:vAlign w:val="bottom"/>
            <w:tcBorders>
              <w:bottom w:val="single" w:sz="8" w:color="auto"/>
            </w:tcBorders>
          </w:tcPr>
          <w:p>
            <w:pPr>
              <w:spacing w:after="0"/>
              <w:rPr>
                <w:sz w:val="16"/>
                <w:szCs w:val="16"/>
                <w:color w:val="auto"/>
              </w:rPr>
            </w:pPr>
          </w:p>
        </w:tc>
        <w:tc>
          <w:tcPr>
            <w:tcW w:w="35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417"/>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About This Prospectus</w:t>
              </w:r>
            </w:hyperlink>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Exxon Mobil Corporation</w:t>
              </w:r>
            </w:hyperlink>
          </w:p>
        </w:tc>
        <w:tc>
          <w:tcPr>
            <w:tcW w:w="2080" w:type="dxa"/>
            <w:vAlign w:val="bottom"/>
            <w:gridSpan w:val="6"/>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Use of Proceeds</w:t>
              </w:r>
            </w:hyperlink>
          </w:p>
        </w:tc>
        <w:tc>
          <w:tcPr>
            <w:tcW w:w="2780" w:type="dxa"/>
            <w:vAlign w:val="bottom"/>
            <w:gridSpan w:val="10"/>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tcPr>
          <w:p>
            <w:pPr>
              <w:spacing w:after="0"/>
              <w:rPr>
                <w:sz w:val="17"/>
                <w:szCs w:val="17"/>
                <w:color w:val="auto"/>
              </w:rPr>
            </w:pPr>
          </w:p>
        </w:tc>
        <w:tc>
          <w:tcPr>
            <w:tcW w:w="1420" w:type="dxa"/>
            <w:vAlign w:val="bottom"/>
            <w:gridSpan w:val="3"/>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Forms of Debt Securities</w:t>
              </w:r>
            </w:hyperlink>
          </w:p>
        </w:tc>
        <w:tc>
          <w:tcPr>
            <w:tcW w:w="2140" w:type="dxa"/>
            <w:vAlign w:val="bottom"/>
            <w:gridSpan w:val="7"/>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Plan of Distribution</w:t>
              </w:r>
            </w:hyperlink>
          </w:p>
        </w:tc>
        <w:tc>
          <w:tcPr>
            <w:tcW w:w="2520" w:type="dxa"/>
            <w:vAlign w:val="bottom"/>
            <w:gridSpan w:val="9"/>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080" w:type="dxa"/>
            <w:vAlign w:val="bottom"/>
            <w:gridSpan w:val="2"/>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Information Concerning Forward-Looking Statements</w:t>
              </w:r>
            </w:hyperlink>
          </w:p>
        </w:tc>
        <w:tc>
          <w:tcPr>
            <w:tcW w:w="40" w:type="dxa"/>
            <w:vAlign w:val="bottom"/>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Validity of the Debt Securities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Experts</w:t>
              </w:r>
            </w:hyperlink>
          </w:p>
        </w:tc>
        <w:tc>
          <w:tcPr>
            <w:tcW w:w="1620" w:type="dxa"/>
            <w:vAlign w:val="bottom"/>
            <w:tcBorders>
              <w:top w:val="single" w:sz="8" w:color="0000EE"/>
            </w:tcBorders>
            <w:gridSpan w:val="6"/>
          </w:tcPr>
          <w:p>
            <w:pPr>
              <w:spacing w:after="0"/>
              <w:rPr>
                <w:sz w:val="17"/>
                <w:szCs w:val="17"/>
                <w:color w:val="auto"/>
              </w:rPr>
            </w:pPr>
          </w:p>
        </w:tc>
        <w:tc>
          <w:tcPr>
            <w:tcW w:w="1780" w:type="dxa"/>
            <w:vAlign w:val="bottom"/>
            <w:gridSpan w:val="5"/>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02" w:lineRule="exact"/>
        <w:rPr>
          <w:sz w:val="20"/>
          <w:szCs w:val="20"/>
          <w:color w:val="auto"/>
        </w:rPr>
      </w:pPr>
    </w:p>
    <w:p>
      <w:pPr>
        <w:ind w:right="40" w:firstLine="342"/>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utilizing a “shelf” registration process. Under this shelf process, we may sell the debt securities described in this prospectus in one or more offerings. This prospectus provides you with a general description of the securities we may offer. Each time we sell debt securities, we will provide a prospectus supplement that will contain specific information about the terms of that offering. The prospectus supplement may also add, update or change information contained in this prospectus. You should carefully read both this prospectus and any applicable prospectus supplement together with additional information described under the heading “Where You Can Find More Information” before deciding to invest in any of the debt securities being offered.</w:t>
      </w:r>
    </w:p>
    <w:p>
      <w:pPr>
        <w:spacing w:after="0" w:line="138" w:lineRule="exact"/>
        <w:rPr>
          <w:sz w:val="20"/>
          <w:szCs w:val="20"/>
          <w:color w:val="auto"/>
        </w:rPr>
      </w:pPr>
    </w:p>
    <w:p>
      <w:pPr>
        <w:ind w:right="440" w:firstLine="342"/>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EXXON MOBIL CORPORATION</w:t>
      </w:r>
    </w:p>
    <w:p>
      <w:pPr>
        <w:spacing w:after="0" w:line="189" w:lineRule="exact"/>
        <w:rPr>
          <w:sz w:val="20"/>
          <w:szCs w:val="20"/>
          <w:color w:val="auto"/>
        </w:rPr>
      </w:pPr>
    </w:p>
    <w:p>
      <w:pPr>
        <w:ind w:firstLine="342"/>
        <w:spacing w:after="0" w:line="276" w:lineRule="auto"/>
        <w:rPr>
          <w:sz w:val="20"/>
          <w:szCs w:val="20"/>
          <w:color w:val="auto"/>
        </w:rPr>
      </w:pPr>
      <w:r>
        <w:rPr>
          <w:rFonts w:ascii="Arial" w:cs="Arial" w:eastAsia="Arial" w:hAnsi="Arial"/>
          <w:sz w:val="17"/>
          <w:szCs w:val="17"/>
          <w:color w:val="auto"/>
        </w:rPr>
        <w:t>ExxonMobil was incorporated in the State of New Jersey in 1882. Our divisions and affiliated companies operate or market products in the United States and most other countries of the world. Our principal business is energy, involving exploration for, and production of, crude oil and natural gas, manufacture of petroleum products and transportation and sale of crude oil, natural gas and petroleum products. We are a major manufacturer and marketer of commodity petrochemicals, including olefins, aromatics, polyethylene and polypropylene plastics and a wide variety of specialty products. We also have interests in electric power generation facilities. Our affiliates conduct extensive research programs in support of these businesses.</w:t>
      </w:r>
    </w:p>
    <w:p>
      <w:pPr>
        <w:spacing w:after="0" w:line="132" w:lineRule="exact"/>
        <w:rPr>
          <w:sz w:val="20"/>
          <w:szCs w:val="20"/>
          <w:color w:val="auto"/>
        </w:rPr>
      </w:pPr>
    </w:p>
    <w:p>
      <w:pPr>
        <w:ind w:right="20" w:firstLine="342"/>
        <w:spacing w:after="0" w:line="342" w:lineRule="auto"/>
        <w:rPr>
          <w:sz w:val="20"/>
          <w:szCs w:val="20"/>
          <w:color w:val="auto"/>
        </w:rPr>
      </w:pPr>
      <w:r>
        <w:rPr>
          <w:rFonts w:ascii="Arial" w:cs="Arial" w:eastAsia="Arial" w:hAnsi="Arial"/>
          <w:sz w:val="16"/>
          <w:szCs w:val="16"/>
          <w:color w:val="auto"/>
        </w:rPr>
        <w:t>Our principal offices are located at 5959 Las Colinas Boulevard, Irving, Texas, 75039-2298, and our telephone number is (972) 444-1000. We maintain a website at www.exxonmobil.com where general information about us is available. We are not incorporating the contents of the website into this prospectus.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right="140" w:firstLine="342"/>
        <w:spacing w:after="0" w:line="264" w:lineRule="auto"/>
        <w:rPr>
          <w:sz w:val="20"/>
          <w:szCs w:val="20"/>
          <w:color w:val="auto"/>
        </w:rPr>
      </w:pPr>
      <w:r>
        <w:rPr>
          <w:rFonts w:ascii="Arial" w:cs="Arial" w:eastAsia="Arial" w:hAnsi="Arial"/>
          <w:sz w:val="18"/>
          <w:szCs w:val="18"/>
          <w:color w:val="auto"/>
        </w:rPr>
        <w:t>Unless otherwise indicated in a prospectus supplement, the net proceeds from the sale of the debt securities will be used for general corporate purposes. We may temporarily invest funds that are not immediately needed for these purposes in short-term investments, including, but not limited to, marketable securities.</w:t>
      </w:r>
    </w:p>
    <w:p>
      <w:pPr>
        <w:spacing w:after="0" w:line="31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7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522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Arial" w:cs="Arial" w:eastAsia="Arial" w:hAnsi="Arial"/>
                <w:sz w:val="13"/>
                <w:szCs w:val="13"/>
                <w:b w:val="1"/>
                <w:bCs w:val="1"/>
                <w:color w:val="auto"/>
              </w:rPr>
              <w:t>2013</w:t>
            </w:r>
          </w:p>
        </w:tc>
        <w:tc>
          <w:tcPr>
            <w:tcW w:w="58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Arial" w:cs="Arial" w:eastAsia="Arial" w:hAnsi="Arial"/>
                <w:sz w:val="13"/>
                <w:szCs w:val="13"/>
                <w:b w:val="1"/>
                <w:bCs w:val="1"/>
                <w:color w:val="auto"/>
              </w:rPr>
              <w:t>2012</w:t>
            </w:r>
          </w:p>
        </w:tc>
        <w:tc>
          <w:tcPr>
            <w:tcW w:w="134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auto"/>
              </w:rPr>
              <w:t>2011</w:t>
            </w:r>
          </w:p>
        </w:tc>
        <w:tc>
          <w:tcPr>
            <w:tcW w:w="580" w:type="dxa"/>
            <w:vAlign w:val="bottom"/>
          </w:tcPr>
          <w:p>
            <w:pPr>
              <w:spacing w:after="0"/>
              <w:rPr>
                <w:sz w:val="15"/>
                <w:szCs w:val="15"/>
                <w:color w:val="auto"/>
              </w:rPr>
            </w:pPr>
          </w:p>
        </w:tc>
        <w:tc>
          <w:tcPr>
            <w:tcW w:w="740" w:type="dxa"/>
            <w:vAlign w:val="bottom"/>
          </w:tcPr>
          <w:p>
            <w:pPr>
              <w:jc w:val="right"/>
              <w:ind w:right="163"/>
              <w:spacing w:after="0"/>
              <w:rPr>
                <w:sz w:val="20"/>
                <w:szCs w:val="20"/>
                <w:color w:val="auto"/>
              </w:rPr>
            </w:pPr>
            <w:r>
              <w:rPr>
                <w:rFonts w:ascii="Arial" w:cs="Arial" w:eastAsia="Arial" w:hAnsi="Arial"/>
                <w:sz w:val="13"/>
                <w:szCs w:val="13"/>
                <w:b w:val="1"/>
                <w:bCs w:val="1"/>
                <w:color w:val="auto"/>
              </w:rPr>
              <w:t>2010</w:t>
            </w:r>
          </w:p>
        </w:tc>
        <w:tc>
          <w:tcPr>
            <w:tcW w:w="580" w:type="dxa"/>
            <w:vAlign w:val="bottom"/>
          </w:tcPr>
          <w:p>
            <w:pPr>
              <w:spacing w:after="0"/>
              <w:rPr>
                <w:sz w:val="15"/>
                <w:szCs w:val="15"/>
                <w:color w:val="auto"/>
              </w:rPr>
            </w:pPr>
          </w:p>
        </w:tc>
        <w:tc>
          <w:tcPr>
            <w:tcW w:w="760" w:type="dxa"/>
            <w:vAlign w:val="bottom"/>
          </w:tcPr>
          <w:p>
            <w:pPr>
              <w:jc w:val="right"/>
              <w:ind w:right="163"/>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5"/>
                <w:szCs w:val="15"/>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ind w:right="80" w:firstLine="342"/>
        <w:spacing w:after="0" w:line="257" w:lineRule="auto"/>
        <w:rPr>
          <w:sz w:val="20"/>
          <w:szCs w:val="20"/>
          <w:color w:val="auto"/>
        </w:rPr>
      </w:pPr>
      <w:r>
        <w:rPr>
          <w:rFonts w:ascii="Arial" w:cs="Arial" w:eastAsia="Arial" w:hAnsi="Arial"/>
          <w:sz w:val="18"/>
          <w:szCs w:val="18"/>
          <w:color w:val="auto"/>
        </w:rPr>
        <w:t>The ratio of earnings to fixed charges was calculated by dividing total adjusted earnings available for payment of fixed charges by fixed charges. Total adjusted earnings available for payment of fixed charges were calculated as income from continuing operations before income taxes and fixed charges, including earnings attributable to noncontrolling interests in consolidated subsidiaries, plus any excess of (or minus any shortfall in) dividends over earnings of our affiliates accounted for by the equity method. Fixed charges include interest expense on borrowings, capitalized interest and management’s estimate of the interest component of rental cost.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02" w:lineRule="exact"/>
        <w:rPr>
          <w:sz w:val="20"/>
          <w:szCs w:val="20"/>
          <w:color w:val="auto"/>
        </w:rPr>
      </w:pPr>
    </w:p>
    <w:p>
      <w:pPr>
        <w:ind w:right="60" w:firstLine="342"/>
        <w:spacing w:after="0" w:line="257" w:lineRule="auto"/>
        <w:rPr>
          <w:sz w:val="20"/>
          <w:szCs w:val="20"/>
          <w:color w:val="auto"/>
        </w:rPr>
      </w:pPr>
      <w:r>
        <w:rPr>
          <w:rFonts w:ascii="Arial" w:cs="Arial" w:eastAsia="Arial" w:hAnsi="Arial"/>
          <w:sz w:val="18"/>
          <w:szCs w:val="18"/>
          <w:color w:val="auto"/>
        </w:rPr>
        <w:t>The following description of the terms of the debt securities sets forth certain general terms and provisions of the debt securities to which any prospectus supplement may relate. The particular terms of any debt securities offered and the extent, if any, to which such general provisions may apply to such offered debt securities will be described in the prospectus supplement relating to such offered debt securities. This prospectus and the accompanying prospectus supplement contain the material terms of the securities being offered. In this section, the terms “the Company,” “we,” “us” and “our” refer to Exxon Mobil Corporation only and not to any of its subsidiaries.</w:t>
      </w:r>
    </w:p>
    <w:p>
      <w:pPr>
        <w:spacing w:after="0" w:line="148" w:lineRule="exact"/>
        <w:rPr>
          <w:sz w:val="20"/>
          <w:szCs w:val="20"/>
          <w:color w:val="auto"/>
        </w:rPr>
      </w:pPr>
    </w:p>
    <w:p>
      <w:pPr>
        <w:ind w:firstLine="342"/>
        <w:spacing w:after="0" w:line="293" w:lineRule="auto"/>
        <w:rPr>
          <w:sz w:val="20"/>
          <w:szCs w:val="20"/>
          <w:color w:val="auto"/>
        </w:rPr>
      </w:pPr>
      <w:r>
        <w:rPr>
          <w:rFonts w:ascii="Arial" w:cs="Arial" w:eastAsia="Arial" w:hAnsi="Arial"/>
          <w:sz w:val="16"/>
          <w:szCs w:val="16"/>
          <w:color w:val="auto"/>
        </w:rPr>
        <w:t>The debt securities are to be issued under an Indenture (the “Indenture”), between the Company and Deutsche Bank Trust Company Americas, as Trustee (the “Trustee”). The form of the Indenture is filed as an exhibit to the registration statement of which this prospectus forms a part. The following summary of certain general provisions of the Indenture and the debt securities does not purport to be complete and is subject to, and is qualified in its entirety by reference to, the provisions of the Indenture, including the definitions therein of certain terms. Unless otherwise defined herein, all capitalized terms in this section have the definitions ascribed to such terms in the Indenture. The terms of any supplemental indenture entered into or officer’s certificate delivered in connection with a particular issuance of debt securities will be described in the prospectus supplement relating to such offered debt securities.</w:t>
      </w:r>
    </w:p>
    <w:p>
      <w:pPr>
        <w:spacing w:after="0" w:line="124" w:lineRule="exact"/>
        <w:rPr>
          <w:sz w:val="20"/>
          <w:szCs w:val="20"/>
          <w:color w:val="auto"/>
        </w:rPr>
      </w:pPr>
    </w:p>
    <w:p>
      <w:pPr>
        <w:ind w:firstLine="342"/>
        <w:spacing w:after="0" w:line="264" w:lineRule="auto"/>
        <w:rPr>
          <w:sz w:val="20"/>
          <w:szCs w:val="20"/>
          <w:color w:val="auto"/>
        </w:rPr>
      </w:pPr>
      <w:r>
        <w:rPr>
          <w:rFonts w:ascii="Arial" w:cs="Arial" w:eastAsia="Arial" w:hAnsi="Arial"/>
          <w:sz w:val="18"/>
          <w:szCs w:val="18"/>
          <w:color w:val="auto"/>
        </w:rPr>
        <w:t>References to “holders” in this section mean those who own debt securities registered in their own names, on the books that we or the applicable trustee maintain for this purpose, and not those who own beneficial interests in debt securities registered in street name or in debt securities issued in book-entry form through one or more depositaries.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firstLine="342"/>
        <w:spacing w:after="0" w:line="302" w:lineRule="auto"/>
        <w:rPr>
          <w:sz w:val="20"/>
          <w:szCs w:val="20"/>
          <w:color w:val="auto"/>
        </w:rPr>
      </w:pPr>
      <w:r>
        <w:rPr>
          <w:rFonts w:ascii="Arial" w:cs="Arial" w:eastAsia="Arial" w:hAnsi="Arial"/>
          <w:sz w:val="16"/>
          <w:szCs w:val="16"/>
          <w:color w:val="auto"/>
        </w:rPr>
        <w:t>The Indenture does not limit the aggregate principal amount of debt securities that may be issued thereunder. The debt securities may be issued from time to time in one or more series. Unless otherwise indicated in the prospectus supplement relating thereto, the debt securities will be unsecured and will rank pari passu with all other existing and future unsecured and unsubordinated indebtedness of the Company. Accordingly, your ownership of debt securities means you are one of our unsecured creditors. The Indenture does not limit the amount of other indebtedness or securities that may be issued by the Company.</w:t>
      </w:r>
    </w:p>
    <w:p>
      <w:pPr>
        <w:spacing w:after="0" w:line="114" w:lineRule="exact"/>
        <w:rPr>
          <w:sz w:val="20"/>
          <w:szCs w:val="20"/>
          <w:color w:val="auto"/>
        </w:rPr>
      </w:pPr>
    </w:p>
    <w:p>
      <w:pPr>
        <w:ind w:right="120" w:firstLine="342"/>
        <w:spacing w:after="0" w:line="259" w:lineRule="auto"/>
        <w:rPr>
          <w:sz w:val="20"/>
          <w:szCs w:val="20"/>
          <w:color w:val="auto"/>
        </w:rPr>
      </w:pPr>
      <w:r>
        <w:rPr>
          <w:rFonts w:ascii="Arial" w:cs="Arial" w:eastAsia="Arial" w:hAnsi="Arial"/>
          <w:sz w:val="18"/>
          <w:szCs w:val="18"/>
          <w:color w:val="auto"/>
        </w:rPr>
        <w:t>Debt securities of a series will be issued in registered form (“Securities”) as specified in the terms of the series. Debt securities of a series may be issued in whole or in part in the form of one or more global securities (“Global Securities”) registered in the name of a depository or its nominee and, in such case, beneficial interests in the Global Securities will be shown on, and transfers thereof will be effected only through, records maintained by the designated depository and its participants.</w:t>
      </w:r>
    </w:p>
    <w:p>
      <w:pPr>
        <w:spacing w:after="0" w:line="160" w:lineRule="exact"/>
        <w:rPr>
          <w:sz w:val="20"/>
          <w:szCs w:val="20"/>
          <w:color w:val="auto"/>
        </w:rPr>
      </w:pPr>
    </w:p>
    <w:p>
      <w:pPr>
        <w:ind w:right="600" w:firstLine="342"/>
        <w:spacing w:after="0" w:line="277" w:lineRule="auto"/>
        <w:rPr>
          <w:sz w:val="20"/>
          <w:szCs w:val="20"/>
          <w:color w:val="auto"/>
        </w:rPr>
      </w:pPr>
      <w:r>
        <w:rPr>
          <w:rFonts w:ascii="Arial" w:cs="Arial" w:eastAsia="Arial" w:hAnsi="Arial"/>
          <w:sz w:val="18"/>
          <w:szCs w:val="18"/>
          <w:color w:val="auto"/>
        </w:rPr>
        <w:t>Reference is made to the prospectus supplement relating to the particular series of debt securities offered thereby for the terms of the offered debt securities, including:</w:t>
      </w:r>
    </w:p>
    <w:p>
      <w:pPr>
        <w:spacing w:after="0" w:line="170" w:lineRule="exact"/>
        <w:rPr>
          <w:sz w:val="20"/>
          <w:szCs w:val="20"/>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issue price expressed as a percentage of the aggregate principal amount;</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of maturity or the method of determination thereof;</w:t>
      </w:r>
    </w:p>
    <w:p>
      <w:pPr>
        <w:spacing w:after="0" w:line="225" w:lineRule="exact"/>
        <w:rPr>
          <w:rFonts w:ascii="Arial" w:cs="Arial" w:eastAsia="Arial" w:hAnsi="Arial"/>
          <w:sz w:val="18"/>
          <w:szCs w:val="18"/>
          <w:color w:val="auto"/>
        </w:rPr>
      </w:pPr>
    </w:p>
    <w:p>
      <w:pPr>
        <w:ind w:left="5660" w:right="160" w:hanging="5314"/>
        <w:spacing w:after="0" w:line="449" w:lineRule="auto"/>
        <w:tabs>
          <w:tab w:leader="none" w:pos="7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or rates (which may be fixed or floating) per annum, if any, or the method by which such interest rate or rates will be determined; 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any interest will commence accruing and be payable and the record dates for any interest payments;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principal and any interest or premium will be paid;</w:t>
      </w:r>
    </w:p>
    <w:p>
      <w:pPr>
        <w:spacing w:after="0" w:line="225" w:lineRule="exact"/>
        <w:rPr>
          <w:rFonts w:ascii="Arial" w:cs="Arial" w:eastAsia="Arial" w:hAnsi="Arial"/>
          <w:sz w:val="18"/>
          <w:szCs w:val="18"/>
          <w:color w:val="auto"/>
        </w:rPr>
      </w:pPr>
    </w:p>
    <w:p>
      <w:pPr>
        <w:ind w:left="800" w:right="34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and redemption prices relating to any optional or mandatory redemption and other terms and conditions of any optional or mandatory redemptions;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optional or mandatory sinking fund or analogous provisions;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denominations of $2,000 and any higher integral multiples of $1,000;</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portion of the principal amount payable on declaration of acceleration of maturity or provable in bankruptcy, if other than the principal amount;</w:t>
      </w:r>
    </w:p>
    <w:p>
      <w:pPr>
        <w:spacing w:after="0" w:line="248" w:lineRule="exact"/>
        <w:rPr>
          <w:rFonts w:ascii="Arial" w:cs="Arial" w:eastAsia="Arial" w:hAnsi="Arial"/>
          <w:sz w:val="16"/>
          <w:szCs w:val="16"/>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paying agents, transfer agents, registrars or other agents for a series of debt securities;</w:t>
      </w:r>
    </w:p>
    <w:p>
      <w:pPr>
        <w:spacing w:after="0" w:line="225" w:lineRule="exact"/>
        <w:rPr>
          <w:rFonts w:ascii="Arial" w:cs="Arial" w:eastAsia="Arial" w:hAnsi="Arial"/>
          <w:sz w:val="18"/>
          <w:szCs w:val="18"/>
          <w:color w:val="auto"/>
        </w:rPr>
      </w:pPr>
    </w:p>
    <w:p>
      <w:pPr>
        <w:ind w:left="800" w:right="24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of payment of the principal of (and premium, if any) and interest (if any) on the debt securities if other than the currency of the United States of America;</w:t>
      </w:r>
    </w:p>
    <w:p>
      <w:pPr>
        <w:spacing w:after="0" w:line="170" w:lineRule="exact"/>
        <w:rPr>
          <w:rFonts w:ascii="Arial" w:cs="Arial" w:eastAsia="Arial" w:hAnsi="Arial"/>
          <w:sz w:val="18"/>
          <w:szCs w:val="18"/>
          <w:color w:val="auto"/>
        </w:rPr>
      </w:pPr>
    </w:p>
    <w:p>
      <w:pPr>
        <w:ind w:left="800" w:right="26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terms and conditions upon which the debt securities may be repayable prior to final maturity at the option of the holder thereof (which option may be conditional);</w:t>
      </w:r>
    </w:p>
    <w:p>
      <w:pPr>
        <w:spacing w:after="0" w:line="170" w:lineRule="exact"/>
        <w:rPr>
          <w:rFonts w:ascii="Arial" w:cs="Arial" w:eastAsia="Arial" w:hAnsi="Arial"/>
          <w:sz w:val="18"/>
          <w:szCs w:val="18"/>
          <w:color w:val="auto"/>
        </w:rPr>
      </w:pPr>
    </w:p>
    <w:p>
      <w:pPr>
        <w:ind w:left="800" w:right="60" w:hanging="454"/>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principal (and premium, if any) or interest, if any, are to be payable, at the election of the Company or any holder thereof, in a currency other than that in which the debt securities are stated to be payable, the period or periods within which, and the terms and conditions on which, such election may be made;</w:t>
      </w:r>
    </w:p>
    <w:p>
      <w:pPr>
        <w:spacing w:after="0" w:line="181" w:lineRule="exact"/>
        <w:rPr>
          <w:rFonts w:ascii="Arial" w:cs="Arial" w:eastAsia="Arial" w:hAnsi="Arial"/>
          <w:sz w:val="18"/>
          <w:szCs w:val="18"/>
          <w:color w:val="auto"/>
        </w:rPr>
      </w:pPr>
    </w:p>
    <w:p>
      <w:pPr>
        <w:ind w:left="800" w:hanging="454"/>
        <w:spacing w:after="0" w:line="264"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debt securities are to be denominated in a currency or currencies, including composite currencies, other than the currency of the United States of America, the equivalent price in the currency of the United States of America for purposes of determining the voting rights of holders of the debt securities as outstanding securities under the Indenture;</w:t>
      </w:r>
    </w:p>
    <w:p>
      <w:pPr>
        <w:spacing w:after="0" w:line="181" w:lineRule="exact"/>
        <w:rPr>
          <w:rFonts w:ascii="Arial" w:cs="Arial" w:eastAsia="Arial" w:hAnsi="Arial"/>
          <w:sz w:val="18"/>
          <w:szCs w:val="18"/>
          <w:color w:val="auto"/>
        </w:rPr>
      </w:pPr>
    </w:p>
    <w:p>
      <w:pPr>
        <w:ind w:left="800" w:right="22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portions thereof, or interest, if any, on the debt securities, may be determined with reference to an index, formula or other method, the manner of determining such amounts;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such debt securities are to be issued in temporary or permanent global form;</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the debt securities;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application, if any, of certain provisions of the Indenture relating to defeasance and discharge, and related conditions;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events of default, if not set forth in the Indenture;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restrictive covenants or other material terms relating thereto which may not be inconsistent with the Indenture;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material United States federal income tax consequences.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342"/>
        <w:spacing w:after="0" w:line="255" w:lineRule="auto"/>
        <w:rPr>
          <w:sz w:val="20"/>
          <w:szCs w:val="20"/>
          <w:color w:val="auto"/>
        </w:rPr>
      </w:pPr>
      <w:r>
        <w:rPr>
          <w:rFonts w:ascii="Arial" w:cs="Arial" w:eastAsia="Arial" w:hAnsi="Arial"/>
          <w:sz w:val="18"/>
          <w:szCs w:val="18"/>
          <w:color w:val="auto"/>
        </w:rPr>
        <w:t>Unless otherwise indicated in the prospectus supplement relating thereto, principal (and premium, if any) and interest will be payable and the Securities will be transferable at the office or agency maintained by us for such purpose. Payment of principal (and premium, if any) and interest on Global Securities registered in the name of or held by the depository or its nominee will be made in immediately available funds to the depository or its nominee, as the case may be, as the registered holder of such Global Security. If any of the debt securities is no longer represented by a Global Security, payment of interest on Securities may, at our option, be made by check mailed directly to holders at their registered addresses. See “Forms of Debt Securities.” No service charge will be made for any transfer or exchange of the debt securities, but the Company may require payment of a sum sufficient to cover any tax or other governmental charge payable in connection therewith.</w:t>
      </w:r>
    </w:p>
    <w:p>
      <w:pPr>
        <w:spacing w:after="0" w:line="162" w:lineRule="exact"/>
        <w:rPr>
          <w:sz w:val="20"/>
          <w:szCs w:val="20"/>
          <w:color w:val="auto"/>
        </w:rPr>
      </w:pPr>
    </w:p>
    <w:p>
      <w:pPr>
        <w:ind w:right="40" w:firstLine="342"/>
        <w:spacing w:after="0" w:line="312" w:lineRule="auto"/>
        <w:rPr>
          <w:sz w:val="20"/>
          <w:szCs w:val="20"/>
          <w:color w:val="auto"/>
        </w:rPr>
      </w:pPr>
      <w:r>
        <w:rPr>
          <w:rFonts w:ascii="Arial" w:cs="Arial" w:eastAsia="Arial" w:hAnsi="Arial"/>
          <w:sz w:val="16"/>
          <w:szCs w:val="16"/>
          <w:color w:val="auto"/>
        </w:rPr>
        <w:t>One or more series of the debt securities may be issued as discounted debt securities (bearing no interest or interest at a rate which at the time of issuance is below market rates) to be sold at a substantial discount below their stated principal amount. Material United States federal income tax consequences and other special considerations applicable to any such discounted debt securities will be described in the prospectus supplement relating thereto.</w:t>
      </w:r>
    </w:p>
    <w:p>
      <w:pPr>
        <w:spacing w:after="0" w:line="106" w:lineRule="exact"/>
        <w:rPr>
          <w:sz w:val="20"/>
          <w:szCs w:val="20"/>
          <w:color w:val="auto"/>
        </w:rPr>
      </w:pPr>
    </w:p>
    <w:p>
      <w:pPr>
        <w:ind w:right="100" w:firstLine="342"/>
        <w:spacing w:after="0" w:line="277" w:lineRule="auto"/>
        <w:rPr>
          <w:sz w:val="20"/>
          <w:szCs w:val="20"/>
          <w:color w:val="auto"/>
        </w:rPr>
      </w:pPr>
      <w:r>
        <w:rPr>
          <w:rFonts w:ascii="Arial" w:cs="Arial" w:eastAsia="Arial" w:hAnsi="Arial"/>
          <w:sz w:val="18"/>
          <w:szCs w:val="18"/>
          <w:color w:val="auto"/>
        </w:rPr>
        <w:t>The Company may at any time purchase debt securities at any price in the open market or otherwise. Debt securities so purchased by the Company may, at its sole option, be held, resold or surrendered to the Trustee for cancellation.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02" w:lineRule="exact"/>
        <w:rPr>
          <w:sz w:val="20"/>
          <w:szCs w:val="20"/>
          <w:color w:val="auto"/>
        </w:rPr>
      </w:pPr>
    </w:p>
    <w:p>
      <w:pPr>
        <w:ind w:firstLine="342"/>
        <w:spacing w:after="0" w:line="264" w:lineRule="auto"/>
        <w:rPr>
          <w:sz w:val="20"/>
          <w:szCs w:val="20"/>
          <w:color w:val="auto"/>
        </w:rPr>
      </w:pPr>
      <w:r>
        <w:rPr>
          <w:rFonts w:ascii="Arial" w:cs="Arial" w:eastAsia="Arial" w:hAnsi="Arial"/>
          <w:sz w:val="18"/>
          <w:szCs w:val="18"/>
          <w:color w:val="auto"/>
        </w:rPr>
        <w:t>Unless otherwise specified in any prospectus supplement, the Indenture will not contain any covenants that (i) limit the amount of indebtedness (including secured indebtedness) or lease obligations that may be incurred by the Company and its subsidiaries, or (ii) restrict the Company from entering into change of control transactions (other than as specified under “—Merger and Consolidation”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and Consolidation</w:t>
      </w:r>
    </w:p>
    <w:p>
      <w:pPr>
        <w:spacing w:after="0" w:line="189" w:lineRule="exact"/>
        <w:rPr>
          <w:sz w:val="20"/>
          <w:szCs w:val="20"/>
          <w:color w:val="auto"/>
        </w:rPr>
      </w:pPr>
    </w:p>
    <w:p>
      <w:pPr>
        <w:ind w:right="40" w:firstLine="342"/>
        <w:spacing w:after="0" w:line="302" w:lineRule="auto"/>
        <w:rPr>
          <w:sz w:val="20"/>
          <w:szCs w:val="20"/>
          <w:color w:val="auto"/>
        </w:rPr>
      </w:pPr>
      <w:r>
        <w:rPr>
          <w:rFonts w:ascii="Arial" w:cs="Arial" w:eastAsia="Arial" w:hAnsi="Arial"/>
          <w:sz w:val="16"/>
          <w:szCs w:val="16"/>
          <w:color w:val="auto"/>
        </w:rPr>
        <w:t>Unless otherwise provided in any prospectus supplement, the Company will covenant that it will not merge or sell, convey, transfer or lease its properties and assets substantially as an entirety unless the Company is the surviving corporation or the successor person is a person organized under the laws of the United States (including any state thereof and the District of Columbia) which expressly assumes the Company’s obligations on all the debt securities and under the Indenture and, after giving effect to such transaction, the Company or the successor person would not be in default under the Indenture.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defines “Events of Default” with respect to the debt securities of any series as being one of the following events:</w:t>
      </w:r>
    </w:p>
    <w:p>
      <w:pPr>
        <w:spacing w:after="0" w:line="185" w:lineRule="exact"/>
        <w:rPr>
          <w:sz w:val="20"/>
          <w:szCs w:val="20"/>
          <w:color w:val="auto"/>
        </w:rPr>
      </w:pPr>
    </w:p>
    <w:p>
      <w:pPr>
        <w:ind w:left="660" w:hanging="31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that series for 30 days after becoming due;</w:t>
      </w:r>
    </w:p>
    <w:p>
      <w:pPr>
        <w:spacing w:after="0" w:line="198" w:lineRule="exact"/>
        <w:rPr>
          <w:rFonts w:ascii="Arial" w:cs="Arial" w:eastAsia="Arial" w:hAnsi="Arial"/>
          <w:sz w:val="18"/>
          <w:szCs w:val="18"/>
          <w:color w:val="auto"/>
        </w:rPr>
      </w:pPr>
    </w:p>
    <w:p>
      <w:pPr>
        <w:ind w:left="660" w:hanging="31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that series when due;</w:t>
      </w:r>
    </w:p>
    <w:p>
      <w:pPr>
        <w:spacing w:after="0" w:line="184" w:lineRule="exact"/>
        <w:rPr>
          <w:rFonts w:ascii="Arial" w:cs="Arial" w:eastAsia="Arial" w:hAnsi="Arial"/>
          <w:sz w:val="18"/>
          <w:szCs w:val="18"/>
          <w:color w:val="auto"/>
        </w:rPr>
      </w:pPr>
    </w:p>
    <w:p>
      <w:pPr>
        <w:ind w:left="660" w:hanging="31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w:t>
      </w:r>
    </w:p>
    <w:p>
      <w:pPr>
        <w:spacing w:after="0" w:line="184" w:lineRule="exact"/>
        <w:rPr>
          <w:rFonts w:ascii="Arial" w:cs="Arial" w:eastAsia="Arial" w:hAnsi="Arial"/>
          <w:sz w:val="18"/>
          <w:szCs w:val="18"/>
          <w:color w:val="auto"/>
        </w:rPr>
      </w:pPr>
    </w:p>
    <w:p>
      <w:pPr>
        <w:ind w:right="100" w:firstLine="350"/>
        <w:spacing w:after="0" w:line="264" w:lineRule="auto"/>
        <w:tabs>
          <w:tab w:leader="none" w:pos="6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in the Indenture (other than a covenant included in the Indenture solely for the benefit of any series of debt securities other than that series) for 90 days after notice to us by the Trustee or to us and the Trustee by the holders of at least 25% in principal amount of the debt securities of all series affected;</w:t>
      </w:r>
    </w:p>
    <w:p>
      <w:pPr>
        <w:spacing w:after="0" w:line="154" w:lineRule="exact"/>
        <w:rPr>
          <w:rFonts w:ascii="Arial" w:cs="Arial" w:eastAsia="Arial" w:hAnsi="Arial"/>
          <w:sz w:val="18"/>
          <w:szCs w:val="18"/>
          <w:color w:val="auto"/>
        </w:rPr>
      </w:pPr>
    </w:p>
    <w:p>
      <w:pPr>
        <w:ind w:left="660" w:hanging="31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 any other Event of Default provided with respect to debt securities of that series.</w:t>
      </w:r>
    </w:p>
    <w:p>
      <w:pPr>
        <w:spacing w:after="0" w:line="198" w:lineRule="exact"/>
        <w:rPr>
          <w:sz w:val="20"/>
          <w:szCs w:val="20"/>
          <w:color w:val="auto"/>
        </w:rPr>
      </w:pPr>
    </w:p>
    <w:p>
      <w:pPr>
        <w:ind w:right="20" w:firstLine="342"/>
        <w:spacing w:after="0" w:line="255" w:lineRule="auto"/>
        <w:rPr>
          <w:sz w:val="20"/>
          <w:szCs w:val="20"/>
          <w:color w:val="auto"/>
        </w:rPr>
      </w:pPr>
      <w:r>
        <w:rPr>
          <w:rFonts w:ascii="Arial" w:cs="Arial" w:eastAsia="Arial" w:hAnsi="Arial"/>
          <w:sz w:val="18"/>
          <w:szCs w:val="18"/>
          <w:color w:val="auto"/>
        </w:rPr>
        <w:t>If an Event of Default shall occur and be continuing, either the Trustee or the holders of at least 25% in principal amount of the debt securities then outstanding of all series affected, voting as a single class, may declare the principal (or such portion thereof as may be specified in the prospectus supplement relating to any such series) of the debt securities of all such series to be due and payable. Under certain conditions, such a declaration may be annulled. Notwithstanding the foregoing, if an Event of Default pursuant to (v) above occurs with respect to the Company, the unpaid principal of, premium, if any, and any accrued and unpaid interest on all the debt securities shall become and be immediately due and payable without further action or notice on the part of the Trustee or any holder.</w:t>
      </w:r>
    </w:p>
    <w:p>
      <w:pPr>
        <w:spacing w:after="0" w:line="15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The Indenture provides that the Trustee shall, within 90 days after the occurrence of a default actually known to one of its responsible officers, give the holders of debt securities notice of all uncured defaults actually known to one of its responsible officers (the term “default” to mean the events specified above without grace periods);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default in the payment of principal of or interest on any debt security, the Trustee shall be fully protected in withholding such notice if it in good faith determines the withholding of such notice is in the interest of the holders of debt securities.</w:t>
      </w:r>
    </w:p>
    <w:p>
      <w:pPr>
        <w:spacing w:after="0" w:line="148" w:lineRule="exact"/>
        <w:rPr>
          <w:sz w:val="20"/>
          <w:szCs w:val="20"/>
          <w:color w:val="auto"/>
        </w:rPr>
      </w:pPr>
    </w:p>
    <w:p>
      <w:pPr>
        <w:ind w:right="320" w:firstLine="342"/>
        <w:spacing w:after="0" w:line="312" w:lineRule="auto"/>
        <w:rPr>
          <w:sz w:val="20"/>
          <w:szCs w:val="20"/>
          <w:color w:val="auto"/>
        </w:rPr>
      </w:pPr>
      <w:r>
        <w:rPr>
          <w:rFonts w:ascii="Arial" w:cs="Arial" w:eastAsia="Arial" w:hAnsi="Arial"/>
          <w:sz w:val="16"/>
          <w:szCs w:val="16"/>
          <w:color w:val="auto"/>
        </w:rPr>
        <w:t>The Company will be required to furnish to the Trustee annually a statement by the principal financial officer, the principal executive officer or the principal accounting officer of the Company stating whether or not, to the best of his or her knowledge, the Company is in default in the performance and observance of any of the terms, provisions and conditions under the Indenture and, if the Company is in default, specifying each such default.</w:t>
      </w:r>
    </w:p>
    <w:p>
      <w:pPr>
        <w:spacing w:after="0" w:line="120" w:lineRule="exact"/>
        <w:rPr>
          <w:sz w:val="20"/>
          <w:szCs w:val="20"/>
          <w:color w:val="auto"/>
        </w:rPr>
      </w:pPr>
    </w:p>
    <w:p>
      <w:pPr>
        <w:ind w:firstLine="342"/>
        <w:spacing w:after="0" w:line="254" w:lineRule="auto"/>
        <w:rPr>
          <w:sz w:val="20"/>
          <w:szCs w:val="20"/>
          <w:color w:val="auto"/>
        </w:rPr>
      </w:pPr>
      <w:r>
        <w:rPr>
          <w:rFonts w:ascii="Arial" w:cs="Arial" w:eastAsia="Arial" w:hAnsi="Arial"/>
          <w:sz w:val="18"/>
          <w:szCs w:val="18"/>
          <w:color w:val="auto"/>
        </w:rPr>
        <w:t>The holders of a majority in principal amount of the outstanding debt securities of all series affected will have the right, subject to certain limitations, to direct the time, method and place of conducting any proceeding for any remedy available to the Trustee or exercising any trust or power conferred on the Trustee with respect to the debt securities of such series, and to waive certain defaults with respect thereto. The Indenture provides that in case an Event of Default shall occur and be continuing, the Trustee shall exercise such of its rights and powers under the Indenture, and use the same degree of care and skill in their exercise, as a prudent person would exercise or use under the circumstances in the conduct of his or her own affairs. Subject to such provisions, the Trustee will be under no obligation to exercise any of its rights or powers under the Indenture at the request of any of the holders of debt securities unless they shall have offered to the Trustee security or indemnity satisfactory to it against the costs, expenses and liabilities which might be incurred by it in compliance with such request.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8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The Indenture may generally be modified or amended with the consent of the holders of not less than a majority in principal amount of the outstanding debt securities of each series affected by the modification (voting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modification or amendment may be made, without the consent of the holder of each debt security affected, which would (i) reduce the principal amount of or the interest on any debt security, change the stated maturity of the principal of, or any installment of principal of or interest on, any debt security, or the other terms of payment thereof, or</w:t>
      </w:r>
    </w:p>
    <w:p>
      <w:pPr>
        <w:spacing w:after="0" w:line="2" w:lineRule="exact"/>
        <w:rPr>
          <w:sz w:val="20"/>
          <w:szCs w:val="20"/>
          <w:color w:val="auto"/>
        </w:rPr>
      </w:pPr>
    </w:p>
    <w:p>
      <w:pPr>
        <w:ind w:right="100" w:firstLine="8"/>
        <w:spacing w:after="0" w:line="255"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above-stated percentage of debt securities, the consent of the holders of which is required to modify or amend the Indenture, or the percentage of debt securities of any series, the consent of the holders of which is required to waive compliance with certain provisions of the Indenture or to waive certain past defaults.</w:t>
      </w:r>
    </w:p>
    <w:p>
      <w:pPr>
        <w:spacing w:after="0" w:line="163" w:lineRule="exact"/>
        <w:rPr>
          <w:sz w:val="20"/>
          <w:szCs w:val="20"/>
          <w:color w:val="auto"/>
        </w:rPr>
      </w:pPr>
    </w:p>
    <w:p>
      <w:pPr>
        <w:ind w:right="20" w:firstLine="342"/>
        <w:spacing w:after="0" w:line="277" w:lineRule="auto"/>
        <w:rPr>
          <w:sz w:val="20"/>
          <w:szCs w:val="20"/>
          <w:color w:val="auto"/>
        </w:rPr>
      </w:pPr>
      <w:r>
        <w:rPr>
          <w:rFonts w:ascii="Arial" w:cs="Arial" w:eastAsia="Arial" w:hAnsi="Arial"/>
          <w:sz w:val="18"/>
          <w:szCs w:val="18"/>
          <w:color w:val="auto"/>
        </w:rPr>
        <w:t>Without the consent of any holder of debt securities, the Company and the Trustee may enter into a supplemental indenture to amend the Indenture or the debt securities issued under that Indenture for any of the following purposes, among other things:</w:t>
      </w:r>
    </w:p>
    <w:p>
      <w:pPr>
        <w:spacing w:after="0" w:line="130" w:lineRule="exact"/>
        <w:rPr>
          <w:sz w:val="20"/>
          <w:szCs w:val="20"/>
          <w:color w:val="auto"/>
        </w:rPr>
      </w:pPr>
    </w:p>
    <w:p>
      <w:pPr>
        <w:ind w:right="400" w:firstLine="350"/>
        <w:spacing w:after="0" w:line="277"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in the Indenture, as supplemented, and in the debt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350"/>
        <w:spacing w:after="0" w:line="264" w:lineRule="auto"/>
        <w:tabs>
          <w:tab w:leader="none" w:pos="6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herein conferred upon the Company;</w:t>
      </w:r>
    </w:p>
    <w:p>
      <w:pPr>
        <w:spacing w:after="0" w:line="154" w:lineRule="exact"/>
        <w:rPr>
          <w:rFonts w:ascii="Arial" w:cs="Arial" w:eastAsia="Arial" w:hAnsi="Arial"/>
          <w:sz w:val="18"/>
          <w:szCs w:val="18"/>
          <w:color w:val="auto"/>
        </w:rPr>
      </w:pPr>
    </w:p>
    <w:p>
      <w:pPr>
        <w:ind w:left="640" w:hanging="290"/>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84" w:lineRule="exact"/>
        <w:rPr>
          <w:rFonts w:ascii="Arial" w:cs="Arial" w:eastAsia="Arial" w:hAnsi="Arial"/>
          <w:sz w:val="18"/>
          <w:szCs w:val="18"/>
          <w:color w:val="auto"/>
        </w:rPr>
      </w:pPr>
    </w:p>
    <w:p>
      <w:pPr>
        <w:ind w:right="120" w:firstLine="350"/>
        <w:spacing w:after="0" w:line="277" w:lineRule="auto"/>
        <w:tabs>
          <w:tab w:leader="none" w:pos="6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permit the issuance of debt securities in uncertificated form, provided that any such action shall not adversely affect the interests of the holders of debt securities of any series in any material respect; or</w:t>
      </w:r>
    </w:p>
    <w:p>
      <w:pPr>
        <w:spacing w:after="0" w:line="129" w:lineRule="exact"/>
        <w:rPr>
          <w:rFonts w:ascii="Arial" w:cs="Arial" w:eastAsia="Arial" w:hAnsi="Arial"/>
          <w:sz w:val="18"/>
          <w:szCs w:val="18"/>
          <w:color w:val="auto"/>
        </w:rPr>
      </w:pPr>
    </w:p>
    <w:p>
      <w:pPr>
        <w:ind w:right="140" w:firstLine="350"/>
        <w:spacing w:after="0" w:line="277"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become effective only with respect to debt securities not outstanding at the time of the execution of such supplemental indenture;</w:t>
      </w:r>
    </w:p>
    <w:p>
      <w:pPr>
        <w:spacing w:after="0" w:line="143" w:lineRule="exact"/>
        <w:rPr>
          <w:rFonts w:ascii="Arial" w:cs="Arial" w:eastAsia="Arial" w:hAnsi="Arial"/>
          <w:sz w:val="18"/>
          <w:szCs w:val="18"/>
          <w:color w:val="auto"/>
        </w:rPr>
      </w:pPr>
    </w:p>
    <w:p>
      <w:pPr>
        <w:ind w:left="620" w:hanging="270"/>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84" w:lineRule="exact"/>
        <w:rPr>
          <w:rFonts w:ascii="Arial" w:cs="Arial" w:eastAsia="Arial" w:hAnsi="Arial"/>
          <w:sz w:val="18"/>
          <w:szCs w:val="18"/>
          <w:color w:val="auto"/>
        </w:rPr>
      </w:pPr>
    </w:p>
    <w:p>
      <w:pPr>
        <w:ind w:left="660" w:hanging="31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84" w:lineRule="exact"/>
        <w:rPr>
          <w:rFonts w:ascii="Arial" w:cs="Arial" w:eastAsia="Arial" w:hAnsi="Arial"/>
          <w:sz w:val="18"/>
          <w:szCs w:val="18"/>
          <w:color w:val="auto"/>
        </w:rPr>
      </w:pPr>
    </w:p>
    <w:p>
      <w:pPr>
        <w:ind w:right="120" w:firstLine="350"/>
        <w:spacing w:after="0" w:line="264" w:lineRule="auto"/>
        <w:tabs>
          <w:tab w:leader="none" w:pos="6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debt securities of one or more series and/or to add to or change any of the provisions of the Indenture as shall be necessary to provide for or facilitate the administration of the trusts under the Indenture by more than one Trustee;</w:t>
      </w:r>
    </w:p>
    <w:p>
      <w:pPr>
        <w:spacing w:after="0" w:line="154" w:lineRule="exact"/>
        <w:rPr>
          <w:rFonts w:ascii="Arial" w:cs="Arial" w:eastAsia="Arial" w:hAnsi="Arial"/>
          <w:sz w:val="18"/>
          <w:szCs w:val="18"/>
          <w:color w:val="auto"/>
        </w:rPr>
      </w:pPr>
    </w:p>
    <w:p>
      <w:pPr>
        <w:ind w:right="320" w:firstLine="350"/>
        <w:spacing w:after="0" w:line="264" w:lineRule="auto"/>
        <w:tabs>
          <w:tab w:leader="none" w:pos="6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of the Indenture, as supplemented, which may be defective or inconsistent with any other provision herein or to conform any provision applicable to debt securities of any series to the description of the terms of such debt securities in any prospectus supplement; or</w:t>
      </w:r>
    </w:p>
    <w:p>
      <w:pPr>
        <w:spacing w:after="0" w:line="140" w:lineRule="exact"/>
        <w:rPr>
          <w:rFonts w:ascii="Arial" w:cs="Arial" w:eastAsia="Arial" w:hAnsi="Arial"/>
          <w:sz w:val="18"/>
          <w:szCs w:val="18"/>
          <w:color w:val="auto"/>
        </w:rPr>
      </w:pPr>
    </w:p>
    <w:p>
      <w:pPr>
        <w:ind w:right="120" w:firstLine="350"/>
        <w:spacing w:after="0" w:line="277" w:lineRule="auto"/>
        <w:tabs>
          <w:tab w:leader="none" w:pos="60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to make any other provisions with respect to matters or questions arising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action shall not adversely affect the interests of the holders of debt securities of any series in any material respect.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the Company may elect, with respect to the debt securities of any series, either:</w:t>
      </w:r>
    </w:p>
    <w:p>
      <w:pPr>
        <w:spacing w:after="0" w:line="185" w:lineRule="exact"/>
        <w:rPr>
          <w:sz w:val="20"/>
          <w:szCs w:val="20"/>
          <w:color w:val="auto"/>
        </w:rPr>
      </w:pPr>
    </w:p>
    <w:p>
      <w:pPr>
        <w:jc w:val="both"/>
        <w:ind w:right="220" w:firstLine="350"/>
        <w:spacing w:after="0" w:line="259" w:lineRule="auto"/>
        <w:tabs>
          <w:tab w:leader="none" w:pos="5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terminate (and be deemed to have satisfied) any and all obligations in respect of such debt securities (except for certain obligations to register the transfer or exchange of debt securities, to replace stolen, lost or mutilated debt securities, to maintain paying agencies and hold monies for payment in trust and, if so specified with respect to the debt securities of a certain series, to pay the principal of (and premium, if any) and interest, if any, on such specified debt securities and certain obligations owed to the Trustee (“legal defeasance”)); or</w:t>
      </w:r>
    </w:p>
    <w:p>
      <w:pPr>
        <w:spacing w:after="0" w:line="146" w:lineRule="exact"/>
        <w:rPr>
          <w:rFonts w:ascii="Arial" w:cs="Arial" w:eastAsia="Arial" w:hAnsi="Arial"/>
          <w:sz w:val="18"/>
          <w:szCs w:val="18"/>
          <w:color w:val="auto"/>
        </w:rPr>
      </w:pPr>
    </w:p>
    <w:p>
      <w:pPr>
        <w:ind w:left="620" w:hanging="270"/>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released from its obligations to comply with any restrictive covenants under the Indenture,</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either case after the deposit with the Trustee, in trust, of money and/or U.S. Government Obligations (as defined in the Indenture) which through the payment of interest and principal thereof in accordance with their terms will provide money in an amount sufficient to pay any installment of principal (and premium, if any (and interest, if any)) on and any mandatory sinking fund payments in respect of such debt securities on the stated maturity of such payments in accordance with the terms of the Indenture and such debt securities. Such a trust may be established only if, among other things, the Company has delivered to the Trustee an opinion of counsel (who may be counsel to the Company) to the effect that, based upon applicable U.S. federal income tax law or a ruling published by the U.S. Internal Revenue Service (which opinion must, in the case of legal defeasance, be based on a change in applicable U.S. federal income tax law after the date of the Indenture or a ruling published by the U.S. Internal Revenue Service after the date of the Indenture), such a defeasance and discharge will not be deemed, or result in, a taxable event with respect to beneficial owners of such debt securities. For the avoidance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doubt, neither the Trustee nor any of its agents are responsible for determining the sufficiency of any amounts deposited in trust pursuant to a discharge or defeasance of any series of debt securities under the Indenture and neither the Trustee nor any of its agents shall have any obligation or liability whatsoever with respect to the sufficiency of such amounts.</w:t>
      </w:r>
    </w:p>
    <w:p>
      <w:pPr>
        <w:spacing w:after="0" w:line="154" w:lineRule="exact"/>
        <w:rPr>
          <w:sz w:val="20"/>
          <w:szCs w:val="20"/>
          <w:color w:val="auto"/>
        </w:rPr>
      </w:pPr>
    </w:p>
    <w:p>
      <w:pPr>
        <w:ind w:firstLine="342"/>
        <w:spacing w:after="0" w:line="286" w:lineRule="auto"/>
        <w:rPr>
          <w:sz w:val="20"/>
          <w:szCs w:val="20"/>
          <w:color w:val="auto"/>
        </w:rPr>
      </w:pPr>
      <w:r>
        <w:rPr>
          <w:rFonts w:ascii="Arial" w:cs="Arial" w:eastAsia="Arial" w:hAnsi="Arial"/>
          <w:sz w:val="17"/>
          <w:szCs w:val="17"/>
          <w:color w:val="auto"/>
        </w:rPr>
        <w:t>The Indenture also provides that the Indenture shall cease to be of further effect with respect to any series of debt securities (except as to any surviving rights of registration of transfer or exchange of debt securities of such series), and the Trustee, at the expense of and upon written instruction by the Company, shall execute proper instruments acknowledging satisfaction and discharge of the Indenture as to such series, when</w:t>
      </w:r>
    </w:p>
    <w:p>
      <w:pPr>
        <w:spacing w:after="0" w:line="125" w:lineRule="exact"/>
        <w:rPr>
          <w:sz w:val="20"/>
          <w:szCs w:val="20"/>
          <w:color w:val="auto"/>
        </w:rPr>
      </w:pPr>
    </w:p>
    <w:p>
      <w:pPr>
        <w:ind w:left="600" w:hanging="250"/>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184" w:lineRule="exact"/>
        <w:rPr>
          <w:rFonts w:ascii="Arial" w:cs="Arial" w:eastAsia="Arial" w:hAnsi="Arial"/>
          <w:sz w:val="18"/>
          <w:szCs w:val="18"/>
          <w:color w:val="auto"/>
        </w:rPr>
      </w:pPr>
    </w:p>
    <w:p>
      <w:pPr>
        <w:ind w:left="360" w:right="60" w:firstLine="433"/>
        <w:spacing w:after="0" w:line="259" w:lineRule="auto"/>
        <w:tabs>
          <w:tab w:leader="none" w:pos="10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debt securities of such series theretofore authenticated and delivered (other than (i) debt securities which have been destroyed, lost or stolen and which have been replaced or paid as provided in the Indenture and (ii) debt securities for whose payment money has theretofore been deposited in trust or segregated and held in trust by the Company and thereafter repaid to the Company or discharged from such trust, as provided in the Indenture) have been delivered to the Trustee for cancellation; or</w:t>
      </w:r>
    </w:p>
    <w:p>
      <w:pPr>
        <w:spacing w:after="0" w:line="159" w:lineRule="exact"/>
        <w:rPr>
          <w:rFonts w:ascii="Arial" w:cs="Arial" w:eastAsia="Arial" w:hAnsi="Arial"/>
          <w:sz w:val="18"/>
          <w:szCs w:val="18"/>
          <w:color w:val="auto"/>
        </w:rPr>
      </w:pPr>
    </w:p>
    <w:p>
      <w:pPr>
        <w:ind w:left="1100" w:hanging="307"/>
        <w:spacing w:after="0"/>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such debt securities of such series not theretofore delivered to the Trustee for cancellation:</w:t>
      </w:r>
    </w:p>
    <w:p>
      <w:pPr>
        <w:spacing w:after="0" w:line="184" w:lineRule="exact"/>
        <w:rPr>
          <w:rFonts w:ascii="Arial" w:cs="Arial" w:eastAsia="Arial" w:hAnsi="Arial"/>
          <w:sz w:val="18"/>
          <w:szCs w:val="18"/>
          <w:color w:val="auto"/>
        </w:rPr>
      </w:pPr>
    </w:p>
    <w:p>
      <w:pPr>
        <w:ind w:left="1580" w:hanging="349"/>
        <w:spacing w:after="0"/>
        <w:tabs>
          <w:tab w:leader="none" w:pos="15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84" w:lineRule="exact"/>
        <w:rPr>
          <w:rFonts w:ascii="Arial" w:cs="Arial" w:eastAsia="Arial" w:hAnsi="Arial"/>
          <w:sz w:val="18"/>
          <w:szCs w:val="18"/>
          <w:color w:val="auto"/>
        </w:rPr>
      </w:pPr>
    </w:p>
    <w:p>
      <w:pPr>
        <w:ind w:left="1700" w:hanging="323"/>
        <w:spacing w:after="0"/>
        <w:tabs>
          <w:tab w:leader="none" w:pos="1700" w:val="left"/>
        </w:tabs>
        <w:numPr>
          <w:ilvl w:val="3"/>
          <w:numId w:val="22"/>
        </w:numPr>
        <w:rPr>
          <w:rFonts w:ascii="Arial" w:cs="Arial" w:eastAsia="Arial" w:hAnsi="Arial"/>
          <w:sz w:val="17"/>
          <w:szCs w:val="17"/>
          <w:color w:val="auto"/>
        </w:rPr>
      </w:pPr>
      <w:r>
        <w:rPr>
          <w:rFonts w:ascii="Arial" w:cs="Arial" w:eastAsia="Arial" w:hAnsi="Arial"/>
          <w:sz w:val="17"/>
          <w:szCs w:val="17"/>
          <w:color w:val="auto"/>
        </w:rPr>
        <w:t>will become due and payable at their stated maturity (as defined in the Indenture) within one year of the date of deposit, or</w:t>
      </w:r>
    </w:p>
    <w:p>
      <w:pPr>
        <w:spacing w:after="0" w:line="209" w:lineRule="exact"/>
        <w:rPr>
          <w:rFonts w:ascii="Arial" w:cs="Arial" w:eastAsia="Arial" w:hAnsi="Arial"/>
          <w:sz w:val="17"/>
          <w:szCs w:val="17"/>
          <w:color w:val="auto"/>
        </w:rPr>
      </w:pPr>
    </w:p>
    <w:p>
      <w:pPr>
        <w:ind w:left="1380" w:right="180" w:hanging="3"/>
        <w:spacing w:after="0" w:line="277" w:lineRule="auto"/>
        <w:tabs>
          <w:tab w:leader="none" w:pos="1710" w:val="left"/>
        </w:tabs>
        <w:numPr>
          <w:ilvl w:val="3"/>
          <w:numId w:val="22"/>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30" w:lineRule="exact"/>
        <w:rPr>
          <w:sz w:val="20"/>
          <w:szCs w:val="20"/>
          <w:color w:val="auto"/>
        </w:rPr>
      </w:pPr>
    </w:p>
    <w:p>
      <w:pPr>
        <w:ind w:left="360" w:right="120"/>
        <w:spacing w:after="0" w:line="259" w:lineRule="auto"/>
        <w:rPr>
          <w:sz w:val="20"/>
          <w:szCs w:val="20"/>
          <w:color w:val="auto"/>
        </w:rPr>
      </w:pPr>
      <w:r>
        <w:rPr>
          <w:rFonts w:ascii="Arial" w:cs="Arial" w:eastAsia="Arial" w:hAnsi="Arial"/>
          <w:sz w:val="18"/>
          <w:szCs w:val="18"/>
          <w:color w:val="auto"/>
        </w:rPr>
        <w:t>and the Company, in the case of (A), (B) or (C) above, has deposited or caused to be deposited with the Trustee as trust funds in trust for the purpose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the redemption date, as the case may be;</w:t>
      </w:r>
    </w:p>
    <w:p>
      <w:pPr>
        <w:spacing w:after="0" w:line="146" w:lineRule="exact"/>
        <w:rPr>
          <w:sz w:val="20"/>
          <w:szCs w:val="20"/>
          <w:color w:val="auto"/>
        </w:rPr>
      </w:pPr>
    </w:p>
    <w:p>
      <w:pPr>
        <w:ind w:left="600" w:hanging="250"/>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has paid or caused to be paid all other sums payable under the Indenture by the Company with respect to such series; and</w:t>
      </w:r>
    </w:p>
    <w:p>
      <w:pPr>
        <w:spacing w:after="0" w:line="209" w:lineRule="exact"/>
        <w:rPr>
          <w:rFonts w:ascii="Arial" w:cs="Arial" w:eastAsia="Arial" w:hAnsi="Arial"/>
          <w:sz w:val="17"/>
          <w:szCs w:val="17"/>
          <w:color w:val="auto"/>
        </w:rPr>
      </w:pPr>
    </w:p>
    <w:p>
      <w:pPr>
        <w:ind w:right="780" w:firstLine="350"/>
        <w:spacing w:after="0" w:line="342" w:lineRule="auto"/>
        <w:tabs>
          <w:tab w:leader="none" w:pos="5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with respect to such series, all conditions precedent provided for in the Indenture relating to the satisfaction and discharge of the Indenture have been complied with.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89" w:lineRule="exact"/>
        <w:rPr>
          <w:sz w:val="20"/>
          <w:szCs w:val="20"/>
          <w:color w:val="auto"/>
        </w:rPr>
      </w:pPr>
    </w:p>
    <w:p>
      <w:pPr>
        <w:ind w:right="280" w:firstLine="342"/>
        <w:spacing w:after="0" w:line="264" w:lineRule="auto"/>
        <w:rPr>
          <w:sz w:val="20"/>
          <w:szCs w:val="20"/>
          <w:color w:val="auto"/>
        </w:rPr>
      </w:pPr>
      <w:r>
        <w:rPr>
          <w:rFonts w:ascii="Arial" w:cs="Arial" w:eastAsia="Arial" w:hAnsi="Arial"/>
          <w:sz w:val="18"/>
          <w:szCs w:val="18"/>
          <w:color w:val="auto"/>
        </w:rPr>
        <w:t>Deutsche Bank Trust Company Americas is the Trustee under the Indenture and will have been appointed by the Company as initial security registrar with regard to the debt securities. We will specify any material relationship we may have with the Trustee in the prospectus supplement. In addition, the Trustee may serve as trustee for other debt securities issued by the Company from time to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DEBT SECURITIES</w:t>
      </w:r>
    </w:p>
    <w:p>
      <w:pPr>
        <w:spacing w:after="0" w:line="202" w:lineRule="exact"/>
        <w:rPr>
          <w:sz w:val="20"/>
          <w:szCs w:val="20"/>
          <w:color w:val="auto"/>
        </w:rPr>
      </w:pPr>
    </w:p>
    <w:p>
      <w:pPr>
        <w:ind w:right="20" w:firstLine="342"/>
        <w:spacing w:after="0" w:line="291"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debt securities. Certificated securities in definitive form and global securities will be issued in registered form. Definitive securities name you or your nominee as the owner of the debt security, and in order to transfer or exchange these debt securities or to receive payments other than interest or other interim payments, you or your nominee must physically deliver the definitive securities to the Trustee, security registrar, paying agent or other agent, as applicable. Global securities name a depositary or its nominee as the owner of the debt securities represented by these global securities. The depositary maintains a computerized system that will reflect each investor’s beneficial ownership of the debt securities through an account maintained by the investor with its broker/dealer, bank, trust company or other representative, as we explain more fully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189" w:lineRule="exact"/>
        <w:rPr>
          <w:sz w:val="20"/>
          <w:szCs w:val="20"/>
          <w:color w:val="auto"/>
        </w:rPr>
      </w:pPr>
    </w:p>
    <w:p>
      <w:pPr>
        <w:ind w:right="200" w:firstLine="342"/>
        <w:spacing w:after="0" w:line="255" w:lineRule="auto"/>
        <w:rPr>
          <w:sz w:val="20"/>
          <w:szCs w:val="20"/>
          <w:color w:val="auto"/>
        </w:rPr>
      </w:pPr>
      <w:r>
        <w:rPr>
          <w:rFonts w:ascii="Arial" w:cs="Arial" w:eastAsia="Arial" w:hAnsi="Arial"/>
          <w:sz w:val="18"/>
          <w:szCs w:val="18"/>
          <w:color w:val="auto"/>
        </w:rPr>
        <w:t>We may issue the registered debt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debt securities to be represented by registered global securities. Unless and until it is exchanged in whole for debt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6" w:lineRule="exact"/>
        <w:rPr>
          <w:sz w:val="20"/>
          <w:szCs w:val="20"/>
          <w:color w:val="auto"/>
        </w:rPr>
      </w:pPr>
    </w:p>
    <w:p>
      <w:pPr>
        <w:ind w:right="480" w:firstLine="342"/>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debt securities to be represented by a registered global security will be described in the prospectus supplement relating to those debt securities. We anticipate that the following provisions will apply to all depositary arrangements.</w:t>
      </w:r>
    </w:p>
    <w:p>
      <w:pPr>
        <w:spacing w:after="0" w:line="141" w:lineRule="exact"/>
        <w:rPr>
          <w:sz w:val="20"/>
          <w:szCs w:val="20"/>
          <w:color w:val="auto"/>
        </w:rPr>
      </w:pPr>
    </w:p>
    <w:p>
      <w:pPr>
        <w:ind w:right="20" w:firstLine="342"/>
        <w:spacing w:after="0" w:line="271"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debt securities beneficially owned by the participants. Any dealers, underwriters or agents participating in the distribution of the debt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debt securities take physical delivery of these debt securities in definitive form. These laws may impair your ability to own, transfer or pledge beneficial interests in registered global securities.</w:t>
      </w:r>
    </w:p>
    <w:p>
      <w:pPr>
        <w:spacing w:after="0" w:line="138" w:lineRule="exact"/>
        <w:rPr>
          <w:sz w:val="20"/>
          <w:szCs w:val="20"/>
          <w:color w:val="auto"/>
        </w:rPr>
      </w:pPr>
    </w:p>
    <w:p>
      <w:pPr>
        <w:ind w:firstLine="342"/>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debt securities represented by the registered global security for all purposes under the Indenture. Except as described below, owners of beneficial interests in a registered global security will not be entitled to have the debt securities represented by the registered global security registered in their names, will not receive or be entitled to receive physical delivery of the debt securities in definitive form and will not be considered the owners or holders of the debt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participants would authorize beneficial owners owning through them to give or take that action or would otherwise act upon the instructions of beneficial owners holding through them.</w:t>
      </w:r>
    </w:p>
    <w:p>
      <w:pPr>
        <w:spacing w:after="0" w:line="143" w:lineRule="exact"/>
        <w:rPr>
          <w:sz w:val="20"/>
          <w:szCs w:val="20"/>
          <w:color w:val="auto"/>
        </w:rPr>
      </w:pPr>
    </w:p>
    <w:p>
      <w:pPr>
        <w:ind w:right="20" w:firstLine="342"/>
        <w:spacing w:after="0" w:line="276" w:lineRule="auto"/>
        <w:rPr>
          <w:sz w:val="20"/>
          <w:szCs w:val="20"/>
          <w:color w:val="auto"/>
        </w:rPr>
      </w:pPr>
      <w:r>
        <w:rPr>
          <w:rFonts w:ascii="Arial" w:cs="Arial" w:eastAsia="Arial" w:hAnsi="Arial"/>
          <w:sz w:val="17"/>
          <w:szCs w:val="17"/>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ExxonMobil, the Trustee, the security registrar or any other agent of ExxonMobil or agent of the Trustee or the security registrar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32" w:lineRule="exact"/>
        <w:rPr>
          <w:sz w:val="20"/>
          <w:szCs w:val="20"/>
          <w:color w:val="auto"/>
        </w:rPr>
      </w:pPr>
    </w:p>
    <w:p>
      <w:pPr>
        <w:ind w:right="400" w:firstLine="342"/>
        <w:spacing w:after="0" w:line="273" w:lineRule="auto"/>
        <w:rPr>
          <w:sz w:val="20"/>
          <w:szCs w:val="20"/>
          <w:color w:val="auto"/>
        </w:rPr>
      </w:pPr>
      <w:r>
        <w:rPr>
          <w:rFonts w:ascii="Arial" w:cs="Arial" w:eastAsia="Arial" w:hAnsi="Arial"/>
          <w:sz w:val="17"/>
          <w:szCs w:val="17"/>
          <w:color w:val="auto"/>
        </w:rPr>
        <w:t>We expect that the depositary for any of the debt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debt securities held for the accounts of customers or registered in “street name,” and will be the responsibility of those participants.</w:t>
      </w:r>
    </w:p>
    <w:p>
      <w:pPr>
        <w:spacing w:after="0" w:line="138" w:lineRule="exact"/>
        <w:rPr>
          <w:sz w:val="20"/>
          <w:szCs w:val="20"/>
          <w:color w:val="auto"/>
        </w:rPr>
      </w:pPr>
    </w:p>
    <w:p>
      <w:pPr>
        <w:ind w:right="20" w:firstLine="342"/>
        <w:spacing w:after="0" w:line="272" w:lineRule="auto"/>
        <w:rPr>
          <w:sz w:val="20"/>
          <w:szCs w:val="20"/>
          <w:color w:val="auto"/>
        </w:rPr>
      </w:pPr>
      <w:r>
        <w:rPr>
          <w:rFonts w:ascii="Arial" w:cs="Arial" w:eastAsia="Arial" w:hAnsi="Arial"/>
          <w:sz w:val="17"/>
          <w:szCs w:val="17"/>
          <w:color w:val="auto"/>
        </w:rPr>
        <w:t>If the depositary for any of these debt securities represented by a registered global security is at any time unwilling or unable to continue as depositary or ceases to be a clearing agency registered under the Securities Exchange Act of 1934, as amended (the “Exchange Act”), and a successor depositary registered as a clearing agency under the Exchange Act is not appointed by us within 90 days, we will issue debt securities in definitive form in exchange for the registered global security that had been held by the depositary. Any debt securities issued in definitive form in exchange for a registered global security will be registered in the name or names that the depositary gives to the relevant security registrar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If the depositary for a global security is The Depository Trust Company, or “DTC,” you may hold interests in the global security through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w:t>
      </w:r>
    </w:p>
    <w:p>
      <w:pPr>
        <w:spacing w:after="0" w:line="148" w:lineRule="exact"/>
        <w:rPr>
          <w:sz w:val="20"/>
          <w:szCs w:val="20"/>
          <w:color w:val="auto"/>
        </w:rPr>
      </w:pPr>
    </w:p>
    <w:p>
      <w:pPr>
        <w:ind w:right="20" w:firstLine="342"/>
        <w:spacing w:after="0" w:line="279" w:lineRule="auto"/>
        <w:rPr>
          <w:sz w:val="20"/>
          <w:szCs w:val="20"/>
          <w:color w:val="auto"/>
        </w:rPr>
      </w:pPr>
      <w:r>
        <w:rPr>
          <w:rFonts w:ascii="Arial" w:cs="Arial" w:eastAsia="Arial" w:hAnsi="Arial"/>
          <w:sz w:val="17"/>
          <w:szCs w:val="17"/>
          <w:color w:val="auto"/>
        </w:rPr>
        <w:t>Payments, deliveries, transfers, exchanges, notices and other matters relating to the debt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w:t>
      </w:r>
    </w:p>
    <w:p>
      <w:pPr>
        <w:spacing w:after="0" w:line="144" w:lineRule="exact"/>
        <w:rPr>
          <w:sz w:val="20"/>
          <w:szCs w:val="20"/>
          <w:color w:val="auto"/>
        </w:rPr>
      </w:pPr>
    </w:p>
    <w:p>
      <w:pPr>
        <w:jc w:val="both"/>
        <w:ind w:right="120" w:firstLine="342"/>
        <w:spacing w:after="0" w:line="264"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w:t>
      </w:r>
    </w:p>
    <w:p>
      <w:pPr>
        <w:spacing w:after="0" w:line="141"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In addition, because of time-zone differences, U.S. investors who hold their interests in the debt securities through these systems and wish on a particular day, to transfer their interests, or to receive or make a payment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ExxonMobil may sell the securities in one or more of the following ways (or in any combination) from time to time:</w:t>
      </w:r>
    </w:p>
    <w:p>
      <w:pPr>
        <w:spacing w:after="0" w:line="225"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 or</w:t>
      </w:r>
    </w:p>
    <w:p>
      <w:pPr>
        <w:spacing w:after="0" w:line="225" w:lineRule="exact"/>
        <w:rPr>
          <w:rFonts w:ascii="Arial" w:cs="Arial" w:eastAsia="Arial" w:hAnsi="Arial"/>
          <w:sz w:val="18"/>
          <w:szCs w:val="18"/>
          <w:color w:val="auto"/>
        </w:rPr>
      </w:pPr>
    </w:p>
    <w:p>
      <w:pPr>
        <w:ind w:left="780" w:hanging="326"/>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will state the terms of the offering of the debt securities, including:</w:t>
      </w:r>
    </w:p>
    <w:p>
      <w:pPr>
        <w:spacing w:after="0" w:line="225"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such debt securities and the proceeds to be received by ExxonMobil, if any;</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exchanges on which the debt securities may be listed.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198"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If we use underwriters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ind w:right="40" w:firstLine="342"/>
        <w:spacing w:after="0" w:line="308" w:lineRule="auto"/>
        <w:rPr>
          <w:sz w:val="20"/>
          <w:szCs w:val="20"/>
          <w:color w:val="auto"/>
        </w:rPr>
      </w:pPr>
      <w:r>
        <w:rPr>
          <w:rFonts w:ascii="Arial" w:cs="Arial" w:eastAsia="Arial" w:hAnsi="Arial"/>
          <w:sz w:val="17"/>
          <w:szCs w:val="17"/>
          <w:color w:val="auto"/>
        </w:rPr>
        <w:t>Unless otherwise stated in a prospectus supplement, the obligations of the underwriters to purchase any debt securities will be conditioned on customary closing conditions and the underwriters will be obligated to purchase all of such series of debt securities, if any are purchased.</w:t>
      </w:r>
    </w:p>
    <w:p>
      <w:pPr>
        <w:spacing w:after="0" w:line="106" w:lineRule="exact"/>
        <w:rPr>
          <w:sz w:val="20"/>
          <w:szCs w:val="20"/>
          <w:color w:val="auto"/>
        </w:rPr>
      </w:pPr>
    </w:p>
    <w:p>
      <w:pPr>
        <w:ind w:right="20" w:firstLine="342"/>
        <w:spacing w:after="0" w:line="342" w:lineRule="auto"/>
        <w:rPr>
          <w:sz w:val="20"/>
          <w:szCs w:val="20"/>
          <w:color w:val="auto"/>
        </w:rPr>
      </w:pPr>
      <w:r>
        <w:rPr>
          <w:rFonts w:ascii="Arial" w:cs="Arial" w:eastAsia="Arial" w:hAnsi="Arial"/>
          <w:sz w:val="16"/>
          <w:szCs w:val="16"/>
          <w:color w:val="auto"/>
        </w:rPr>
        <w:t>We may sell the debt securities through agents from time to time. The prospectus supplement will name any agent of ours involved in the offer or sale of the debt securities and any commissions we pay to them. Generally, any agent will be acting on a best efforts basis for the period of its appointment.</w:t>
      </w:r>
    </w:p>
    <w:p>
      <w:pPr>
        <w:spacing w:after="0" w:line="97" w:lineRule="exact"/>
        <w:rPr>
          <w:sz w:val="20"/>
          <w:szCs w:val="20"/>
          <w:color w:val="auto"/>
        </w:rPr>
      </w:pPr>
    </w:p>
    <w:p>
      <w:pPr>
        <w:ind w:right="240" w:firstLine="342"/>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debt securities from ExxonMobil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342"/>
        <w:spacing w:after="0" w:line="259" w:lineRule="auto"/>
        <w:rPr>
          <w:sz w:val="20"/>
          <w:szCs w:val="20"/>
          <w:color w:val="auto"/>
        </w:rPr>
      </w:pPr>
      <w:r>
        <w:rPr>
          <w:rFonts w:ascii="Arial" w:cs="Arial" w:eastAsia="Arial" w:hAnsi="Arial"/>
          <w:sz w:val="18"/>
          <w:szCs w:val="18"/>
          <w:color w:val="auto"/>
        </w:rPr>
        <w:t>Underwriters and agents may be entitled under agreements entered into with ExxonMobil to indemnification by ExxonMobil against certain civil liabilities, including liabilities under the Securities Act of 1933, as amended, or to contribution with respect to payments which the underwriters or agents may be required to make. Underwriters and agents may be customers of, engage in transactions with, or perform services for ExxonMobil and its affiliates in the ordinary course of business.</w:t>
      </w:r>
    </w:p>
    <w:p>
      <w:pPr>
        <w:spacing w:after="0" w:line="160" w:lineRule="exact"/>
        <w:rPr>
          <w:sz w:val="20"/>
          <w:szCs w:val="20"/>
          <w:color w:val="auto"/>
        </w:rPr>
      </w:pPr>
    </w:p>
    <w:p>
      <w:pPr>
        <w:ind w:firstLine="342"/>
        <w:spacing w:after="0" w:line="286" w:lineRule="auto"/>
        <w:rPr>
          <w:sz w:val="20"/>
          <w:szCs w:val="20"/>
          <w:color w:val="auto"/>
        </w:rPr>
      </w:pPr>
      <w:r>
        <w:rPr>
          <w:rFonts w:ascii="Arial" w:cs="Arial" w:eastAsia="Arial" w:hAnsi="Arial"/>
          <w:sz w:val="17"/>
          <w:szCs w:val="17"/>
          <w:color w:val="auto"/>
        </w:rPr>
        <w:t>Each series of debt securities will be a new issue of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ExxonMobil files annual, quarterly and current reports, proxy statements and other information with the Securities and Exchange Commission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Act. You may read and copy this information at the following location of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0" w:lineRule="exact"/>
        <w:rPr>
          <w:sz w:val="20"/>
          <w:szCs w:val="20"/>
          <w:color w:val="auto"/>
        </w:rPr>
      </w:pPr>
    </w:p>
    <w:p>
      <w:pPr>
        <w:ind w:right="20" w:firstLine="342"/>
        <w:spacing w:after="0" w:line="257" w:lineRule="auto"/>
        <w:rPr>
          <w:sz w:val="20"/>
          <w:szCs w:val="20"/>
          <w:color w:val="auto"/>
        </w:rPr>
      </w:pPr>
      <w:r>
        <w:rPr>
          <w:rFonts w:ascii="Arial" w:cs="Arial" w:eastAsia="Arial" w:hAnsi="Arial"/>
          <w:sz w:val="18"/>
          <w:szCs w:val="18"/>
          <w:color w:val="auto"/>
        </w:rPr>
        <w:t xml:space="preserve">You may also obtain copies of this information by mail from the Public Reference Section of the Securities and Exchange Commission, 100 F Street, N.E., Room 1580, Washington, D.C. 20549, at prescribed rates. You may obtain information on the operation of the Securities and Exchange Commission’s Public Reference Room by calling the Securities and Exchange Commission at 1-800-SEC-0330. The Securities and Exchange Commission also maintains an Internet worldwide web site that contains reports, proxy statements and other information about issuers like ExxonMobil who file electronically with the Securities and Exchange Commission. The address of the site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61" w:lineRule="exact"/>
        <w:rPr>
          <w:sz w:val="20"/>
          <w:szCs w:val="20"/>
          <w:color w:val="auto"/>
        </w:rPr>
      </w:pPr>
    </w:p>
    <w:p>
      <w:pPr>
        <w:ind w:right="100" w:firstLine="342"/>
        <w:spacing w:after="0" w:line="259" w:lineRule="auto"/>
        <w:rPr>
          <w:sz w:val="20"/>
          <w:szCs w:val="20"/>
          <w:color w:val="auto"/>
        </w:rPr>
      </w:pPr>
      <w:r>
        <w:rPr>
          <w:rFonts w:ascii="Arial" w:cs="Arial" w:eastAsia="Arial" w:hAnsi="Arial"/>
          <w:sz w:val="18"/>
          <w:szCs w:val="18"/>
          <w:color w:val="auto"/>
        </w:rPr>
        <w:t>The Securities and Exchange Commission allows ExxonMobil to “incorporate by reference” information into this document. This means that ExxonMobil can disclose important information to you by referring you to another document filed separately with the Securities and Exchange Commission. The information incorporated by reference is considered to be a part of this document, except for any information superseded by information that is included directly in this document or incorporated by reference subsequent to the date of this document.</w:t>
      </w:r>
    </w:p>
    <w:p>
      <w:pPr>
        <w:spacing w:after="0" w:line="146" w:lineRule="exact"/>
        <w:rPr>
          <w:sz w:val="20"/>
          <w:szCs w:val="20"/>
          <w:color w:val="auto"/>
        </w:rPr>
      </w:pPr>
    </w:p>
    <w:p>
      <w:pPr>
        <w:ind w:right="240" w:firstLine="342"/>
        <w:spacing w:after="0" w:line="264" w:lineRule="auto"/>
        <w:rPr>
          <w:sz w:val="20"/>
          <w:szCs w:val="20"/>
          <w:color w:val="auto"/>
        </w:rPr>
      </w:pPr>
      <w:r>
        <w:rPr>
          <w:rFonts w:ascii="Arial" w:cs="Arial" w:eastAsia="Arial" w:hAnsi="Arial"/>
          <w:sz w:val="18"/>
          <w:szCs w:val="18"/>
          <w:color w:val="auto"/>
        </w:rPr>
        <w:t>This prospectus incorporates by reference the documents listed below and any future filings that ExxonMobil makes with the Securities and Exchange Commission under Section 13(a), 13(c), 14 or 15(d) of the Exchange Act (other than information in the documents or filings that is deemed to have been furnished and not filed), prior to the termination of the offering of debt securities under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Exxon Mobil Corporation Securities and Exchange Commission Filings</w:t>
            </w:r>
          </w:p>
        </w:tc>
        <w:tc>
          <w:tcPr>
            <w:tcW w:w="4340" w:type="dxa"/>
            <w:vAlign w:val="bottom"/>
          </w:tcPr>
          <w:p>
            <w:pPr>
              <w:spacing w:after="0"/>
              <w:rPr>
                <w:sz w:val="20"/>
                <w:szCs w:val="20"/>
                <w:color w:val="auto"/>
              </w:rPr>
            </w:pPr>
            <w:r>
              <w:rPr>
                <w:rFonts w:ascii="Arial" w:cs="Arial" w:eastAsia="Arial" w:hAnsi="Arial"/>
                <w:sz w:val="14"/>
                <w:szCs w:val="14"/>
                <w:b w:val="1"/>
                <w:bCs w:val="1"/>
                <w:color w:val="auto"/>
              </w:rPr>
              <w:t>Period or date filed</w:t>
            </w:r>
          </w:p>
        </w:tc>
      </w:tr>
      <w:tr>
        <w:trPr>
          <w:trHeight w:val="224"/>
        </w:trPr>
        <w:tc>
          <w:tcPr>
            <w:tcW w:w="20" w:type="dxa"/>
            <w:vAlign w:val="bottom"/>
          </w:tcPr>
          <w:p>
            <w:pPr>
              <w:spacing w:after="0"/>
              <w:rPr>
                <w:sz w:val="19"/>
                <w:szCs w:val="19"/>
                <w:color w:val="auto"/>
              </w:rPr>
            </w:pPr>
          </w:p>
        </w:tc>
        <w:tc>
          <w:tcPr>
            <w:tcW w:w="6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Annual Report on Form 10-K</w:t>
            </w:r>
          </w:p>
        </w:tc>
        <w:tc>
          <w:tcPr>
            <w:tcW w:w="22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Fiscal year ended December 31, 2013</w:t>
            </w:r>
          </w:p>
        </w:tc>
      </w:tr>
    </w:tbl>
    <w:p>
      <w:pPr>
        <w:spacing w:after="0" w:line="147" w:lineRule="exact"/>
        <w:rPr>
          <w:sz w:val="20"/>
          <w:szCs w:val="20"/>
          <w:color w:val="auto"/>
        </w:rPr>
      </w:pPr>
    </w:p>
    <w:p>
      <w:pPr>
        <w:ind w:right="180" w:firstLine="342"/>
        <w:spacing w:after="0" w:line="286" w:lineRule="auto"/>
        <w:rPr>
          <w:sz w:val="20"/>
          <w:szCs w:val="20"/>
          <w:color w:val="auto"/>
        </w:rPr>
      </w:pPr>
      <w:r>
        <w:rPr>
          <w:rFonts w:ascii="Arial" w:cs="Arial" w:eastAsia="Arial" w:hAnsi="Arial"/>
          <w:sz w:val="17"/>
          <w:szCs w:val="17"/>
          <w:color w:val="auto"/>
        </w:rPr>
        <w:t>Documents incorporated by reference are available from the Securities and Exchange Commission as described above or from ExxonMobil without charge, excluding any exhibits to those documents unless the exhibit is specifically incorporated by reference as an exhibit in this document. You can obtain documents incorporated by reference in this document by requesting them in writing or by telephone at the following address: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Exxon Mobil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Treasurer’s Department - Planning and Financial Markets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Bondholder Services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5959 Las Colinas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Irving, Texas 75039-2298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(972) 444-1000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CONCERNING FORWARD-LOOKING STATEMENTS</w:t>
      </w:r>
    </w:p>
    <w:p>
      <w:pPr>
        <w:spacing w:after="0" w:line="202" w:lineRule="exact"/>
        <w:rPr>
          <w:sz w:val="20"/>
          <w:szCs w:val="20"/>
          <w:color w:val="auto"/>
        </w:rPr>
      </w:pPr>
    </w:p>
    <w:p>
      <w:pPr>
        <w:ind w:right="40" w:firstLine="342"/>
        <w:spacing w:after="0" w:line="255" w:lineRule="auto"/>
        <w:rPr>
          <w:sz w:val="20"/>
          <w:szCs w:val="20"/>
          <w:color w:val="auto"/>
        </w:rPr>
      </w:pPr>
      <w:r>
        <w:rPr>
          <w:rFonts w:ascii="Arial" w:cs="Arial" w:eastAsia="Arial" w:hAnsi="Arial"/>
          <w:sz w:val="18"/>
          <w:szCs w:val="18"/>
          <w:color w:val="auto"/>
        </w:rPr>
        <w:t>Statements relating to future plans, projections, events or conditions are forward-looking statements. Actual results, including project plans, costs, timing, and capacities; capital and exploration expenditures; resource recoveries; and share purchase levels, could differ materially due to factors including: changes in oil or gas prices or other market or economic conditions affecting the oil and gas industry, including the scope and duration of economic recessions; the outcome of exploration and development efforts; changes in law or government regulation, including tax and environmental requirements; the outcome of commercial negotiations; changes in technical or operating conditions; and other factors discussed under the heading “Factors Affecting Future Results” in the “Investors” section of ExxonMobil’s website and in Item 1A of ExxonMobil’s Annual Report on Form 10-K for the fiscal year ended December 31, 2013.</w:t>
      </w:r>
    </w:p>
    <w:p>
      <w:pPr>
        <w:spacing w:after="0" w:line="149"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forward-looking statements are and will be based on management’s then current views and assumptions regarding future events and speak only as of their dates. ExxonMobil undertakes no obligation to publicly update or revise any forward-looking statements, whether as a result of new information, future events or otherwise, except as required by the securities laws.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THE DEBT SECURITIES</w:t>
      </w:r>
    </w:p>
    <w:p>
      <w:pPr>
        <w:spacing w:after="0" w:line="202" w:lineRule="exact"/>
        <w:rPr>
          <w:sz w:val="20"/>
          <w:szCs w:val="20"/>
          <w:color w:val="auto"/>
        </w:rPr>
      </w:pPr>
    </w:p>
    <w:p>
      <w:pPr>
        <w:ind w:right="240" w:firstLine="342"/>
        <w:spacing w:after="0" w:line="264" w:lineRule="auto"/>
        <w:rPr>
          <w:sz w:val="20"/>
          <w:szCs w:val="20"/>
          <w:color w:val="auto"/>
        </w:rPr>
      </w:pPr>
      <w:r>
        <w:rPr>
          <w:rFonts w:ascii="Arial" w:cs="Arial" w:eastAsia="Arial" w:hAnsi="Arial"/>
          <w:sz w:val="18"/>
          <w:szCs w:val="18"/>
          <w:color w:val="auto"/>
        </w:rPr>
        <w:t>The validity of the debt securities in respect of which this prospectus is being delivered will be passed on for us by Davis Polk &amp; Wardwell LLP, New York, New York. James E. Parsons, Esq., ExxonMobil’s Coordinator – Corporate Securities and Finance Law, will issue an opinion concerning certain matters relating to laws of the State of New Jersey.</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160" w:firstLine="342"/>
        <w:spacing w:after="0" w:line="302" w:lineRule="auto"/>
        <w:rPr>
          <w:sz w:val="20"/>
          <w:szCs w:val="20"/>
          <w:color w:val="auto"/>
        </w:rPr>
      </w:pPr>
      <w:r>
        <w:rPr>
          <w:rFonts w:ascii="Arial" w:cs="Arial" w:eastAsia="Arial" w:hAnsi="Arial"/>
          <w:sz w:val="16"/>
          <w:szCs w:val="16"/>
          <w:color w:val="auto"/>
        </w:rPr>
        <w:t>The consolidated financial statements of ExxonMobil and ExxonMobil management’s assessment of the effectiveness of internal control over financial reporting (which is included in Management’s Report on Internal Control over Financial Reporting) incorporated in this prospectus by reference to ExxonMobil’s Annual Report on Form 10-K for the year ended December 31, 2013 have been so incorporated in reliance on the report of PricewaterhouseCoopers LLP, independent registered public accounting firm, given on the authority of said firm as experts in auditing and accounting.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1964055</wp:posOffset>
            </wp:positionV>
            <wp:extent cx="170688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68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20" w:hanging="819"/>
        <w:spacing w:after="0"/>
        <w:tabs>
          <w:tab w:leader="none" w:pos="502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Floating Rate Notes due</w:t>
      </w:r>
    </w:p>
    <w:p>
      <w:pPr>
        <w:spacing w:after="0" w:line="48" w:lineRule="exact"/>
        <w:rPr>
          <w:rFonts w:ascii="Arial" w:cs="Arial" w:eastAsia="Arial" w:hAnsi="Arial"/>
          <w:sz w:val="19"/>
          <w:szCs w:val="19"/>
          <w:b w:val="1"/>
          <w:bCs w:val="1"/>
          <w:color w:val="auto"/>
        </w:rPr>
      </w:pPr>
    </w:p>
    <w:p>
      <w:pPr>
        <w:ind w:left="5020" w:hanging="819"/>
        <w:spacing w:after="0"/>
        <w:tabs>
          <w:tab w:leader="none" w:pos="502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Floating Rate Notes due</w:t>
      </w:r>
    </w:p>
    <w:p>
      <w:pPr>
        <w:spacing w:after="0" w:line="15" w:lineRule="exact"/>
        <w:rPr>
          <w:sz w:val="20"/>
          <w:szCs w:val="20"/>
          <w:color w:val="auto"/>
        </w:rPr>
      </w:pPr>
    </w:p>
    <w:p>
      <w:pPr>
        <w:ind w:left="5740" w:hanging="1236"/>
        <w:spacing w:after="0"/>
        <w:tabs>
          <w:tab w:leader="none" w:pos="57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w:t>
      </w:r>
    </w:p>
    <w:p>
      <w:pPr>
        <w:ind w:left="5740" w:hanging="1236"/>
        <w:spacing w:after="0" w:line="230" w:lineRule="auto"/>
        <w:tabs>
          <w:tab w:leader="none" w:pos="57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w:t>
      </w:r>
    </w:p>
    <w:p>
      <w:pPr>
        <w:spacing w:after="0" w:line="1" w:lineRule="exact"/>
        <w:rPr>
          <w:sz w:val="20"/>
          <w:szCs w:val="20"/>
          <w:color w:val="auto"/>
        </w:rPr>
      </w:pPr>
    </w:p>
    <w:p>
      <w:pPr>
        <w:ind w:left="5740" w:hanging="1236"/>
        <w:spacing w:after="0"/>
        <w:tabs>
          <w:tab w:leader="none" w:pos="57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HSBC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Morgan Stanley</w:t>
      </w:r>
    </w:p>
    <w:p>
      <w:pPr>
        <w:spacing w:after="0" w:line="211" w:lineRule="exact"/>
        <w:rPr>
          <w:sz w:val="20"/>
          <w:szCs w:val="20"/>
          <w:color w:val="auto"/>
        </w:rPr>
      </w:pPr>
    </w:p>
    <w:p>
      <w:pPr>
        <w:sectPr>
          <w:pgSz w:w="11900" w:h="16838" w:orient="portrait"/>
          <w:cols w:equalWidth="0" w:num="3">
            <w:col w:w="4620" w:space="720"/>
            <w:col w:w="3640" w:space="720"/>
            <w:col w:w="1720"/>
          </w:cols>
          <w:pgMar w:left="240" w:top="459"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Barclays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Citigroup</w:t>
      </w:r>
    </w:p>
    <w:p>
      <w:pPr>
        <w:spacing w:after="0" w:line="200" w:lineRule="exact"/>
        <w:rPr>
          <w:sz w:val="20"/>
          <w:szCs w:val="20"/>
          <w:color w:val="auto"/>
        </w:rPr>
      </w:pPr>
    </w:p>
    <w:p>
      <w:pPr>
        <w:sectPr>
          <w:pgSz w:w="11900" w:h="16838" w:orient="portrait"/>
          <w:cols w:equalWidth="0" w:num="3">
            <w:col w:w="4360" w:space="720"/>
            <w:col w:w="4720" w:space="720"/>
            <w:col w:w="9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Roman"/>
      <w:start w:val="1"/>
    </w:lvl>
  </w:abstractNum>
  <w:abstractNum w:abstractNumId="17">
    <w:nsid w:val="75A2A8D4"/>
    <w:multiLevelType w:val="hybridMultilevel"/>
    <w:lvl w:ilvl="0">
      <w:lvlJc w:val="left"/>
      <w:lvlText w:val="(%1)"/>
      <w:numFmt w:val="lowerRoman"/>
      <w:start w:val="2"/>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2"/>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
      <w:numFmt w:val="bullet"/>
      <w:start w:val="1"/>
    </w:lvl>
    <w:lvl w:ilvl="1">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2019-12-05T09:34:50Z</dcterms:created>
  <dcterms:modified xsi:type="dcterms:W3CDTF">2019-12-05T09:34:50Z</dcterms:modified>
</cp:coreProperties>
</file>